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69989" w14:textId="77777777" w:rsidR="00142AAE" w:rsidRPr="00F32542" w:rsidRDefault="00142AAE" w:rsidP="00484BF1">
      <w:pPr>
        <w:spacing w:after="0" w:line="240" w:lineRule="auto"/>
        <w:ind w:left="3261"/>
        <w:jc w:val="both"/>
        <w:rPr>
          <w:rFonts w:ascii="Arial" w:eastAsia="Arial" w:hAnsi="Arial" w:cs="Arial"/>
          <w:b/>
          <w:sz w:val="26"/>
          <w:szCs w:val="26"/>
          <w:lang w:val="es-ES_tradnl"/>
        </w:rPr>
      </w:pPr>
      <w:r w:rsidRPr="00F32542">
        <w:rPr>
          <w:rFonts w:ascii="Arial" w:eastAsia="Arial" w:hAnsi="Arial" w:cs="Arial"/>
          <w:b/>
          <w:sz w:val="26"/>
          <w:szCs w:val="26"/>
          <w:lang w:val="es-ES_tradnl"/>
        </w:rPr>
        <w:t xml:space="preserve">JUICIOS </w:t>
      </w:r>
      <w:r w:rsidR="00484BF1" w:rsidRPr="00F32542">
        <w:rPr>
          <w:rFonts w:ascii="Arial" w:eastAsia="Arial" w:hAnsi="Arial" w:cs="Arial"/>
          <w:b/>
          <w:sz w:val="26"/>
          <w:szCs w:val="26"/>
          <w:lang w:val="es-ES_tradnl"/>
        </w:rPr>
        <w:t>PARA LA PROTECCIÓN DE LOS DERECHOS POLÍTICO- ELECTORALES DE LA CIUDADANÍA</w:t>
      </w:r>
      <w:r w:rsidR="003465F4" w:rsidRPr="00F32542">
        <w:rPr>
          <w:rFonts w:ascii="Arial" w:eastAsia="Arial" w:hAnsi="Arial" w:cs="Arial"/>
          <w:b/>
          <w:sz w:val="26"/>
          <w:szCs w:val="26"/>
          <w:lang w:val="es-ES_tradnl"/>
        </w:rPr>
        <w:t xml:space="preserve"> y JUICIOS ELECTORALES</w:t>
      </w:r>
    </w:p>
    <w:p w14:paraId="62BCE945" w14:textId="77777777" w:rsidR="00142AAE" w:rsidRPr="00F32542" w:rsidRDefault="00142AAE" w:rsidP="00484BF1">
      <w:pPr>
        <w:spacing w:after="0" w:line="240" w:lineRule="auto"/>
        <w:ind w:left="3261"/>
        <w:jc w:val="both"/>
        <w:rPr>
          <w:rFonts w:ascii="Arial" w:eastAsia="Arial" w:hAnsi="Arial" w:cs="Arial"/>
          <w:b/>
          <w:sz w:val="26"/>
          <w:szCs w:val="26"/>
          <w:lang w:val="es-ES_tradnl"/>
        </w:rPr>
      </w:pPr>
    </w:p>
    <w:p w14:paraId="044DE75E" w14:textId="77777777" w:rsidR="00D3248E" w:rsidRPr="00F32542" w:rsidRDefault="00142AAE" w:rsidP="00484BF1">
      <w:pPr>
        <w:spacing w:after="0" w:line="240" w:lineRule="auto"/>
        <w:ind w:left="3261"/>
        <w:jc w:val="both"/>
        <w:rPr>
          <w:rFonts w:ascii="Arial" w:eastAsia="Arial" w:hAnsi="Arial" w:cs="Arial"/>
          <w:b/>
          <w:sz w:val="26"/>
          <w:szCs w:val="26"/>
          <w:lang w:val="es-ES_tradnl"/>
        </w:rPr>
      </w:pPr>
      <w:r w:rsidRPr="00F32542">
        <w:rPr>
          <w:rFonts w:ascii="Arial" w:eastAsia="Arial" w:hAnsi="Arial" w:cs="Arial"/>
          <w:b/>
          <w:sz w:val="26"/>
          <w:szCs w:val="26"/>
          <w:lang w:val="es-ES_tradnl"/>
        </w:rPr>
        <w:t xml:space="preserve">EXPEDIENTES: </w:t>
      </w:r>
      <w:r w:rsidR="00D3248E" w:rsidRPr="00F32542">
        <w:rPr>
          <w:rFonts w:ascii="Arial" w:eastAsia="Arial" w:hAnsi="Arial" w:cs="Arial"/>
          <w:sz w:val="26"/>
          <w:szCs w:val="26"/>
          <w:lang w:val="es-ES_tradnl"/>
        </w:rPr>
        <w:t>TECDMX-JEL-204/2021</w:t>
      </w:r>
    </w:p>
    <w:p w14:paraId="3BB1B8D2" w14:textId="77777777" w:rsidR="00142AAE" w:rsidRPr="00F32542" w:rsidRDefault="00142AAE" w:rsidP="00484BF1">
      <w:pPr>
        <w:spacing w:after="0" w:line="240" w:lineRule="auto"/>
        <w:ind w:left="3261"/>
        <w:jc w:val="both"/>
        <w:rPr>
          <w:rFonts w:ascii="Arial" w:eastAsia="Arial" w:hAnsi="Arial" w:cs="Arial"/>
          <w:sz w:val="26"/>
          <w:szCs w:val="26"/>
          <w:lang w:val="es-ES_tradnl"/>
        </w:rPr>
      </w:pPr>
      <w:r w:rsidRPr="00F32542">
        <w:rPr>
          <w:rFonts w:ascii="Arial" w:eastAsia="Arial" w:hAnsi="Arial" w:cs="Arial"/>
          <w:sz w:val="26"/>
          <w:szCs w:val="26"/>
          <w:lang w:val="es-ES_tradnl"/>
        </w:rPr>
        <w:t>Y ACUMULADOS</w:t>
      </w:r>
      <w:r w:rsidRPr="00F32542">
        <w:rPr>
          <w:rStyle w:val="Refdenotaalpie"/>
          <w:rFonts w:ascii="Arial" w:eastAsia="Arial" w:hAnsi="Arial" w:cs="Arial"/>
          <w:sz w:val="26"/>
          <w:szCs w:val="26"/>
          <w:lang w:val="es-ES_tradnl"/>
        </w:rPr>
        <w:footnoteReference w:id="1"/>
      </w:r>
    </w:p>
    <w:p w14:paraId="2C0C288E" w14:textId="77777777" w:rsidR="00142AAE" w:rsidRPr="00F32542" w:rsidRDefault="00142AAE" w:rsidP="00484BF1">
      <w:pPr>
        <w:spacing w:after="0" w:line="240" w:lineRule="auto"/>
        <w:ind w:left="3261"/>
        <w:jc w:val="both"/>
        <w:rPr>
          <w:rFonts w:ascii="Arial" w:eastAsia="Arial" w:hAnsi="Arial" w:cs="Arial"/>
          <w:sz w:val="26"/>
          <w:szCs w:val="26"/>
          <w:lang w:val="es-ES_tradnl"/>
        </w:rPr>
      </w:pPr>
    </w:p>
    <w:p w14:paraId="697CA860" w14:textId="77777777" w:rsidR="00142AAE" w:rsidRPr="00F32542" w:rsidRDefault="00142AAE" w:rsidP="00484BF1">
      <w:pPr>
        <w:spacing w:after="0" w:line="240" w:lineRule="auto"/>
        <w:ind w:left="3261"/>
        <w:jc w:val="both"/>
        <w:rPr>
          <w:rFonts w:ascii="Arial" w:eastAsia="Arial" w:hAnsi="Arial" w:cs="Arial"/>
          <w:sz w:val="26"/>
          <w:szCs w:val="26"/>
          <w:lang w:val="es-ES_tradnl"/>
        </w:rPr>
      </w:pPr>
      <w:r w:rsidRPr="00F32542">
        <w:rPr>
          <w:rFonts w:ascii="Arial" w:eastAsia="Arial" w:hAnsi="Arial" w:cs="Arial"/>
          <w:b/>
          <w:sz w:val="26"/>
          <w:szCs w:val="26"/>
          <w:lang w:val="es-ES_tradnl"/>
        </w:rPr>
        <w:t xml:space="preserve">PARTES ACTORAS: </w:t>
      </w:r>
      <w:r w:rsidR="006C5E1C" w:rsidRPr="00F32542">
        <w:rPr>
          <w:rFonts w:ascii="Arial" w:eastAsia="Arial" w:hAnsi="Arial" w:cs="Arial"/>
          <w:sz w:val="26"/>
          <w:szCs w:val="26"/>
          <w:lang w:val="es-ES_tradnl"/>
        </w:rPr>
        <w:t xml:space="preserve">MORENA </w:t>
      </w:r>
      <w:r w:rsidRPr="00F32542">
        <w:rPr>
          <w:rFonts w:ascii="Arial" w:eastAsia="Arial" w:hAnsi="Arial" w:cs="Arial"/>
          <w:sz w:val="26"/>
          <w:szCs w:val="26"/>
          <w:lang w:val="es-ES_tradnl"/>
        </w:rPr>
        <w:t>Y OTROS</w:t>
      </w:r>
      <w:r w:rsidR="00F967FE" w:rsidRPr="00F32542">
        <w:rPr>
          <w:rFonts w:ascii="Arial" w:eastAsia="Arial" w:hAnsi="Arial" w:cs="Arial"/>
          <w:sz w:val="26"/>
          <w:szCs w:val="26"/>
          <w:lang w:val="es-ES_tradnl"/>
        </w:rPr>
        <w:t>.</w:t>
      </w:r>
    </w:p>
    <w:p w14:paraId="6E544E14" w14:textId="77777777" w:rsidR="00142AAE" w:rsidRPr="00F32542" w:rsidRDefault="00142AAE" w:rsidP="00484BF1">
      <w:pPr>
        <w:spacing w:after="0" w:line="240" w:lineRule="auto"/>
        <w:ind w:left="3261"/>
        <w:jc w:val="both"/>
        <w:rPr>
          <w:rFonts w:ascii="Arial" w:eastAsia="Arial" w:hAnsi="Arial" w:cs="Arial"/>
          <w:sz w:val="26"/>
          <w:szCs w:val="26"/>
          <w:lang w:val="es-ES_tradnl"/>
        </w:rPr>
      </w:pPr>
    </w:p>
    <w:p w14:paraId="334441FD" w14:textId="77777777" w:rsidR="00142AAE" w:rsidRPr="00F32542" w:rsidRDefault="00142AAE" w:rsidP="00484BF1">
      <w:pPr>
        <w:spacing w:after="0" w:line="240" w:lineRule="auto"/>
        <w:ind w:left="3261"/>
        <w:jc w:val="both"/>
        <w:rPr>
          <w:rFonts w:ascii="Arial" w:eastAsia="Arial" w:hAnsi="Arial" w:cs="Arial"/>
          <w:sz w:val="26"/>
          <w:szCs w:val="26"/>
          <w:lang w:val="es-ES_tradnl"/>
        </w:rPr>
      </w:pPr>
      <w:r w:rsidRPr="00F32542">
        <w:rPr>
          <w:rFonts w:ascii="Arial" w:eastAsia="Arial" w:hAnsi="Arial" w:cs="Arial"/>
          <w:b/>
          <w:sz w:val="26"/>
          <w:szCs w:val="26"/>
          <w:lang w:val="es-ES_tradnl"/>
        </w:rPr>
        <w:t>PARTES TERCERAS INTERESADAS:</w:t>
      </w:r>
      <w:r w:rsidRPr="00F32542">
        <w:rPr>
          <w:rFonts w:ascii="Arial" w:eastAsia="Arial" w:hAnsi="Arial" w:cs="Arial"/>
          <w:sz w:val="26"/>
          <w:szCs w:val="26"/>
          <w:lang w:val="es-ES_tradnl"/>
        </w:rPr>
        <w:t xml:space="preserve"> </w:t>
      </w:r>
      <w:r w:rsidR="00FF3D1A" w:rsidRPr="00F32542">
        <w:rPr>
          <w:rFonts w:ascii="Arial" w:eastAsia="Arial" w:hAnsi="Arial" w:cs="Arial"/>
          <w:sz w:val="26"/>
          <w:szCs w:val="26"/>
          <w:lang w:val="es-ES_tradnl"/>
        </w:rPr>
        <w:t>MÓNICA FERNÁNDEZ CESAR</w:t>
      </w:r>
      <w:r w:rsidRPr="00F32542">
        <w:rPr>
          <w:rFonts w:ascii="Arial" w:eastAsia="Arial" w:hAnsi="Arial" w:cs="Arial"/>
          <w:sz w:val="26"/>
          <w:szCs w:val="26"/>
          <w:lang w:val="es-ES_tradnl"/>
        </w:rPr>
        <w:t xml:space="preserve"> Y OTRO</w:t>
      </w:r>
      <w:r w:rsidR="00FF3D1A" w:rsidRPr="00F32542">
        <w:rPr>
          <w:rFonts w:ascii="Arial" w:eastAsia="Arial" w:hAnsi="Arial" w:cs="Arial"/>
          <w:sz w:val="26"/>
          <w:szCs w:val="26"/>
          <w:lang w:val="es-ES_tradnl"/>
        </w:rPr>
        <w:t>S</w:t>
      </w:r>
    </w:p>
    <w:p w14:paraId="5CA44FF7" w14:textId="77777777" w:rsidR="00142AAE" w:rsidRPr="00F32542" w:rsidRDefault="00142AAE" w:rsidP="00484BF1">
      <w:pPr>
        <w:spacing w:after="0" w:line="240" w:lineRule="auto"/>
        <w:ind w:left="3261"/>
        <w:jc w:val="both"/>
        <w:rPr>
          <w:rFonts w:ascii="Arial" w:eastAsia="Arial" w:hAnsi="Arial" w:cs="Arial"/>
          <w:sz w:val="26"/>
          <w:szCs w:val="26"/>
          <w:lang w:val="es-ES_tradnl"/>
        </w:rPr>
      </w:pPr>
    </w:p>
    <w:p w14:paraId="269C9465" w14:textId="77777777" w:rsidR="00142AAE" w:rsidRPr="00F32542" w:rsidRDefault="00142AAE" w:rsidP="00484BF1">
      <w:pPr>
        <w:shd w:val="clear" w:color="auto" w:fill="FFFFFF" w:themeFill="background1"/>
        <w:spacing w:after="0" w:line="240" w:lineRule="auto"/>
        <w:ind w:left="3261"/>
        <w:jc w:val="both"/>
        <w:rPr>
          <w:rFonts w:ascii="Arial" w:eastAsia="Arial" w:hAnsi="Arial" w:cs="Arial"/>
          <w:sz w:val="26"/>
          <w:szCs w:val="26"/>
          <w:lang w:val="es-ES_tradnl"/>
        </w:rPr>
      </w:pPr>
      <w:r w:rsidRPr="00F32542">
        <w:rPr>
          <w:rFonts w:ascii="Arial" w:eastAsia="Arial" w:hAnsi="Arial" w:cs="Arial"/>
          <w:b/>
          <w:sz w:val="26"/>
          <w:szCs w:val="26"/>
          <w:lang w:val="es-ES_tradnl"/>
        </w:rPr>
        <w:t>AUTORIDAD RESPONSABLE:</w:t>
      </w:r>
      <w:r w:rsidRPr="00F32542">
        <w:rPr>
          <w:rFonts w:ascii="Arial" w:hAnsi="Arial" w:cs="Arial"/>
          <w:sz w:val="26"/>
          <w:szCs w:val="26"/>
          <w:lang w:val="es-ES_tradnl"/>
        </w:rPr>
        <w:t xml:space="preserve"> CONSEJO </w:t>
      </w:r>
      <w:r w:rsidR="001121CE" w:rsidRPr="00F32542">
        <w:rPr>
          <w:rFonts w:ascii="Arial" w:hAnsi="Arial" w:cs="Arial"/>
          <w:sz w:val="26"/>
          <w:szCs w:val="26"/>
          <w:lang w:val="es-ES_tradnl"/>
        </w:rPr>
        <w:t>GENERAL DEL INSTITUTO ELECTORAL DE LA CIUDAD DE MÉXICO</w:t>
      </w:r>
    </w:p>
    <w:p w14:paraId="5FF59C1D" w14:textId="77777777" w:rsidR="00142AAE" w:rsidRPr="00F32542" w:rsidRDefault="00142AAE" w:rsidP="00484BF1">
      <w:pPr>
        <w:spacing w:after="0" w:line="240" w:lineRule="auto"/>
        <w:ind w:left="3261"/>
        <w:jc w:val="both"/>
        <w:rPr>
          <w:rFonts w:ascii="Arial" w:hAnsi="Arial" w:cs="Arial"/>
          <w:sz w:val="26"/>
          <w:szCs w:val="26"/>
          <w:lang w:val="es-ES_tradnl"/>
        </w:rPr>
      </w:pPr>
    </w:p>
    <w:p w14:paraId="6C72F1EE" w14:textId="77777777" w:rsidR="00142AAE" w:rsidRPr="00F32542" w:rsidRDefault="00142AAE" w:rsidP="00484BF1">
      <w:pPr>
        <w:spacing w:after="0" w:line="240" w:lineRule="auto"/>
        <w:ind w:left="3261"/>
        <w:jc w:val="both"/>
        <w:rPr>
          <w:rFonts w:ascii="Arial" w:eastAsia="Arial" w:hAnsi="Arial" w:cs="Arial"/>
          <w:sz w:val="26"/>
          <w:szCs w:val="26"/>
          <w:lang w:val="es-ES_tradnl"/>
        </w:rPr>
      </w:pPr>
      <w:r w:rsidRPr="00F32542">
        <w:rPr>
          <w:rFonts w:ascii="Arial" w:eastAsia="Arial" w:hAnsi="Arial" w:cs="Arial"/>
          <w:b/>
          <w:sz w:val="26"/>
          <w:szCs w:val="26"/>
          <w:lang w:val="es-ES_tradnl"/>
        </w:rPr>
        <w:t xml:space="preserve">MAGISTRADA PONENTE: </w:t>
      </w:r>
      <w:r w:rsidRPr="00F32542">
        <w:rPr>
          <w:rFonts w:ascii="Arial" w:eastAsia="Arial" w:hAnsi="Arial" w:cs="Arial"/>
          <w:sz w:val="26"/>
          <w:szCs w:val="26"/>
          <w:lang w:val="es-ES_tradnl"/>
        </w:rPr>
        <w:t>MARTHA LETICIA MERCADO RAMÍREZ</w:t>
      </w:r>
    </w:p>
    <w:p w14:paraId="10B818CC" w14:textId="77777777" w:rsidR="00142AAE" w:rsidRPr="00F32542" w:rsidRDefault="00142AAE" w:rsidP="00484BF1">
      <w:pPr>
        <w:spacing w:after="0" w:line="240" w:lineRule="auto"/>
        <w:ind w:left="3261"/>
        <w:jc w:val="both"/>
        <w:rPr>
          <w:rFonts w:ascii="Arial" w:eastAsia="Arial" w:hAnsi="Arial" w:cs="Arial"/>
          <w:sz w:val="26"/>
          <w:szCs w:val="26"/>
          <w:lang w:val="es-ES_tradnl"/>
        </w:rPr>
      </w:pPr>
    </w:p>
    <w:p w14:paraId="019BFBCA" w14:textId="77777777" w:rsidR="00142AAE" w:rsidRPr="00F32542" w:rsidRDefault="00142AAE" w:rsidP="00484BF1">
      <w:pPr>
        <w:spacing w:after="0" w:line="240" w:lineRule="auto"/>
        <w:ind w:left="3261"/>
        <w:jc w:val="both"/>
        <w:rPr>
          <w:rFonts w:ascii="Arial" w:eastAsia="Arial" w:hAnsi="Arial" w:cs="Arial"/>
          <w:sz w:val="26"/>
          <w:szCs w:val="26"/>
          <w:lang w:val="es-ES_tradnl"/>
        </w:rPr>
      </w:pPr>
      <w:r w:rsidRPr="00F32542">
        <w:rPr>
          <w:rFonts w:ascii="Arial" w:eastAsia="Arial" w:hAnsi="Arial" w:cs="Arial"/>
          <w:b/>
          <w:sz w:val="26"/>
          <w:szCs w:val="26"/>
          <w:lang w:val="es-ES_tradnl"/>
        </w:rPr>
        <w:t>SECRETARIADO:</w:t>
      </w:r>
      <w:r w:rsidRPr="00F32542">
        <w:rPr>
          <w:rFonts w:ascii="Arial" w:hAnsi="Arial" w:cs="Arial"/>
          <w:sz w:val="26"/>
          <w:szCs w:val="26"/>
          <w:lang w:val="es-ES_tradnl"/>
        </w:rPr>
        <w:t xml:space="preserve"> CARLOS ANTONIO NERI CARRILLO</w:t>
      </w:r>
      <w:r w:rsidRPr="00F32542">
        <w:rPr>
          <w:rFonts w:ascii="Arial" w:eastAsia="Arial" w:hAnsi="Arial" w:cs="Arial"/>
          <w:sz w:val="26"/>
          <w:szCs w:val="26"/>
          <w:lang w:val="es-ES_tradnl"/>
        </w:rPr>
        <w:t>,</w:t>
      </w:r>
      <w:r w:rsidR="00D3248E" w:rsidRPr="00F32542">
        <w:rPr>
          <w:rFonts w:ascii="Arial" w:eastAsia="Arial" w:hAnsi="Arial" w:cs="Arial"/>
          <w:sz w:val="26"/>
          <w:szCs w:val="26"/>
          <w:lang w:val="es-ES_tradnl"/>
        </w:rPr>
        <w:t xml:space="preserve"> RODRIGO EDMUNDO GALÁ</w:t>
      </w:r>
      <w:r w:rsidR="001121CE" w:rsidRPr="00F32542">
        <w:rPr>
          <w:rFonts w:ascii="Arial" w:eastAsia="Arial" w:hAnsi="Arial" w:cs="Arial"/>
          <w:sz w:val="26"/>
          <w:szCs w:val="26"/>
          <w:lang w:val="es-ES_tradnl"/>
        </w:rPr>
        <w:t>N</w:t>
      </w:r>
      <w:r w:rsidR="00484BF1" w:rsidRPr="00F32542">
        <w:rPr>
          <w:rFonts w:ascii="Arial" w:eastAsia="Arial" w:hAnsi="Arial" w:cs="Arial"/>
          <w:sz w:val="26"/>
          <w:szCs w:val="26"/>
          <w:lang w:val="es-ES_tradnl"/>
        </w:rPr>
        <w:t xml:space="preserve"> M</w:t>
      </w:r>
      <w:r w:rsidR="00D3248E" w:rsidRPr="00F32542">
        <w:rPr>
          <w:rFonts w:ascii="Arial" w:eastAsia="Arial" w:hAnsi="Arial" w:cs="Arial"/>
          <w:sz w:val="26"/>
          <w:szCs w:val="26"/>
          <w:lang w:val="es-ES_tradnl"/>
        </w:rPr>
        <w:t>A</w:t>
      </w:r>
      <w:r w:rsidR="00484BF1" w:rsidRPr="00F32542">
        <w:rPr>
          <w:rFonts w:ascii="Arial" w:eastAsia="Arial" w:hAnsi="Arial" w:cs="Arial"/>
          <w:sz w:val="26"/>
          <w:szCs w:val="26"/>
          <w:lang w:val="es-ES_tradnl"/>
        </w:rPr>
        <w:t>RTÍNEZ</w:t>
      </w:r>
      <w:r w:rsidR="001121CE" w:rsidRPr="00F32542">
        <w:rPr>
          <w:rFonts w:ascii="Arial" w:eastAsia="Arial" w:hAnsi="Arial" w:cs="Arial"/>
          <w:sz w:val="26"/>
          <w:szCs w:val="26"/>
          <w:lang w:val="es-ES_tradnl"/>
        </w:rPr>
        <w:t>, ELIZABETH</w:t>
      </w:r>
      <w:r w:rsidR="00484BF1" w:rsidRPr="00F32542">
        <w:rPr>
          <w:rFonts w:ascii="Arial" w:eastAsia="Arial" w:hAnsi="Arial" w:cs="Arial"/>
          <w:sz w:val="26"/>
          <w:szCs w:val="26"/>
          <w:lang w:val="es-ES_tradnl"/>
        </w:rPr>
        <w:t xml:space="preserve"> VALDERRAMA LÓPEZ</w:t>
      </w:r>
      <w:r w:rsidR="00ED3D56" w:rsidRPr="00F32542">
        <w:rPr>
          <w:rFonts w:ascii="Arial" w:eastAsia="Arial" w:hAnsi="Arial" w:cs="Arial"/>
          <w:sz w:val="26"/>
          <w:szCs w:val="26"/>
          <w:lang w:val="es-ES_tradnl"/>
        </w:rPr>
        <w:t xml:space="preserve"> Y</w:t>
      </w:r>
      <w:r w:rsidR="001121CE" w:rsidRPr="00F32542">
        <w:rPr>
          <w:rFonts w:ascii="Arial" w:eastAsia="Arial" w:hAnsi="Arial" w:cs="Arial"/>
          <w:sz w:val="26"/>
          <w:szCs w:val="26"/>
          <w:lang w:val="es-ES_tradnl"/>
        </w:rPr>
        <w:t xml:space="preserve"> CARLOS </w:t>
      </w:r>
      <w:r w:rsidR="00484BF1" w:rsidRPr="00F32542">
        <w:rPr>
          <w:rFonts w:ascii="Arial" w:eastAsia="Arial" w:hAnsi="Arial" w:cs="Arial"/>
          <w:sz w:val="26"/>
          <w:szCs w:val="26"/>
          <w:lang w:val="es-ES_tradnl"/>
        </w:rPr>
        <w:t xml:space="preserve">ALBERTO </w:t>
      </w:r>
      <w:r w:rsidR="001121CE" w:rsidRPr="00F32542">
        <w:rPr>
          <w:rFonts w:ascii="Arial" w:eastAsia="Arial" w:hAnsi="Arial" w:cs="Arial"/>
          <w:sz w:val="26"/>
          <w:szCs w:val="26"/>
          <w:lang w:val="es-ES_tradnl"/>
        </w:rPr>
        <w:t xml:space="preserve">EZETA </w:t>
      </w:r>
      <w:r w:rsidR="002E22BF" w:rsidRPr="00F32542">
        <w:rPr>
          <w:rFonts w:ascii="Arial" w:eastAsia="Arial" w:hAnsi="Arial" w:cs="Arial"/>
          <w:sz w:val="26"/>
          <w:szCs w:val="26"/>
          <w:lang w:val="es-ES_tradnl"/>
        </w:rPr>
        <w:t>MACÍAS</w:t>
      </w:r>
    </w:p>
    <w:p w14:paraId="58173844" w14:textId="77777777" w:rsidR="00142AAE" w:rsidRPr="00F32542" w:rsidRDefault="00142AAE" w:rsidP="00F967FE">
      <w:pPr>
        <w:spacing w:after="0" w:line="240" w:lineRule="auto"/>
        <w:jc w:val="both"/>
        <w:rPr>
          <w:rFonts w:ascii="Arial" w:eastAsia="Arial" w:hAnsi="Arial" w:cs="Arial"/>
          <w:sz w:val="26"/>
          <w:szCs w:val="26"/>
          <w:lang w:val="es-ES_tradnl"/>
        </w:rPr>
      </w:pPr>
    </w:p>
    <w:p w14:paraId="0DD67847" w14:textId="77777777" w:rsidR="00142AAE" w:rsidRPr="00F32542" w:rsidRDefault="00142AAE" w:rsidP="0066403A">
      <w:pPr>
        <w:spacing w:after="0" w:line="360" w:lineRule="auto"/>
        <w:jc w:val="both"/>
        <w:rPr>
          <w:rFonts w:ascii="Arial" w:eastAsia="Times New Roman" w:hAnsi="Arial" w:cs="Arial"/>
          <w:b/>
          <w:sz w:val="28"/>
          <w:szCs w:val="28"/>
          <w:lang w:val="es-ES_tradnl" w:eastAsia="es-MX"/>
        </w:rPr>
      </w:pPr>
      <w:r w:rsidRPr="00F32542">
        <w:rPr>
          <w:rFonts w:ascii="Arial" w:eastAsia="Times New Roman" w:hAnsi="Arial" w:cs="Arial"/>
          <w:b/>
          <w:sz w:val="28"/>
          <w:szCs w:val="28"/>
          <w:lang w:val="es-ES_tradnl" w:eastAsia="es-MX"/>
        </w:rPr>
        <w:t>Ciudad de México, a</w:t>
      </w:r>
      <w:r w:rsidR="005E42E5" w:rsidRPr="00F32542">
        <w:rPr>
          <w:rFonts w:ascii="Arial" w:eastAsia="Times New Roman" w:hAnsi="Arial" w:cs="Arial"/>
          <w:b/>
          <w:sz w:val="28"/>
          <w:szCs w:val="28"/>
          <w:lang w:val="es-ES_tradnl" w:eastAsia="es-MX"/>
        </w:rPr>
        <w:t xml:space="preserve"> </w:t>
      </w:r>
      <w:r w:rsidR="00BB6E56" w:rsidRPr="00F32542">
        <w:rPr>
          <w:rFonts w:ascii="Arial" w:eastAsia="Times New Roman" w:hAnsi="Arial" w:cs="Arial"/>
          <w:b/>
          <w:sz w:val="28"/>
          <w:szCs w:val="28"/>
          <w:lang w:val="es-ES_tradnl" w:eastAsia="es-MX"/>
        </w:rPr>
        <w:t>dos</w:t>
      </w:r>
      <w:r w:rsidR="005E42E5" w:rsidRPr="00F32542">
        <w:rPr>
          <w:rFonts w:ascii="Arial" w:eastAsia="Times New Roman" w:hAnsi="Arial" w:cs="Arial"/>
          <w:b/>
          <w:sz w:val="28"/>
          <w:szCs w:val="28"/>
          <w:lang w:val="es-ES_tradnl" w:eastAsia="es-MX"/>
        </w:rPr>
        <w:t xml:space="preserve"> de agosto </w:t>
      </w:r>
      <w:r w:rsidRPr="00F32542">
        <w:rPr>
          <w:rFonts w:ascii="Arial" w:eastAsia="Times New Roman" w:hAnsi="Arial" w:cs="Arial"/>
          <w:b/>
          <w:sz w:val="28"/>
          <w:szCs w:val="28"/>
          <w:lang w:val="es-ES_tradnl" w:eastAsia="es-MX"/>
        </w:rPr>
        <w:t>de dos mil veintiuno.</w:t>
      </w:r>
    </w:p>
    <w:p w14:paraId="77D0E620" w14:textId="77777777" w:rsidR="003446B1" w:rsidRPr="00F32542" w:rsidRDefault="003446B1" w:rsidP="0066403A">
      <w:pPr>
        <w:pStyle w:val="NormalWeb"/>
        <w:widowControl w:val="0"/>
        <w:spacing w:before="0" w:beforeAutospacing="0" w:after="0" w:afterAutospacing="0" w:line="360" w:lineRule="auto"/>
        <w:ind w:left="708" w:hanging="708"/>
        <w:rPr>
          <w:rFonts w:ascii="Arial" w:hAnsi="Arial" w:cs="Arial"/>
          <w:b/>
          <w:bCs/>
          <w:sz w:val="28"/>
          <w:szCs w:val="28"/>
          <w:lang w:val="es-ES_tradnl"/>
        </w:rPr>
      </w:pPr>
    </w:p>
    <w:p w14:paraId="24194B85" w14:textId="77777777" w:rsidR="009A7414" w:rsidRPr="00F32542" w:rsidRDefault="00F967FE" w:rsidP="0066403A">
      <w:pPr>
        <w:pStyle w:val="NormalWeb"/>
        <w:widowControl w:val="0"/>
        <w:spacing w:before="0" w:beforeAutospacing="0" w:after="0" w:afterAutospacing="0" w:line="360" w:lineRule="auto"/>
        <w:jc w:val="both"/>
        <w:rPr>
          <w:rFonts w:ascii="Arial" w:hAnsi="Arial" w:cs="Arial"/>
          <w:sz w:val="28"/>
          <w:szCs w:val="28"/>
          <w:lang w:val="es-ES_tradnl"/>
        </w:rPr>
      </w:pPr>
      <w:r w:rsidRPr="00F32542">
        <w:rPr>
          <w:rFonts w:ascii="Arial" w:hAnsi="Arial" w:cs="Arial"/>
          <w:sz w:val="28"/>
          <w:szCs w:val="28"/>
          <w:lang w:val="es-ES_tradnl"/>
        </w:rPr>
        <w:t>El Pleno del Tribunal Electoral de la Ciudad de México, en sesión pública de esta fecha</w:t>
      </w:r>
      <w:r w:rsidR="00D47FD3" w:rsidRPr="00F32542">
        <w:rPr>
          <w:rFonts w:ascii="Arial" w:hAnsi="Arial" w:cs="Arial"/>
          <w:sz w:val="28"/>
          <w:szCs w:val="28"/>
          <w:lang w:val="es-ES_tradnl"/>
        </w:rPr>
        <w:t>,</w:t>
      </w:r>
      <w:r w:rsidRPr="00F32542">
        <w:rPr>
          <w:rFonts w:ascii="Arial" w:hAnsi="Arial" w:cs="Arial"/>
          <w:sz w:val="28"/>
          <w:szCs w:val="28"/>
          <w:lang w:val="es-ES_tradnl"/>
        </w:rPr>
        <w:t xml:space="preserve"> resuelve l</w:t>
      </w:r>
      <w:r w:rsidR="003446B1" w:rsidRPr="00F32542">
        <w:rPr>
          <w:rFonts w:ascii="Arial" w:hAnsi="Arial" w:cs="Arial"/>
          <w:sz w:val="28"/>
          <w:szCs w:val="28"/>
          <w:lang w:val="es-ES_tradnl"/>
        </w:rPr>
        <w:t xml:space="preserve">os </w:t>
      </w:r>
      <w:r w:rsidR="009A7414" w:rsidRPr="00F32542">
        <w:rPr>
          <w:rFonts w:ascii="Arial" w:hAnsi="Arial" w:cs="Arial"/>
          <w:sz w:val="28"/>
          <w:szCs w:val="28"/>
          <w:lang w:val="es-ES_tradnl"/>
        </w:rPr>
        <w:t xml:space="preserve">presentes </w:t>
      </w:r>
      <w:r w:rsidR="006C5E1C" w:rsidRPr="00F32542">
        <w:rPr>
          <w:rFonts w:ascii="Arial" w:hAnsi="Arial" w:cs="Arial"/>
          <w:sz w:val="28"/>
          <w:szCs w:val="28"/>
          <w:lang w:val="es-ES_tradnl"/>
        </w:rPr>
        <w:t xml:space="preserve">juicios electorales y los </w:t>
      </w:r>
      <w:r w:rsidR="003446B1" w:rsidRPr="00F32542">
        <w:rPr>
          <w:rFonts w:ascii="Arial" w:hAnsi="Arial" w:cs="Arial"/>
          <w:sz w:val="28"/>
          <w:szCs w:val="28"/>
          <w:lang w:val="es-ES_tradnl"/>
        </w:rPr>
        <w:t>juicios para la protección de los derechos político electorales de la ciudadanía,</w:t>
      </w:r>
      <w:r w:rsidR="009A7414" w:rsidRPr="00F32542">
        <w:rPr>
          <w:rFonts w:ascii="Arial" w:hAnsi="Arial" w:cs="Arial"/>
          <w:sz w:val="28"/>
          <w:szCs w:val="28"/>
          <w:lang w:val="es-ES_tradnl"/>
        </w:rPr>
        <w:t xml:space="preserve"> </w:t>
      </w:r>
      <w:r w:rsidR="00D47FD3" w:rsidRPr="00F32542">
        <w:rPr>
          <w:rFonts w:ascii="Arial" w:hAnsi="Arial" w:cs="Arial"/>
          <w:sz w:val="28"/>
          <w:szCs w:val="28"/>
          <w:lang w:val="es-ES_tradnl"/>
        </w:rPr>
        <w:t>promovidos en contra d</w:t>
      </w:r>
      <w:r w:rsidR="009A7414" w:rsidRPr="00F32542">
        <w:rPr>
          <w:rFonts w:ascii="Arial" w:hAnsi="Arial" w:cs="Arial"/>
          <w:sz w:val="28"/>
          <w:szCs w:val="28"/>
          <w:lang w:val="es-ES_tradnl"/>
        </w:rPr>
        <w:t xml:space="preserve">el Acuerdo </w:t>
      </w:r>
      <w:r w:rsidR="009A7414" w:rsidRPr="00F32542">
        <w:rPr>
          <w:rFonts w:ascii="Arial" w:hAnsi="Arial" w:cs="Arial"/>
          <w:b/>
          <w:bCs/>
          <w:sz w:val="28"/>
          <w:szCs w:val="28"/>
          <w:lang w:val="es-ES_tradnl"/>
        </w:rPr>
        <w:t>IECM</w:t>
      </w:r>
      <w:r w:rsidR="00836592" w:rsidRPr="00F32542">
        <w:rPr>
          <w:rFonts w:ascii="Arial" w:hAnsi="Arial" w:cs="Arial"/>
          <w:b/>
          <w:bCs/>
          <w:sz w:val="28"/>
          <w:szCs w:val="28"/>
          <w:lang w:val="es-ES_tradnl"/>
        </w:rPr>
        <w:t>/</w:t>
      </w:r>
      <w:r w:rsidR="009A7414" w:rsidRPr="00F32542">
        <w:rPr>
          <w:rFonts w:ascii="Arial" w:hAnsi="Arial" w:cs="Arial"/>
          <w:b/>
          <w:bCs/>
          <w:sz w:val="28"/>
          <w:szCs w:val="28"/>
          <w:lang w:val="es-ES_tradnl"/>
        </w:rPr>
        <w:t>ACU-CG-324/2021</w:t>
      </w:r>
      <w:r w:rsidR="009A7414" w:rsidRPr="00F32542">
        <w:rPr>
          <w:rFonts w:ascii="Arial" w:hAnsi="Arial" w:cs="Arial"/>
          <w:sz w:val="28"/>
          <w:szCs w:val="28"/>
          <w:lang w:val="es-ES_tradnl"/>
        </w:rPr>
        <w:t>, mediante el cual se realiz</w:t>
      </w:r>
      <w:r w:rsidR="00D47FD3" w:rsidRPr="00F32542">
        <w:rPr>
          <w:rFonts w:ascii="Arial" w:hAnsi="Arial" w:cs="Arial"/>
          <w:sz w:val="28"/>
          <w:szCs w:val="28"/>
          <w:lang w:val="es-ES_tradnl"/>
        </w:rPr>
        <w:t>ó</w:t>
      </w:r>
      <w:r w:rsidR="009A7414" w:rsidRPr="00F32542">
        <w:rPr>
          <w:rFonts w:ascii="Arial" w:hAnsi="Arial" w:cs="Arial"/>
          <w:sz w:val="28"/>
          <w:szCs w:val="28"/>
          <w:lang w:val="es-ES_tradnl"/>
        </w:rPr>
        <w:t xml:space="preserve"> la asignación de las Diputaciones al Congreso de la Ciudad de México electas por el principio de representación proporcional y se declar</w:t>
      </w:r>
      <w:r w:rsidR="00D47FD3" w:rsidRPr="00F32542">
        <w:rPr>
          <w:rFonts w:ascii="Arial" w:hAnsi="Arial" w:cs="Arial"/>
          <w:sz w:val="28"/>
          <w:szCs w:val="28"/>
          <w:lang w:val="es-ES_tradnl"/>
        </w:rPr>
        <w:t>ó</w:t>
      </w:r>
      <w:r w:rsidR="009A7414" w:rsidRPr="00F32542">
        <w:rPr>
          <w:rFonts w:ascii="Arial" w:hAnsi="Arial" w:cs="Arial"/>
          <w:sz w:val="28"/>
          <w:szCs w:val="28"/>
          <w:lang w:val="es-ES_tradnl"/>
        </w:rPr>
        <w:t xml:space="preserve"> la validez de esa </w:t>
      </w:r>
      <w:r w:rsidR="009A7414" w:rsidRPr="00F32542">
        <w:rPr>
          <w:rFonts w:ascii="Arial" w:hAnsi="Arial" w:cs="Arial"/>
          <w:sz w:val="28"/>
          <w:szCs w:val="28"/>
          <w:lang w:val="es-ES_tradnl"/>
        </w:rPr>
        <w:lastRenderedPageBreak/>
        <w:t>elección</w:t>
      </w:r>
      <w:r w:rsidR="00D47FD3" w:rsidRPr="00F32542">
        <w:rPr>
          <w:rFonts w:ascii="Arial" w:hAnsi="Arial" w:cs="Arial"/>
          <w:sz w:val="28"/>
          <w:szCs w:val="28"/>
          <w:lang w:val="es-ES_tradnl"/>
        </w:rPr>
        <w:t>,</w:t>
      </w:r>
      <w:r w:rsidR="009A7414" w:rsidRPr="00F32542">
        <w:rPr>
          <w:rFonts w:ascii="Arial" w:hAnsi="Arial" w:cs="Arial"/>
          <w:sz w:val="28"/>
          <w:szCs w:val="28"/>
          <w:lang w:val="es-ES_tradnl"/>
        </w:rPr>
        <w:t xml:space="preserve"> en el Proceso Electoral Local Ordinario 2020-2021.</w:t>
      </w:r>
    </w:p>
    <w:p w14:paraId="7972E463" w14:textId="77777777" w:rsidR="0066403A" w:rsidRPr="00F32542" w:rsidRDefault="0066403A" w:rsidP="0066403A">
      <w:pPr>
        <w:pStyle w:val="NormalWeb"/>
        <w:widowControl w:val="0"/>
        <w:spacing w:before="0" w:beforeAutospacing="0" w:after="0" w:afterAutospacing="0" w:line="360" w:lineRule="auto"/>
        <w:jc w:val="both"/>
        <w:rPr>
          <w:rFonts w:ascii="Arial" w:hAnsi="Arial" w:cs="Arial"/>
          <w:sz w:val="28"/>
          <w:szCs w:val="28"/>
          <w:lang w:val="es-ES_tradnl"/>
        </w:rPr>
      </w:pPr>
    </w:p>
    <w:p w14:paraId="47B09736" w14:textId="77777777" w:rsidR="00AB1738" w:rsidRPr="00F32542" w:rsidRDefault="00AB1738" w:rsidP="0066403A">
      <w:pPr>
        <w:spacing w:after="0" w:line="360" w:lineRule="auto"/>
        <w:jc w:val="center"/>
        <w:rPr>
          <w:rFonts w:ascii="Arial" w:eastAsia="Calibri" w:hAnsi="Arial" w:cs="Arial"/>
          <w:b/>
          <w:bCs/>
          <w:sz w:val="28"/>
          <w:szCs w:val="28"/>
        </w:rPr>
      </w:pPr>
      <w:r w:rsidRPr="00F32542">
        <w:rPr>
          <w:rFonts w:ascii="Arial" w:eastAsia="Calibri" w:hAnsi="Arial" w:cs="Arial"/>
          <w:b/>
          <w:bCs/>
          <w:sz w:val="28"/>
          <w:szCs w:val="28"/>
        </w:rPr>
        <w:t>ÍNDICE</w:t>
      </w:r>
    </w:p>
    <w:p w14:paraId="5CA5C629" w14:textId="77777777" w:rsidR="00AB1738" w:rsidRPr="00F32542" w:rsidRDefault="00AB1738" w:rsidP="0066403A">
      <w:pPr>
        <w:spacing w:after="0" w:line="360" w:lineRule="auto"/>
        <w:jc w:val="both"/>
        <w:rPr>
          <w:rFonts w:ascii="Arial" w:eastAsia="Calibri" w:hAnsi="Arial" w:cs="Arial"/>
          <w:sz w:val="28"/>
          <w:szCs w:val="28"/>
        </w:rPr>
      </w:pPr>
    </w:p>
    <w:p w14:paraId="5EB0010A"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b/>
          <w:bCs/>
          <w:sz w:val="23"/>
          <w:szCs w:val="23"/>
        </w:rPr>
        <w:t>GLOSARIO</w:t>
      </w:r>
      <w:r w:rsidRPr="00F32542">
        <w:rPr>
          <w:rFonts w:ascii="Arial" w:eastAsia="Calibri" w:hAnsi="Arial" w:cs="Arial"/>
          <w:sz w:val="23"/>
          <w:szCs w:val="23"/>
        </w:rPr>
        <w:t>_ _ _ _ _ _ _ _ _ _ _ _ _ _ _ _ _ _ _ _ _ _ _ _ _ _ _ _ _ _ _ _ _ _ _ _ _ _</w:t>
      </w:r>
      <w:r w:rsidR="00B61306" w:rsidRPr="00F32542">
        <w:rPr>
          <w:rFonts w:ascii="Arial" w:eastAsia="Calibri" w:hAnsi="Arial" w:cs="Arial"/>
          <w:sz w:val="23"/>
          <w:szCs w:val="23"/>
        </w:rPr>
        <w:t>03</w:t>
      </w:r>
      <w:r w:rsidRPr="00F32542">
        <w:rPr>
          <w:rFonts w:ascii="Arial" w:eastAsia="Calibri" w:hAnsi="Arial" w:cs="Arial"/>
          <w:sz w:val="23"/>
          <w:szCs w:val="23"/>
        </w:rPr>
        <w:t xml:space="preserve"> </w:t>
      </w:r>
    </w:p>
    <w:p w14:paraId="2124B6EC"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b/>
          <w:bCs/>
          <w:sz w:val="23"/>
          <w:szCs w:val="23"/>
        </w:rPr>
        <w:t>ANTECEDENTES</w:t>
      </w:r>
      <w:r w:rsidRPr="00F32542">
        <w:rPr>
          <w:rFonts w:ascii="Arial" w:eastAsia="Calibri" w:hAnsi="Arial" w:cs="Arial"/>
          <w:sz w:val="23"/>
          <w:szCs w:val="23"/>
        </w:rPr>
        <w:t>_ _ _ _ _ _ _ _ _ _ _ _ _ _ _ _ _ _ _ _ _ _ _ _ _ _ _ _ _ _ _ _ _ _</w:t>
      </w:r>
      <w:r w:rsidR="00B61306" w:rsidRPr="00F32542">
        <w:rPr>
          <w:rFonts w:ascii="Arial" w:eastAsia="Calibri" w:hAnsi="Arial" w:cs="Arial"/>
          <w:sz w:val="23"/>
          <w:szCs w:val="23"/>
        </w:rPr>
        <w:t xml:space="preserve"> 05</w:t>
      </w:r>
    </w:p>
    <w:p w14:paraId="188A50DB"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b/>
          <w:bCs/>
          <w:sz w:val="23"/>
          <w:szCs w:val="23"/>
        </w:rPr>
        <w:t>CONSIDERACIONES</w:t>
      </w:r>
      <w:r w:rsidRPr="00F32542">
        <w:rPr>
          <w:rFonts w:ascii="Arial" w:eastAsia="Calibri" w:hAnsi="Arial" w:cs="Arial"/>
          <w:sz w:val="23"/>
          <w:szCs w:val="23"/>
        </w:rPr>
        <w:t xml:space="preserve">_ _ _ _ _ _ _ _ _ _ _ _ _ _ _ _ _ _ _ _ _ _ _ _ _ _ __ _ _ _ _ </w:t>
      </w:r>
      <w:r w:rsidR="00C279D9" w:rsidRPr="00F32542">
        <w:rPr>
          <w:rFonts w:ascii="Arial" w:eastAsia="Calibri" w:hAnsi="Arial" w:cs="Arial"/>
          <w:sz w:val="23"/>
          <w:szCs w:val="23"/>
        </w:rPr>
        <w:t>10</w:t>
      </w:r>
    </w:p>
    <w:p w14:paraId="0D4CA23A"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b/>
          <w:bCs/>
          <w:sz w:val="23"/>
          <w:szCs w:val="23"/>
        </w:rPr>
        <w:t>PRIMERA. Competencia</w:t>
      </w:r>
      <w:r w:rsidRPr="00F32542">
        <w:rPr>
          <w:rFonts w:ascii="Arial" w:eastAsia="Calibri" w:hAnsi="Arial" w:cs="Arial"/>
          <w:sz w:val="23"/>
          <w:szCs w:val="23"/>
        </w:rPr>
        <w:t>_ _ _ _ _ _ _ _ _ _ _ _ _ _ _ _ _ _ _ _ _ _ _ _ _ __ _ _ _ _</w:t>
      </w:r>
      <w:r w:rsidR="00C279D9" w:rsidRPr="00F32542">
        <w:rPr>
          <w:rFonts w:ascii="Arial" w:eastAsia="Calibri" w:hAnsi="Arial" w:cs="Arial"/>
          <w:sz w:val="23"/>
          <w:szCs w:val="23"/>
        </w:rPr>
        <w:t>10</w:t>
      </w:r>
    </w:p>
    <w:p w14:paraId="4FF8352E" w14:textId="77777777" w:rsidR="00AB1738" w:rsidRPr="00F32542" w:rsidRDefault="00AB1738" w:rsidP="00AB1738">
      <w:pPr>
        <w:spacing w:after="0" w:line="240" w:lineRule="auto"/>
        <w:jc w:val="both"/>
        <w:rPr>
          <w:rFonts w:ascii="Arial" w:eastAsia="Calibri" w:hAnsi="Arial" w:cs="Arial"/>
          <w:b/>
          <w:bCs/>
          <w:sz w:val="23"/>
          <w:szCs w:val="23"/>
        </w:rPr>
      </w:pPr>
      <w:r w:rsidRPr="00F32542">
        <w:rPr>
          <w:rFonts w:ascii="Arial" w:eastAsia="Calibri" w:hAnsi="Arial" w:cs="Arial"/>
          <w:b/>
          <w:bCs/>
          <w:sz w:val="23"/>
          <w:szCs w:val="23"/>
        </w:rPr>
        <w:t>SEGUNDA. Acumulación</w:t>
      </w:r>
      <w:r w:rsidRPr="00F32542">
        <w:rPr>
          <w:rFonts w:ascii="Arial" w:eastAsia="Calibri" w:hAnsi="Arial" w:cs="Arial"/>
          <w:sz w:val="23"/>
          <w:szCs w:val="23"/>
        </w:rPr>
        <w:t>_ _ _ _ _ _ _ _ _ _ _ _ _ _ _ _ _ _ _ _ _ _ _ _ __ _ _ _ _</w:t>
      </w:r>
      <w:r w:rsidR="00C279D9" w:rsidRPr="00F32542">
        <w:rPr>
          <w:rFonts w:ascii="Arial" w:eastAsia="Calibri" w:hAnsi="Arial" w:cs="Arial"/>
          <w:sz w:val="23"/>
          <w:szCs w:val="23"/>
        </w:rPr>
        <w:t>11</w:t>
      </w:r>
      <w:r w:rsidRPr="00F32542">
        <w:rPr>
          <w:rFonts w:ascii="Arial" w:eastAsia="Calibri" w:hAnsi="Arial" w:cs="Arial"/>
          <w:b/>
          <w:bCs/>
          <w:sz w:val="23"/>
          <w:szCs w:val="23"/>
        </w:rPr>
        <w:t xml:space="preserve"> </w:t>
      </w:r>
    </w:p>
    <w:p w14:paraId="001D02B4"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b/>
          <w:bCs/>
          <w:sz w:val="23"/>
          <w:szCs w:val="23"/>
        </w:rPr>
        <w:t>TERCERA. Partes terceras interesadas</w:t>
      </w:r>
      <w:r w:rsidRPr="00F32542">
        <w:rPr>
          <w:rFonts w:ascii="Arial" w:eastAsia="Calibri" w:hAnsi="Arial" w:cs="Arial"/>
          <w:sz w:val="23"/>
          <w:szCs w:val="23"/>
        </w:rPr>
        <w:t>_ _ _ _ _ _ _ _ _ _ _ _ _ _ _ _ _ _ _ _ _ _</w:t>
      </w:r>
      <w:r w:rsidR="00C279D9" w:rsidRPr="00F32542">
        <w:rPr>
          <w:rFonts w:ascii="Arial" w:eastAsia="Calibri" w:hAnsi="Arial" w:cs="Arial"/>
          <w:sz w:val="23"/>
          <w:szCs w:val="23"/>
        </w:rPr>
        <w:t>12</w:t>
      </w:r>
    </w:p>
    <w:p w14:paraId="73FD5076"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b/>
          <w:bCs/>
          <w:sz w:val="23"/>
          <w:szCs w:val="23"/>
        </w:rPr>
        <w:t>CUARTA. Causales de improcedencia</w:t>
      </w:r>
      <w:r w:rsidRPr="00F32542">
        <w:rPr>
          <w:rFonts w:ascii="Arial" w:eastAsia="Calibri" w:hAnsi="Arial" w:cs="Arial"/>
          <w:sz w:val="23"/>
          <w:szCs w:val="23"/>
        </w:rPr>
        <w:t xml:space="preserve">_ _ _ _ _ _ _ _ _ _ _ _ _ _ _ _ _ _ _ _ _ _ </w:t>
      </w:r>
      <w:r w:rsidR="00C279D9" w:rsidRPr="00F32542">
        <w:rPr>
          <w:rFonts w:ascii="Arial" w:eastAsia="Calibri" w:hAnsi="Arial" w:cs="Arial"/>
          <w:sz w:val="23"/>
          <w:szCs w:val="23"/>
        </w:rPr>
        <w:t>16</w:t>
      </w:r>
    </w:p>
    <w:p w14:paraId="5804AAFD" w14:textId="77777777" w:rsidR="00AB1738" w:rsidRPr="00F32542" w:rsidRDefault="00AB1738" w:rsidP="00AB1738">
      <w:pPr>
        <w:spacing w:after="0" w:line="240" w:lineRule="auto"/>
        <w:ind w:firstLine="709"/>
        <w:jc w:val="both"/>
        <w:rPr>
          <w:rFonts w:ascii="Arial" w:eastAsia="Calibri" w:hAnsi="Arial" w:cs="Arial"/>
          <w:sz w:val="23"/>
          <w:szCs w:val="23"/>
        </w:rPr>
      </w:pPr>
      <w:r w:rsidRPr="00F32542">
        <w:rPr>
          <w:rFonts w:ascii="Arial" w:eastAsia="Calibri" w:hAnsi="Arial" w:cs="Arial"/>
          <w:b/>
          <w:bCs/>
          <w:sz w:val="23"/>
          <w:szCs w:val="23"/>
        </w:rPr>
        <w:t>1. Aspecto preliminar</w:t>
      </w:r>
      <w:r w:rsidRPr="00F32542">
        <w:rPr>
          <w:rFonts w:ascii="Arial" w:eastAsia="Calibri" w:hAnsi="Arial" w:cs="Arial"/>
          <w:sz w:val="23"/>
          <w:szCs w:val="23"/>
        </w:rPr>
        <w:t>_ _ _ _ _ _ _ _ _ _ _ _ _ _ _ _ _ _ _ _ _ _ _ _ _ _ _ _</w:t>
      </w:r>
      <w:r w:rsidR="00C279D9" w:rsidRPr="00F32542">
        <w:rPr>
          <w:rFonts w:ascii="Arial" w:eastAsia="Calibri" w:hAnsi="Arial" w:cs="Arial"/>
          <w:sz w:val="23"/>
          <w:szCs w:val="23"/>
        </w:rPr>
        <w:t>18</w:t>
      </w:r>
      <w:r w:rsidRPr="00F32542">
        <w:rPr>
          <w:rFonts w:ascii="Arial" w:eastAsia="Calibri" w:hAnsi="Arial" w:cs="Arial"/>
          <w:sz w:val="23"/>
          <w:szCs w:val="23"/>
        </w:rPr>
        <w:t xml:space="preserve"> </w:t>
      </w:r>
    </w:p>
    <w:p w14:paraId="46209855" w14:textId="77777777" w:rsidR="00AB1738" w:rsidRPr="00F32542" w:rsidRDefault="00AB1738" w:rsidP="00AB1738">
      <w:pPr>
        <w:spacing w:after="0" w:line="240" w:lineRule="auto"/>
        <w:ind w:firstLine="709"/>
        <w:jc w:val="both"/>
        <w:rPr>
          <w:rFonts w:ascii="Arial" w:eastAsia="Calibri" w:hAnsi="Arial" w:cs="Arial"/>
          <w:sz w:val="23"/>
          <w:szCs w:val="23"/>
        </w:rPr>
      </w:pPr>
      <w:r w:rsidRPr="00F32542">
        <w:rPr>
          <w:rFonts w:ascii="Arial" w:eastAsia="Calibri" w:hAnsi="Arial" w:cs="Arial"/>
          <w:b/>
          <w:bCs/>
          <w:sz w:val="23"/>
          <w:szCs w:val="23"/>
        </w:rPr>
        <w:t>2. Estudio de las causales</w:t>
      </w:r>
      <w:r w:rsidRPr="00F32542">
        <w:rPr>
          <w:rFonts w:ascii="Arial" w:eastAsia="Calibri" w:hAnsi="Arial" w:cs="Arial"/>
          <w:sz w:val="23"/>
          <w:szCs w:val="23"/>
        </w:rPr>
        <w:t xml:space="preserve">_ _ _ _ _ _ _ _ _ _ _ _ _ _ _ _ _ _ _ _ _ _ _ _ _ </w:t>
      </w:r>
      <w:r w:rsidR="00C279D9" w:rsidRPr="00F32542">
        <w:rPr>
          <w:rFonts w:ascii="Arial" w:eastAsia="Calibri" w:hAnsi="Arial" w:cs="Arial"/>
          <w:sz w:val="23"/>
          <w:szCs w:val="23"/>
        </w:rPr>
        <w:t>20</w:t>
      </w:r>
    </w:p>
    <w:p w14:paraId="6B80C859"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b/>
          <w:bCs/>
          <w:sz w:val="23"/>
          <w:szCs w:val="23"/>
        </w:rPr>
        <w:t>QUINTA. Requisitos de procedencia</w:t>
      </w:r>
      <w:r w:rsidRPr="00F32542">
        <w:rPr>
          <w:rFonts w:ascii="Arial" w:eastAsia="Calibri" w:hAnsi="Arial" w:cs="Arial"/>
          <w:sz w:val="23"/>
          <w:szCs w:val="23"/>
        </w:rPr>
        <w:t>_ _ _ _ _ _ _ _ _ _ _ _ _ _ _ _ _ _ _ _ _ _ _</w:t>
      </w:r>
      <w:r w:rsidR="00C279D9" w:rsidRPr="00F32542">
        <w:rPr>
          <w:rFonts w:ascii="Arial" w:eastAsia="Calibri" w:hAnsi="Arial" w:cs="Arial"/>
          <w:sz w:val="23"/>
          <w:szCs w:val="23"/>
        </w:rPr>
        <w:t xml:space="preserve"> 37</w:t>
      </w:r>
    </w:p>
    <w:p w14:paraId="4692E582"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b/>
          <w:bCs/>
          <w:sz w:val="23"/>
          <w:szCs w:val="23"/>
        </w:rPr>
        <w:t>SEXTA. Metodología de Estudio</w:t>
      </w:r>
      <w:r w:rsidRPr="00F32542">
        <w:rPr>
          <w:rFonts w:ascii="Arial" w:eastAsia="Calibri" w:hAnsi="Arial" w:cs="Arial"/>
          <w:sz w:val="23"/>
          <w:szCs w:val="23"/>
        </w:rPr>
        <w:t>_ _ _ _ _ _ _ _ _ _ _</w:t>
      </w:r>
      <w:r w:rsidR="00C279D9" w:rsidRPr="00F32542">
        <w:rPr>
          <w:rFonts w:ascii="Arial" w:eastAsia="Calibri" w:hAnsi="Arial" w:cs="Arial"/>
          <w:sz w:val="23"/>
          <w:szCs w:val="23"/>
        </w:rPr>
        <w:t xml:space="preserve"> _</w:t>
      </w:r>
      <w:r w:rsidRPr="00F32542">
        <w:rPr>
          <w:rFonts w:ascii="Arial" w:eastAsia="Calibri" w:hAnsi="Arial" w:cs="Arial"/>
          <w:sz w:val="23"/>
          <w:szCs w:val="23"/>
        </w:rPr>
        <w:t xml:space="preserve"> _ _ _ _ _ _ _ _ _ _ _ _ _</w:t>
      </w:r>
      <w:r w:rsidR="00C279D9" w:rsidRPr="00F32542">
        <w:rPr>
          <w:rFonts w:ascii="Arial" w:eastAsia="Calibri" w:hAnsi="Arial" w:cs="Arial"/>
          <w:sz w:val="23"/>
          <w:szCs w:val="23"/>
        </w:rPr>
        <w:t xml:space="preserve"> _40</w:t>
      </w:r>
    </w:p>
    <w:p w14:paraId="0C7B8AB7"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b/>
          <w:bCs/>
          <w:sz w:val="23"/>
          <w:szCs w:val="23"/>
        </w:rPr>
        <w:t>SÉPTIMA. Estudio de fondo</w:t>
      </w:r>
      <w:r w:rsidRPr="00F32542">
        <w:rPr>
          <w:rFonts w:ascii="Arial" w:eastAsia="Calibri" w:hAnsi="Arial" w:cs="Arial"/>
          <w:sz w:val="23"/>
          <w:szCs w:val="23"/>
        </w:rPr>
        <w:t xml:space="preserve">_ _ _ _ _ _ _ _ __ _ _ _ _ _ _ _ _ _ _ _ _ _ _ _ _ _ _ </w:t>
      </w:r>
      <w:r w:rsidR="00C279D9" w:rsidRPr="00F32542">
        <w:rPr>
          <w:rFonts w:ascii="Arial" w:eastAsia="Calibri" w:hAnsi="Arial" w:cs="Arial"/>
          <w:sz w:val="23"/>
          <w:szCs w:val="23"/>
        </w:rPr>
        <w:t>42</w:t>
      </w:r>
    </w:p>
    <w:p w14:paraId="7A8543D3"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sz w:val="23"/>
          <w:szCs w:val="23"/>
        </w:rPr>
        <w:tab/>
      </w:r>
      <w:r w:rsidRPr="00F32542">
        <w:rPr>
          <w:rFonts w:ascii="Arial" w:eastAsia="Calibri" w:hAnsi="Arial" w:cs="Arial"/>
          <w:b/>
          <w:bCs/>
          <w:sz w:val="23"/>
          <w:szCs w:val="23"/>
        </w:rPr>
        <w:t>I. Cuestiones previas</w:t>
      </w:r>
      <w:r w:rsidRPr="00F32542">
        <w:rPr>
          <w:rFonts w:ascii="Arial" w:eastAsia="Calibri" w:hAnsi="Arial" w:cs="Arial"/>
          <w:sz w:val="23"/>
          <w:szCs w:val="23"/>
        </w:rPr>
        <w:t>_ _ _ _</w:t>
      </w:r>
      <w:r w:rsidR="00C279D9" w:rsidRPr="00F32542">
        <w:rPr>
          <w:rFonts w:ascii="Arial" w:eastAsia="Calibri" w:hAnsi="Arial" w:cs="Arial"/>
          <w:sz w:val="23"/>
          <w:szCs w:val="23"/>
        </w:rPr>
        <w:t xml:space="preserve"> _</w:t>
      </w:r>
      <w:r w:rsidRPr="00F32542">
        <w:rPr>
          <w:rFonts w:ascii="Arial" w:eastAsia="Calibri" w:hAnsi="Arial" w:cs="Arial"/>
          <w:sz w:val="23"/>
          <w:szCs w:val="23"/>
        </w:rPr>
        <w:t xml:space="preserve"> _ _ _ _ _ _ _ _ _ _ _ _ _ _ _ _ _ _ _ _ _ _ _</w:t>
      </w:r>
      <w:r w:rsidR="00C279D9" w:rsidRPr="00F32542">
        <w:rPr>
          <w:rFonts w:ascii="Arial" w:eastAsia="Calibri" w:hAnsi="Arial" w:cs="Arial"/>
          <w:sz w:val="23"/>
          <w:szCs w:val="23"/>
        </w:rPr>
        <w:t xml:space="preserve"> 42</w:t>
      </w:r>
    </w:p>
    <w:p w14:paraId="65880271"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sz w:val="23"/>
          <w:szCs w:val="23"/>
        </w:rPr>
        <w:tab/>
      </w:r>
      <w:r w:rsidRPr="00F32542">
        <w:rPr>
          <w:rFonts w:ascii="Arial" w:eastAsia="Calibri" w:hAnsi="Arial" w:cs="Arial"/>
          <w:sz w:val="23"/>
          <w:szCs w:val="23"/>
        </w:rPr>
        <w:tab/>
      </w:r>
      <w:r w:rsidRPr="00F32542">
        <w:rPr>
          <w:rFonts w:ascii="Arial" w:eastAsia="Calibri" w:hAnsi="Arial" w:cs="Arial"/>
          <w:b/>
          <w:bCs/>
          <w:sz w:val="23"/>
          <w:szCs w:val="23"/>
        </w:rPr>
        <w:t>1. Suplencia de la queja</w:t>
      </w:r>
      <w:r w:rsidRPr="00F32542">
        <w:rPr>
          <w:rFonts w:ascii="Arial" w:eastAsia="Calibri" w:hAnsi="Arial" w:cs="Arial"/>
          <w:sz w:val="23"/>
          <w:szCs w:val="23"/>
        </w:rPr>
        <w:t>_ _ _ _ _ _ _ _ _ _ _ _ _ _ _ _ _ _ _ _ _ _ _</w:t>
      </w:r>
      <w:r w:rsidR="00C279D9" w:rsidRPr="00F32542">
        <w:rPr>
          <w:rFonts w:ascii="Arial" w:eastAsia="Calibri" w:hAnsi="Arial" w:cs="Arial"/>
          <w:sz w:val="23"/>
          <w:szCs w:val="23"/>
        </w:rPr>
        <w:t>42</w:t>
      </w:r>
    </w:p>
    <w:p w14:paraId="2DD28E94"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sz w:val="23"/>
          <w:szCs w:val="23"/>
        </w:rPr>
        <w:tab/>
      </w:r>
      <w:r w:rsidRPr="00F32542">
        <w:rPr>
          <w:rFonts w:ascii="Arial" w:eastAsia="Calibri" w:hAnsi="Arial" w:cs="Arial"/>
          <w:sz w:val="23"/>
          <w:szCs w:val="23"/>
        </w:rPr>
        <w:tab/>
      </w:r>
      <w:r w:rsidRPr="00F32542">
        <w:rPr>
          <w:rFonts w:ascii="Arial" w:eastAsia="Calibri" w:hAnsi="Arial" w:cs="Arial"/>
          <w:b/>
          <w:bCs/>
          <w:sz w:val="23"/>
          <w:szCs w:val="23"/>
        </w:rPr>
        <w:t xml:space="preserve">2. Escritos de </w:t>
      </w:r>
      <w:proofErr w:type="spellStart"/>
      <w:r w:rsidRPr="00F32542">
        <w:rPr>
          <w:rFonts w:ascii="Arial" w:eastAsia="Calibri" w:hAnsi="Arial" w:cs="Arial"/>
          <w:b/>
          <w:bCs/>
          <w:sz w:val="23"/>
          <w:szCs w:val="23"/>
        </w:rPr>
        <w:t>amicus</w:t>
      </w:r>
      <w:proofErr w:type="spellEnd"/>
      <w:r w:rsidRPr="00F32542">
        <w:rPr>
          <w:rFonts w:ascii="Arial" w:eastAsia="Calibri" w:hAnsi="Arial" w:cs="Arial"/>
          <w:b/>
          <w:bCs/>
          <w:sz w:val="23"/>
          <w:szCs w:val="23"/>
        </w:rPr>
        <w:t xml:space="preserve"> </w:t>
      </w:r>
      <w:proofErr w:type="spellStart"/>
      <w:r w:rsidRPr="00F32542">
        <w:rPr>
          <w:rFonts w:ascii="Arial" w:eastAsia="Calibri" w:hAnsi="Arial" w:cs="Arial"/>
          <w:b/>
          <w:bCs/>
          <w:sz w:val="23"/>
          <w:szCs w:val="23"/>
        </w:rPr>
        <w:t>curiae</w:t>
      </w:r>
      <w:proofErr w:type="spellEnd"/>
      <w:r w:rsidRPr="00F32542">
        <w:rPr>
          <w:rFonts w:ascii="Arial" w:eastAsia="Calibri" w:hAnsi="Arial" w:cs="Arial"/>
          <w:sz w:val="23"/>
          <w:szCs w:val="23"/>
        </w:rPr>
        <w:t>_ _ _ _ _ _ _ _ _ _ _ _ _ _ _ _ _ _ _ _</w:t>
      </w:r>
      <w:r w:rsidR="00C279D9" w:rsidRPr="00F32542">
        <w:rPr>
          <w:rFonts w:ascii="Arial" w:eastAsia="Calibri" w:hAnsi="Arial" w:cs="Arial"/>
          <w:sz w:val="23"/>
          <w:szCs w:val="23"/>
        </w:rPr>
        <w:t xml:space="preserve"> 43</w:t>
      </w:r>
    </w:p>
    <w:p w14:paraId="01B4A254"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sz w:val="23"/>
          <w:szCs w:val="23"/>
        </w:rPr>
        <w:tab/>
      </w:r>
      <w:r w:rsidRPr="00F32542">
        <w:rPr>
          <w:rFonts w:ascii="Arial" w:eastAsia="Calibri" w:hAnsi="Arial" w:cs="Arial"/>
          <w:b/>
          <w:bCs/>
          <w:sz w:val="23"/>
          <w:szCs w:val="23"/>
        </w:rPr>
        <w:t>II. Inelegibilidad de candidaturas</w:t>
      </w:r>
      <w:r w:rsidRPr="00F32542">
        <w:rPr>
          <w:rFonts w:ascii="Arial" w:eastAsia="Calibri" w:hAnsi="Arial" w:cs="Arial"/>
          <w:sz w:val="23"/>
          <w:szCs w:val="23"/>
        </w:rPr>
        <w:t>_ _ _ _ _ _ _ _ _ _ _ _ _ _ _ _ _ _ _ _ _</w:t>
      </w:r>
      <w:r w:rsidR="00C279D9" w:rsidRPr="00F32542">
        <w:rPr>
          <w:rFonts w:ascii="Arial" w:eastAsia="Calibri" w:hAnsi="Arial" w:cs="Arial"/>
          <w:sz w:val="23"/>
          <w:szCs w:val="23"/>
        </w:rPr>
        <w:t xml:space="preserve"> _51</w:t>
      </w:r>
    </w:p>
    <w:p w14:paraId="09C42CD6"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sz w:val="23"/>
          <w:szCs w:val="23"/>
        </w:rPr>
        <w:tab/>
      </w:r>
      <w:r w:rsidRPr="00F32542">
        <w:rPr>
          <w:rFonts w:ascii="Arial" w:eastAsia="Calibri" w:hAnsi="Arial" w:cs="Arial"/>
          <w:b/>
          <w:bCs/>
          <w:sz w:val="23"/>
          <w:szCs w:val="23"/>
        </w:rPr>
        <w:t>III. Diputación Migrante</w:t>
      </w:r>
      <w:r w:rsidRPr="00F32542">
        <w:rPr>
          <w:rFonts w:ascii="Arial" w:eastAsia="Calibri" w:hAnsi="Arial" w:cs="Arial"/>
          <w:sz w:val="23"/>
          <w:szCs w:val="23"/>
        </w:rPr>
        <w:t>_ _ _ _ _ _ _ _ _ _ _ _ _ _ _ _ _ _ _ _ _ _ _ _ _ _ _</w:t>
      </w:r>
      <w:r w:rsidR="00C279D9" w:rsidRPr="00F32542">
        <w:rPr>
          <w:rFonts w:ascii="Arial" w:eastAsia="Calibri" w:hAnsi="Arial" w:cs="Arial"/>
          <w:sz w:val="23"/>
          <w:szCs w:val="23"/>
        </w:rPr>
        <w:t>64</w:t>
      </w:r>
    </w:p>
    <w:p w14:paraId="45F8C9B0"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sz w:val="23"/>
          <w:szCs w:val="23"/>
        </w:rPr>
        <w:tab/>
      </w:r>
      <w:r w:rsidRPr="00F32542">
        <w:rPr>
          <w:rFonts w:ascii="Arial" w:eastAsia="Calibri" w:hAnsi="Arial" w:cs="Arial"/>
          <w:sz w:val="23"/>
          <w:szCs w:val="23"/>
        </w:rPr>
        <w:tab/>
      </w:r>
      <w:r w:rsidRPr="00F32542">
        <w:rPr>
          <w:rFonts w:ascii="Arial" w:eastAsia="Calibri" w:hAnsi="Arial" w:cs="Arial"/>
          <w:b/>
          <w:bCs/>
          <w:sz w:val="23"/>
          <w:szCs w:val="23"/>
        </w:rPr>
        <w:t>1. Implementación de la diputación migrante</w:t>
      </w:r>
      <w:r w:rsidRPr="00F32542">
        <w:rPr>
          <w:rFonts w:ascii="Arial" w:eastAsia="Calibri" w:hAnsi="Arial" w:cs="Arial"/>
          <w:sz w:val="23"/>
          <w:szCs w:val="23"/>
        </w:rPr>
        <w:t>_ _ _ _ _ _ _ _ _ _ _</w:t>
      </w:r>
      <w:r w:rsidR="00C279D9" w:rsidRPr="00F32542">
        <w:rPr>
          <w:rFonts w:ascii="Arial" w:eastAsia="Calibri" w:hAnsi="Arial" w:cs="Arial"/>
          <w:sz w:val="23"/>
          <w:szCs w:val="23"/>
        </w:rPr>
        <w:t xml:space="preserve"> 64</w:t>
      </w:r>
    </w:p>
    <w:p w14:paraId="745E3B64"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b/>
          <w:bCs/>
          <w:sz w:val="23"/>
          <w:szCs w:val="23"/>
        </w:rPr>
        <w:tab/>
      </w:r>
      <w:r w:rsidRPr="00F32542">
        <w:rPr>
          <w:rFonts w:ascii="Arial" w:eastAsia="Calibri" w:hAnsi="Arial" w:cs="Arial"/>
          <w:b/>
          <w:bCs/>
          <w:sz w:val="23"/>
          <w:szCs w:val="23"/>
        </w:rPr>
        <w:tab/>
        <w:t>2. Procedimiento de asignación de la diputación migrante</w:t>
      </w:r>
      <w:r w:rsidRPr="00F32542">
        <w:rPr>
          <w:rFonts w:ascii="Arial" w:eastAsia="Calibri" w:hAnsi="Arial" w:cs="Arial"/>
          <w:sz w:val="23"/>
          <w:szCs w:val="23"/>
        </w:rPr>
        <w:t xml:space="preserve">_ _ _ </w:t>
      </w:r>
      <w:r w:rsidR="008B7522" w:rsidRPr="00F32542">
        <w:rPr>
          <w:rFonts w:ascii="Arial" w:eastAsia="Calibri" w:hAnsi="Arial" w:cs="Arial"/>
          <w:sz w:val="23"/>
          <w:szCs w:val="23"/>
        </w:rPr>
        <w:t>_86</w:t>
      </w:r>
    </w:p>
    <w:p w14:paraId="5E1973C5"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sz w:val="23"/>
          <w:szCs w:val="23"/>
        </w:rPr>
        <w:tab/>
      </w:r>
      <w:r w:rsidRPr="00F32542">
        <w:rPr>
          <w:rFonts w:ascii="Arial" w:eastAsia="Calibri" w:hAnsi="Arial" w:cs="Arial"/>
          <w:sz w:val="23"/>
          <w:szCs w:val="23"/>
        </w:rPr>
        <w:tab/>
      </w:r>
      <w:r w:rsidRPr="00F32542">
        <w:rPr>
          <w:rFonts w:ascii="Arial" w:eastAsia="Calibri" w:hAnsi="Arial" w:cs="Arial"/>
          <w:b/>
          <w:bCs/>
          <w:sz w:val="23"/>
          <w:szCs w:val="23"/>
        </w:rPr>
        <w:t>3. Votación de la diputación migrante</w:t>
      </w:r>
      <w:r w:rsidRPr="00F32542">
        <w:rPr>
          <w:rFonts w:ascii="Arial" w:eastAsia="Calibri" w:hAnsi="Arial" w:cs="Arial"/>
          <w:sz w:val="23"/>
          <w:szCs w:val="23"/>
        </w:rPr>
        <w:t>_ _ _ _ _ _ _ _ _ _ _ _ _ _</w:t>
      </w:r>
      <w:r w:rsidR="00C95541" w:rsidRPr="00F32542">
        <w:rPr>
          <w:rFonts w:ascii="Arial" w:eastAsia="Calibri" w:hAnsi="Arial" w:cs="Arial"/>
          <w:sz w:val="23"/>
          <w:szCs w:val="23"/>
        </w:rPr>
        <w:t xml:space="preserve"> _</w:t>
      </w:r>
      <w:r w:rsidR="008B7522" w:rsidRPr="00F32542">
        <w:rPr>
          <w:rFonts w:ascii="Arial" w:eastAsia="Calibri" w:hAnsi="Arial" w:cs="Arial"/>
          <w:sz w:val="23"/>
          <w:szCs w:val="23"/>
        </w:rPr>
        <w:t>113</w:t>
      </w:r>
    </w:p>
    <w:p w14:paraId="117B43EE" w14:textId="77777777" w:rsidR="00AB1738" w:rsidRPr="00F32542" w:rsidRDefault="00AB1738" w:rsidP="00AB1738">
      <w:pPr>
        <w:spacing w:after="0" w:line="240" w:lineRule="auto"/>
        <w:ind w:left="705"/>
        <w:jc w:val="both"/>
        <w:rPr>
          <w:rFonts w:ascii="Arial" w:eastAsia="Calibri" w:hAnsi="Arial" w:cs="Arial"/>
          <w:sz w:val="23"/>
          <w:szCs w:val="23"/>
        </w:rPr>
      </w:pPr>
      <w:r w:rsidRPr="00F32542">
        <w:rPr>
          <w:rFonts w:ascii="Arial" w:eastAsia="Calibri" w:hAnsi="Arial" w:cs="Arial"/>
          <w:b/>
          <w:bCs/>
          <w:sz w:val="23"/>
          <w:szCs w:val="23"/>
        </w:rPr>
        <w:t>IV. Aspectos preliminares a la distribución y asignación de diputaciones plurinominales</w:t>
      </w:r>
      <w:r w:rsidRPr="00F32542">
        <w:rPr>
          <w:rFonts w:ascii="Arial" w:eastAsia="Calibri" w:hAnsi="Arial" w:cs="Arial"/>
          <w:sz w:val="23"/>
          <w:szCs w:val="23"/>
        </w:rPr>
        <w:t>_ _ _ _ _ _ _ _ _ _ _ _ _ _ _ _ _ _ __ _ _ _ _ _ _ _ _ _ _ _ _</w:t>
      </w:r>
      <w:r w:rsidR="00C95541" w:rsidRPr="00F32542">
        <w:rPr>
          <w:rFonts w:ascii="Arial" w:eastAsia="Calibri" w:hAnsi="Arial" w:cs="Arial"/>
          <w:sz w:val="23"/>
          <w:szCs w:val="23"/>
        </w:rPr>
        <w:t>121</w:t>
      </w:r>
    </w:p>
    <w:p w14:paraId="40E9C280" w14:textId="77777777" w:rsidR="00AB1738" w:rsidRPr="00F32542" w:rsidRDefault="00AB1738" w:rsidP="00AB1738">
      <w:pPr>
        <w:spacing w:after="0" w:line="240" w:lineRule="auto"/>
        <w:ind w:left="705"/>
        <w:jc w:val="both"/>
        <w:rPr>
          <w:rFonts w:ascii="Arial" w:eastAsia="Calibri" w:hAnsi="Arial" w:cs="Arial"/>
          <w:sz w:val="23"/>
          <w:szCs w:val="23"/>
        </w:rPr>
      </w:pPr>
      <w:r w:rsidRPr="00F32542">
        <w:rPr>
          <w:rFonts w:ascii="Arial" w:eastAsia="Calibri" w:hAnsi="Arial" w:cs="Arial"/>
          <w:b/>
          <w:bCs/>
          <w:sz w:val="23"/>
          <w:szCs w:val="23"/>
        </w:rPr>
        <w:t>V. Acción afirmativa para personas indígenas</w:t>
      </w:r>
      <w:r w:rsidRPr="00F32542">
        <w:rPr>
          <w:rFonts w:ascii="Arial" w:eastAsia="Calibri" w:hAnsi="Arial" w:cs="Arial"/>
          <w:sz w:val="23"/>
          <w:szCs w:val="23"/>
        </w:rPr>
        <w:t>_ _ _ _ _ _ _ _ _ _ _ _ _ _</w:t>
      </w:r>
      <w:r w:rsidR="00C95541" w:rsidRPr="00F32542">
        <w:rPr>
          <w:rFonts w:ascii="Arial" w:eastAsia="Calibri" w:hAnsi="Arial" w:cs="Arial"/>
          <w:sz w:val="23"/>
          <w:szCs w:val="23"/>
        </w:rPr>
        <w:t>123</w:t>
      </w:r>
    </w:p>
    <w:p w14:paraId="62D77573" w14:textId="77777777" w:rsidR="00AB1738" w:rsidRPr="00F32542" w:rsidRDefault="00AB1738" w:rsidP="00AB1738">
      <w:pPr>
        <w:spacing w:after="0" w:line="240" w:lineRule="auto"/>
        <w:ind w:left="705"/>
        <w:jc w:val="both"/>
        <w:rPr>
          <w:rFonts w:ascii="Arial" w:eastAsia="Calibri" w:hAnsi="Arial" w:cs="Arial"/>
          <w:sz w:val="23"/>
          <w:szCs w:val="23"/>
        </w:rPr>
      </w:pPr>
      <w:r w:rsidRPr="00F32542">
        <w:rPr>
          <w:rFonts w:ascii="Arial" w:eastAsia="Calibri" w:hAnsi="Arial" w:cs="Arial"/>
          <w:b/>
          <w:bCs/>
          <w:sz w:val="23"/>
          <w:szCs w:val="23"/>
        </w:rPr>
        <w:tab/>
      </w:r>
      <w:r w:rsidRPr="00F32542">
        <w:rPr>
          <w:rFonts w:ascii="Arial" w:eastAsia="Calibri" w:hAnsi="Arial" w:cs="Arial"/>
          <w:b/>
          <w:bCs/>
          <w:sz w:val="23"/>
          <w:szCs w:val="23"/>
        </w:rPr>
        <w:tab/>
        <w:t>1. Perspectiva intercultural</w:t>
      </w:r>
      <w:r w:rsidRPr="00F32542">
        <w:rPr>
          <w:rFonts w:ascii="Arial" w:eastAsia="Calibri" w:hAnsi="Arial" w:cs="Arial"/>
          <w:sz w:val="23"/>
          <w:szCs w:val="23"/>
        </w:rPr>
        <w:t xml:space="preserve">_ _ __ _ _ _ _ _ _ _ _ _ _ _ _ _ _ _ _ _ </w:t>
      </w:r>
      <w:r w:rsidR="00C95541" w:rsidRPr="00F32542">
        <w:rPr>
          <w:rFonts w:ascii="Arial" w:eastAsia="Calibri" w:hAnsi="Arial" w:cs="Arial"/>
          <w:sz w:val="23"/>
          <w:szCs w:val="23"/>
        </w:rPr>
        <w:t>125</w:t>
      </w:r>
    </w:p>
    <w:p w14:paraId="7EC1AB85" w14:textId="77777777" w:rsidR="00AB1738" w:rsidRPr="00F32542" w:rsidRDefault="00AB1738" w:rsidP="00AB1738">
      <w:pPr>
        <w:spacing w:after="0" w:line="240" w:lineRule="auto"/>
        <w:ind w:left="705"/>
        <w:jc w:val="both"/>
        <w:rPr>
          <w:rFonts w:ascii="Arial" w:eastAsia="Calibri" w:hAnsi="Arial" w:cs="Arial"/>
          <w:sz w:val="23"/>
          <w:szCs w:val="23"/>
        </w:rPr>
      </w:pPr>
      <w:r w:rsidRPr="00F32542">
        <w:rPr>
          <w:rFonts w:ascii="Arial" w:eastAsia="Calibri" w:hAnsi="Arial" w:cs="Arial"/>
          <w:b/>
          <w:bCs/>
          <w:sz w:val="23"/>
          <w:szCs w:val="23"/>
        </w:rPr>
        <w:tab/>
      </w:r>
      <w:r w:rsidRPr="00F32542">
        <w:rPr>
          <w:rFonts w:ascii="Arial" w:eastAsia="Calibri" w:hAnsi="Arial" w:cs="Arial"/>
          <w:b/>
          <w:bCs/>
          <w:sz w:val="23"/>
          <w:szCs w:val="23"/>
        </w:rPr>
        <w:tab/>
        <w:t>2. Acciones afirmativas</w:t>
      </w:r>
      <w:r w:rsidRPr="00F32542">
        <w:rPr>
          <w:rFonts w:ascii="Arial" w:eastAsia="Calibri" w:hAnsi="Arial" w:cs="Arial"/>
          <w:sz w:val="23"/>
          <w:szCs w:val="23"/>
        </w:rPr>
        <w:t>_ _ _ _ _ _ _ _ _ _ _ _ _ _ _ _ _ _ _ _ _ _</w:t>
      </w:r>
      <w:r w:rsidR="00C95541" w:rsidRPr="00F32542">
        <w:rPr>
          <w:rFonts w:ascii="Arial" w:eastAsia="Calibri" w:hAnsi="Arial" w:cs="Arial"/>
          <w:sz w:val="23"/>
          <w:szCs w:val="23"/>
        </w:rPr>
        <w:t xml:space="preserve"> _126</w:t>
      </w:r>
    </w:p>
    <w:p w14:paraId="66DDF8FC" w14:textId="77777777" w:rsidR="00AB1738" w:rsidRPr="00F32542" w:rsidRDefault="00AB1738" w:rsidP="00AB1738">
      <w:pPr>
        <w:spacing w:after="0" w:line="240" w:lineRule="auto"/>
        <w:ind w:left="1418"/>
        <w:jc w:val="both"/>
        <w:rPr>
          <w:rFonts w:ascii="Arial" w:eastAsia="Calibri" w:hAnsi="Arial" w:cs="Arial"/>
          <w:sz w:val="23"/>
          <w:szCs w:val="23"/>
        </w:rPr>
      </w:pPr>
      <w:r w:rsidRPr="00F32542">
        <w:rPr>
          <w:rFonts w:ascii="Arial" w:eastAsia="Calibri" w:hAnsi="Arial" w:cs="Arial"/>
          <w:b/>
          <w:bCs/>
          <w:sz w:val="23"/>
          <w:szCs w:val="23"/>
        </w:rPr>
        <w:t>3. Acción afirmativa para personas indígenas prevista en la normativa local</w:t>
      </w:r>
      <w:r w:rsidRPr="00F32542">
        <w:rPr>
          <w:rFonts w:ascii="Arial" w:eastAsia="Calibri" w:hAnsi="Arial" w:cs="Arial"/>
          <w:sz w:val="23"/>
          <w:szCs w:val="23"/>
        </w:rPr>
        <w:t>_ _ _ _ _ _ _ _ _ _ _ _ _ _ _ _ _ _ _ _ _ _ _ _ _ _ _</w:t>
      </w:r>
      <w:r w:rsidR="00C95541" w:rsidRPr="00F32542">
        <w:rPr>
          <w:rFonts w:ascii="Arial" w:eastAsia="Calibri" w:hAnsi="Arial" w:cs="Arial"/>
          <w:sz w:val="23"/>
          <w:szCs w:val="23"/>
        </w:rPr>
        <w:t xml:space="preserve"> 129</w:t>
      </w:r>
    </w:p>
    <w:p w14:paraId="6CA5DC7F" w14:textId="77777777" w:rsidR="00AB1738" w:rsidRPr="00F32542" w:rsidRDefault="00AB1738" w:rsidP="00AB1738">
      <w:pPr>
        <w:spacing w:after="0" w:line="240" w:lineRule="auto"/>
        <w:ind w:left="1418"/>
        <w:jc w:val="both"/>
        <w:rPr>
          <w:rFonts w:ascii="Arial" w:eastAsia="Calibri" w:hAnsi="Arial" w:cs="Arial"/>
          <w:sz w:val="23"/>
          <w:szCs w:val="23"/>
        </w:rPr>
      </w:pPr>
      <w:r w:rsidRPr="00F32542">
        <w:rPr>
          <w:rFonts w:ascii="Arial" w:eastAsia="Calibri" w:hAnsi="Arial" w:cs="Arial"/>
          <w:b/>
          <w:bCs/>
          <w:sz w:val="23"/>
          <w:szCs w:val="23"/>
        </w:rPr>
        <w:t>4. Oportunidad para implementar una acción afirmativa</w:t>
      </w:r>
      <w:r w:rsidRPr="00F32542">
        <w:rPr>
          <w:rFonts w:ascii="Arial" w:eastAsia="Calibri" w:hAnsi="Arial" w:cs="Arial"/>
          <w:sz w:val="23"/>
          <w:szCs w:val="23"/>
        </w:rPr>
        <w:t xml:space="preserve">_ _ _ _ </w:t>
      </w:r>
      <w:r w:rsidR="00C95541" w:rsidRPr="00F32542">
        <w:rPr>
          <w:rFonts w:ascii="Arial" w:eastAsia="Calibri" w:hAnsi="Arial" w:cs="Arial"/>
          <w:sz w:val="23"/>
          <w:szCs w:val="23"/>
        </w:rPr>
        <w:t>134</w:t>
      </w:r>
    </w:p>
    <w:p w14:paraId="3208E521" w14:textId="77777777" w:rsidR="00AB1738" w:rsidRPr="00F32542" w:rsidRDefault="00AB1738" w:rsidP="00AB1738">
      <w:pPr>
        <w:spacing w:after="0" w:line="240" w:lineRule="auto"/>
        <w:ind w:left="1418"/>
        <w:jc w:val="both"/>
        <w:rPr>
          <w:rFonts w:ascii="Arial" w:eastAsia="Calibri" w:hAnsi="Arial" w:cs="Arial"/>
          <w:sz w:val="23"/>
          <w:szCs w:val="23"/>
        </w:rPr>
      </w:pPr>
      <w:r w:rsidRPr="00F32542">
        <w:rPr>
          <w:rFonts w:ascii="Arial" w:eastAsia="Calibri" w:hAnsi="Arial" w:cs="Arial"/>
          <w:b/>
          <w:bCs/>
          <w:sz w:val="23"/>
          <w:szCs w:val="23"/>
        </w:rPr>
        <w:t>5. Caso concreto</w:t>
      </w:r>
      <w:r w:rsidRPr="00F32542">
        <w:rPr>
          <w:rFonts w:ascii="Arial" w:eastAsia="Calibri" w:hAnsi="Arial" w:cs="Arial"/>
          <w:sz w:val="23"/>
          <w:szCs w:val="23"/>
        </w:rPr>
        <w:t>_ _ _ _ _ _ _ _ _ _ _ _ _ _ _ _ _ _ _ _ _ _ _ _ _ _</w:t>
      </w:r>
      <w:r w:rsidR="00C95541" w:rsidRPr="00F32542">
        <w:rPr>
          <w:rFonts w:ascii="Arial" w:eastAsia="Calibri" w:hAnsi="Arial" w:cs="Arial"/>
          <w:sz w:val="23"/>
          <w:szCs w:val="23"/>
        </w:rPr>
        <w:t xml:space="preserve"> 137</w:t>
      </w:r>
    </w:p>
    <w:p w14:paraId="1A4AF988" w14:textId="77777777" w:rsidR="00AB1738" w:rsidRPr="00F32542" w:rsidRDefault="00AB1738" w:rsidP="00AB1738">
      <w:pPr>
        <w:spacing w:after="0" w:line="240" w:lineRule="auto"/>
        <w:ind w:left="705"/>
        <w:jc w:val="both"/>
        <w:rPr>
          <w:rFonts w:ascii="Arial" w:eastAsia="Calibri" w:hAnsi="Arial" w:cs="Arial"/>
          <w:sz w:val="23"/>
          <w:szCs w:val="23"/>
        </w:rPr>
      </w:pPr>
      <w:r w:rsidRPr="00F32542">
        <w:rPr>
          <w:rFonts w:ascii="Arial" w:eastAsia="Calibri" w:hAnsi="Arial" w:cs="Arial"/>
          <w:b/>
          <w:bCs/>
          <w:sz w:val="23"/>
          <w:szCs w:val="23"/>
        </w:rPr>
        <w:t>VI. Otorgamiento de las curules asignadas a MORENA, a las candidaturas con mayor votación provenientes de la lista B</w:t>
      </w:r>
      <w:r w:rsidRPr="00F32542">
        <w:rPr>
          <w:rFonts w:ascii="Arial" w:eastAsia="Calibri" w:hAnsi="Arial" w:cs="Arial"/>
          <w:sz w:val="23"/>
          <w:szCs w:val="23"/>
        </w:rPr>
        <w:t>_ _ _ _ _</w:t>
      </w:r>
      <w:r w:rsidR="00C95541" w:rsidRPr="00F32542">
        <w:rPr>
          <w:rFonts w:ascii="Arial" w:eastAsia="Calibri" w:hAnsi="Arial" w:cs="Arial"/>
          <w:sz w:val="23"/>
          <w:szCs w:val="23"/>
        </w:rPr>
        <w:t xml:space="preserve"> _145</w:t>
      </w:r>
    </w:p>
    <w:p w14:paraId="4953A861" w14:textId="77777777" w:rsidR="00AB1738" w:rsidRPr="00F32542" w:rsidRDefault="00AB1738" w:rsidP="00AB1738">
      <w:pPr>
        <w:spacing w:after="0" w:line="240" w:lineRule="auto"/>
        <w:ind w:left="705"/>
        <w:jc w:val="both"/>
        <w:rPr>
          <w:rFonts w:ascii="Arial" w:eastAsia="Calibri" w:hAnsi="Arial" w:cs="Arial"/>
          <w:sz w:val="23"/>
          <w:szCs w:val="23"/>
        </w:rPr>
      </w:pPr>
      <w:r w:rsidRPr="00F32542">
        <w:rPr>
          <w:rFonts w:ascii="Arial" w:eastAsia="Calibri" w:hAnsi="Arial" w:cs="Arial"/>
          <w:b/>
          <w:bCs/>
          <w:sz w:val="23"/>
          <w:szCs w:val="23"/>
        </w:rPr>
        <w:tab/>
      </w:r>
      <w:r w:rsidRPr="00F32542">
        <w:rPr>
          <w:rFonts w:ascii="Arial" w:eastAsia="Calibri" w:hAnsi="Arial" w:cs="Arial"/>
          <w:b/>
          <w:bCs/>
          <w:sz w:val="23"/>
          <w:szCs w:val="23"/>
        </w:rPr>
        <w:tab/>
        <w:t>1. Marco jurídico</w:t>
      </w:r>
      <w:r w:rsidRPr="00F32542">
        <w:rPr>
          <w:rFonts w:ascii="Arial" w:eastAsia="Calibri" w:hAnsi="Arial" w:cs="Arial"/>
          <w:sz w:val="23"/>
          <w:szCs w:val="23"/>
        </w:rPr>
        <w:t>_ _ _ _ _ _ _ _ _ _ _ _ _ _ _ _ _ _ _ _ _ _ _ _ _ _ _</w:t>
      </w:r>
      <w:r w:rsidR="00C95541" w:rsidRPr="00F32542">
        <w:rPr>
          <w:rFonts w:ascii="Arial" w:eastAsia="Calibri" w:hAnsi="Arial" w:cs="Arial"/>
          <w:sz w:val="23"/>
          <w:szCs w:val="23"/>
        </w:rPr>
        <w:t>147</w:t>
      </w:r>
    </w:p>
    <w:p w14:paraId="296F6024" w14:textId="77777777" w:rsidR="00AB1738" w:rsidRPr="00F32542" w:rsidRDefault="00AB1738" w:rsidP="00AB1738">
      <w:pPr>
        <w:spacing w:after="0" w:line="240" w:lineRule="auto"/>
        <w:ind w:left="705"/>
        <w:jc w:val="both"/>
        <w:rPr>
          <w:rFonts w:ascii="Arial" w:eastAsia="Calibri" w:hAnsi="Arial" w:cs="Arial"/>
          <w:sz w:val="23"/>
          <w:szCs w:val="23"/>
        </w:rPr>
      </w:pPr>
      <w:r w:rsidRPr="00F32542">
        <w:rPr>
          <w:rFonts w:ascii="Arial" w:eastAsia="Calibri" w:hAnsi="Arial" w:cs="Arial"/>
          <w:sz w:val="23"/>
          <w:szCs w:val="23"/>
        </w:rPr>
        <w:tab/>
      </w:r>
      <w:r w:rsidRPr="00F32542">
        <w:rPr>
          <w:rFonts w:ascii="Arial" w:eastAsia="Calibri" w:hAnsi="Arial" w:cs="Arial"/>
          <w:sz w:val="23"/>
          <w:szCs w:val="23"/>
        </w:rPr>
        <w:tab/>
      </w:r>
      <w:r w:rsidRPr="00F32542">
        <w:rPr>
          <w:rFonts w:ascii="Arial" w:eastAsia="Calibri" w:hAnsi="Arial" w:cs="Arial"/>
          <w:b/>
          <w:bCs/>
          <w:sz w:val="23"/>
          <w:szCs w:val="23"/>
        </w:rPr>
        <w:t>2. Caso concreto</w:t>
      </w:r>
      <w:r w:rsidRPr="00F32542">
        <w:rPr>
          <w:rFonts w:ascii="Arial" w:eastAsia="Calibri" w:hAnsi="Arial" w:cs="Arial"/>
          <w:sz w:val="23"/>
          <w:szCs w:val="23"/>
        </w:rPr>
        <w:t xml:space="preserve">_ _ _ _ _ _ _ _ _ _ _ _ _ _ _ _ _ _ _ _ _ _ _ _ _ _ </w:t>
      </w:r>
      <w:r w:rsidR="00C95541" w:rsidRPr="00F32542">
        <w:rPr>
          <w:rFonts w:ascii="Arial" w:eastAsia="Calibri" w:hAnsi="Arial" w:cs="Arial"/>
          <w:sz w:val="23"/>
          <w:szCs w:val="23"/>
        </w:rPr>
        <w:t>156</w:t>
      </w:r>
    </w:p>
    <w:p w14:paraId="30C802D2" w14:textId="77777777" w:rsidR="00AB1738" w:rsidRPr="00F32542" w:rsidRDefault="00AB1738" w:rsidP="00AB1738">
      <w:pPr>
        <w:spacing w:after="0" w:line="240" w:lineRule="auto"/>
        <w:ind w:left="705"/>
        <w:jc w:val="both"/>
        <w:rPr>
          <w:rFonts w:ascii="Arial" w:eastAsia="Calibri" w:hAnsi="Arial" w:cs="Arial"/>
          <w:sz w:val="23"/>
          <w:szCs w:val="23"/>
        </w:rPr>
      </w:pPr>
      <w:r w:rsidRPr="00F32542">
        <w:rPr>
          <w:rFonts w:ascii="Arial" w:eastAsia="Calibri" w:hAnsi="Arial" w:cs="Arial"/>
          <w:b/>
          <w:bCs/>
          <w:sz w:val="23"/>
          <w:szCs w:val="23"/>
        </w:rPr>
        <w:t>VII. Sustitución de candidaturas de la lista A por candidaturas de la lista B</w:t>
      </w:r>
      <w:r w:rsidRPr="00F32542">
        <w:rPr>
          <w:rFonts w:ascii="Arial" w:eastAsia="Calibri" w:hAnsi="Arial" w:cs="Arial"/>
          <w:sz w:val="23"/>
          <w:szCs w:val="23"/>
        </w:rPr>
        <w:t>_ _ _ _ _ _ _ _ _ _ _ _ _ _ _ _ _ _ _ _ _ _ _ _ _ _ _ _ _ _ _ _ _ _ _ _ _ _ _</w:t>
      </w:r>
      <w:r w:rsidR="00C95541" w:rsidRPr="00F32542">
        <w:rPr>
          <w:rFonts w:ascii="Arial" w:eastAsia="Calibri" w:hAnsi="Arial" w:cs="Arial"/>
          <w:sz w:val="23"/>
          <w:szCs w:val="23"/>
        </w:rPr>
        <w:t>170</w:t>
      </w:r>
    </w:p>
    <w:p w14:paraId="0420FF8B" w14:textId="77777777" w:rsidR="00AB1738" w:rsidRPr="00F32542" w:rsidRDefault="00AB1738" w:rsidP="00AB1738">
      <w:pPr>
        <w:spacing w:after="0" w:line="240" w:lineRule="auto"/>
        <w:ind w:left="705"/>
        <w:jc w:val="both"/>
        <w:rPr>
          <w:rFonts w:ascii="Arial" w:eastAsia="Calibri" w:hAnsi="Arial" w:cs="Arial"/>
          <w:sz w:val="23"/>
          <w:szCs w:val="23"/>
        </w:rPr>
      </w:pPr>
      <w:r w:rsidRPr="00F32542">
        <w:rPr>
          <w:rFonts w:ascii="Arial" w:eastAsia="Calibri" w:hAnsi="Arial" w:cs="Arial"/>
          <w:b/>
          <w:bCs/>
          <w:sz w:val="23"/>
          <w:szCs w:val="23"/>
        </w:rPr>
        <w:t>VIII. Integración de bloques de un mismo género</w:t>
      </w:r>
      <w:r w:rsidRPr="00F32542">
        <w:rPr>
          <w:rFonts w:ascii="Arial" w:eastAsia="Calibri" w:hAnsi="Arial" w:cs="Arial"/>
          <w:sz w:val="23"/>
          <w:szCs w:val="23"/>
        </w:rPr>
        <w:t>_ _ _ _ _ _ _ _ _ _ _ _</w:t>
      </w:r>
      <w:r w:rsidR="00C95541" w:rsidRPr="00F32542">
        <w:rPr>
          <w:rFonts w:ascii="Arial" w:eastAsia="Calibri" w:hAnsi="Arial" w:cs="Arial"/>
          <w:sz w:val="23"/>
          <w:szCs w:val="23"/>
        </w:rPr>
        <w:t xml:space="preserve"> 182</w:t>
      </w:r>
    </w:p>
    <w:p w14:paraId="00F83564" w14:textId="77777777" w:rsidR="00AB1738" w:rsidRPr="00F32542" w:rsidRDefault="00AB1738" w:rsidP="00AB1738">
      <w:pPr>
        <w:spacing w:after="0" w:line="240" w:lineRule="auto"/>
        <w:ind w:left="1418" w:firstLine="7"/>
        <w:jc w:val="both"/>
        <w:rPr>
          <w:rFonts w:ascii="Arial" w:eastAsia="Calibri" w:hAnsi="Arial" w:cs="Arial"/>
          <w:sz w:val="23"/>
          <w:szCs w:val="23"/>
        </w:rPr>
      </w:pPr>
      <w:r w:rsidRPr="00F32542">
        <w:rPr>
          <w:rFonts w:ascii="Arial" w:eastAsia="Calibri" w:hAnsi="Arial" w:cs="Arial"/>
          <w:b/>
          <w:bCs/>
          <w:sz w:val="23"/>
          <w:szCs w:val="23"/>
        </w:rPr>
        <w:t xml:space="preserve">1. Inconstitucionalidad de los </w:t>
      </w:r>
      <w:r w:rsidRPr="00F32542">
        <w:rPr>
          <w:rFonts w:ascii="Arial" w:eastAsia="Calibri" w:hAnsi="Arial" w:cs="Arial"/>
          <w:b/>
          <w:bCs/>
          <w:i/>
          <w:iCs/>
          <w:sz w:val="23"/>
          <w:szCs w:val="23"/>
        </w:rPr>
        <w:t>Lineamientos</w:t>
      </w:r>
      <w:r w:rsidRPr="00F32542">
        <w:rPr>
          <w:rFonts w:ascii="Arial" w:eastAsia="Calibri" w:hAnsi="Arial" w:cs="Arial"/>
          <w:b/>
          <w:bCs/>
          <w:sz w:val="23"/>
          <w:szCs w:val="23"/>
        </w:rPr>
        <w:t xml:space="preserve"> por constituir modificaciones trascendentales</w:t>
      </w:r>
      <w:r w:rsidRPr="00F32542">
        <w:rPr>
          <w:rFonts w:ascii="Arial" w:eastAsia="Calibri" w:hAnsi="Arial" w:cs="Arial"/>
          <w:sz w:val="23"/>
          <w:szCs w:val="23"/>
        </w:rPr>
        <w:t>_ _ _ _ _ _ _ _ _ _ _ _ _ _ _ _ _ _</w:t>
      </w:r>
      <w:r w:rsidR="00C95541" w:rsidRPr="00F32542">
        <w:rPr>
          <w:rFonts w:ascii="Arial" w:eastAsia="Calibri" w:hAnsi="Arial" w:cs="Arial"/>
          <w:sz w:val="23"/>
          <w:szCs w:val="23"/>
        </w:rPr>
        <w:t>184</w:t>
      </w:r>
    </w:p>
    <w:p w14:paraId="4D24F227" w14:textId="77777777" w:rsidR="00AB1738" w:rsidRPr="00F32542" w:rsidRDefault="00AB1738" w:rsidP="00AB1738">
      <w:pPr>
        <w:spacing w:after="0" w:line="240" w:lineRule="auto"/>
        <w:ind w:left="1418" w:firstLine="7"/>
        <w:jc w:val="both"/>
        <w:rPr>
          <w:rFonts w:ascii="Arial" w:eastAsia="Calibri" w:hAnsi="Arial" w:cs="Arial"/>
          <w:sz w:val="23"/>
          <w:szCs w:val="23"/>
        </w:rPr>
      </w:pPr>
      <w:r w:rsidRPr="00F32542">
        <w:rPr>
          <w:rFonts w:ascii="Arial" w:eastAsia="Calibri" w:hAnsi="Arial" w:cs="Arial"/>
          <w:b/>
          <w:bCs/>
          <w:sz w:val="23"/>
          <w:szCs w:val="23"/>
        </w:rPr>
        <w:t>2. Inconstitucionalidad de normas por permitir bloques de un mismo género</w:t>
      </w:r>
      <w:r w:rsidRPr="00F32542">
        <w:rPr>
          <w:rFonts w:ascii="Arial" w:eastAsia="Calibri" w:hAnsi="Arial" w:cs="Arial"/>
          <w:sz w:val="23"/>
          <w:szCs w:val="23"/>
        </w:rPr>
        <w:t>_ _ _ _ _ _ _ _ _ _ _ _ _ _ _ _ _ _ _ _ _ _ _ _ _ _ _ _</w:t>
      </w:r>
      <w:r w:rsidR="00C95541" w:rsidRPr="00F32542">
        <w:rPr>
          <w:rFonts w:ascii="Arial" w:eastAsia="Calibri" w:hAnsi="Arial" w:cs="Arial"/>
          <w:sz w:val="23"/>
          <w:szCs w:val="23"/>
        </w:rPr>
        <w:t>191</w:t>
      </w:r>
    </w:p>
    <w:p w14:paraId="1D6A9E2F" w14:textId="77777777" w:rsidR="00AB1738" w:rsidRPr="00F32542" w:rsidRDefault="00AB1738" w:rsidP="00AB1738">
      <w:pPr>
        <w:spacing w:after="0" w:line="240" w:lineRule="auto"/>
        <w:ind w:left="1418" w:firstLine="7"/>
        <w:jc w:val="both"/>
        <w:rPr>
          <w:rFonts w:ascii="Arial" w:eastAsia="Calibri" w:hAnsi="Arial" w:cs="Arial"/>
          <w:sz w:val="23"/>
          <w:szCs w:val="23"/>
        </w:rPr>
      </w:pPr>
      <w:r w:rsidRPr="00F32542">
        <w:rPr>
          <w:rFonts w:ascii="Arial" w:eastAsia="Calibri" w:hAnsi="Arial" w:cs="Arial"/>
          <w:b/>
          <w:bCs/>
          <w:sz w:val="23"/>
          <w:szCs w:val="23"/>
        </w:rPr>
        <w:t>3. Integración del bloque en el PRD</w:t>
      </w:r>
      <w:r w:rsidRPr="00F32542">
        <w:rPr>
          <w:rFonts w:ascii="Arial" w:eastAsia="Calibri" w:hAnsi="Arial" w:cs="Arial"/>
          <w:sz w:val="23"/>
          <w:szCs w:val="23"/>
        </w:rPr>
        <w:t>_ _ _ _ _ _ _ _ _ _ _ _ _ _ _ _</w:t>
      </w:r>
      <w:r w:rsidR="00C95541" w:rsidRPr="00F32542">
        <w:rPr>
          <w:rFonts w:ascii="Arial" w:eastAsia="Calibri" w:hAnsi="Arial" w:cs="Arial"/>
          <w:sz w:val="23"/>
          <w:szCs w:val="23"/>
        </w:rPr>
        <w:t>200</w:t>
      </w:r>
    </w:p>
    <w:p w14:paraId="1E43321D"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b/>
          <w:bCs/>
          <w:sz w:val="23"/>
          <w:szCs w:val="23"/>
        </w:rPr>
        <w:tab/>
        <w:t>IX. Asignación única para una fórmula femenina</w:t>
      </w:r>
      <w:r w:rsidRPr="00F32542">
        <w:rPr>
          <w:rFonts w:ascii="Arial" w:eastAsia="Calibri" w:hAnsi="Arial" w:cs="Arial"/>
          <w:sz w:val="23"/>
          <w:szCs w:val="23"/>
        </w:rPr>
        <w:t>_ _ _ _ _ _ _ _ _ _ _ _</w:t>
      </w:r>
      <w:r w:rsidR="001539E6" w:rsidRPr="00F32542">
        <w:rPr>
          <w:rFonts w:ascii="Arial" w:eastAsia="Calibri" w:hAnsi="Arial" w:cs="Arial"/>
          <w:sz w:val="23"/>
          <w:szCs w:val="23"/>
        </w:rPr>
        <w:t xml:space="preserve"> </w:t>
      </w:r>
      <w:r w:rsidR="00C95541" w:rsidRPr="00F32542">
        <w:rPr>
          <w:rFonts w:ascii="Arial" w:eastAsia="Calibri" w:hAnsi="Arial" w:cs="Arial"/>
          <w:sz w:val="23"/>
          <w:szCs w:val="23"/>
        </w:rPr>
        <w:t>208</w:t>
      </w:r>
    </w:p>
    <w:p w14:paraId="12E64F7D"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sz w:val="23"/>
          <w:szCs w:val="23"/>
        </w:rPr>
        <w:tab/>
      </w:r>
      <w:r w:rsidRPr="00F32542">
        <w:rPr>
          <w:rFonts w:ascii="Arial" w:eastAsia="Calibri" w:hAnsi="Arial" w:cs="Arial"/>
          <w:b/>
          <w:bCs/>
          <w:sz w:val="23"/>
          <w:szCs w:val="23"/>
        </w:rPr>
        <w:t>X. Votación para integrar la lista B</w:t>
      </w:r>
      <w:r w:rsidRPr="00F32542">
        <w:rPr>
          <w:rFonts w:ascii="Arial" w:eastAsia="Calibri" w:hAnsi="Arial" w:cs="Arial"/>
          <w:sz w:val="23"/>
          <w:szCs w:val="23"/>
        </w:rPr>
        <w:t>_ _ _ _ _ _ _ _ _ _ __ _ _ _ _ _ _ _ _ _</w:t>
      </w:r>
      <w:r w:rsidR="001539E6" w:rsidRPr="00F32542">
        <w:rPr>
          <w:rFonts w:ascii="Arial" w:eastAsia="Calibri" w:hAnsi="Arial" w:cs="Arial"/>
          <w:sz w:val="23"/>
          <w:szCs w:val="23"/>
        </w:rPr>
        <w:t>218</w:t>
      </w:r>
    </w:p>
    <w:p w14:paraId="288436CB"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sz w:val="23"/>
          <w:szCs w:val="23"/>
        </w:rPr>
        <w:tab/>
      </w:r>
      <w:r w:rsidRPr="00F32542">
        <w:rPr>
          <w:rFonts w:ascii="Arial" w:eastAsia="Calibri" w:hAnsi="Arial" w:cs="Arial"/>
          <w:b/>
          <w:bCs/>
          <w:sz w:val="23"/>
          <w:szCs w:val="23"/>
        </w:rPr>
        <w:t>XI. Integración de la lista B con personas mejor votadas</w:t>
      </w:r>
      <w:r w:rsidRPr="00F32542">
        <w:rPr>
          <w:rFonts w:ascii="Arial" w:eastAsia="Calibri" w:hAnsi="Arial" w:cs="Arial"/>
          <w:sz w:val="23"/>
          <w:szCs w:val="23"/>
        </w:rPr>
        <w:t>_ __ _ _ _ _ _</w:t>
      </w:r>
      <w:r w:rsidR="007F784E" w:rsidRPr="00F32542">
        <w:rPr>
          <w:rFonts w:ascii="Arial" w:eastAsia="Calibri" w:hAnsi="Arial" w:cs="Arial"/>
          <w:sz w:val="23"/>
          <w:szCs w:val="23"/>
        </w:rPr>
        <w:t xml:space="preserve"> 225</w:t>
      </w:r>
    </w:p>
    <w:p w14:paraId="7336CF0D" w14:textId="77777777" w:rsidR="00AB1738" w:rsidRPr="00F32542" w:rsidRDefault="00AB1738" w:rsidP="00AB1738">
      <w:pPr>
        <w:spacing w:after="0" w:line="240" w:lineRule="auto"/>
        <w:ind w:firstLine="720"/>
        <w:jc w:val="both"/>
        <w:rPr>
          <w:rFonts w:ascii="Arial" w:eastAsia="Calibri" w:hAnsi="Arial" w:cs="Arial"/>
          <w:b/>
          <w:bCs/>
          <w:sz w:val="23"/>
          <w:szCs w:val="23"/>
        </w:rPr>
      </w:pPr>
      <w:r w:rsidRPr="00F32542">
        <w:rPr>
          <w:rFonts w:ascii="Arial" w:eastAsia="Calibri" w:hAnsi="Arial" w:cs="Arial"/>
          <w:b/>
          <w:bCs/>
          <w:sz w:val="23"/>
          <w:szCs w:val="23"/>
        </w:rPr>
        <w:t xml:space="preserve">XII. Indebida integración de la lista B por considerar votación </w:t>
      </w:r>
    </w:p>
    <w:p w14:paraId="18B2269A" w14:textId="77777777" w:rsidR="00AB1738" w:rsidRPr="00F32542" w:rsidRDefault="00AB1738" w:rsidP="00AB1738">
      <w:pPr>
        <w:spacing w:after="0" w:line="240" w:lineRule="auto"/>
        <w:ind w:firstLine="720"/>
        <w:jc w:val="both"/>
        <w:rPr>
          <w:rFonts w:ascii="Arial" w:eastAsia="Calibri" w:hAnsi="Arial" w:cs="Arial"/>
          <w:b/>
          <w:bCs/>
          <w:sz w:val="23"/>
          <w:szCs w:val="23"/>
        </w:rPr>
      </w:pPr>
      <w:r w:rsidRPr="00F32542">
        <w:rPr>
          <w:rFonts w:ascii="Arial" w:eastAsia="Calibri" w:hAnsi="Arial" w:cs="Arial"/>
          <w:b/>
          <w:bCs/>
          <w:sz w:val="23"/>
          <w:szCs w:val="23"/>
        </w:rPr>
        <w:t>de coaliciones</w:t>
      </w:r>
      <w:r w:rsidRPr="00F32542">
        <w:rPr>
          <w:rFonts w:ascii="Arial" w:eastAsia="Calibri" w:hAnsi="Arial" w:cs="Arial"/>
          <w:sz w:val="23"/>
          <w:szCs w:val="23"/>
        </w:rPr>
        <w:t>_ _ _ _ _ _ _ _ _ _ _ _ _ _ _ _ _ _ _ _ _ _ _ _ _ _ _ _ _ _ _</w:t>
      </w:r>
      <w:r w:rsidR="007F784E" w:rsidRPr="00F32542">
        <w:rPr>
          <w:rFonts w:ascii="Arial" w:eastAsia="Calibri" w:hAnsi="Arial" w:cs="Arial"/>
          <w:sz w:val="23"/>
          <w:szCs w:val="23"/>
        </w:rPr>
        <w:t xml:space="preserve"> 231</w:t>
      </w:r>
    </w:p>
    <w:p w14:paraId="057FA59C"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b/>
          <w:bCs/>
          <w:sz w:val="23"/>
          <w:szCs w:val="23"/>
        </w:rPr>
        <w:lastRenderedPageBreak/>
        <w:t>XIII. Supuesto desconocimiento de la forma cómo se integró la lista B</w:t>
      </w:r>
      <w:r w:rsidRPr="00F32542">
        <w:rPr>
          <w:rFonts w:ascii="Arial" w:eastAsia="Calibri" w:hAnsi="Arial" w:cs="Arial"/>
          <w:sz w:val="23"/>
          <w:szCs w:val="23"/>
        </w:rPr>
        <w:t xml:space="preserve">__ _ _ </w:t>
      </w:r>
      <w:r w:rsidR="00DD5C03" w:rsidRPr="00F32542">
        <w:rPr>
          <w:rFonts w:ascii="Arial" w:eastAsia="Calibri" w:hAnsi="Arial" w:cs="Arial"/>
          <w:sz w:val="23"/>
          <w:szCs w:val="23"/>
        </w:rPr>
        <w:t>236</w:t>
      </w:r>
    </w:p>
    <w:p w14:paraId="0D0105FA"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b/>
          <w:bCs/>
          <w:sz w:val="23"/>
          <w:szCs w:val="23"/>
        </w:rPr>
        <w:t>XIV. Recomposición del cómputo total de la elección de diputaciones por el principio de representación proporcional</w:t>
      </w:r>
      <w:r w:rsidRPr="00F32542">
        <w:rPr>
          <w:rFonts w:ascii="Arial" w:eastAsia="Calibri" w:hAnsi="Arial" w:cs="Arial"/>
          <w:sz w:val="23"/>
          <w:szCs w:val="23"/>
        </w:rPr>
        <w:t xml:space="preserve">_ _ _ _ _ _ _ _ _ _ _ _ _ _ _ __ _ _ _ </w:t>
      </w:r>
      <w:r w:rsidR="00DD5C03" w:rsidRPr="00F32542">
        <w:rPr>
          <w:rFonts w:ascii="Arial" w:eastAsia="Calibri" w:hAnsi="Arial" w:cs="Arial"/>
          <w:sz w:val="23"/>
          <w:szCs w:val="23"/>
        </w:rPr>
        <w:t>245</w:t>
      </w:r>
    </w:p>
    <w:p w14:paraId="7B4EF30D"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b/>
          <w:bCs/>
          <w:sz w:val="23"/>
          <w:szCs w:val="23"/>
        </w:rPr>
        <w:t>XV. Desarrollo de la fórmula de asignación de diputaciones por el principio de representación proporcional</w:t>
      </w:r>
      <w:r w:rsidRPr="00F32542">
        <w:rPr>
          <w:rFonts w:ascii="Arial" w:eastAsia="Calibri" w:hAnsi="Arial" w:cs="Arial"/>
          <w:sz w:val="23"/>
          <w:szCs w:val="23"/>
        </w:rPr>
        <w:t>_ _ _ _ _ _ _ _ _ _ _ _ _ _ _ _ _ _ _ _ _ _ _ _ _ _ _</w:t>
      </w:r>
      <w:r w:rsidR="00DD5C03" w:rsidRPr="00F32542">
        <w:rPr>
          <w:rFonts w:ascii="Arial" w:eastAsia="Calibri" w:hAnsi="Arial" w:cs="Arial"/>
          <w:sz w:val="23"/>
          <w:szCs w:val="23"/>
        </w:rPr>
        <w:t xml:space="preserve"> 252</w:t>
      </w:r>
    </w:p>
    <w:p w14:paraId="1ECF3282"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b/>
          <w:bCs/>
          <w:sz w:val="23"/>
          <w:szCs w:val="23"/>
        </w:rPr>
        <w:t xml:space="preserve">XVI. Verificación del principio de paridad de género en la integración total del </w:t>
      </w:r>
      <w:r w:rsidRPr="00F32542">
        <w:rPr>
          <w:rFonts w:ascii="Arial" w:eastAsia="Calibri" w:hAnsi="Arial" w:cs="Arial"/>
          <w:b/>
          <w:bCs/>
          <w:i/>
          <w:iCs/>
          <w:sz w:val="23"/>
          <w:szCs w:val="23"/>
        </w:rPr>
        <w:t>Congreso</w:t>
      </w:r>
      <w:r w:rsidRPr="00F32542">
        <w:rPr>
          <w:rFonts w:ascii="Arial" w:eastAsia="Calibri" w:hAnsi="Arial" w:cs="Arial"/>
          <w:sz w:val="23"/>
          <w:szCs w:val="23"/>
        </w:rPr>
        <w:t>_ _ _ _ _ _ _ _ _ _ _ _ _ _ _ _ _ _ _ _ _ _ _ _ _ _ _ _ _ _ _ _ _ _ _ _ _ _</w:t>
      </w:r>
      <w:r w:rsidR="000B00BB" w:rsidRPr="00F32542">
        <w:rPr>
          <w:rFonts w:ascii="Arial" w:eastAsia="Calibri" w:hAnsi="Arial" w:cs="Arial"/>
          <w:sz w:val="23"/>
          <w:szCs w:val="23"/>
        </w:rPr>
        <w:t>259</w:t>
      </w:r>
    </w:p>
    <w:p w14:paraId="0DD17793"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b/>
          <w:bCs/>
          <w:sz w:val="23"/>
          <w:szCs w:val="23"/>
        </w:rPr>
        <w:t>XVII. Sobre y subrepresentación</w:t>
      </w:r>
      <w:r w:rsidRPr="00F32542">
        <w:rPr>
          <w:rFonts w:ascii="Arial" w:eastAsia="Calibri" w:hAnsi="Arial" w:cs="Arial"/>
          <w:sz w:val="23"/>
          <w:szCs w:val="23"/>
        </w:rPr>
        <w:t xml:space="preserve">_ _ _ _ _ _ __ _ _ _ _ _ _ _ _ _ _ _ _ _ _ _ _ _ </w:t>
      </w:r>
      <w:r w:rsidR="000B00BB" w:rsidRPr="00F32542">
        <w:rPr>
          <w:rFonts w:ascii="Arial" w:eastAsia="Calibri" w:hAnsi="Arial" w:cs="Arial"/>
          <w:sz w:val="23"/>
          <w:szCs w:val="23"/>
        </w:rPr>
        <w:t>272</w:t>
      </w:r>
    </w:p>
    <w:p w14:paraId="37E50DC8"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sz w:val="23"/>
          <w:szCs w:val="23"/>
        </w:rPr>
        <w:tab/>
      </w:r>
      <w:r w:rsidRPr="00F32542">
        <w:rPr>
          <w:rFonts w:ascii="Arial" w:eastAsia="Calibri" w:hAnsi="Arial" w:cs="Arial"/>
          <w:b/>
          <w:bCs/>
          <w:sz w:val="23"/>
          <w:szCs w:val="23"/>
        </w:rPr>
        <w:t>1. Parámetro legal para verificar sobrerrepresentación</w:t>
      </w:r>
      <w:r w:rsidRPr="00F32542">
        <w:rPr>
          <w:rFonts w:ascii="Arial" w:eastAsia="Calibri" w:hAnsi="Arial" w:cs="Arial"/>
          <w:sz w:val="23"/>
          <w:szCs w:val="23"/>
        </w:rPr>
        <w:t>_ _ _ _ _ _ _ _ _</w:t>
      </w:r>
      <w:r w:rsidR="000B00BB" w:rsidRPr="00F32542">
        <w:rPr>
          <w:rFonts w:ascii="Arial" w:eastAsia="Calibri" w:hAnsi="Arial" w:cs="Arial"/>
          <w:sz w:val="23"/>
          <w:szCs w:val="23"/>
        </w:rPr>
        <w:t>272</w:t>
      </w:r>
    </w:p>
    <w:p w14:paraId="694E8127"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b/>
          <w:bCs/>
          <w:sz w:val="23"/>
          <w:szCs w:val="23"/>
        </w:rPr>
        <w:tab/>
        <w:t>2. Subrepresentación por partido político</w:t>
      </w:r>
      <w:r w:rsidRPr="00F32542">
        <w:rPr>
          <w:rFonts w:ascii="Arial" w:eastAsia="Calibri" w:hAnsi="Arial" w:cs="Arial"/>
          <w:sz w:val="23"/>
          <w:szCs w:val="23"/>
        </w:rPr>
        <w:t>_ _ _ _ _ _ _ _ _ __ _ _ _ _ _ _</w:t>
      </w:r>
      <w:r w:rsidR="000B00BB" w:rsidRPr="00F32542">
        <w:rPr>
          <w:rFonts w:ascii="Arial" w:eastAsia="Calibri" w:hAnsi="Arial" w:cs="Arial"/>
          <w:sz w:val="23"/>
          <w:szCs w:val="23"/>
        </w:rPr>
        <w:t>277</w:t>
      </w:r>
    </w:p>
    <w:p w14:paraId="03BDAAA9"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sz w:val="23"/>
          <w:szCs w:val="23"/>
        </w:rPr>
        <w:tab/>
      </w:r>
      <w:r w:rsidRPr="00F32542">
        <w:rPr>
          <w:rFonts w:ascii="Arial" w:eastAsia="Calibri" w:hAnsi="Arial" w:cs="Arial"/>
          <w:b/>
          <w:bCs/>
          <w:sz w:val="23"/>
          <w:szCs w:val="23"/>
        </w:rPr>
        <w:t>3. Sobrerrepresentación y subrepresentación por género</w:t>
      </w:r>
      <w:r w:rsidRPr="00F32542">
        <w:rPr>
          <w:rFonts w:ascii="Arial" w:eastAsia="Calibri" w:hAnsi="Arial" w:cs="Arial"/>
          <w:sz w:val="23"/>
          <w:szCs w:val="23"/>
        </w:rPr>
        <w:t>_ _ _ _ _ _ _</w:t>
      </w:r>
      <w:r w:rsidR="000B00BB" w:rsidRPr="00F32542">
        <w:rPr>
          <w:rFonts w:ascii="Arial" w:eastAsia="Calibri" w:hAnsi="Arial" w:cs="Arial"/>
          <w:sz w:val="23"/>
          <w:szCs w:val="23"/>
        </w:rPr>
        <w:t xml:space="preserve"> 285</w:t>
      </w:r>
    </w:p>
    <w:p w14:paraId="1E48C1AE"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b/>
          <w:bCs/>
          <w:sz w:val="23"/>
          <w:szCs w:val="23"/>
        </w:rPr>
        <w:t>XVIII. Violencia política y violencia política</w:t>
      </w:r>
      <w:r w:rsidR="00E84D46" w:rsidRPr="00F32542">
        <w:rPr>
          <w:rFonts w:ascii="Arial" w:eastAsia="Calibri" w:hAnsi="Arial" w:cs="Arial"/>
          <w:b/>
          <w:bCs/>
          <w:sz w:val="23"/>
          <w:szCs w:val="23"/>
        </w:rPr>
        <w:t xml:space="preserve"> contra las mujeres </w:t>
      </w:r>
      <w:proofErr w:type="gramStart"/>
      <w:r w:rsidR="00E84D46" w:rsidRPr="00F32542">
        <w:rPr>
          <w:rFonts w:ascii="Arial" w:eastAsia="Calibri" w:hAnsi="Arial" w:cs="Arial"/>
          <w:b/>
          <w:bCs/>
          <w:sz w:val="23"/>
          <w:szCs w:val="23"/>
        </w:rPr>
        <w:t>en razón</w:t>
      </w:r>
      <w:r w:rsidRPr="00F32542">
        <w:rPr>
          <w:rFonts w:ascii="Arial" w:eastAsia="Calibri" w:hAnsi="Arial" w:cs="Arial"/>
          <w:b/>
          <w:bCs/>
          <w:sz w:val="23"/>
          <w:szCs w:val="23"/>
        </w:rPr>
        <w:t xml:space="preserve"> de</w:t>
      </w:r>
      <w:proofErr w:type="gramEnd"/>
      <w:r w:rsidRPr="00F32542">
        <w:rPr>
          <w:rFonts w:ascii="Arial" w:eastAsia="Calibri" w:hAnsi="Arial" w:cs="Arial"/>
          <w:b/>
          <w:bCs/>
          <w:sz w:val="23"/>
          <w:szCs w:val="23"/>
        </w:rPr>
        <w:t xml:space="preserve"> género</w:t>
      </w:r>
      <w:r w:rsidRPr="00F32542">
        <w:rPr>
          <w:rFonts w:ascii="Arial" w:eastAsia="Calibri" w:hAnsi="Arial" w:cs="Arial"/>
          <w:sz w:val="23"/>
          <w:szCs w:val="23"/>
        </w:rPr>
        <w:t>_ _ _ _ _ _ _ _ _ _</w:t>
      </w:r>
      <w:r w:rsidR="00940E9C" w:rsidRPr="00F32542">
        <w:rPr>
          <w:rFonts w:ascii="Arial" w:eastAsia="Calibri" w:hAnsi="Arial" w:cs="Arial"/>
          <w:sz w:val="23"/>
          <w:szCs w:val="23"/>
        </w:rPr>
        <w:t xml:space="preserve"> </w:t>
      </w:r>
      <w:r w:rsidR="00E84D46" w:rsidRPr="00F32542">
        <w:rPr>
          <w:rFonts w:ascii="Arial" w:eastAsia="Calibri" w:hAnsi="Arial" w:cs="Arial"/>
          <w:sz w:val="23"/>
          <w:szCs w:val="23"/>
        </w:rPr>
        <w:t>_ _ _ _ _ _ _ __ _ _ _ _ _ _ _ _ _ _ _ _ _ _ _ _</w:t>
      </w:r>
      <w:r w:rsidRPr="00F32542">
        <w:rPr>
          <w:rFonts w:ascii="Arial" w:eastAsia="Calibri" w:hAnsi="Arial" w:cs="Arial"/>
          <w:sz w:val="23"/>
          <w:szCs w:val="23"/>
        </w:rPr>
        <w:t xml:space="preserve"> _ _</w:t>
      </w:r>
      <w:r w:rsidR="00940E9C" w:rsidRPr="00F32542">
        <w:rPr>
          <w:rFonts w:ascii="Arial" w:eastAsia="Calibri" w:hAnsi="Arial" w:cs="Arial"/>
          <w:sz w:val="23"/>
          <w:szCs w:val="23"/>
        </w:rPr>
        <w:t xml:space="preserve"> _ _ _</w:t>
      </w:r>
      <w:r w:rsidR="000B00BB" w:rsidRPr="00F32542">
        <w:rPr>
          <w:rFonts w:ascii="Arial" w:eastAsia="Calibri" w:hAnsi="Arial" w:cs="Arial"/>
          <w:sz w:val="23"/>
          <w:szCs w:val="23"/>
        </w:rPr>
        <w:t>297</w:t>
      </w:r>
    </w:p>
    <w:p w14:paraId="683AF119"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b/>
          <w:bCs/>
          <w:sz w:val="23"/>
          <w:szCs w:val="23"/>
        </w:rPr>
        <w:t>XIX. Omisión legislativa</w:t>
      </w:r>
      <w:r w:rsidRPr="00F32542">
        <w:rPr>
          <w:rFonts w:ascii="Arial" w:eastAsia="Calibri" w:hAnsi="Arial" w:cs="Arial"/>
          <w:sz w:val="23"/>
          <w:szCs w:val="23"/>
        </w:rPr>
        <w:t>_ _ _ _ _ _ _ _ _ _ _ _ _ _ _ _ _ _ _ _ _ _ _ _ _ _ _ _ _ _</w:t>
      </w:r>
      <w:r w:rsidR="000B00BB" w:rsidRPr="00F32542">
        <w:rPr>
          <w:rFonts w:ascii="Arial" w:eastAsia="Calibri" w:hAnsi="Arial" w:cs="Arial"/>
          <w:sz w:val="23"/>
          <w:szCs w:val="23"/>
        </w:rPr>
        <w:t>30</w:t>
      </w:r>
      <w:r w:rsidR="00825A19" w:rsidRPr="00F32542">
        <w:rPr>
          <w:rFonts w:ascii="Arial" w:eastAsia="Calibri" w:hAnsi="Arial" w:cs="Arial"/>
          <w:sz w:val="23"/>
          <w:szCs w:val="23"/>
        </w:rPr>
        <w:t>8</w:t>
      </w:r>
    </w:p>
    <w:p w14:paraId="38403176"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sz w:val="23"/>
          <w:szCs w:val="23"/>
        </w:rPr>
        <w:tab/>
      </w:r>
      <w:r w:rsidRPr="00F32542">
        <w:rPr>
          <w:rFonts w:ascii="Arial" w:eastAsia="Calibri" w:hAnsi="Arial" w:cs="Arial"/>
          <w:b/>
          <w:bCs/>
          <w:sz w:val="23"/>
          <w:szCs w:val="23"/>
        </w:rPr>
        <w:t>1. Control de las omisiones legislativas</w:t>
      </w:r>
      <w:r w:rsidRPr="00F32542">
        <w:rPr>
          <w:rFonts w:ascii="Arial" w:eastAsia="Calibri" w:hAnsi="Arial" w:cs="Arial"/>
          <w:sz w:val="23"/>
          <w:szCs w:val="23"/>
        </w:rPr>
        <w:t>_ _ _ _ _ _ _ _ _ _ _ _ _ _ _ _ _</w:t>
      </w:r>
      <w:r w:rsidR="000B00BB" w:rsidRPr="00F32542">
        <w:rPr>
          <w:rFonts w:ascii="Arial" w:eastAsia="Calibri" w:hAnsi="Arial" w:cs="Arial"/>
          <w:sz w:val="23"/>
          <w:szCs w:val="23"/>
        </w:rPr>
        <w:t xml:space="preserve"> 309</w:t>
      </w:r>
    </w:p>
    <w:p w14:paraId="11B64C7E" w14:textId="77777777" w:rsidR="00AB1738" w:rsidRPr="00F32542" w:rsidRDefault="00AB1738" w:rsidP="00AB1738">
      <w:pPr>
        <w:spacing w:after="0" w:line="240" w:lineRule="auto"/>
        <w:ind w:left="709"/>
        <w:jc w:val="both"/>
        <w:rPr>
          <w:rFonts w:ascii="Arial" w:eastAsia="Calibri" w:hAnsi="Arial" w:cs="Arial"/>
          <w:sz w:val="23"/>
          <w:szCs w:val="23"/>
        </w:rPr>
      </w:pPr>
      <w:r w:rsidRPr="00F32542">
        <w:rPr>
          <w:rFonts w:ascii="Arial" w:eastAsia="Calibri" w:hAnsi="Arial" w:cs="Arial"/>
          <w:b/>
          <w:bCs/>
          <w:sz w:val="23"/>
          <w:szCs w:val="23"/>
        </w:rPr>
        <w:t>2. Obligaciones constitucionales en materia de paridad respecto a procesos electorales</w:t>
      </w:r>
      <w:r w:rsidRPr="00F32542">
        <w:rPr>
          <w:rFonts w:ascii="Arial" w:eastAsia="Calibri" w:hAnsi="Arial" w:cs="Arial"/>
          <w:sz w:val="23"/>
          <w:szCs w:val="23"/>
        </w:rPr>
        <w:t>_ _ _ _ _ _ _ _ _ _ _ _ _ _ _ _ _ _ _ _ _ _ _ _ _ _ _ _</w:t>
      </w:r>
      <w:r w:rsidR="000B00BB" w:rsidRPr="00F32542">
        <w:rPr>
          <w:rFonts w:ascii="Arial" w:eastAsia="Calibri" w:hAnsi="Arial" w:cs="Arial"/>
          <w:sz w:val="23"/>
          <w:szCs w:val="23"/>
        </w:rPr>
        <w:t>313</w:t>
      </w:r>
    </w:p>
    <w:p w14:paraId="19A14256"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b/>
          <w:bCs/>
          <w:sz w:val="23"/>
          <w:szCs w:val="23"/>
        </w:rPr>
        <w:t>OCTAVA. Efectos</w:t>
      </w:r>
      <w:r w:rsidRPr="00F32542">
        <w:rPr>
          <w:rFonts w:ascii="Arial" w:eastAsia="Calibri" w:hAnsi="Arial" w:cs="Arial"/>
          <w:sz w:val="23"/>
          <w:szCs w:val="23"/>
        </w:rPr>
        <w:t xml:space="preserve">_ _ _ _ _ _ _ _ _ _ _ _ _ _ _ _ _ _ _ _ _ _ _ _ _ _ _ _ _ _ _ _ _ </w:t>
      </w:r>
      <w:r w:rsidR="000B00BB" w:rsidRPr="00F32542">
        <w:rPr>
          <w:rFonts w:ascii="Arial" w:eastAsia="Calibri" w:hAnsi="Arial" w:cs="Arial"/>
          <w:sz w:val="23"/>
          <w:szCs w:val="23"/>
        </w:rPr>
        <w:t>32</w:t>
      </w:r>
      <w:r w:rsidR="00825A19" w:rsidRPr="00F32542">
        <w:rPr>
          <w:rFonts w:ascii="Arial" w:eastAsia="Calibri" w:hAnsi="Arial" w:cs="Arial"/>
          <w:sz w:val="23"/>
          <w:szCs w:val="23"/>
        </w:rPr>
        <w:t>4</w:t>
      </w:r>
    </w:p>
    <w:p w14:paraId="5A7A986F" w14:textId="77777777" w:rsidR="00AB1738" w:rsidRPr="00F32542" w:rsidRDefault="00AB1738" w:rsidP="00AB1738">
      <w:pPr>
        <w:spacing w:after="0" w:line="240" w:lineRule="auto"/>
        <w:jc w:val="both"/>
        <w:rPr>
          <w:rFonts w:ascii="Arial" w:eastAsia="Calibri" w:hAnsi="Arial" w:cs="Arial"/>
          <w:sz w:val="23"/>
          <w:szCs w:val="23"/>
        </w:rPr>
      </w:pPr>
      <w:r w:rsidRPr="00F32542">
        <w:rPr>
          <w:rFonts w:ascii="Arial" w:eastAsia="Calibri" w:hAnsi="Arial" w:cs="Arial"/>
          <w:b/>
          <w:bCs/>
          <w:sz w:val="23"/>
          <w:szCs w:val="23"/>
        </w:rPr>
        <w:t xml:space="preserve">RESOLUTIVOS_ </w:t>
      </w:r>
      <w:r w:rsidRPr="00F32542">
        <w:rPr>
          <w:rFonts w:ascii="Arial" w:eastAsia="Calibri" w:hAnsi="Arial" w:cs="Arial"/>
          <w:sz w:val="23"/>
          <w:szCs w:val="23"/>
        </w:rPr>
        <w:t xml:space="preserve">_ _ _ _ _ _ _ _ _ _ _ _ _ _ _ _ _ _ _ _ _ _ _ _ _ __ _ _ _ _ _ _ _ </w:t>
      </w:r>
      <w:r w:rsidR="000B00BB" w:rsidRPr="00F32542">
        <w:rPr>
          <w:rFonts w:ascii="Arial" w:eastAsia="Calibri" w:hAnsi="Arial" w:cs="Arial"/>
          <w:sz w:val="23"/>
          <w:szCs w:val="23"/>
        </w:rPr>
        <w:t>32</w:t>
      </w:r>
      <w:r w:rsidR="00825A19" w:rsidRPr="00F32542">
        <w:rPr>
          <w:rFonts w:ascii="Arial" w:eastAsia="Calibri" w:hAnsi="Arial" w:cs="Arial"/>
          <w:sz w:val="23"/>
          <w:szCs w:val="23"/>
        </w:rPr>
        <w:t>7</w:t>
      </w:r>
    </w:p>
    <w:p w14:paraId="2C36C732" w14:textId="77777777" w:rsidR="00AB1738" w:rsidRPr="00F32542" w:rsidRDefault="00AB1738" w:rsidP="003D29D2">
      <w:pPr>
        <w:spacing w:after="0" w:line="360" w:lineRule="auto"/>
        <w:jc w:val="both"/>
        <w:rPr>
          <w:rFonts w:ascii="Arial" w:eastAsia="Calibri" w:hAnsi="Arial" w:cs="Arial"/>
          <w:sz w:val="28"/>
          <w:szCs w:val="28"/>
        </w:rPr>
      </w:pPr>
    </w:p>
    <w:p w14:paraId="4C84A015" w14:textId="77777777" w:rsidR="00142AAE" w:rsidRPr="00F32542" w:rsidRDefault="00142AAE" w:rsidP="003D29D2">
      <w:pPr>
        <w:pStyle w:val="Ttulo"/>
        <w:spacing w:line="360" w:lineRule="auto"/>
        <w:contextualSpacing w:val="0"/>
        <w:jc w:val="center"/>
        <w:outlineLvl w:val="0"/>
        <w:rPr>
          <w:rFonts w:ascii="Arial" w:hAnsi="Arial" w:cs="Arial"/>
          <w:b/>
          <w:sz w:val="28"/>
          <w:szCs w:val="28"/>
          <w:lang w:val="es-ES_tradnl"/>
        </w:rPr>
      </w:pPr>
      <w:bookmarkStart w:id="0" w:name="_Toc77856951"/>
      <w:bookmarkStart w:id="1" w:name="_Toc77982018"/>
      <w:bookmarkStart w:id="2" w:name="_Toc77983177"/>
      <w:r w:rsidRPr="00F32542">
        <w:rPr>
          <w:rFonts w:ascii="Arial" w:hAnsi="Arial" w:cs="Arial"/>
          <w:b/>
          <w:sz w:val="28"/>
          <w:szCs w:val="28"/>
          <w:lang w:val="es-ES_tradnl"/>
        </w:rPr>
        <w:t>GLOSARIO</w:t>
      </w:r>
      <w:bookmarkEnd w:id="0"/>
      <w:bookmarkEnd w:id="1"/>
      <w:bookmarkEnd w:id="2"/>
    </w:p>
    <w:p w14:paraId="16FE1415" w14:textId="77777777" w:rsidR="003D29D2" w:rsidRPr="00F32542" w:rsidRDefault="003D29D2" w:rsidP="003D29D2">
      <w:pPr>
        <w:spacing w:after="0" w:line="360" w:lineRule="auto"/>
        <w:rPr>
          <w:sz w:val="28"/>
          <w:szCs w:val="28"/>
          <w:lang w:val="es-ES_tradnl"/>
        </w:rPr>
      </w:pPr>
    </w:p>
    <w:tbl>
      <w:tblPr>
        <w:tblW w:w="7655"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261"/>
        <w:gridCol w:w="4394"/>
      </w:tblGrid>
      <w:tr w:rsidR="009A7414" w:rsidRPr="00F32542" w14:paraId="6C51FA1F" w14:textId="77777777" w:rsidTr="00D3248E">
        <w:trPr>
          <w:jc w:val="center"/>
        </w:trPr>
        <w:tc>
          <w:tcPr>
            <w:tcW w:w="3261" w:type="dxa"/>
            <w:shd w:val="clear" w:color="auto" w:fill="auto"/>
            <w:vAlign w:val="center"/>
          </w:tcPr>
          <w:p w14:paraId="2C5523ED" w14:textId="77777777" w:rsidR="009A7414" w:rsidRPr="00F32542" w:rsidRDefault="009A7414" w:rsidP="009A7414">
            <w:pPr>
              <w:widowControl w:val="0"/>
              <w:spacing w:after="0" w:line="240" w:lineRule="auto"/>
              <w:contextualSpacing/>
              <w:jc w:val="both"/>
              <w:rPr>
                <w:rFonts w:ascii="Arial" w:hAnsi="Arial" w:cs="Arial"/>
                <w:bCs/>
                <w:i/>
                <w:sz w:val="24"/>
                <w:szCs w:val="24"/>
                <w:lang w:val="es-ES_tradnl"/>
              </w:rPr>
            </w:pPr>
            <w:r w:rsidRPr="00F32542">
              <w:rPr>
                <w:rFonts w:ascii="Arial" w:hAnsi="Arial" w:cs="Arial"/>
                <w:bCs/>
                <w:i/>
                <w:sz w:val="24"/>
                <w:szCs w:val="24"/>
                <w:lang w:val="es-ES_tradnl"/>
              </w:rPr>
              <w:t>Actores, partes actoras o demandantes</w:t>
            </w:r>
          </w:p>
        </w:tc>
        <w:tc>
          <w:tcPr>
            <w:tcW w:w="4394" w:type="dxa"/>
            <w:shd w:val="clear" w:color="auto" w:fill="auto"/>
            <w:vAlign w:val="center"/>
          </w:tcPr>
          <w:p w14:paraId="594FFAB6" w14:textId="77777777" w:rsidR="009A7414" w:rsidRPr="00F32542" w:rsidRDefault="00466F1F" w:rsidP="00112F51">
            <w:pPr>
              <w:widowControl w:val="0"/>
              <w:spacing w:after="0" w:line="240" w:lineRule="auto"/>
              <w:contextualSpacing/>
              <w:jc w:val="both"/>
              <w:rPr>
                <w:rFonts w:ascii="Arial" w:hAnsi="Arial" w:cs="Arial"/>
                <w:bCs/>
                <w:sz w:val="24"/>
                <w:szCs w:val="24"/>
                <w:lang w:val="es-ES_tradnl"/>
              </w:rPr>
            </w:pPr>
            <w:r w:rsidRPr="00F32542">
              <w:rPr>
                <w:rFonts w:ascii="Arial" w:hAnsi="Arial" w:cs="Arial"/>
                <w:color w:val="000000"/>
                <w:sz w:val="24"/>
                <w:szCs w:val="24"/>
                <w:lang w:val="es-ES_tradnl"/>
              </w:rPr>
              <w:t xml:space="preserve">MORENA, </w:t>
            </w:r>
            <w:r w:rsidR="009A7414" w:rsidRPr="00F32542">
              <w:rPr>
                <w:rFonts w:ascii="Arial" w:hAnsi="Arial" w:cs="Arial"/>
                <w:color w:val="000000"/>
                <w:sz w:val="24"/>
                <w:szCs w:val="24"/>
                <w:lang w:val="es-ES_tradnl"/>
              </w:rPr>
              <w:t xml:space="preserve">PRI, PAN, Mucio Israel Hernández Guerrero, Desirée Guadalupe Navarro López, Alejandro Argüelles </w:t>
            </w:r>
            <w:proofErr w:type="spellStart"/>
            <w:r w:rsidR="009A7414" w:rsidRPr="00F32542">
              <w:rPr>
                <w:rFonts w:ascii="Arial" w:hAnsi="Arial" w:cs="Arial"/>
                <w:color w:val="000000"/>
                <w:sz w:val="24"/>
                <w:szCs w:val="24"/>
                <w:lang w:val="es-ES_tradnl"/>
              </w:rPr>
              <w:t>Almontes</w:t>
            </w:r>
            <w:proofErr w:type="spellEnd"/>
            <w:r w:rsidR="009A7414" w:rsidRPr="00F32542">
              <w:rPr>
                <w:rFonts w:ascii="Arial" w:hAnsi="Arial" w:cs="Arial"/>
                <w:color w:val="000000"/>
                <w:sz w:val="24"/>
                <w:szCs w:val="24"/>
                <w:lang w:val="es-ES_tradnl"/>
              </w:rPr>
              <w:t xml:space="preserve">, </w:t>
            </w:r>
            <w:proofErr w:type="spellStart"/>
            <w:r w:rsidR="009A7414" w:rsidRPr="00F32542">
              <w:rPr>
                <w:rFonts w:ascii="Arial" w:hAnsi="Arial" w:cs="Arial"/>
                <w:color w:val="000000"/>
                <w:sz w:val="24"/>
                <w:szCs w:val="24"/>
                <w:lang w:val="es-ES_tradnl"/>
              </w:rPr>
              <w:t>Nury</w:t>
            </w:r>
            <w:proofErr w:type="spellEnd"/>
            <w:r w:rsidR="009A7414" w:rsidRPr="00F32542">
              <w:rPr>
                <w:rFonts w:ascii="Arial" w:hAnsi="Arial" w:cs="Arial"/>
                <w:color w:val="000000"/>
                <w:sz w:val="24"/>
                <w:szCs w:val="24"/>
                <w:lang w:val="es-ES_tradnl"/>
              </w:rPr>
              <w:t xml:space="preserve"> Delia Ruiz Ovando, Elizabeth Mateos Hernández, Lucia Alejandra Puente García, Alberto Abraham Melo Torres, Monserrat Adriana Bosque Sánchez, </w:t>
            </w:r>
            <w:proofErr w:type="spellStart"/>
            <w:r w:rsidR="009A7414" w:rsidRPr="00F32542">
              <w:rPr>
                <w:rFonts w:ascii="Arial" w:hAnsi="Arial" w:cs="Arial"/>
                <w:color w:val="000000"/>
                <w:sz w:val="24"/>
                <w:szCs w:val="24"/>
                <w:lang w:val="es-ES_tradnl"/>
              </w:rPr>
              <w:t>Anthea</w:t>
            </w:r>
            <w:proofErr w:type="spellEnd"/>
            <w:r w:rsidR="009A7414" w:rsidRPr="00F32542">
              <w:rPr>
                <w:rFonts w:ascii="Arial" w:hAnsi="Arial" w:cs="Arial"/>
                <w:color w:val="000000"/>
                <w:sz w:val="24"/>
                <w:szCs w:val="24"/>
                <w:lang w:val="es-ES_tradnl"/>
              </w:rPr>
              <w:t xml:space="preserve"> Terina Sansores Olvera, José Luis Rodríguez Díaz de León, </w:t>
            </w:r>
            <w:proofErr w:type="spellStart"/>
            <w:r w:rsidR="009A7414" w:rsidRPr="00F32542">
              <w:rPr>
                <w:rFonts w:ascii="Arial" w:hAnsi="Arial" w:cs="Arial"/>
                <w:color w:val="000000"/>
                <w:sz w:val="24"/>
                <w:szCs w:val="24"/>
                <w:lang w:val="es-ES_tradnl"/>
              </w:rPr>
              <w:t>Nitzia</w:t>
            </w:r>
            <w:proofErr w:type="spellEnd"/>
            <w:r w:rsidR="009A7414" w:rsidRPr="00F32542">
              <w:rPr>
                <w:rFonts w:ascii="Arial" w:hAnsi="Arial" w:cs="Arial"/>
                <w:color w:val="000000"/>
                <w:sz w:val="24"/>
                <w:szCs w:val="24"/>
                <w:lang w:val="es-ES_tradnl"/>
              </w:rPr>
              <w:t xml:space="preserve"> Lucero Rosas Chávez, Rodrigo Miranda Berumen, Jacqueline Villarreal García, Guillermo Sánchez Torres, Mónica Jessica Menocal del Moral, Paula Andrea Castillo Mendieta, </w:t>
            </w:r>
            <w:proofErr w:type="spellStart"/>
            <w:r w:rsidR="009A7414" w:rsidRPr="00F32542">
              <w:rPr>
                <w:rFonts w:ascii="Arial" w:hAnsi="Arial" w:cs="Arial"/>
                <w:color w:val="000000"/>
                <w:sz w:val="24"/>
                <w:szCs w:val="24"/>
                <w:lang w:val="es-ES_tradnl"/>
              </w:rPr>
              <w:t>K</w:t>
            </w:r>
            <w:r w:rsidR="00346511" w:rsidRPr="00F32542">
              <w:rPr>
                <w:rFonts w:ascii="Arial" w:hAnsi="Arial" w:cs="Arial"/>
                <w:color w:val="000000"/>
                <w:sz w:val="24"/>
                <w:szCs w:val="24"/>
                <w:lang w:val="es-ES_tradnl"/>
              </w:rPr>
              <w:t>i</w:t>
            </w:r>
            <w:r w:rsidR="009A7414" w:rsidRPr="00F32542">
              <w:rPr>
                <w:rFonts w:ascii="Arial" w:hAnsi="Arial" w:cs="Arial"/>
                <w:color w:val="000000"/>
                <w:sz w:val="24"/>
                <w:szCs w:val="24"/>
                <w:lang w:val="es-ES_tradnl"/>
              </w:rPr>
              <w:t>lau</w:t>
            </w:r>
            <w:r w:rsidR="00346511" w:rsidRPr="00F32542">
              <w:rPr>
                <w:rFonts w:ascii="Arial" w:hAnsi="Arial" w:cs="Arial"/>
                <w:color w:val="000000"/>
                <w:sz w:val="24"/>
                <w:szCs w:val="24"/>
                <w:lang w:val="es-ES_tradnl"/>
              </w:rPr>
              <w:t>ren</w:t>
            </w:r>
            <w:proofErr w:type="spellEnd"/>
            <w:r w:rsidR="009A7414" w:rsidRPr="00F32542">
              <w:rPr>
                <w:rFonts w:ascii="Arial" w:hAnsi="Arial" w:cs="Arial"/>
                <w:color w:val="000000"/>
                <w:sz w:val="24"/>
                <w:szCs w:val="24"/>
                <w:lang w:val="es-ES_tradnl"/>
              </w:rPr>
              <w:t xml:space="preserve"> Paulina Cobos Lázaro, Nayaret </w:t>
            </w:r>
            <w:proofErr w:type="spellStart"/>
            <w:r w:rsidR="009A7414" w:rsidRPr="00F32542">
              <w:rPr>
                <w:rFonts w:ascii="Arial" w:hAnsi="Arial" w:cs="Arial"/>
                <w:color w:val="000000"/>
                <w:sz w:val="24"/>
                <w:szCs w:val="24"/>
                <w:lang w:val="es-ES_tradnl"/>
              </w:rPr>
              <w:t>Yazmín</w:t>
            </w:r>
            <w:proofErr w:type="spellEnd"/>
            <w:r w:rsidR="009A7414" w:rsidRPr="00F32542">
              <w:rPr>
                <w:rFonts w:ascii="Arial" w:hAnsi="Arial" w:cs="Arial"/>
                <w:color w:val="000000"/>
                <w:sz w:val="24"/>
                <w:szCs w:val="24"/>
                <w:lang w:val="es-ES_tradnl"/>
              </w:rPr>
              <w:t xml:space="preserve"> Calderón Martínez y Fernando </w:t>
            </w:r>
            <w:proofErr w:type="spellStart"/>
            <w:r w:rsidR="009A7414" w:rsidRPr="00F32542">
              <w:rPr>
                <w:rFonts w:ascii="Arial" w:hAnsi="Arial" w:cs="Arial"/>
                <w:color w:val="000000"/>
                <w:sz w:val="24"/>
                <w:szCs w:val="24"/>
                <w:lang w:val="es-ES_tradnl"/>
              </w:rPr>
              <w:t>Belau</w:t>
            </w:r>
            <w:r w:rsidR="00A56585" w:rsidRPr="00F32542">
              <w:rPr>
                <w:rFonts w:ascii="Arial" w:hAnsi="Arial" w:cs="Arial"/>
                <w:color w:val="000000"/>
                <w:sz w:val="24"/>
                <w:szCs w:val="24"/>
                <w:lang w:val="es-ES_tradnl"/>
              </w:rPr>
              <w:t>n</w:t>
            </w:r>
            <w:r w:rsidR="009A7414" w:rsidRPr="00F32542">
              <w:rPr>
                <w:rFonts w:ascii="Arial" w:hAnsi="Arial" w:cs="Arial"/>
                <w:color w:val="000000"/>
                <w:sz w:val="24"/>
                <w:szCs w:val="24"/>
                <w:lang w:val="es-ES_tradnl"/>
              </w:rPr>
              <w:t>zarán</w:t>
            </w:r>
            <w:proofErr w:type="spellEnd"/>
            <w:r w:rsidR="009A7414" w:rsidRPr="00F32542">
              <w:rPr>
                <w:rFonts w:ascii="Arial" w:hAnsi="Arial" w:cs="Arial"/>
                <w:color w:val="000000"/>
                <w:sz w:val="24"/>
                <w:szCs w:val="24"/>
                <w:lang w:val="es-ES_tradnl"/>
              </w:rPr>
              <w:t xml:space="preserve"> Méndez</w:t>
            </w:r>
            <w:r w:rsidR="00D47FD3" w:rsidRPr="00F32542">
              <w:rPr>
                <w:rFonts w:ascii="Arial" w:hAnsi="Arial" w:cs="Arial"/>
                <w:color w:val="000000"/>
                <w:sz w:val="24"/>
                <w:szCs w:val="24"/>
                <w:lang w:val="es-ES_tradnl"/>
              </w:rPr>
              <w:t>, respectivamente</w:t>
            </w:r>
            <w:r w:rsidRPr="00F32542">
              <w:rPr>
                <w:rFonts w:ascii="Arial" w:hAnsi="Arial" w:cs="Arial"/>
                <w:color w:val="000000"/>
                <w:sz w:val="24"/>
                <w:szCs w:val="24"/>
                <w:lang w:val="es-ES_tradnl"/>
              </w:rPr>
              <w:t>.</w:t>
            </w:r>
          </w:p>
        </w:tc>
      </w:tr>
      <w:tr w:rsidR="009A7414" w:rsidRPr="00F32542" w14:paraId="493E635B" w14:textId="77777777" w:rsidTr="00D3248E">
        <w:trPr>
          <w:jc w:val="center"/>
        </w:trPr>
        <w:tc>
          <w:tcPr>
            <w:tcW w:w="3261" w:type="dxa"/>
            <w:shd w:val="clear" w:color="auto" w:fill="auto"/>
            <w:vAlign w:val="center"/>
          </w:tcPr>
          <w:p w14:paraId="1FF56795" w14:textId="77777777" w:rsidR="009A7414" w:rsidRPr="00F32542" w:rsidRDefault="009A7414" w:rsidP="009A7414">
            <w:pPr>
              <w:widowControl w:val="0"/>
              <w:spacing w:after="0" w:line="240" w:lineRule="auto"/>
              <w:contextualSpacing/>
              <w:jc w:val="both"/>
              <w:rPr>
                <w:rFonts w:ascii="Arial" w:hAnsi="Arial" w:cs="Arial"/>
                <w:bCs/>
                <w:i/>
                <w:sz w:val="24"/>
                <w:szCs w:val="24"/>
                <w:lang w:val="es-ES_tradnl"/>
              </w:rPr>
            </w:pPr>
            <w:r w:rsidRPr="00F32542">
              <w:rPr>
                <w:rFonts w:ascii="Arial" w:hAnsi="Arial" w:cs="Arial"/>
                <w:bCs/>
                <w:i/>
                <w:sz w:val="24"/>
                <w:szCs w:val="24"/>
                <w:lang w:val="es-ES_tradnl"/>
              </w:rPr>
              <w:t>Acuerdo impugnado</w:t>
            </w:r>
            <w:r w:rsidR="00875398" w:rsidRPr="00F32542">
              <w:rPr>
                <w:rFonts w:ascii="Arial" w:hAnsi="Arial" w:cs="Arial"/>
                <w:bCs/>
                <w:i/>
                <w:sz w:val="24"/>
                <w:szCs w:val="24"/>
                <w:lang w:val="es-ES_tradnl"/>
              </w:rPr>
              <w:t xml:space="preserve"> o Acuerdo de asignación</w:t>
            </w:r>
          </w:p>
        </w:tc>
        <w:tc>
          <w:tcPr>
            <w:tcW w:w="4394" w:type="dxa"/>
            <w:shd w:val="clear" w:color="auto" w:fill="auto"/>
            <w:vAlign w:val="center"/>
          </w:tcPr>
          <w:p w14:paraId="24937D65" w14:textId="77777777" w:rsidR="009A7414" w:rsidRPr="00F32542" w:rsidRDefault="009A7414" w:rsidP="009A7414">
            <w:pPr>
              <w:widowControl w:val="0"/>
              <w:spacing w:after="0" w:line="240" w:lineRule="auto"/>
              <w:contextualSpacing/>
              <w:jc w:val="both"/>
              <w:rPr>
                <w:rFonts w:ascii="Arial" w:hAnsi="Arial" w:cs="Arial"/>
                <w:bCs/>
                <w:sz w:val="24"/>
                <w:szCs w:val="24"/>
                <w:lang w:val="es-ES_tradnl"/>
              </w:rPr>
            </w:pPr>
            <w:r w:rsidRPr="00F32542">
              <w:rPr>
                <w:rFonts w:ascii="Arial" w:hAnsi="Arial" w:cs="Arial"/>
                <w:bCs/>
                <w:sz w:val="24"/>
                <w:szCs w:val="24"/>
                <w:lang w:val="es-ES_tradnl"/>
              </w:rPr>
              <w:t xml:space="preserve">Acuerdo IECM/ACU-CG-324/2021 del Consejo General del Instituto Electoral de la Ciudad de México, por el que se realiza la asignación de Diputaciones al Congreso de la Ciudad de México electas por el principio de representación proporcional y se declara la validez de esa elección en el </w:t>
            </w:r>
            <w:r w:rsidRPr="00F32542">
              <w:rPr>
                <w:rFonts w:ascii="Arial" w:hAnsi="Arial" w:cs="Arial"/>
                <w:bCs/>
                <w:sz w:val="24"/>
                <w:szCs w:val="24"/>
                <w:lang w:val="es-ES_tradnl"/>
              </w:rPr>
              <w:lastRenderedPageBreak/>
              <w:t>Proceso Electoral Local Ordinario 2020-2021</w:t>
            </w:r>
          </w:p>
        </w:tc>
      </w:tr>
      <w:tr w:rsidR="009A7414" w:rsidRPr="00F32542" w14:paraId="332A6161" w14:textId="77777777" w:rsidTr="00D3248E">
        <w:trPr>
          <w:jc w:val="center"/>
        </w:trPr>
        <w:tc>
          <w:tcPr>
            <w:tcW w:w="3261" w:type="dxa"/>
            <w:shd w:val="clear" w:color="auto" w:fill="auto"/>
            <w:vAlign w:val="center"/>
          </w:tcPr>
          <w:p w14:paraId="797687D3" w14:textId="77777777" w:rsidR="009A7414" w:rsidRPr="00F32542" w:rsidRDefault="009A7414" w:rsidP="009A7414">
            <w:pPr>
              <w:widowControl w:val="0"/>
              <w:spacing w:after="0" w:line="240" w:lineRule="auto"/>
              <w:contextualSpacing/>
              <w:jc w:val="both"/>
              <w:rPr>
                <w:rFonts w:ascii="Arial" w:hAnsi="Arial" w:cs="Arial"/>
                <w:bCs/>
                <w:i/>
                <w:sz w:val="24"/>
                <w:szCs w:val="24"/>
                <w:lang w:val="es-ES_tradnl"/>
              </w:rPr>
            </w:pPr>
            <w:r w:rsidRPr="00F32542">
              <w:rPr>
                <w:rFonts w:ascii="Arial" w:hAnsi="Arial" w:cs="Arial"/>
                <w:bCs/>
                <w:i/>
                <w:sz w:val="24"/>
                <w:szCs w:val="24"/>
                <w:lang w:val="es-ES_tradnl"/>
              </w:rPr>
              <w:lastRenderedPageBreak/>
              <w:t>Autoridad responsable</w:t>
            </w:r>
            <w:r w:rsidR="00875398" w:rsidRPr="00F32542">
              <w:rPr>
                <w:rFonts w:ascii="Arial" w:hAnsi="Arial" w:cs="Arial"/>
                <w:bCs/>
                <w:i/>
                <w:sz w:val="24"/>
                <w:szCs w:val="24"/>
                <w:lang w:val="es-ES_tradnl"/>
              </w:rPr>
              <w:t xml:space="preserve"> o Consejo General</w:t>
            </w:r>
          </w:p>
        </w:tc>
        <w:tc>
          <w:tcPr>
            <w:tcW w:w="4394" w:type="dxa"/>
            <w:shd w:val="clear" w:color="auto" w:fill="auto"/>
            <w:vAlign w:val="center"/>
          </w:tcPr>
          <w:p w14:paraId="5345ADD3" w14:textId="77777777" w:rsidR="009A7414" w:rsidRPr="00F32542" w:rsidRDefault="009A7414" w:rsidP="009A7414">
            <w:pPr>
              <w:widowControl w:val="0"/>
              <w:spacing w:after="0" w:line="240" w:lineRule="auto"/>
              <w:contextualSpacing/>
              <w:jc w:val="both"/>
              <w:rPr>
                <w:rFonts w:ascii="Arial" w:hAnsi="Arial" w:cs="Arial"/>
                <w:bCs/>
                <w:sz w:val="24"/>
                <w:szCs w:val="24"/>
                <w:lang w:val="es-ES_tradnl"/>
              </w:rPr>
            </w:pPr>
            <w:r w:rsidRPr="00F32542">
              <w:rPr>
                <w:rFonts w:ascii="Arial" w:hAnsi="Arial" w:cs="Arial"/>
                <w:bCs/>
                <w:sz w:val="24"/>
                <w:szCs w:val="24"/>
                <w:lang w:val="es-ES_tradnl"/>
              </w:rPr>
              <w:t>Consejo General del Instituto Electoral de la Ciudad de México</w:t>
            </w:r>
          </w:p>
        </w:tc>
      </w:tr>
      <w:tr w:rsidR="009A7414" w:rsidRPr="00F32542" w14:paraId="33B7AE20" w14:textId="77777777" w:rsidTr="00D3248E">
        <w:trPr>
          <w:jc w:val="center"/>
        </w:trPr>
        <w:tc>
          <w:tcPr>
            <w:tcW w:w="3261" w:type="dxa"/>
            <w:shd w:val="clear" w:color="auto" w:fill="auto"/>
            <w:vAlign w:val="center"/>
          </w:tcPr>
          <w:p w14:paraId="7BE68506" w14:textId="77777777" w:rsidR="009A7414" w:rsidRPr="00F32542" w:rsidRDefault="009A7414" w:rsidP="009A7414">
            <w:pPr>
              <w:autoSpaceDE w:val="0"/>
              <w:autoSpaceDN w:val="0"/>
              <w:adjustRightInd w:val="0"/>
              <w:spacing w:after="0" w:line="240" w:lineRule="auto"/>
              <w:jc w:val="both"/>
              <w:rPr>
                <w:rFonts w:ascii="Arial" w:hAnsi="Arial" w:cs="Arial"/>
                <w:bCs/>
                <w:i/>
                <w:sz w:val="24"/>
                <w:szCs w:val="24"/>
                <w:lang w:val="es-ES_tradnl"/>
              </w:rPr>
            </w:pPr>
            <w:r w:rsidRPr="00F32542">
              <w:rPr>
                <w:rFonts w:ascii="Arial" w:hAnsi="Arial" w:cs="Arial"/>
                <w:bCs/>
                <w:i/>
                <w:sz w:val="24"/>
                <w:szCs w:val="24"/>
                <w:lang w:val="es-ES_tradnl"/>
              </w:rPr>
              <w:t>Código Electoral</w:t>
            </w:r>
          </w:p>
        </w:tc>
        <w:tc>
          <w:tcPr>
            <w:tcW w:w="4394" w:type="dxa"/>
            <w:shd w:val="clear" w:color="auto" w:fill="auto"/>
            <w:vAlign w:val="center"/>
          </w:tcPr>
          <w:p w14:paraId="558A3FA0" w14:textId="77777777" w:rsidR="009A7414" w:rsidRPr="00F32542" w:rsidRDefault="009A7414" w:rsidP="009A7414">
            <w:pPr>
              <w:widowControl w:val="0"/>
              <w:spacing w:after="0" w:line="240" w:lineRule="auto"/>
              <w:contextualSpacing/>
              <w:jc w:val="both"/>
              <w:rPr>
                <w:rFonts w:ascii="Arial" w:hAnsi="Arial" w:cs="Arial"/>
                <w:i/>
                <w:iCs/>
                <w:color w:val="000000"/>
                <w:sz w:val="24"/>
                <w:szCs w:val="24"/>
                <w:lang w:val="es-ES_tradnl"/>
              </w:rPr>
            </w:pPr>
            <w:r w:rsidRPr="00F32542">
              <w:rPr>
                <w:rFonts w:ascii="Arial" w:hAnsi="Arial" w:cs="Arial"/>
                <w:bCs/>
                <w:sz w:val="24"/>
                <w:szCs w:val="24"/>
                <w:lang w:val="es-ES_tradnl"/>
              </w:rPr>
              <w:t>Código de Instituciones y Procedimientos Electorales de la Ciudad de México</w:t>
            </w:r>
          </w:p>
        </w:tc>
      </w:tr>
      <w:tr w:rsidR="00466F1F" w:rsidRPr="00F32542" w14:paraId="3C1CCE80" w14:textId="77777777" w:rsidTr="00D3248E">
        <w:trPr>
          <w:jc w:val="center"/>
        </w:trPr>
        <w:tc>
          <w:tcPr>
            <w:tcW w:w="3261" w:type="dxa"/>
            <w:shd w:val="clear" w:color="auto" w:fill="auto"/>
            <w:vAlign w:val="center"/>
          </w:tcPr>
          <w:p w14:paraId="289FC2AA" w14:textId="77777777" w:rsidR="00466F1F" w:rsidRPr="00F32542" w:rsidRDefault="00466F1F" w:rsidP="009A7414">
            <w:pPr>
              <w:autoSpaceDE w:val="0"/>
              <w:autoSpaceDN w:val="0"/>
              <w:adjustRightInd w:val="0"/>
              <w:spacing w:after="0" w:line="240" w:lineRule="auto"/>
              <w:jc w:val="both"/>
              <w:rPr>
                <w:rFonts w:ascii="Arial" w:hAnsi="Arial" w:cs="Arial"/>
                <w:bCs/>
                <w:i/>
                <w:sz w:val="24"/>
                <w:szCs w:val="24"/>
                <w:lang w:val="es-ES_tradnl"/>
              </w:rPr>
            </w:pPr>
            <w:r w:rsidRPr="00F32542">
              <w:rPr>
                <w:rFonts w:ascii="Arial" w:hAnsi="Arial" w:cs="Arial"/>
                <w:bCs/>
                <w:i/>
                <w:sz w:val="24"/>
                <w:szCs w:val="24"/>
                <w:lang w:val="es-ES_tradnl"/>
              </w:rPr>
              <w:t>Congreso local</w:t>
            </w:r>
          </w:p>
        </w:tc>
        <w:tc>
          <w:tcPr>
            <w:tcW w:w="4394" w:type="dxa"/>
            <w:shd w:val="clear" w:color="auto" w:fill="auto"/>
            <w:vAlign w:val="center"/>
          </w:tcPr>
          <w:p w14:paraId="13FBC0B6" w14:textId="77777777" w:rsidR="00466F1F" w:rsidRPr="00F32542" w:rsidRDefault="00466F1F" w:rsidP="009A7414">
            <w:pPr>
              <w:widowControl w:val="0"/>
              <w:spacing w:after="0" w:line="240" w:lineRule="auto"/>
              <w:contextualSpacing/>
              <w:jc w:val="both"/>
              <w:rPr>
                <w:rFonts w:ascii="Arial" w:hAnsi="Arial" w:cs="Arial"/>
                <w:bCs/>
                <w:sz w:val="24"/>
                <w:szCs w:val="24"/>
                <w:lang w:val="es-ES_tradnl"/>
              </w:rPr>
            </w:pPr>
            <w:r w:rsidRPr="00F32542">
              <w:rPr>
                <w:rFonts w:ascii="Arial" w:hAnsi="Arial" w:cs="Arial"/>
                <w:bCs/>
                <w:sz w:val="24"/>
                <w:szCs w:val="24"/>
                <w:lang w:val="es-ES_tradnl"/>
              </w:rPr>
              <w:t>Congreso de la Ciudad de México</w:t>
            </w:r>
          </w:p>
        </w:tc>
      </w:tr>
      <w:tr w:rsidR="009A7414" w:rsidRPr="00F32542" w14:paraId="242F0425" w14:textId="77777777" w:rsidTr="00D3248E">
        <w:trPr>
          <w:jc w:val="center"/>
        </w:trPr>
        <w:tc>
          <w:tcPr>
            <w:tcW w:w="3261" w:type="dxa"/>
            <w:shd w:val="clear" w:color="auto" w:fill="auto"/>
            <w:vAlign w:val="center"/>
          </w:tcPr>
          <w:p w14:paraId="382AC9CF" w14:textId="77777777" w:rsidR="009A7414" w:rsidRPr="00F32542" w:rsidRDefault="009A7414" w:rsidP="009A7414">
            <w:pPr>
              <w:widowControl w:val="0"/>
              <w:spacing w:after="0" w:line="240" w:lineRule="auto"/>
              <w:contextualSpacing/>
              <w:jc w:val="both"/>
              <w:rPr>
                <w:rFonts w:ascii="Arial" w:hAnsi="Arial" w:cs="Arial"/>
                <w:bCs/>
                <w:i/>
                <w:sz w:val="24"/>
                <w:szCs w:val="24"/>
                <w:lang w:val="es-ES_tradnl"/>
              </w:rPr>
            </w:pPr>
            <w:r w:rsidRPr="00F32542">
              <w:rPr>
                <w:rFonts w:ascii="Arial" w:hAnsi="Arial" w:cs="Arial"/>
                <w:bCs/>
                <w:i/>
                <w:sz w:val="24"/>
                <w:szCs w:val="24"/>
                <w:lang w:val="es-ES_tradnl"/>
              </w:rPr>
              <w:t>CPEUM</w:t>
            </w:r>
          </w:p>
        </w:tc>
        <w:tc>
          <w:tcPr>
            <w:tcW w:w="4394" w:type="dxa"/>
            <w:shd w:val="clear" w:color="auto" w:fill="auto"/>
            <w:vAlign w:val="center"/>
          </w:tcPr>
          <w:p w14:paraId="5C8CE4B6" w14:textId="77777777" w:rsidR="009A7414" w:rsidRPr="00F32542" w:rsidRDefault="009A7414" w:rsidP="009A7414">
            <w:pPr>
              <w:widowControl w:val="0"/>
              <w:spacing w:after="0" w:line="240" w:lineRule="auto"/>
              <w:contextualSpacing/>
              <w:jc w:val="both"/>
              <w:rPr>
                <w:rFonts w:ascii="Arial" w:hAnsi="Arial" w:cs="Arial"/>
                <w:b/>
                <w:i/>
                <w:iCs/>
                <w:color w:val="000000"/>
                <w:sz w:val="24"/>
                <w:szCs w:val="24"/>
                <w:lang w:val="es-ES_tradnl"/>
              </w:rPr>
            </w:pPr>
            <w:r w:rsidRPr="00F32542">
              <w:rPr>
                <w:rFonts w:ascii="Arial" w:hAnsi="Arial" w:cs="Arial"/>
                <w:bCs/>
                <w:sz w:val="24"/>
                <w:szCs w:val="24"/>
                <w:lang w:val="es-ES_tradnl"/>
              </w:rPr>
              <w:t>Constitución Política de los Estados Unidos Mexicanos</w:t>
            </w:r>
          </w:p>
        </w:tc>
      </w:tr>
      <w:tr w:rsidR="009A7414" w:rsidRPr="00F32542" w14:paraId="11021330" w14:textId="77777777" w:rsidTr="00D3248E">
        <w:trPr>
          <w:jc w:val="center"/>
        </w:trPr>
        <w:tc>
          <w:tcPr>
            <w:tcW w:w="3261" w:type="dxa"/>
            <w:shd w:val="clear" w:color="auto" w:fill="auto"/>
            <w:vAlign w:val="center"/>
          </w:tcPr>
          <w:p w14:paraId="3ABEB3BE" w14:textId="77777777" w:rsidR="009A7414" w:rsidRPr="00F32542" w:rsidRDefault="009A7414" w:rsidP="009A7414">
            <w:pPr>
              <w:widowControl w:val="0"/>
              <w:spacing w:after="0" w:line="240" w:lineRule="auto"/>
              <w:contextualSpacing/>
              <w:jc w:val="both"/>
              <w:rPr>
                <w:rFonts w:ascii="Arial" w:hAnsi="Arial" w:cs="Arial"/>
                <w:bCs/>
                <w:i/>
                <w:sz w:val="24"/>
                <w:szCs w:val="24"/>
                <w:lang w:val="es-ES_tradnl"/>
              </w:rPr>
            </w:pPr>
            <w:r w:rsidRPr="00F32542">
              <w:rPr>
                <w:rFonts w:ascii="Arial" w:hAnsi="Arial" w:cs="Arial"/>
                <w:bCs/>
                <w:i/>
                <w:sz w:val="24"/>
                <w:szCs w:val="24"/>
                <w:lang w:val="es-ES_tradnl"/>
              </w:rPr>
              <w:t>Constitución Local</w:t>
            </w:r>
          </w:p>
        </w:tc>
        <w:tc>
          <w:tcPr>
            <w:tcW w:w="4394" w:type="dxa"/>
            <w:shd w:val="clear" w:color="auto" w:fill="auto"/>
            <w:vAlign w:val="center"/>
          </w:tcPr>
          <w:p w14:paraId="4102519F" w14:textId="77777777" w:rsidR="009A7414" w:rsidRPr="00F32542" w:rsidRDefault="009A7414" w:rsidP="009A7414">
            <w:pPr>
              <w:widowControl w:val="0"/>
              <w:spacing w:after="0" w:line="240" w:lineRule="auto"/>
              <w:contextualSpacing/>
              <w:jc w:val="both"/>
              <w:rPr>
                <w:rFonts w:ascii="Arial" w:hAnsi="Arial" w:cs="Arial"/>
                <w:b/>
                <w:i/>
                <w:color w:val="000000"/>
                <w:sz w:val="24"/>
                <w:szCs w:val="24"/>
                <w:lang w:val="es-ES_tradnl"/>
              </w:rPr>
            </w:pPr>
            <w:r w:rsidRPr="00F32542">
              <w:rPr>
                <w:rFonts w:ascii="Arial" w:hAnsi="Arial" w:cs="Arial"/>
                <w:bCs/>
                <w:sz w:val="24"/>
                <w:szCs w:val="24"/>
                <w:lang w:val="es-ES_tradnl"/>
              </w:rPr>
              <w:t>Constitución Política de la Ciudad de México</w:t>
            </w:r>
          </w:p>
        </w:tc>
      </w:tr>
      <w:tr w:rsidR="00466F1F" w:rsidRPr="00F32542" w14:paraId="2E6B0C89" w14:textId="77777777" w:rsidTr="00D3248E">
        <w:trPr>
          <w:jc w:val="center"/>
        </w:trPr>
        <w:tc>
          <w:tcPr>
            <w:tcW w:w="3261" w:type="dxa"/>
            <w:shd w:val="clear" w:color="auto" w:fill="auto"/>
            <w:vAlign w:val="center"/>
          </w:tcPr>
          <w:p w14:paraId="17A6C46C" w14:textId="77777777" w:rsidR="00466F1F" w:rsidRPr="00F32542" w:rsidRDefault="00466F1F" w:rsidP="009A7414">
            <w:pPr>
              <w:widowControl w:val="0"/>
              <w:spacing w:after="0" w:line="240" w:lineRule="auto"/>
              <w:contextualSpacing/>
              <w:jc w:val="both"/>
              <w:rPr>
                <w:rFonts w:ascii="Arial" w:hAnsi="Arial" w:cs="Arial"/>
                <w:bCs/>
                <w:i/>
                <w:sz w:val="24"/>
                <w:szCs w:val="24"/>
                <w:lang w:val="es-ES_tradnl"/>
              </w:rPr>
            </w:pPr>
            <w:r w:rsidRPr="00F32542">
              <w:rPr>
                <w:rFonts w:ascii="Arial" w:hAnsi="Arial" w:cs="Arial"/>
                <w:bCs/>
                <w:i/>
                <w:sz w:val="24"/>
                <w:szCs w:val="24"/>
                <w:lang w:val="es-ES_tradnl"/>
              </w:rPr>
              <w:t>Instituto Electoral o IECM</w:t>
            </w:r>
          </w:p>
        </w:tc>
        <w:tc>
          <w:tcPr>
            <w:tcW w:w="4394" w:type="dxa"/>
            <w:shd w:val="clear" w:color="auto" w:fill="auto"/>
            <w:vAlign w:val="center"/>
          </w:tcPr>
          <w:p w14:paraId="73CA2E9C" w14:textId="77777777" w:rsidR="00466F1F" w:rsidRPr="00F32542" w:rsidRDefault="00466F1F" w:rsidP="009A7414">
            <w:pPr>
              <w:widowControl w:val="0"/>
              <w:spacing w:after="0" w:line="240" w:lineRule="auto"/>
              <w:contextualSpacing/>
              <w:jc w:val="both"/>
              <w:rPr>
                <w:rFonts w:ascii="Arial" w:hAnsi="Arial" w:cs="Arial"/>
                <w:bCs/>
                <w:sz w:val="24"/>
                <w:szCs w:val="24"/>
                <w:lang w:val="es-ES_tradnl"/>
              </w:rPr>
            </w:pPr>
            <w:r w:rsidRPr="00F32542">
              <w:rPr>
                <w:rFonts w:ascii="Arial" w:hAnsi="Arial" w:cs="Arial"/>
                <w:bCs/>
                <w:sz w:val="24"/>
                <w:szCs w:val="24"/>
                <w:lang w:val="es-ES_tradnl"/>
              </w:rPr>
              <w:t>Instituto Electoral de la Ciudad de México</w:t>
            </w:r>
          </w:p>
        </w:tc>
      </w:tr>
      <w:tr w:rsidR="009A7414" w:rsidRPr="00F32542" w14:paraId="69E6DBE2" w14:textId="77777777" w:rsidTr="00D3248E">
        <w:trPr>
          <w:jc w:val="center"/>
        </w:trPr>
        <w:tc>
          <w:tcPr>
            <w:tcW w:w="3261" w:type="dxa"/>
            <w:shd w:val="clear" w:color="auto" w:fill="auto"/>
            <w:vAlign w:val="center"/>
          </w:tcPr>
          <w:p w14:paraId="5BCCB2F8" w14:textId="77777777" w:rsidR="009A7414" w:rsidRPr="00F32542" w:rsidRDefault="009A7414" w:rsidP="009A7414">
            <w:pPr>
              <w:widowControl w:val="0"/>
              <w:spacing w:after="0" w:line="240" w:lineRule="auto"/>
              <w:contextualSpacing/>
              <w:jc w:val="both"/>
              <w:rPr>
                <w:rFonts w:ascii="Arial" w:hAnsi="Arial" w:cs="Arial"/>
                <w:bCs/>
                <w:i/>
                <w:sz w:val="24"/>
                <w:szCs w:val="24"/>
                <w:lang w:val="es-ES_tradnl"/>
              </w:rPr>
            </w:pPr>
            <w:r w:rsidRPr="00F32542">
              <w:rPr>
                <w:rFonts w:ascii="Arial" w:hAnsi="Arial" w:cs="Arial"/>
                <w:bCs/>
                <w:i/>
                <w:sz w:val="24"/>
                <w:szCs w:val="24"/>
                <w:lang w:val="es-ES_tradnl"/>
              </w:rPr>
              <w:t>Ley Procesal</w:t>
            </w:r>
          </w:p>
        </w:tc>
        <w:tc>
          <w:tcPr>
            <w:tcW w:w="4394" w:type="dxa"/>
            <w:shd w:val="clear" w:color="auto" w:fill="auto"/>
          </w:tcPr>
          <w:p w14:paraId="56FAADB5" w14:textId="77777777" w:rsidR="009A7414" w:rsidRPr="00F32542" w:rsidRDefault="009A7414" w:rsidP="009A7414">
            <w:pPr>
              <w:widowControl w:val="0"/>
              <w:spacing w:after="0" w:line="240" w:lineRule="auto"/>
              <w:contextualSpacing/>
              <w:jc w:val="both"/>
              <w:rPr>
                <w:rFonts w:ascii="Arial" w:hAnsi="Arial" w:cs="Arial"/>
                <w:bCs/>
                <w:sz w:val="24"/>
                <w:szCs w:val="24"/>
                <w:lang w:val="es-ES_tradnl"/>
              </w:rPr>
            </w:pPr>
            <w:r w:rsidRPr="00F32542">
              <w:rPr>
                <w:rFonts w:ascii="Arial" w:hAnsi="Arial" w:cs="Arial"/>
                <w:bCs/>
                <w:sz w:val="24"/>
                <w:szCs w:val="24"/>
                <w:lang w:val="es-ES_tradnl"/>
              </w:rPr>
              <w:t>Ley Procesal Electoral de la Ciudad de México</w:t>
            </w:r>
          </w:p>
        </w:tc>
      </w:tr>
      <w:tr w:rsidR="009A7414" w:rsidRPr="00F32542" w14:paraId="0874F1B7" w14:textId="77777777" w:rsidTr="00D3248E">
        <w:trPr>
          <w:jc w:val="center"/>
        </w:trPr>
        <w:tc>
          <w:tcPr>
            <w:tcW w:w="3261" w:type="dxa"/>
            <w:shd w:val="clear" w:color="auto" w:fill="auto"/>
            <w:vAlign w:val="center"/>
          </w:tcPr>
          <w:p w14:paraId="588E52DA" w14:textId="77777777" w:rsidR="009A7414" w:rsidRPr="00F32542" w:rsidRDefault="009A7414" w:rsidP="009A7414">
            <w:pPr>
              <w:widowControl w:val="0"/>
              <w:spacing w:after="0" w:line="240" w:lineRule="auto"/>
              <w:contextualSpacing/>
              <w:jc w:val="both"/>
              <w:rPr>
                <w:rFonts w:ascii="Arial" w:hAnsi="Arial" w:cs="Arial"/>
                <w:bCs/>
                <w:i/>
                <w:sz w:val="24"/>
                <w:szCs w:val="24"/>
                <w:lang w:val="es-ES_tradnl"/>
              </w:rPr>
            </w:pPr>
            <w:r w:rsidRPr="00F32542">
              <w:rPr>
                <w:rFonts w:ascii="Arial" w:hAnsi="Arial" w:cs="Arial"/>
                <w:bCs/>
                <w:i/>
                <w:sz w:val="24"/>
                <w:szCs w:val="24"/>
                <w:lang w:val="es-ES_tradnl"/>
              </w:rPr>
              <w:t>LGIPE o Ley General</w:t>
            </w:r>
          </w:p>
        </w:tc>
        <w:tc>
          <w:tcPr>
            <w:tcW w:w="4394" w:type="dxa"/>
            <w:shd w:val="clear" w:color="auto" w:fill="auto"/>
          </w:tcPr>
          <w:p w14:paraId="670D68A8" w14:textId="77777777" w:rsidR="009A7414" w:rsidRPr="00F32542" w:rsidRDefault="009A7414" w:rsidP="009A7414">
            <w:pPr>
              <w:widowControl w:val="0"/>
              <w:spacing w:after="0" w:line="240" w:lineRule="auto"/>
              <w:contextualSpacing/>
              <w:jc w:val="both"/>
              <w:rPr>
                <w:rFonts w:ascii="Arial" w:eastAsia="Calibri" w:hAnsi="Arial" w:cs="Arial"/>
                <w:sz w:val="24"/>
                <w:szCs w:val="24"/>
                <w:lang w:val="es-ES_tradnl" w:eastAsia="es-MX"/>
              </w:rPr>
            </w:pPr>
            <w:r w:rsidRPr="00F32542">
              <w:rPr>
                <w:rFonts w:ascii="Arial" w:hAnsi="Arial" w:cs="Arial"/>
                <w:bCs/>
                <w:sz w:val="24"/>
                <w:szCs w:val="24"/>
                <w:lang w:val="es-ES_tradnl"/>
              </w:rPr>
              <w:t>Ley General de Instituciones y Procedimientos Electorales</w:t>
            </w:r>
          </w:p>
        </w:tc>
      </w:tr>
      <w:tr w:rsidR="009A7414" w:rsidRPr="00F32542" w14:paraId="357E2C3E" w14:textId="77777777" w:rsidTr="00D3248E">
        <w:trPr>
          <w:jc w:val="center"/>
        </w:trPr>
        <w:tc>
          <w:tcPr>
            <w:tcW w:w="3261" w:type="dxa"/>
            <w:shd w:val="clear" w:color="auto" w:fill="auto"/>
            <w:vAlign w:val="center"/>
          </w:tcPr>
          <w:p w14:paraId="0969B68D" w14:textId="77777777" w:rsidR="009A7414" w:rsidRPr="00F32542" w:rsidRDefault="009A7414" w:rsidP="009A7414">
            <w:pPr>
              <w:widowControl w:val="0"/>
              <w:spacing w:after="0" w:line="240" w:lineRule="auto"/>
              <w:contextualSpacing/>
              <w:jc w:val="both"/>
              <w:rPr>
                <w:rFonts w:ascii="Arial" w:hAnsi="Arial" w:cs="Arial"/>
                <w:bCs/>
                <w:i/>
                <w:sz w:val="24"/>
                <w:szCs w:val="24"/>
                <w:lang w:val="es-ES_tradnl"/>
              </w:rPr>
            </w:pPr>
            <w:r w:rsidRPr="00F32542">
              <w:rPr>
                <w:rFonts w:ascii="Arial" w:hAnsi="Arial" w:cs="Arial"/>
                <w:bCs/>
                <w:i/>
                <w:sz w:val="24"/>
                <w:szCs w:val="24"/>
                <w:lang w:val="es-ES_tradnl"/>
              </w:rPr>
              <w:t>Lineamientos de asignación</w:t>
            </w:r>
          </w:p>
        </w:tc>
        <w:tc>
          <w:tcPr>
            <w:tcW w:w="4394" w:type="dxa"/>
            <w:shd w:val="clear" w:color="auto" w:fill="auto"/>
          </w:tcPr>
          <w:p w14:paraId="378CF41F" w14:textId="77777777" w:rsidR="009A7414" w:rsidRPr="00F32542" w:rsidRDefault="009A7414" w:rsidP="009A7414">
            <w:pPr>
              <w:widowControl w:val="0"/>
              <w:spacing w:after="0" w:line="240" w:lineRule="auto"/>
              <w:contextualSpacing/>
              <w:jc w:val="both"/>
              <w:rPr>
                <w:rFonts w:ascii="Arial" w:hAnsi="Arial" w:cs="Arial"/>
                <w:bCs/>
                <w:sz w:val="24"/>
                <w:szCs w:val="24"/>
                <w:lang w:val="es-ES_tradnl"/>
              </w:rPr>
            </w:pPr>
            <w:r w:rsidRPr="00F32542">
              <w:rPr>
                <w:rFonts w:ascii="Arial" w:hAnsi="Arial" w:cs="Arial"/>
                <w:bCs/>
                <w:sz w:val="24"/>
                <w:szCs w:val="24"/>
                <w:lang w:val="es-ES_tradnl"/>
              </w:rPr>
              <w:t xml:space="preserve">Lineamientos para la asignación de Diputaciones y </w:t>
            </w:r>
            <w:proofErr w:type="gramStart"/>
            <w:r w:rsidRPr="00F32542">
              <w:rPr>
                <w:rFonts w:ascii="Arial" w:hAnsi="Arial" w:cs="Arial"/>
                <w:bCs/>
                <w:sz w:val="24"/>
                <w:szCs w:val="24"/>
                <w:lang w:val="es-ES_tradnl"/>
              </w:rPr>
              <w:t>Concejalías</w:t>
            </w:r>
            <w:proofErr w:type="gramEnd"/>
            <w:r w:rsidRPr="00F32542">
              <w:rPr>
                <w:rFonts w:ascii="Arial" w:hAnsi="Arial" w:cs="Arial"/>
                <w:bCs/>
                <w:sz w:val="24"/>
                <w:szCs w:val="24"/>
                <w:lang w:val="es-ES_tradnl"/>
              </w:rPr>
              <w:t xml:space="preserve"> por el principio de representación proporcional, así como de asignación de votos tratándose de coaliciones y candidaturas comunes y asignación de Diputación Migrante en el Proceso Electoral Local Ordinario 2020-2021, aprobados mediante el Acuerdo IECM-ACU-CG-110/2020.</w:t>
            </w:r>
          </w:p>
        </w:tc>
      </w:tr>
      <w:tr w:rsidR="00875398" w:rsidRPr="00F32542" w14:paraId="25DC73D9" w14:textId="77777777" w:rsidTr="00D3248E">
        <w:trPr>
          <w:jc w:val="center"/>
        </w:trPr>
        <w:tc>
          <w:tcPr>
            <w:tcW w:w="3261" w:type="dxa"/>
            <w:shd w:val="clear" w:color="auto" w:fill="auto"/>
            <w:vAlign w:val="center"/>
          </w:tcPr>
          <w:p w14:paraId="44741E57" w14:textId="77777777" w:rsidR="00875398" w:rsidRPr="00F32542" w:rsidRDefault="00875398" w:rsidP="009A7414">
            <w:pPr>
              <w:widowControl w:val="0"/>
              <w:spacing w:after="0" w:line="240" w:lineRule="auto"/>
              <w:contextualSpacing/>
              <w:jc w:val="both"/>
              <w:rPr>
                <w:rFonts w:ascii="Arial" w:hAnsi="Arial" w:cs="Arial"/>
                <w:bCs/>
                <w:i/>
                <w:sz w:val="24"/>
                <w:szCs w:val="24"/>
                <w:lang w:val="es-ES_tradnl"/>
              </w:rPr>
            </w:pPr>
            <w:r w:rsidRPr="00F32542">
              <w:rPr>
                <w:rFonts w:ascii="Arial" w:hAnsi="Arial" w:cs="Arial"/>
                <w:bCs/>
                <w:i/>
                <w:sz w:val="24"/>
                <w:szCs w:val="24"/>
                <w:lang w:val="es-ES_tradnl"/>
              </w:rPr>
              <w:t>Lineamientos de postulación</w:t>
            </w:r>
          </w:p>
        </w:tc>
        <w:tc>
          <w:tcPr>
            <w:tcW w:w="4394" w:type="dxa"/>
            <w:shd w:val="clear" w:color="auto" w:fill="auto"/>
          </w:tcPr>
          <w:p w14:paraId="35BCC4F3" w14:textId="77777777" w:rsidR="00875398" w:rsidRPr="00F32542" w:rsidRDefault="00875398" w:rsidP="009A7414">
            <w:pPr>
              <w:widowControl w:val="0"/>
              <w:spacing w:after="0" w:line="240" w:lineRule="auto"/>
              <w:contextualSpacing/>
              <w:jc w:val="both"/>
              <w:rPr>
                <w:rFonts w:ascii="Arial" w:hAnsi="Arial" w:cs="Arial"/>
                <w:bCs/>
                <w:sz w:val="24"/>
                <w:szCs w:val="24"/>
                <w:lang w:val="es-ES_tradnl"/>
              </w:rPr>
            </w:pPr>
            <w:r w:rsidRPr="00F32542">
              <w:rPr>
                <w:rFonts w:ascii="Arial" w:hAnsi="Arial" w:cs="Arial"/>
                <w:sz w:val="24"/>
                <w:szCs w:val="24"/>
                <w:lang w:val="es-ES_tradnl"/>
              </w:rPr>
              <w:t xml:space="preserve">Lineamientos para la postulación de Diputaciones, Alcaldías y </w:t>
            </w:r>
            <w:proofErr w:type="gramStart"/>
            <w:r w:rsidRPr="00F32542">
              <w:rPr>
                <w:rFonts w:ascii="Arial" w:hAnsi="Arial" w:cs="Arial"/>
                <w:sz w:val="24"/>
                <w:szCs w:val="24"/>
                <w:lang w:val="es-ES_tradnl"/>
              </w:rPr>
              <w:t>Concejalías</w:t>
            </w:r>
            <w:proofErr w:type="gramEnd"/>
            <w:r w:rsidRPr="00F32542">
              <w:rPr>
                <w:rFonts w:ascii="Arial" w:hAnsi="Arial" w:cs="Arial"/>
                <w:sz w:val="24"/>
                <w:szCs w:val="24"/>
                <w:lang w:val="es-ES_tradnl"/>
              </w:rPr>
              <w:t xml:space="preserve"> en el Proceso Electoral Local Ordinario 2020-2021, aprobados mediante el Acuerdo IECM-ACU-CG-110/2020</w:t>
            </w:r>
          </w:p>
        </w:tc>
      </w:tr>
      <w:tr w:rsidR="009A7414" w:rsidRPr="00F32542" w14:paraId="7E0F28A0" w14:textId="77777777" w:rsidTr="00D3248E">
        <w:trPr>
          <w:jc w:val="center"/>
        </w:trPr>
        <w:tc>
          <w:tcPr>
            <w:tcW w:w="3261" w:type="dxa"/>
            <w:shd w:val="clear" w:color="auto" w:fill="auto"/>
            <w:vAlign w:val="center"/>
          </w:tcPr>
          <w:p w14:paraId="15550FF2" w14:textId="77777777" w:rsidR="009A7414" w:rsidRPr="00F32542" w:rsidRDefault="009A7414" w:rsidP="009A7414">
            <w:pPr>
              <w:widowControl w:val="0"/>
              <w:spacing w:after="0" w:line="240" w:lineRule="auto"/>
              <w:contextualSpacing/>
              <w:jc w:val="both"/>
              <w:rPr>
                <w:rFonts w:ascii="Arial" w:hAnsi="Arial" w:cs="Arial"/>
                <w:bCs/>
                <w:i/>
                <w:sz w:val="24"/>
                <w:szCs w:val="24"/>
                <w:lang w:val="es-ES_tradnl"/>
              </w:rPr>
            </w:pPr>
            <w:r w:rsidRPr="00F32542">
              <w:rPr>
                <w:rFonts w:ascii="Arial" w:hAnsi="Arial" w:cs="Arial"/>
                <w:bCs/>
                <w:i/>
                <w:sz w:val="24"/>
                <w:szCs w:val="24"/>
                <w:lang w:val="es-ES_tradnl"/>
              </w:rPr>
              <w:t>Partes terceras interesadas</w:t>
            </w:r>
            <w:r w:rsidR="00D47FD3" w:rsidRPr="00F32542">
              <w:rPr>
                <w:rFonts w:ascii="Arial" w:hAnsi="Arial" w:cs="Arial"/>
                <w:bCs/>
                <w:i/>
                <w:sz w:val="24"/>
                <w:szCs w:val="24"/>
                <w:lang w:val="es-ES_tradnl"/>
              </w:rPr>
              <w:t xml:space="preserve"> o comparecientes</w:t>
            </w:r>
          </w:p>
        </w:tc>
        <w:tc>
          <w:tcPr>
            <w:tcW w:w="4394" w:type="dxa"/>
            <w:shd w:val="clear" w:color="auto" w:fill="auto"/>
          </w:tcPr>
          <w:p w14:paraId="7B516EA8" w14:textId="77777777" w:rsidR="009A7414" w:rsidRPr="00F32542" w:rsidRDefault="009A7414" w:rsidP="009A7414">
            <w:pPr>
              <w:widowControl w:val="0"/>
              <w:spacing w:after="0" w:line="240" w:lineRule="auto"/>
              <w:contextualSpacing/>
              <w:jc w:val="both"/>
              <w:rPr>
                <w:rFonts w:ascii="Arial" w:hAnsi="Arial" w:cs="Arial"/>
                <w:bCs/>
                <w:sz w:val="24"/>
                <w:szCs w:val="24"/>
              </w:rPr>
            </w:pPr>
            <w:r w:rsidRPr="00F32542">
              <w:rPr>
                <w:rFonts w:ascii="Arial" w:hAnsi="Arial" w:cs="Arial"/>
                <w:bCs/>
                <w:sz w:val="24"/>
                <w:szCs w:val="24"/>
                <w:lang w:val="es-ES_tradnl"/>
              </w:rPr>
              <w:t xml:space="preserve">Víctor Hugo Lobo Román, Ricardo </w:t>
            </w:r>
            <w:proofErr w:type="spellStart"/>
            <w:r w:rsidRPr="00F32542">
              <w:rPr>
                <w:rFonts w:ascii="Arial" w:hAnsi="Arial" w:cs="Arial"/>
                <w:bCs/>
                <w:sz w:val="24"/>
                <w:szCs w:val="24"/>
                <w:lang w:val="es-ES_tradnl"/>
              </w:rPr>
              <w:t>Janecarlo</w:t>
            </w:r>
            <w:proofErr w:type="spellEnd"/>
            <w:r w:rsidRPr="00F32542">
              <w:rPr>
                <w:rFonts w:ascii="Arial" w:hAnsi="Arial" w:cs="Arial"/>
                <w:bCs/>
                <w:sz w:val="24"/>
                <w:szCs w:val="24"/>
                <w:lang w:val="es-ES_tradnl"/>
              </w:rPr>
              <w:t xml:space="preserve"> Lozano Reynoso, Mónica Fernández Cesar, </w:t>
            </w:r>
            <w:proofErr w:type="spellStart"/>
            <w:r w:rsidRPr="00F32542">
              <w:rPr>
                <w:rFonts w:ascii="Arial" w:hAnsi="Arial" w:cs="Arial"/>
                <w:bCs/>
                <w:sz w:val="24"/>
                <w:szCs w:val="24"/>
                <w:lang w:val="es-ES_tradnl"/>
              </w:rPr>
              <w:t>Jhonatan</w:t>
            </w:r>
            <w:proofErr w:type="spellEnd"/>
            <w:r w:rsidRPr="00F32542">
              <w:rPr>
                <w:rFonts w:ascii="Arial" w:hAnsi="Arial" w:cs="Arial"/>
                <w:bCs/>
                <w:sz w:val="24"/>
                <w:szCs w:val="24"/>
                <w:lang w:val="es-ES_tradnl"/>
              </w:rPr>
              <w:t xml:space="preserve"> Colmenares Rentería, Manuel </w:t>
            </w:r>
            <w:proofErr w:type="spellStart"/>
            <w:r w:rsidRPr="00F32542">
              <w:rPr>
                <w:rFonts w:ascii="Arial" w:hAnsi="Arial" w:cs="Arial"/>
                <w:bCs/>
                <w:sz w:val="24"/>
                <w:szCs w:val="24"/>
                <w:lang w:val="es-ES_tradnl"/>
              </w:rPr>
              <w:t>Talayero</w:t>
            </w:r>
            <w:proofErr w:type="spellEnd"/>
            <w:r w:rsidRPr="00F32542">
              <w:rPr>
                <w:rFonts w:ascii="Arial" w:hAnsi="Arial" w:cs="Arial"/>
                <w:bCs/>
                <w:sz w:val="24"/>
                <w:szCs w:val="24"/>
                <w:lang w:val="es-ES_tradnl"/>
              </w:rPr>
              <w:t xml:space="preserve"> Pariente, Frida Jimena Guillen Ortiz, Lucia Alejandra Puente García, José Gonzalo Espina Miranda</w:t>
            </w:r>
            <w:r w:rsidR="00D47FD3" w:rsidRPr="00F32542">
              <w:rPr>
                <w:rFonts w:ascii="Arial" w:hAnsi="Arial" w:cs="Arial"/>
                <w:bCs/>
                <w:sz w:val="24"/>
                <w:szCs w:val="24"/>
                <w:lang w:val="es-ES_tradnl"/>
              </w:rPr>
              <w:t>,</w:t>
            </w:r>
            <w:r w:rsidRPr="00F32542">
              <w:rPr>
                <w:rFonts w:ascii="Arial" w:hAnsi="Arial" w:cs="Arial"/>
                <w:bCs/>
                <w:sz w:val="24"/>
                <w:szCs w:val="24"/>
                <w:lang w:val="es-ES_tradnl"/>
              </w:rPr>
              <w:t xml:space="preserve"> Pablo Cesar Lezama Barreda</w:t>
            </w:r>
            <w:r w:rsidR="00D47FD3" w:rsidRPr="00F32542">
              <w:rPr>
                <w:rFonts w:ascii="Arial" w:hAnsi="Arial" w:cs="Arial"/>
                <w:bCs/>
                <w:sz w:val="24"/>
                <w:szCs w:val="24"/>
                <w:lang w:val="es-ES_tradnl"/>
              </w:rPr>
              <w:t xml:space="preserve"> </w:t>
            </w:r>
            <w:r w:rsidR="00466F1F" w:rsidRPr="00F32542">
              <w:rPr>
                <w:rFonts w:ascii="Arial" w:hAnsi="Arial" w:cs="Arial"/>
                <w:bCs/>
                <w:sz w:val="24"/>
                <w:szCs w:val="24"/>
                <w:lang w:val="es-ES_tradnl"/>
              </w:rPr>
              <w:t>y P</w:t>
            </w:r>
            <w:r w:rsidR="00D47FD3" w:rsidRPr="00F32542">
              <w:rPr>
                <w:rFonts w:ascii="Arial" w:hAnsi="Arial" w:cs="Arial"/>
                <w:bCs/>
                <w:sz w:val="24"/>
                <w:szCs w:val="24"/>
                <w:lang w:val="es-ES_tradnl"/>
              </w:rPr>
              <w:t>RD,</w:t>
            </w:r>
            <w:r w:rsidR="00466F1F" w:rsidRPr="00F32542">
              <w:rPr>
                <w:rFonts w:ascii="Arial" w:hAnsi="Arial" w:cs="Arial"/>
                <w:bCs/>
                <w:sz w:val="24"/>
                <w:szCs w:val="24"/>
                <w:lang w:val="es-ES_tradnl"/>
              </w:rPr>
              <w:t xml:space="preserve"> respectivamente</w:t>
            </w:r>
            <w:r w:rsidRPr="00F32542">
              <w:rPr>
                <w:rFonts w:ascii="Arial" w:hAnsi="Arial" w:cs="Arial"/>
                <w:bCs/>
                <w:sz w:val="24"/>
                <w:szCs w:val="24"/>
                <w:lang w:val="es-ES_tradnl"/>
              </w:rPr>
              <w:t xml:space="preserve"> .</w:t>
            </w:r>
          </w:p>
        </w:tc>
      </w:tr>
      <w:tr w:rsidR="009A7414" w:rsidRPr="00F32542" w14:paraId="5633A422" w14:textId="77777777" w:rsidTr="00D3248E">
        <w:trPr>
          <w:jc w:val="center"/>
        </w:trPr>
        <w:tc>
          <w:tcPr>
            <w:tcW w:w="3261" w:type="dxa"/>
            <w:shd w:val="clear" w:color="auto" w:fill="auto"/>
            <w:vAlign w:val="center"/>
          </w:tcPr>
          <w:p w14:paraId="26967D3C" w14:textId="77777777" w:rsidR="009A7414" w:rsidRPr="00F32542" w:rsidRDefault="009A7414" w:rsidP="009A7414">
            <w:pPr>
              <w:widowControl w:val="0"/>
              <w:spacing w:after="0" w:line="240" w:lineRule="auto"/>
              <w:contextualSpacing/>
              <w:jc w:val="both"/>
              <w:rPr>
                <w:rFonts w:ascii="Arial" w:hAnsi="Arial" w:cs="Arial"/>
                <w:bCs/>
                <w:i/>
                <w:sz w:val="24"/>
                <w:szCs w:val="24"/>
                <w:lang w:val="es-ES_tradnl"/>
              </w:rPr>
            </w:pPr>
            <w:r w:rsidRPr="00F32542">
              <w:rPr>
                <w:rFonts w:ascii="Arial" w:hAnsi="Arial" w:cs="Arial"/>
                <w:bCs/>
                <w:i/>
                <w:sz w:val="24"/>
                <w:szCs w:val="24"/>
                <w:lang w:val="es-ES_tradnl"/>
              </w:rPr>
              <w:t>PAN</w:t>
            </w:r>
          </w:p>
        </w:tc>
        <w:tc>
          <w:tcPr>
            <w:tcW w:w="4394" w:type="dxa"/>
            <w:shd w:val="clear" w:color="auto" w:fill="auto"/>
          </w:tcPr>
          <w:p w14:paraId="764F2B0E" w14:textId="77777777" w:rsidR="009A7414" w:rsidRPr="00F32542" w:rsidRDefault="009A7414" w:rsidP="009A7414">
            <w:pPr>
              <w:widowControl w:val="0"/>
              <w:spacing w:after="0" w:line="240" w:lineRule="auto"/>
              <w:contextualSpacing/>
              <w:jc w:val="both"/>
              <w:rPr>
                <w:rFonts w:ascii="Arial" w:hAnsi="Arial" w:cs="Arial"/>
                <w:bCs/>
                <w:sz w:val="24"/>
                <w:szCs w:val="24"/>
                <w:lang w:val="es-ES_tradnl"/>
              </w:rPr>
            </w:pPr>
            <w:r w:rsidRPr="00F32542">
              <w:rPr>
                <w:rFonts w:ascii="Arial" w:hAnsi="Arial" w:cs="Arial"/>
                <w:bCs/>
                <w:sz w:val="24"/>
                <w:szCs w:val="24"/>
                <w:lang w:val="es-ES_tradnl"/>
              </w:rPr>
              <w:t>Partido Acción Nacional</w:t>
            </w:r>
          </w:p>
        </w:tc>
      </w:tr>
      <w:tr w:rsidR="009A7414" w:rsidRPr="00F32542" w14:paraId="2F843249" w14:textId="77777777" w:rsidTr="00D3248E">
        <w:trPr>
          <w:jc w:val="center"/>
        </w:trPr>
        <w:tc>
          <w:tcPr>
            <w:tcW w:w="3261" w:type="dxa"/>
            <w:shd w:val="clear" w:color="auto" w:fill="auto"/>
            <w:vAlign w:val="center"/>
          </w:tcPr>
          <w:p w14:paraId="162C837F" w14:textId="77777777" w:rsidR="009A7414" w:rsidRPr="00F32542" w:rsidRDefault="009A7414" w:rsidP="009A7414">
            <w:pPr>
              <w:widowControl w:val="0"/>
              <w:spacing w:after="0" w:line="240" w:lineRule="auto"/>
              <w:contextualSpacing/>
              <w:jc w:val="both"/>
              <w:rPr>
                <w:rFonts w:ascii="Arial" w:hAnsi="Arial" w:cs="Arial"/>
                <w:bCs/>
                <w:i/>
                <w:sz w:val="24"/>
                <w:szCs w:val="24"/>
                <w:lang w:val="es-ES_tradnl"/>
              </w:rPr>
            </w:pPr>
            <w:r w:rsidRPr="00F32542">
              <w:rPr>
                <w:rFonts w:ascii="Arial" w:hAnsi="Arial" w:cs="Arial"/>
                <w:bCs/>
                <w:i/>
                <w:sz w:val="24"/>
                <w:szCs w:val="24"/>
                <w:lang w:val="es-ES_tradnl"/>
              </w:rPr>
              <w:t>PRD</w:t>
            </w:r>
          </w:p>
        </w:tc>
        <w:tc>
          <w:tcPr>
            <w:tcW w:w="4394" w:type="dxa"/>
            <w:shd w:val="clear" w:color="auto" w:fill="auto"/>
          </w:tcPr>
          <w:p w14:paraId="44BD5C21" w14:textId="77777777" w:rsidR="009A7414" w:rsidRPr="00F32542" w:rsidRDefault="009A7414" w:rsidP="009A7414">
            <w:pPr>
              <w:widowControl w:val="0"/>
              <w:spacing w:after="0" w:line="240" w:lineRule="auto"/>
              <w:contextualSpacing/>
              <w:jc w:val="both"/>
              <w:rPr>
                <w:rFonts w:ascii="Arial" w:hAnsi="Arial" w:cs="Arial"/>
                <w:bCs/>
                <w:sz w:val="24"/>
                <w:szCs w:val="24"/>
                <w:lang w:val="es-ES_tradnl"/>
              </w:rPr>
            </w:pPr>
            <w:r w:rsidRPr="00F32542">
              <w:rPr>
                <w:rFonts w:ascii="Arial" w:hAnsi="Arial" w:cs="Arial"/>
                <w:bCs/>
                <w:sz w:val="24"/>
                <w:szCs w:val="24"/>
                <w:lang w:val="es-ES_tradnl"/>
              </w:rPr>
              <w:t>Partido de la Revolución Democrática</w:t>
            </w:r>
          </w:p>
        </w:tc>
      </w:tr>
      <w:tr w:rsidR="009A7414" w:rsidRPr="00F32542" w14:paraId="0F0CC3D0" w14:textId="77777777" w:rsidTr="00D3248E">
        <w:trPr>
          <w:jc w:val="center"/>
        </w:trPr>
        <w:tc>
          <w:tcPr>
            <w:tcW w:w="3261" w:type="dxa"/>
            <w:shd w:val="clear" w:color="auto" w:fill="auto"/>
            <w:vAlign w:val="center"/>
          </w:tcPr>
          <w:p w14:paraId="7D89DB41" w14:textId="77777777" w:rsidR="009A7414" w:rsidRPr="00F32542" w:rsidRDefault="009A7414" w:rsidP="009A7414">
            <w:pPr>
              <w:widowControl w:val="0"/>
              <w:spacing w:after="0" w:line="240" w:lineRule="auto"/>
              <w:contextualSpacing/>
              <w:jc w:val="both"/>
              <w:rPr>
                <w:rFonts w:ascii="Arial" w:hAnsi="Arial" w:cs="Arial"/>
                <w:bCs/>
                <w:i/>
                <w:sz w:val="24"/>
                <w:szCs w:val="24"/>
                <w:lang w:val="es-ES_tradnl"/>
              </w:rPr>
            </w:pPr>
            <w:r w:rsidRPr="00F32542">
              <w:rPr>
                <w:rFonts w:ascii="Arial" w:hAnsi="Arial" w:cs="Arial"/>
                <w:bCs/>
                <w:i/>
                <w:sz w:val="24"/>
                <w:szCs w:val="24"/>
                <w:lang w:val="es-ES_tradnl"/>
              </w:rPr>
              <w:t>PRI</w:t>
            </w:r>
          </w:p>
        </w:tc>
        <w:tc>
          <w:tcPr>
            <w:tcW w:w="4394" w:type="dxa"/>
            <w:shd w:val="clear" w:color="auto" w:fill="auto"/>
          </w:tcPr>
          <w:p w14:paraId="2CAD4A6B" w14:textId="77777777" w:rsidR="009A7414" w:rsidRPr="00F32542" w:rsidRDefault="009A7414" w:rsidP="009A7414">
            <w:pPr>
              <w:widowControl w:val="0"/>
              <w:spacing w:after="0" w:line="240" w:lineRule="auto"/>
              <w:contextualSpacing/>
              <w:jc w:val="both"/>
              <w:rPr>
                <w:rFonts w:ascii="Arial" w:hAnsi="Arial" w:cs="Arial"/>
                <w:bCs/>
                <w:sz w:val="24"/>
                <w:szCs w:val="24"/>
                <w:lang w:val="es-ES_tradnl"/>
              </w:rPr>
            </w:pPr>
            <w:r w:rsidRPr="00F32542">
              <w:rPr>
                <w:rFonts w:ascii="Arial" w:hAnsi="Arial" w:cs="Arial"/>
                <w:bCs/>
                <w:sz w:val="24"/>
                <w:szCs w:val="24"/>
                <w:lang w:val="es-ES_tradnl"/>
              </w:rPr>
              <w:t>Partido Revolucionario Institucional</w:t>
            </w:r>
          </w:p>
        </w:tc>
      </w:tr>
      <w:tr w:rsidR="00875398" w:rsidRPr="00F32542" w14:paraId="1D8980CD" w14:textId="77777777" w:rsidTr="00D3248E">
        <w:trPr>
          <w:jc w:val="center"/>
        </w:trPr>
        <w:tc>
          <w:tcPr>
            <w:tcW w:w="3261" w:type="dxa"/>
            <w:shd w:val="clear" w:color="auto" w:fill="auto"/>
            <w:vAlign w:val="center"/>
          </w:tcPr>
          <w:p w14:paraId="77C0CD56" w14:textId="77777777" w:rsidR="00875398" w:rsidRPr="00F32542" w:rsidRDefault="00875398" w:rsidP="009A7414">
            <w:pPr>
              <w:widowControl w:val="0"/>
              <w:spacing w:after="0" w:line="240" w:lineRule="auto"/>
              <w:contextualSpacing/>
              <w:jc w:val="both"/>
              <w:rPr>
                <w:rFonts w:ascii="Arial" w:hAnsi="Arial" w:cs="Arial"/>
                <w:bCs/>
                <w:i/>
                <w:sz w:val="24"/>
                <w:szCs w:val="24"/>
                <w:lang w:val="es-ES_tradnl"/>
              </w:rPr>
            </w:pPr>
            <w:r w:rsidRPr="00F32542">
              <w:rPr>
                <w:rFonts w:ascii="Arial" w:hAnsi="Arial" w:cs="Arial"/>
                <w:bCs/>
                <w:i/>
                <w:sz w:val="24"/>
                <w:szCs w:val="24"/>
                <w:lang w:val="es-ES_tradnl"/>
              </w:rPr>
              <w:t>PVEM</w:t>
            </w:r>
          </w:p>
        </w:tc>
        <w:tc>
          <w:tcPr>
            <w:tcW w:w="4394" w:type="dxa"/>
            <w:shd w:val="clear" w:color="auto" w:fill="auto"/>
          </w:tcPr>
          <w:p w14:paraId="3A926716" w14:textId="77777777" w:rsidR="00875398" w:rsidRPr="00F32542" w:rsidRDefault="00875398" w:rsidP="009A7414">
            <w:pPr>
              <w:widowControl w:val="0"/>
              <w:spacing w:after="0" w:line="240" w:lineRule="auto"/>
              <w:contextualSpacing/>
              <w:jc w:val="both"/>
              <w:rPr>
                <w:rFonts w:ascii="Arial" w:hAnsi="Arial" w:cs="Arial"/>
                <w:bCs/>
                <w:sz w:val="24"/>
                <w:szCs w:val="24"/>
                <w:lang w:val="es-ES_tradnl"/>
              </w:rPr>
            </w:pPr>
            <w:r w:rsidRPr="00F32542">
              <w:rPr>
                <w:rFonts w:ascii="Arial" w:hAnsi="Arial" w:cs="Arial"/>
                <w:bCs/>
                <w:sz w:val="24"/>
                <w:szCs w:val="24"/>
                <w:lang w:val="es-ES_tradnl"/>
              </w:rPr>
              <w:t>Partido Verde Ecologista de México</w:t>
            </w:r>
          </w:p>
        </w:tc>
      </w:tr>
      <w:tr w:rsidR="009A7414" w:rsidRPr="00F32542" w14:paraId="7CC76C5D" w14:textId="77777777" w:rsidTr="00D3248E">
        <w:trPr>
          <w:jc w:val="center"/>
        </w:trPr>
        <w:tc>
          <w:tcPr>
            <w:tcW w:w="3261" w:type="dxa"/>
            <w:shd w:val="clear" w:color="auto" w:fill="auto"/>
            <w:vAlign w:val="center"/>
          </w:tcPr>
          <w:p w14:paraId="3F1EE8BA" w14:textId="77777777" w:rsidR="009A7414" w:rsidRPr="00F32542" w:rsidRDefault="009A7414" w:rsidP="009A7414">
            <w:pPr>
              <w:widowControl w:val="0"/>
              <w:spacing w:after="0" w:line="240" w:lineRule="auto"/>
              <w:contextualSpacing/>
              <w:jc w:val="both"/>
              <w:rPr>
                <w:rFonts w:ascii="Arial" w:hAnsi="Arial" w:cs="Arial"/>
                <w:color w:val="000000"/>
                <w:sz w:val="24"/>
                <w:szCs w:val="24"/>
                <w:lang w:val="es-ES_tradnl"/>
              </w:rPr>
            </w:pPr>
            <w:r w:rsidRPr="00F32542">
              <w:rPr>
                <w:rFonts w:ascii="Arial" w:hAnsi="Arial" w:cs="Arial"/>
                <w:bCs/>
                <w:i/>
                <w:sz w:val="24"/>
                <w:szCs w:val="24"/>
                <w:lang w:val="es-ES_tradnl"/>
              </w:rPr>
              <w:t>Reglamento Interior</w:t>
            </w:r>
          </w:p>
        </w:tc>
        <w:tc>
          <w:tcPr>
            <w:tcW w:w="4394" w:type="dxa"/>
            <w:shd w:val="clear" w:color="auto" w:fill="auto"/>
          </w:tcPr>
          <w:p w14:paraId="1FD30083" w14:textId="77777777" w:rsidR="009A7414" w:rsidRPr="00F32542" w:rsidRDefault="009A7414" w:rsidP="009A7414">
            <w:pPr>
              <w:widowControl w:val="0"/>
              <w:spacing w:after="0" w:line="240" w:lineRule="auto"/>
              <w:contextualSpacing/>
              <w:jc w:val="both"/>
              <w:rPr>
                <w:rFonts w:ascii="Arial" w:hAnsi="Arial" w:cs="Arial"/>
                <w:b/>
                <w:i/>
                <w:iCs/>
                <w:color w:val="000000"/>
                <w:sz w:val="24"/>
                <w:szCs w:val="24"/>
                <w:lang w:val="es-ES_tradnl"/>
              </w:rPr>
            </w:pPr>
            <w:r w:rsidRPr="00F32542">
              <w:rPr>
                <w:rFonts w:ascii="Arial" w:hAnsi="Arial" w:cs="Arial"/>
                <w:sz w:val="24"/>
                <w:szCs w:val="24"/>
                <w:lang w:val="es-ES_tradnl" w:eastAsia="es-MX"/>
              </w:rPr>
              <w:t>Reglamento Interior del Tribunal Electoral de la Ciudad de México</w:t>
            </w:r>
          </w:p>
        </w:tc>
      </w:tr>
      <w:tr w:rsidR="009A7414" w:rsidRPr="00F32542" w14:paraId="6B427BDC" w14:textId="77777777" w:rsidTr="00D3248E">
        <w:trPr>
          <w:jc w:val="center"/>
        </w:trPr>
        <w:tc>
          <w:tcPr>
            <w:tcW w:w="3261" w:type="dxa"/>
            <w:shd w:val="clear" w:color="auto" w:fill="auto"/>
            <w:vAlign w:val="center"/>
          </w:tcPr>
          <w:p w14:paraId="099536A2" w14:textId="77777777" w:rsidR="009A7414" w:rsidRPr="00F32542" w:rsidRDefault="009A7414" w:rsidP="009A7414">
            <w:pPr>
              <w:widowControl w:val="0"/>
              <w:spacing w:after="0" w:line="240" w:lineRule="auto"/>
              <w:contextualSpacing/>
              <w:jc w:val="both"/>
              <w:rPr>
                <w:rFonts w:ascii="Arial" w:hAnsi="Arial" w:cs="Arial"/>
                <w:bCs/>
                <w:i/>
                <w:sz w:val="24"/>
                <w:szCs w:val="24"/>
                <w:lang w:val="es-ES_tradnl"/>
              </w:rPr>
            </w:pPr>
            <w:r w:rsidRPr="00F32542">
              <w:rPr>
                <w:rFonts w:ascii="Arial" w:hAnsi="Arial" w:cs="Arial"/>
                <w:bCs/>
                <w:i/>
                <w:sz w:val="24"/>
                <w:szCs w:val="24"/>
                <w:lang w:val="es-ES_tradnl"/>
              </w:rPr>
              <w:t>Sala Superior</w:t>
            </w:r>
          </w:p>
        </w:tc>
        <w:tc>
          <w:tcPr>
            <w:tcW w:w="4394" w:type="dxa"/>
            <w:shd w:val="clear" w:color="auto" w:fill="auto"/>
          </w:tcPr>
          <w:p w14:paraId="3C5D884B" w14:textId="77777777" w:rsidR="009A7414" w:rsidRPr="00F32542" w:rsidRDefault="009A7414" w:rsidP="009A7414">
            <w:pPr>
              <w:widowControl w:val="0"/>
              <w:spacing w:after="0" w:line="240" w:lineRule="auto"/>
              <w:contextualSpacing/>
              <w:jc w:val="both"/>
              <w:rPr>
                <w:rFonts w:ascii="Arial" w:hAnsi="Arial" w:cs="Arial"/>
                <w:sz w:val="24"/>
                <w:szCs w:val="24"/>
                <w:lang w:val="es-ES_tradnl" w:eastAsia="es-MX"/>
              </w:rPr>
            </w:pPr>
            <w:r w:rsidRPr="00F32542">
              <w:rPr>
                <w:rFonts w:ascii="Arial" w:hAnsi="Arial" w:cs="Arial"/>
                <w:sz w:val="24"/>
                <w:szCs w:val="24"/>
                <w:lang w:val="es-ES_tradnl" w:eastAsia="es-MX"/>
              </w:rPr>
              <w:t>Sala Superior del Tribunal Electoral del Poder Judicial de la Federación</w:t>
            </w:r>
          </w:p>
        </w:tc>
      </w:tr>
      <w:tr w:rsidR="009A7414" w:rsidRPr="00F32542" w14:paraId="1B164E42" w14:textId="77777777" w:rsidTr="00D3248E">
        <w:trPr>
          <w:jc w:val="center"/>
        </w:trPr>
        <w:tc>
          <w:tcPr>
            <w:tcW w:w="3261" w:type="dxa"/>
            <w:shd w:val="clear" w:color="auto" w:fill="auto"/>
            <w:vAlign w:val="center"/>
          </w:tcPr>
          <w:p w14:paraId="7096A639" w14:textId="77777777" w:rsidR="009A7414" w:rsidRPr="00F32542" w:rsidRDefault="009A7414" w:rsidP="009A7414">
            <w:pPr>
              <w:widowControl w:val="0"/>
              <w:spacing w:after="0" w:line="240" w:lineRule="auto"/>
              <w:contextualSpacing/>
              <w:jc w:val="both"/>
              <w:rPr>
                <w:rFonts w:ascii="Arial" w:hAnsi="Arial" w:cs="Arial"/>
                <w:bCs/>
                <w:i/>
                <w:sz w:val="24"/>
                <w:szCs w:val="24"/>
                <w:lang w:val="es-ES_tradnl"/>
              </w:rPr>
            </w:pPr>
            <w:r w:rsidRPr="00F32542">
              <w:rPr>
                <w:rFonts w:ascii="Arial" w:hAnsi="Arial" w:cs="Arial"/>
                <w:bCs/>
                <w:i/>
                <w:sz w:val="24"/>
                <w:szCs w:val="24"/>
                <w:lang w:val="es-ES_tradnl"/>
              </w:rPr>
              <w:lastRenderedPageBreak/>
              <w:t xml:space="preserve">Suprema Corte </w:t>
            </w:r>
            <w:r w:rsidRPr="00F32542">
              <w:rPr>
                <w:rFonts w:ascii="Arial" w:hAnsi="Arial" w:cs="Arial"/>
                <w:bCs/>
                <w:sz w:val="24"/>
                <w:szCs w:val="24"/>
                <w:lang w:val="es-ES_tradnl"/>
              </w:rPr>
              <w:t>o</w:t>
            </w:r>
            <w:r w:rsidRPr="00F32542">
              <w:rPr>
                <w:rFonts w:ascii="Arial" w:hAnsi="Arial" w:cs="Arial"/>
                <w:bCs/>
                <w:i/>
                <w:sz w:val="24"/>
                <w:szCs w:val="24"/>
                <w:lang w:val="es-ES_tradnl"/>
              </w:rPr>
              <w:t xml:space="preserve"> SCJN</w:t>
            </w:r>
          </w:p>
        </w:tc>
        <w:tc>
          <w:tcPr>
            <w:tcW w:w="4394" w:type="dxa"/>
            <w:shd w:val="clear" w:color="auto" w:fill="auto"/>
          </w:tcPr>
          <w:p w14:paraId="5E73C9EC" w14:textId="77777777" w:rsidR="009A7414" w:rsidRPr="00F32542" w:rsidRDefault="009A7414" w:rsidP="009A7414">
            <w:pPr>
              <w:widowControl w:val="0"/>
              <w:spacing w:after="0" w:line="240" w:lineRule="auto"/>
              <w:contextualSpacing/>
              <w:jc w:val="both"/>
              <w:rPr>
                <w:rFonts w:ascii="Arial" w:hAnsi="Arial" w:cs="Arial"/>
                <w:sz w:val="24"/>
                <w:szCs w:val="24"/>
                <w:lang w:val="es-ES_tradnl" w:eastAsia="es-MX"/>
              </w:rPr>
            </w:pPr>
            <w:r w:rsidRPr="00F32542">
              <w:rPr>
                <w:rFonts w:ascii="Arial" w:hAnsi="Arial" w:cs="Arial"/>
                <w:sz w:val="24"/>
                <w:szCs w:val="24"/>
                <w:lang w:val="es-ES_tradnl" w:eastAsia="es-MX"/>
              </w:rPr>
              <w:t>Suprema Corte de Justicia de la Nación</w:t>
            </w:r>
          </w:p>
        </w:tc>
      </w:tr>
      <w:tr w:rsidR="009A7414" w:rsidRPr="00F32542" w14:paraId="18723254" w14:textId="77777777" w:rsidTr="00D3248E">
        <w:trPr>
          <w:jc w:val="center"/>
        </w:trPr>
        <w:tc>
          <w:tcPr>
            <w:tcW w:w="3261" w:type="dxa"/>
            <w:shd w:val="clear" w:color="auto" w:fill="auto"/>
            <w:vAlign w:val="center"/>
          </w:tcPr>
          <w:p w14:paraId="41C5068E" w14:textId="77777777" w:rsidR="009A7414" w:rsidRPr="00F32542" w:rsidRDefault="009A7414" w:rsidP="009A7414">
            <w:pPr>
              <w:autoSpaceDE w:val="0"/>
              <w:autoSpaceDN w:val="0"/>
              <w:adjustRightInd w:val="0"/>
              <w:spacing w:after="0" w:line="240" w:lineRule="auto"/>
              <w:jc w:val="both"/>
              <w:rPr>
                <w:rFonts w:ascii="Arial" w:hAnsi="Arial" w:cs="Arial"/>
                <w:color w:val="000000"/>
                <w:sz w:val="24"/>
                <w:szCs w:val="24"/>
                <w:lang w:val="es-ES_tradnl"/>
              </w:rPr>
            </w:pPr>
            <w:r w:rsidRPr="00F32542">
              <w:rPr>
                <w:rFonts w:ascii="Arial" w:hAnsi="Arial" w:cs="Arial"/>
                <w:bCs/>
                <w:i/>
                <w:sz w:val="24"/>
                <w:szCs w:val="24"/>
                <w:lang w:val="es-ES_tradnl"/>
              </w:rPr>
              <w:t>Tribunal Electoral</w:t>
            </w:r>
          </w:p>
        </w:tc>
        <w:tc>
          <w:tcPr>
            <w:tcW w:w="4394" w:type="dxa"/>
            <w:shd w:val="clear" w:color="auto" w:fill="auto"/>
          </w:tcPr>
          <w:p w14:paraId="3E99417D" w14:textId="77777777" w:rsidR="009A7414" w:rsidRPr="00F32542" w:rsidRDefault="009A7414" w:rsidP="009A7414">
            <w:pPr>
              <w:widowControl w:val="0"/>
              <w:spacing w:after="0" w:line="240" w:lineRule="auto"/>
              <w:contextualSpacing/>
              <w:jc w:val="both"/>
              <w:rPr>
                <w:rFonts w:ascii="Arial" w:hAnsi="Arial" w:cs="Arial"/>
                <w:b/>
                <w:i/>
                <w:iCs/>
                <w:color w:val="000000"/>
                <w:sz w:val="24"/>
                <w:szCs w:val="24"/>
                <w:lang w:val="es-ES_tradnl"/>
              </w:rPr>
            </w:pPr>
            <w:r w:rsidRPr="00F32542">
              <w:rPr>
                <w:rFonts w:ascii="Arial" w:hAnsi="Arial" w:cs="Arial"/>
                <w:bCs/>
                <w:sz w:val="24"/>
                <w:szCs w:val="24"/>
                <w:lang w:val="es-ES_tradnl"/>
              </w:rPr>
              <w:t>Tribunal Electoral de la Ciudad de México</w:t>
            </w:r>
          </w:p>
        </w:tc>
      </w:tr>
    </w:tbl>
    <w:p w14:paraId="700172CA" w14:textId="77777777" w:rsidR="00142AAE" w:rsidRPr="00F32542" w:rsidRDefault="00142AAE" w:rsidP="00142AAE">
      <w:pPr>
        <w:pStyle w:val="NormalWeb"/>
        <w:widowControl w:val="0"/>
        <w:spacing w:before="0" w:beforeAutospacing="0" w:after="0" w:afterAutospacing="0" w:line="360" w:lineRule="auto"/>
        <w:jc w:val="center"/>
        <w:rPr>
          <w:rFonts w:ascii="Arial" w:hAnsi="Arial" w:cs="Arial"/>
          <w:b/>
          <w:bCs/>
          <w:sz w:val="28"/>
          <w:szCs w:val="28"/>
          <w:lang w:val="es-ES_tradnl"/>
        </w:rPr>
      </w:pPr>
    </w:p>
    <w:p w14:paraId="029DAB05" w14:textId="77777777" w:rsidR="00142AAE" w:rsidRPr="00F32542" w:rsidRDefault="00142AAE" w:rsidP="00142AAE">
      <w:pPr>
        <w:pStyle w:val="Ttulo1"/>
        <w:spacing w:before="0" w:line="360" w:lineRule="auto"/>
        <w:jc w:val="center"/>
        <w:rPr>
          <w:rFonts w:ascii="Arial" w:hAnsi="Arial" w:cs="Arial"/>
          <w:b/>
          <w:color w:val="auto"/>
          <w:sz w:val="28"/>
          <w:szCs w:val="28"/>
          <w:lang w:val="es-ES_tradnl"/>
        </w:rPr>
      </w:pPr>
      <w:bookmarkStart w:id="3" w:name="_Toc77856952"/>
      <w:bookmarkStart w:id="4" w:name="_Toc77982019"/>
      <w:bookmarkStart w:id="5" w:name="_Toc77983178"/>
      <w:r w:rsidRPr="00F32542">
        <w:rPr>
          <w:rFonts w:ascii="Arial" w:hAnsi="Arial" w:cs="Arial"/>
          <w:b/>
          <w:color w:val="auto"/>
          <w:sz w:val="28"/>
          <w:szCs w:val="28"/>
          <w:lang w:val="es-ES_tradnl"/>
        </w:rPr>
        <w:t>ANTECEDENTES</w:t>
      </w:r>
      <w:bookmarkEnd w:id="3"/>
      <w:bookmarkEnd w:id="4"/>
      <w:bookmarkEnd w:id="5"/>
    </w:p>
    <w:p w14:paraId="75B68733" w14:textId="77777777" w:rsidR="00142AAE" w:rsidRPr="00F32542" w:rsidRDefault="00142AAE" w:rsidP="00142AAE">
      <w:pPr>
        <w:pStyle w:val="NormalWeb"/>
        <w:widowControl w:val="0"/>
        <w:spacing w:before="0" w:beforeAutospacing="0" w:after="0" w:afterAutospacing="0" w:line="360" w:lineRule="auto"/>
        <w:ind w:left="708" w:hanging="708"/>
        <w:jc w:val="center"/>
        <w:rPr>
          <w:rFonts w:ascii="Arial" w:hAnsi="Arial" w:cs="Arial"/>
          <w:b/>
          <w:bCs/>
          <w:sz w:val="28"/>
          <w:szCs w:val="28"/>
          <w:lang w:val="es-ES_tradnl"/>
        </w:rPr>
      </w:pPr>
    </w:p>
    <w:p w14:paraId="766DAC0F" w14:textId="77777777" w:rsidR="00142AAE" w:rsidRPr="00F32542" w:rsidRDefault="00142AAE" w:rsidP="00142AAE">
      <w:pPr>
        <w:spacing w:after="0" w:line="360" w:lineRule="auto"/>
        <w:jc w:val="both"/>
        <w:rPr>
          <w:rFonts w:ascii="Arial" w:eastAsia="Calibri" w:hAnsi="Arial" w:cs="Arial"/>
          <w:sz w:val="28"/>
          <w:szCs w:val="28"/>
          <w:lang w:val="es-ES_tradnl"/>
        </w:rPr>
      </w:pPr>
      <w:r w:rsidRPr="00F32542">
        <w:rPr>
          <w:rFonts w:ascii="Arial" w:eastAsia="Calibri" w:hAnsi="Arial" w:cs="Arial"/>
          <w:sz w:val="28"/>
          <w:szCs w:val="28"/>
          <w:lang w:val="es-ES_tradnl"/>
        </w:rPr>
        <w:t xml:space="preserve">De la narración efectuada por </w:t>
      </w:r>
      <w:r w:rsidR="00F16F55" w:rsidRPr="00F32542">
        <w:rPr>
          <w:rFonts w:ascii="Arial" w:eastAsia="Calibri" w:hAnsi="Arial" w:cs="Arial"/>
          <w:sz w:val="28"/>
          <w:szCs w:val="28"/>
          <w:lang w:val="es-ES_tradnl"/>
        </w:rPr>
        <w:t xml:space="preserve">las personas y representantes de los </w:t>
      </w:r>
      <w:r w:rsidRPr="00F32542">
        <w:rPr>
          <w:rFonts w:ascii="Arial" w:eastAsia="Calibri" w:hAnsi="Arial" w:cs="Arial"/>
          <w:sz w:val="28"/>
          <w:szCs w:val="28"/>
          <w:lang w:val="es-ES_tradnl"/>
        </w:rPr>
        <w:t xml:space="preserve">partidos promoventes en sus demandas, de los hechos notorios invocados conforme al artículo 52 de la </w:t>
      </w:r>
      <w:r w:rsidRPr="00F32542">
        <w:rPr>
          <w:rFonts w:ascii="Arial" w:eastAsia="Calibri" w:hAnsi="Arial" w:cs="Arial"/>
          <w:i/>
          <w:sz w:val="28"/>
          <w:szCs w:val="28"/>
          <w:lang w:val="es-ES_tradnl"/>
        </w:rPr>
        <w:t>Ley Procesal</w:t>
      </w:r>
      <w:r w:rsidRPr="00F32542">
        <w:rPr>
          <w:rFonts w:ascii="Arial" w:eastAsia="Calibri" w:hAnsi="Arial" w:cs="Arial"/>
          <w:sz w:val="28"/>
          <w:szCs w:val="28"/>
          <w:lang w:val="es-ES_tradnl"/>
        </w:rPr>
        <w:t>, así como de los autos que obran en los expedientes, se advierte lo siguiente:</w:t>
      </w:r>
    </w:p>
    <w:p w14:paraId="686EA805" w14:textId="77777777" w:rsidR="00101AC8" w:rsidRPr="00F32542" w:rsidRDefault="00101AC8" w:rsidP="00142AAE">
      <w:pPr>
        <w:spacing w:after="0" w:line="360" w:lineRule="auto"/>
        <w:rPr>
          <w:rFonts w:ascii="Arial" w:hAnsi="Arial" w:cs="Arial"/>
          <w:b/>
          <w:sz w:val="28"/>
          <w:szCs w:val="28"/>
          <w:lang w:val="es-ES_tradnl"/>
        </w:rPr>
      </w:pPr>
    </w:p>
    <w:p w14:paraId="7830A94C" w14:textId="77777777" w:rsidR="00101AC8" w:rsidRPr="00F32542" w:rsidRDefault="003D047A" w:rsidP="00101AC8">
      <w:pPr>
        <w:spacing w:after="0" w:line="360" w:lineRule="auto"/>
        <w:rPr>
          <w:rFonts w:ascii="Arial" w:hAnsi="Arial" w:cs="Arial"/>
          <w:b/>
          <w:bCs/>
          <w:i/>
          <w:sz w:val="28"/>
          <w:szCs w:val="28"/>
          <w:lang w:val="es-ES_tradnl"/>
        </w:rPr>
      </w:pPr>
      <w:r w:rsidRPr="00F32542">
        <w:rPr>
          <w:rFonts w:ascii="Arial" w:hAnsi="Arial" w:cs="Arial"/>
          <w:b/>
          <w:bCs/>
          <w:sz w:val="28"/>
          <w:szCs w:val="28"/>
          <w:lang w:val="es-ES_tradnl"/>
        </w:rPr>
        <w:t>I</w:t>
      </w:r>
      <w:r w:rsidR="00101AC8" w:rsidRPr="00F32542">
        <w:rPr>
          <w:rFonts w:ascii="Arial" w:hAnsi="Arial" w:cs="Arial"/>
          <w:b/>
          <w:bCs/>
          <w:sz w:val="28"/>
          <w:szCs w:val="28"/>
          <w:lang w:val="es-ES_tradnl"/>
        </w:rPr>
        <w:t>. Proceso Electoral 2020-2021</w:t>
      </w:r>
    </w:p>
    <w:p w14:paraId="7DDBAE82" w14:textId="77777777" w:rsidR="00142AAE" w:rsidRPr="00F32542" w:rsidRDefault="00142AAE" w:rsidP="00142AAE">
      <w:pPr>
        <w:spacing w:after="0" w:line="360" w:lineRule="auto"/>
        <w:rPr>
          <w:rFonts w:ascii="Arial" w:hAnsi="Arial" w:cs="Arial"/>
          <w:b/>
          <w:sz w:val="28"/>
          <w:szCs w:val="28"/>
          <w:lang w:val="es-ES_tradnl"/>
        </w:rPr>
      </w:pPr>
    </w:p>
    <w:p w14:paraId="6FC2B2A0" w14:textId="77777777" w:rsidR="00142AAE" w:rsidRPr="00F32542" w:rsidRDefault="00142AAE" w:rsidP="00142AAE">
      <w:pPr>
        <w:tabs>
          <w:tab w:val="left" w:pos="7655"/>
          <w:tab w:val="left" w:pos="7938"/>
        </w:tabs>
        <w:spacing w:after="0" w:line="360" w:lineRule="auto"/>
        <w:jc w:val="both"/>
        <w:rPr>
          <w:rFonts w:ascii="Arial" w:hAnsi="Arial" w:cs="Arial"/>
          <w:sz w:val="28"/>
          <w:szCs w:val="28"/>
          <w:lang w:val="es-ES_tradnl" w:eastAsia="es-MX"/>
        </w:rPr>
      </w:pPr>
      <w:r w:rsidRPr="00F32542">
        <w:rPr>
          <w:rFonts w:ascii="Arial" w:hAnsi="Arial" w:cs="Arial"/>
          <w:b/>
          <w:bCs/>
          <w:sz w:val="28"/>
          <w:szCs w:val="28"/>
          <w:lang w:val="es-ES_tradnl" w:eastAsia="es-MX"/>
        </w:rPr>
        <w:t xml:space="preserve">1. </w:t>
      </w:r>
      <w:r w:rsidRPr="00F32542">
        <w:rPr>
          <w:rFonts w:ascii="Arial" w:hAnsi="Arial" w:cs="Arial"/>
          <w:b/>
          <w:bCs/>
          <w:sz w:val="28"/>
          <w:szCs w:val="28"/>
          <w:lang w:val="es-ES_tradnl"/>
        </w:rPr>
        <w:t xml:space="preserve">Convocatoria al Proceso Electoral Local Ordinario 2020-2021. </w:t>
      </w:r>
      <w:r w:rsidRPr="00F32542">
        <w:rPr>
          <w:rFonts w:ascii="Arial" w:hAnsi="Arial" w:cs="Arial"/>
          <w:sz w:val="28"/>
          <w:szCs w:val="28"/>
          <w:lang w:val="es-ES_tradnl" w:eastAsia="es-MX"/>
        </w:rPr>
        <w:t xml:space="preserve">El diez de agosto de dos mil veinte, el Consejo General del </w:t>
      </w:r>
      <w:r w:rsidRPr="00F32542">
        <w:rPr>
          <w:rFonts w:ascii="Arial" w:hAnsi="Arial" w:cs="Arial"/>
          <w:i/>
          <w:sz w:val="28"/>
          <w:szCs w:val="28"/>
          <w:lang w:val="es-ES_tradnl" w:eastAsia="es-MX"/>
        </w:rPr>
        <w:t xml:space="preserve">Instituto Electoral </w:t>
      </w:r>
      <w:r w:rsidRPr="00F32542">
        <w:rPr>
          <w:rFonts w:ascii="Arial" w:hAnsi="Arial" w:cs="Arial"/>
          <w:sz w:val="28"/>
          <w:szCs w:val="28"/>
          <w:lang w:val="es-ES_tradnl" w:eastAsia="es-MX"/>
        </w:rPr>
        <w:t xml:space="preserve">emitió el Acuerdo </w:t>
      </w:r>
      <w:r w:rsidRPr="00F32542">
        <w:rPr>
          <w:rFonts w:ascii="Arial" w:hAnsi="Arial" w:cs="Arial"/>
          <w:b/>
          <w:sz w:val="28"/>
          <w:szCs w:val="28"/>
          <w:lang w:val="es-ES_tradnl" w:eastAsia="es-MX"/>
        </w:rPr>
        <w:t xml:space="preserve">IECM/ ACU-CG-051/2020 </w:t>
      </w:r>
      <w:r w:rsidRPr="00F32542">
        <w:rPr>
          <w:rFonts w:ascii="Arial" w:hAnsi="Arial" w:cs="Arial"/>
          <w:sz w:val="28"/>
          <w:szCs w:val="28"/>
          <w:lang w:val="es-ES_tradnl" w:eastAsia="es-MX"/>
        </w:rPr>
        <w:t>por el que se aprobó la Convocatoria dirigida a la ciudadanía y partidos políticos a participar en el Proceso Electoral Local Ordinario 2020-2021, para elegir a las</w:t>
      </w:r>
      <w:r w:rsidR="00466F1F" w:rsidRPr="00F32542">
        <w:rPr>
          <w:rFonts w:ascii="Arial" w:hAnsi="Arial" w:cs="Arial"/>
          <w:sz w:val="28"/>
          <w:szCs w:val="28"/>
          <w:lang w:val="es-ES_tradnl" w:eastAsia="es-MX"/>
        </w:rPr>
        <w:t xml:space="preserve"> </w:t>
      </w:r>
      <w:r w:rsidR="00466F1F" w:rsidRPr="00F32542">
        <w:rPr>
          <w:rFonts w:ascii="Arial" w:hAnsi="Arial" w:cs="Arial"/>
          <w:b/>
          <w:bCs/>
          <w:sz w:val="28"/>
          <w:szCs w:val="28"/>
          <w:lang w:val="es-ES_tradnl" w:eastAsia="es-MX"/>
        </w:rPr>
        <w:t>d</w:t>
      </w:r>
      <w:r w:rsidRPr="00F32542">
        <w:rPr>
          <w:rFonts w:ascii="Arial" w:hAnsi="Arial" w:cs="Arial"/>
          <w:b/>
          <w:bCs/>
          <w:sz w:val="28"/>
          <w:szCs w:val="28"/>
          <w:lang w:val="es-ES_tradnl" w:eastAsia="es-MX"/>
        </w:rPr>
        <w:t>iputaciones del Congreso</w:t>
      </w:r>
      <w:r w:rsidR="00466F1F" w:rsidRPr="00F32542">
        <w:rPr>
          <w:rFonts w:ascii="Arial" w:hAnsi="Arial" w:cs="Arial"/>
          <w:b/>
          <w:bCs/>
          <w:sz w:val="28"/>
          <w:szCs w:val="28"/>
          <w:lang w:val="es-ES_tradnl" w:eastAsia="es-MX"/>
        </w:rPr>
        <w:t xml:space="preserve"> local</w:t>
      </w:r>
      <w:r w:rsidRPr="00F32542">
        <w:rPr>
          <w:rFonts w:ascii="Arial" w:hAnsi="Arial" w:cs="Arial"/>
          <w:sz w:val="28"/>
          <w:szCs w:val="28"/>
          <w:lang w:val="es-ES_tradnl" w:eastAsia="es-MX"/>
        </w:rPr>
        <w:t xml:space="preserve">; </w:t>
      </w:r>
      <w:r w:rsidR="00466F1F" w:rsidRPr="00F32542">
        <w:rPr>
          <w:rFonts w:ascii="Arial" w:hAnsi="Arial" w:cs="Arial"/>
          <w:sz w:val="28"/>
          <w:szCs w:val="28"/>
          <w:lang w:val="es-ES_tradnl" w:eastAsia="es-MX"/>
        </w:rPr>
        <w:t xml:space="preserve">así como a </w:t>
      </w:r>
      <w:r w:rsidRPr="00F32542">
        <w:rPr>
          <w:rFonts w:ascii="Arial" w:hAnsi="Arial" w:cs="Arial"/>
          <w:sz w:val="28"/>
          <w:szCs w:val="28"/>
          <w:lang w:val="es-ES_tradnl" w:eastAsia="es-MX"/>
        </w:rPr>
        <w:t xml:space="preserve">las </w:t>
      </w:r>
      <w:r w:rsidR="00466F1F" w:rsidRPr="00F32542">
        <w:rPr>
          <w:rFonts w:ascii="Arial" w:hAnsi="Arial" w:cs="Arial"/>
          <w:bCs/>
          <w:sz w:val="28"/>
          <w:szCs w:val="28"/>
          <w:lang w:val="es-ES_tradnl" w:eastAsia="es-MX"/>
        </w:rPr>
        <w:t>a</w:t>
      </w:r>
      <w:r w:rsidRPr="00F32542">
        <w:rPr>
          <w:rFonts w:ascii="Arial" w:hAnsi="Arial" w:cs="Arial"/>
          <w:bCs/>
          <w:sz w:val="28"/>
          <w:szCs w:val="28"/>
          <w:lang w:val="es-ES_tradnl" w:eastAsia="es-MX"/>
        </w:rPr>
        <w:t>lcaldía</w:t>
      </w:r>
      <w:r w:rsidR="009058EE" w:rsidRPr="00F32542">
        <w:rPr>
          <w:rFonts w:ascii="Arial" w:hAnsi="Arial" w:cs="Arial"/>
          <w:bCs/>
          <w:sz w:val="28"/>
          <w:szCs w:val="28"/>
          <w:lang w:val="es-ES_tradnl" w:eastAsia="es-MX"/>
        </w:rPr>
        <w:t>s y</w:t>
      </w:r>
      <w:r w:rsidRPr="00F32542">
        <w:rPr>
          <w:rFonts w:ascii="Arial" w:hAnsi="Arial" w:cs="Arial"/>
          <w:sz w:val="28"/>
          <w:szCs w:val="28"/>
          <w:lang w:val="es-ES_tradnl" w:eastAsia="es-MX"/>
        </w:rPr>
        <w:t xml:space="preserve"> </w:t>
      </w:r>
      <w:r w:rsidR="00466F1F" w:rsidRPr="00F32542">
        <w:rPr>
          <w:rFonts w:ascii="Arial" w:hAnsi="Arial" w:cs="Arial"/>
          <w:sz w:val="28"/>
          <w:szCs w:val="28"/>
          <w:lang w:val="es-ES_tradnl" w:eastAsia="es-MX"/>
        </w:rPr>
        <w:t>c</w:t>
      </w:r>
      <w:r w:rsidRPr="00F32542">
        <w:rPr>
          <w:rFonts w:ascii="Arial" w:hAnsi="Arial" w:cs="Arial"/>
          <w:sz w:val="28"/>
          <w:szCs w:val="28"/>
          <w:lang w:val="es-ES_tradnl" w:eastAsia="es-MX"/>
        </w:rPr>
        <w:t>oncejalías de las dieciséis demarcaciones territoriales, cuya jornada electoral se celebró el seis de junio de dos mil veintiuno.</w:t>
      </w:r>
    </w:p>
    <w:p w14:paraId="1B4B98A4" w14:textId="77777777" w:rsidR="00142AAE" w:rsidRPr="00F32542" w:rsidRDefault="00142AAE" w:rsidP="00142AAE">
      <w:pPr>
        <w:spacing w:after="0" w:line="360" w:lineRule="auto"/>
        <w:jc w:val="both"/>
        <w:rPr>
          <w:rFonts w:ascii="Arial" w:hAnsi="Arial" w:cs="Arial"/>
          <w:b/>
          <w:sz w:val="28"/>
          <w:szCs w:val="28"/>
          <w:lang w:val="es-ES_tradnl"/>
        </w:rPr>
      </w:pPr>
    </w:p>
    <w:p w14:paraId="3E2B9070" w14:textId="77777777" w:rsidR="00142AAE" w:rsidRPr="00F32542" w:rsidRDefault="00C728FF" w:rsidP="00142AAE">
      <w:pPr>
        <w:spacing w:after="0" w:line="360" w:lineRule="auto"/>
        <w:jc w:val="both"/>
        <w:rPr>
          <w:rFonts w:ascii="Arial" w:hAnsi="Arial" w:cs="Arial"/>
          <w:sz w:val="28"/>
          <w:szCs w:val="28"/>
          <w:lang w:val="es-ES_tradnl"/>
        </w:rPr>
      </w:pPr>
      <w:r w:rsidRPr="00F32542">
        <w:rPr>
          <w:rFonts w:ascii="Arial" w:hAnsi="Arial" w:cs="Arial"/>
          <w:b/>
          <w:sz w:val="28"/>
          <w:szCs w:val="28"/>
          <w:lang w:val="es-ES_tradnl"/>
        </w:rPr>
        <w:t>2</w:t>
      </w:r>
      <w:r w:rsidR="00142AAE" w:rsidRPr="00F32542">
        <w:rPr>
          <w:rFonts w:ascii="Arial" w:hAnsi="Arial" w:cs="Arial"/>
          <w:b/>
          <w:sz w:val="28"/>
          <w:szCs w:val="28"/>
          <w:lang w:val="es-ES_tradnl"/>
        </w:rPr>
        <w:t xml:space="preserve">. Inicio del Proceso Electoral Local. </w:t>
      </w:r>
      <w:r w:rsidR="00142AAE" w:rsidRPr="00F32542">
        <w:rPr>
          <w:rFonts w:ascii="Arial" w:hAnsi="Arial" w:cs="Arial"/>
          <w:sz w:val="28"/>
          <w:szCs w:val="28"/>
          <w:lang w:val="es-ES_tradnl"/>
        </w:rPr>
        <w:t xml:space="preserve">EI once de septiembre de dos mil veinte, el mencionado </w:t>
      </w:r>
      <w:r w:rsidR="00142AAE" w:rsidRPr="00F32542">
        <w:rPr>
          <w:rFonts w:ascii="Arial" w:hAnsi="Arial" w:cs="Arial"/>
          <w:iCs/>
          <w:sz w:val="28"/>
          <w:szCs w:val="28"/>
          <w:lang w:val="es-ES_tradnl"/>
        </w:rPr>
        <w:t>Consejo General</w:t>
      </w:r>
      <w:r w:rsidR="00142AAE" w:rsidRPr="00F32542">
        <w:rPr>
          <w:rFonts w:ascii="Arial" w:hAnsi="Arial" w:cs="Arial"/>
          <w:sz w:val="28"/>
          <w:szCs w:val="28"/>
          <w:lang w:val="es-ES_tradnl"/>
        </w:rPr>
        <w:t xml:space="preserve"> emitió la declaratoria formal del inicio del Proceso Electoral Ordinario 2020-2021.</w:t>
      </w:r>
    </w:p>
    <w:p w14:paraId="2850EFC2" w14:textId="77777777" w:rsidR="00C728FF" w:rsidRPr="00F32542" w:rsidRDefault="00C728FF" w:rsidP="00142AAE">
      <w:pPr>
        <w:spacing w:after="0" w:line="360" w:lineRule="auto"/>
        <w:jc w:val="both"/>
        <w:rPr>
          <w:rFonts w:ascii="Arial" w:hAnsi="Arial" w:cs="Arial"/>
          <w:sz w:val="28"/>
          <w:szCs w:val="28"/>
          <w:lang w:val="es-ES_tradnl"/>
        </w:rPr>
      </w:pPr>
    </w:p>
    <w:p w14:paraId="440A9B80" w14:textId="77777777" w:rsidR="00C728FF" w:rsidRPr="00F32542" w:rsidRDefault="00C728FF" w:rsidP="00C728FF">
      <w:pPr>
        <w:tabs>
          <w:tab w:val="left" w:pos="7655"/>
          <w:tab w:val="left" w:pos="7938"/>
        </w:tabs>
        <w:spacing w:after="0" w:line="360" w:lineRule="auto"/>
        <w:jc w:val="both"/>
        <w:rPr>
          <w:rFonts w:ascii="Arial" w:hAnsi="Arial" w:cs="Arial"/>
          <w:sz w:val="28"/>
          <w:szCs w:val="28"/>
          <w:lang w:val="es-ES_tradnl"/>
        </w:rPr>
      </w:pPr>
      <w:r w:rsidRPr="00F32542">
        <w:rPr>
          <w:rFonts w:ascii="Arial" w:hAnsi="Arial" w:cs="Arial"/>
          <w:b/>
          <w:bCs/>
          <w:sz w:val="28"/>
          <w:szCs w:val="28"/>
          <w:lang w:val="es-ES_tradnl"/>
        </w:rPr>
        <w:t>3. Lineamientos</w:t>
      </w:r>
      <w:r w:rsidRPr="00F32542">
        <w:rPr>
          <w:rFonts w:ascii="Arial" w:hAnsi="Arial" w:cs="Arial"/>
          <w:sz w:val="28"/>
          <w:szCs w:val="28"/>
          <w:lang w:val="es-ES_tradnl"/>
        </w:rPr>
        <w:t>. El nueve de diciembre de dos mil veinte, el Consejo Genera</w:t>
      </w:r>
      <w:r w:rsidR="00A9503D" w:rsidRPr="00F32542">
        <w:rPr>
          <w:rFonts w:ascii="Arial" w:hAnsi="Arial" w:cs="Arial"/>
          <w:sz w:val="28"/>
          <w:szCs w:val="28"/>
          <w:lang w:val="es-ES_tradnl"/>
        </w:rPr>
        <w:t>l</w:t>
      </w:r>
      <w:r w:rsidRPr="00F32542">
        <w:rPr>
          <w:rFonts w:ascii="Arial" w:hAnsi="Arial" w:cs="Arial"/>
          <w:sz w:val="28"/>
          <w:szCs w:val="28"/>
          <w:lang w:val="es-ES_tradnl"/>
        </w:rPr>
        <w:t xml:space="preserve"> del Instituto Electoral aprobó el Acuerdo IECM-ACU-CG-</w:t>
      </w:r>
      <w:r w:rsidR="009A7414" w:rsidRPr="00F32542">
        <w:rPr>
          <w:rFonts w:ascii="Arial" w:hAnsi="Arial" w:cs="Arial"/>
          <w:sz w:val="28"/>
          <w:szCs w:val="28"/>
          <w:lang w:val="es-ES_tradnl"/>
        </w:rPr>
        <w:t>11</w:t>
      </w:r>
      <w:r w:rsidRPr="00F32542">
        <w:rPr>
          <w:rFonts w:ascii="Arial" w:hAnsi="Arial" w:cs="Arial"/>
          <w:sz w:val="28"/>
          <w:szCs w:val="28"/>
          <w:lang w:val="es-ES_tradnl"/>
        </w:rPr>
        <w:t xml:space="preserve">0/2020, </w:t>
      </w:r>
      <w:r w:rsidR="00466F1F" w:rsidRPr="00F32542">
        <w:rPr>
          <w:rFonts w:ascii="Arial" w:hAnsi="Arial" w:cs="Arial"/>
          <w:sz w:val="28"/>
          <w:szCs w:val="28"/>
          <w:lang w:val="es-ES_tradnl"/>
        </w:rPr>
        <w:t>mediante el cual emitió</w:t>
      </w:r>
      <w:r w:rsidRPr="00F32542">
        <w:rPr>
          <w:rFonts w:ascii="Arial" w:hAnsi="Arial" w:cs="Arial"/>
          <w:sz w:val="28"/>
          <w:szCs w:val="28"/>
          <w:lang w:val="es-ES_tradnl"/>
        </w:rPr>
        <w:t xml:space="preserve"> los </w:t>
      </w:r>
      <w:r w:rsidR="009A7414" w:rsidRPr="00F32542">
        <w:rPr>
          <w:rFonts w:ascii="Arial" w:hAnsi="Arial" w:cs="Arial"/>
          <w:sz w:val="28"/>
          <w:szCs w:val="28"/>
          <w:lang w:val="es-ES_tradnl"/>
        </w:rPr>
        <w:t>“</w:t>
      </w:r>
      <w:r w:rsidRPr="00F32542">
        <w:rPr>
          <w:rFonts w:ascii="Arial" w:hAnsi="Arial" w:cs="Arial"/>
          <w:i/>
          <w:iCs/>
          <w:sz w:val="28"/>
          <w:szCs w:val="28"/>
          <w:lang w:val="es-ES_tradnl"/>
        </w:rPr>
        <w:t>Lineamientos para la asignación</w:t>
      </w:r>
      <w:r w:rsidR="009A7414" w:rsidRPr="00F32542">
        <w:rPr>
          <w:rFonts w:ascii="Arial" w:hAnsi="Arial" w:cs="Arial"/>
          <w:sz w:val="28"/>
          <w:szCs w:val="28"/>
          <w:lang w:val="es-ES_tradnl"/>
        </w:rPr>
        <w:t>”</w:t>
      </w:r>
      <w:r w:rsidRPr="00F32542">
        <w:rPr>
          <w:rFonts w:ascii="Arial" w:hAnsi="Arial" w:cs="Arial"/>
          <w:sz w:val="28"/>
          <w:szCs w:val="28"/>
          <w:lang w:val="es-ES_tradnl"/>
        </w:rPr>
        <w:t xml:space="preserve">. </w:t>
      </w:r>
    </w:p>
    <w:p w14:paraId="65FC55EA" w14:textId="77777777" w:rsidR="00C728FF" w:rsidRPr="00F32542" w:rsidRDefault="00C728FF" w:rsidP="00142AAE">
      <w:pPr>
        <w:spacing w:after="0" w:line="360" w:lineRule="auto"/>
        <w:rPr>
          <w:rFonts w:ascii="Arial" w:hAnsi="Arial" w:cs="Arial"/>
          <w:b/>
          <w:sz w:val="28"/>
          <w:szCs w:val="28"/>
          <w:lang w:val="es-ES_tradnl"/>
        </w:rPr>
      </w:pPr>
    </w:p>
    <w:p w14:paraId="1C78D8BD" w14:textId="77777777" w:rsidR="00C728FF" w:rsidRPr="00F32542" w:rsidRDefault="00C728FF" w:rsidP="00C728FF">
      <w:pPr>
        <w:tabs>
          <w:tab w:val="left" w:pos="7655"/>
          <w:tab w:val="left" w:pos="7938"/>
        </w:tabs>
        <w:spacing w:after="0" w:line="360" w:lineRule="auto"/>
        <w:jc w:val="both"/>
        <w:rPr>
          <w:rFonts w:ascii="Arial" w:hAnsi="Arial" w:cs="Arial"/>
          <w:sz w:val="28"/>
          <w:szCs w:val="28"/>
          <w:lang w:val="es-ES_tradnl"/>
        </w:rPr>
      </w:pPr>
      <w:r w:rsidRPr="00F32542">
        <w:rPr>
          <w:rFonts w:ascii="Arial" w:hAnsi="Arial" w:cs="Arial"/>
          <w:b/>
          <w:bCs/>
          <w:sz w:val="28"/>
          <w:szCs w:val="28"/>
          <w:lang w:val="es-ES_tradnl"/>
        </w:rPr>
        <w:t>4. Registro de candidaturas.</w:t>
      </w:r>
      <w:r w:rsidRPr="00F32542">
        <w:rPr>
          <w:rFonts w:ascii="Arial" w:hAnsi="Arial" w:cs="Arial"/>
          <w:sz w:val="28"/>
          <w:szCs w:val="28"/>
          <w:lang w:val="es-ES_tradnl"/>
        </w:rPr>
        <w:t xml:space="preserve"> El tres de abril de dos mil vei</w:t>
      </w:r>
      <w:r w:rsidR="002E22BF" w:rsidRPr="00F32542">
        <w:rPr>
          <w:rFonts w:ascii="Arial" w:hAnsi="Arial" w:cs="Arial"/>
          <w:sz w:val="28"/>
          <w:szCs w:val="28"/>
          <w:lang w:val="es-ES_tradnl"/>
        </w:rPr>
        <w:t>n</w:t>
      </w:r>
      <w:r w:rsidRPr="00F32542">
        <w:rPr>
          <w:rFonts w:ascii="Arial" w:hAnsi="Arial" w:cs="Arial"/>
          <w:sz w:val="28"/>
          <w:szCs w:val="28"/>
          <w:lang w:val="es-ES_tradnl"/>
        </w:rPr>
        <w:t>tiuno</w:t>
      </w:r>
      <w:r w:rsidR="002E22BF" w:rsidRPr="00F32542">
        <w:rPr>
          <w:rStyle w:val="Refdenotaalpie"/>
          <w:rFonts w:ascii="Arial" w:hAnsi="Arial" w:cs="Arial"/>
          <w:sz w:val="28"/>
          <w:szCs w:val="28"/>
          <w:lang w:val="es-ES_tradnl"/>
        </w:rPr>
        <w:footnoteReference w:id="2"/>
      </w:r>
      <w:r w:rsidRPr="00F32542">
        <w:rPr>
          <w:rFonts w:ascii="Arial" w:hAnsi="Arial" w:cs="Arial"/>
          <w:sz w:val="28"/>
          <w:szCs w:val="28"/>
          <w:lang w:val="es-ES_tradnl"/>
        </w:rPr>
        <w:t xml:space="preserve">, </w:t>
      </w:r>
      <w:r w:rsidR="002E22BF" w:rsidRPr="00F32542">
        <w:rPr>
          <w:rFonts w:ascii="Arial" w:hAnsi="Arial" w:cs="Arial"/>
          <w:sz w:val="28"/>
          <w:szCs w:val="28"/>
        </w:rPr>
        <w:t xml:space="preserve">el Consejo General del Instituto Electoral, aprobó los </w:t>
      </w:r>
      <w:r w:rsidR="00466F1F" w:rsidRPr="00F32542">
        <w:rPr>
          <w:rFonts w:ascii="Arial" w:hAnsi="Arial" w:cs="Arial"/>
          <w:sz w:val="28"/>
          <w:szCs w:val="28"/>
        </w:rPr>
        <w:t>a</w:t>
      </w:r>
      <w:r w:rsidR="002E22BF" w:rsidRPr="00F32542">
        <w:rPr>
          <w:rFonts w:ascii="Arial" w:hAnsi="Arial" w:cs="Arial"/>
          <w:sz w:val="28"/>
          <w:szCs w:val="28"/>
        </w:rPr>
        <w:t xml:space="preserve">cuerdos por los que otorgó el registro de las listas “A” de candidaturas para la elección de </w:t>
      </w:r>
      <w:r w:rsidR="00466F1F" w:rsidRPr="00F32542">
        <w:rPr>
          <w:rFonts w:ascii="Arial" w:hAnsi="Arial" w:cs="Arial"/>
          <w:sz w:val="28"/>
          <w:szCs w:val="28"/>
        </w:rPr>
        <w:t>d</w:t>
      </w:r>
      <w:r w:rsidR="002E22BF" w:rsidRPr="00F32542">
        <w:rPr>
          <w:rFonts w:ascii="Arial" w:hAnsi="Arial" w:cs="Arial"/>
          <w:sz w:val="28"/>
          <w:szCs w:val="28"/>
        </w:rPr>
        <w:t xml:space="preserve">iputaciones al </w:t>
      </w:r>
      <w:r w:rsidR="002E22BF" w:rsidRPr="00F32542">
        <w:rPr>
          <w:rFonts w:ascii="Arial" w:hAnsi="Arial" w:cs="Arial"/>
          <w:i/>
          <w:iCs/>
          <w:sz w:val="28"/>
          <w:szCs w:val="28"/>
        </w:rPr>
        <w:t>Congreso</w:t>
      </w:r>
      <w:r w:rsidR="00466F1F" w:rsidRPr="00F32542">
        <w:rPr>
          <w:rFonts w:ascii="Arial" w:hAnsi="Arial" w:cs="Arial"/>
          <w:i/>
          <w:iCs/>
          <w:sz w:val="28"/>
          <w:szCs w:val="28"/>
        </w:rPr>
        <w:t xml:space="preserve"> local</w:t>
      </w:r>
      <w:r w:rsidR="002E22BF" w:rsidRPr="00F32542">
        <w:rPr>
          <w:rFonts w:ascii="Arial" w:hAnsi="Arial" w:cs="Arial"/>
          <w:sz w:val="28"/>
          <w:szCs w:val="28"/>
        </w:rPr>
        <w:t>, por el principio de representación proporcional, postuladas, para el Proceso Electoral Local Ordinario 2020-2021</w:t>
      </w:r>
      <w:r w:rsidR="00466F1F" w:rsidRPr="00F32542">
        <w:rPr>
          <w:rFonts w:ascii="Arial" w:hAnsi="Arial" w:cs="Arial"/>
          <w:sz w:val="28"/>
          <w:szCs w:val="28"/>
        </w:rPr>
        <w:t>.</w:t>
      </w:r>
    </w:p>
    <w:p w14:paraId="631F7F42" w14:textId="77777777" w:rsidR="00C728FF" w:rsidRPr="00F32542" w:rsidRDefault="00C728FF" w:rsidP="00142AAE">
      <w:pPr>
        <w:spacing w:after="0" w:line="360" w:lineRule="auto"/>
        <w:rPr>
          <w:rFonts w:ascii="Arial" w:hAnsi="Arial" w:cs="Arial"/>
          <w:b/>
          <w:sz w:val="28"/>
          <w:szCs w:val="28"/>
          <w:lang w:val="es-ES_tradnl"/>
        </w:rPr>
      </w:pPr>
    </w:p>
    <w:p w14:paraId="4A61F472" w14:textId="77777777" w:rsidR="002E22BF" w:rsidRPr="00F32542" w:rsidRDefault="002E22BF" w:rsidP="002E22BF">
      <w:pPr>
        <w:spacing w:after="0" w:line="360" w:lineRule="auto"/>
        <w:jc w:val="both"/>
        <w:rPr>
          <w:rFonts w:ascii="Arial" w:hAnsi="Arial" w:cs="Arial"/>
          <w:sz w:val="28"/>
          <w:szCs w:val="28"/>
          <w:lang w:val="es-ES_tradnl"/>
        </w:rPr>
      </w:pPr>
      <w:r w:rsidRPr="00F32542">
        <w:rPr>
          <w:rFonts w:ascii="Arial" w:hAnsi="Arial" w:cs="Arial"/>
          <w:b/>
          <w:sz w:val="28"/>
          <w:szCs w:val="28"/>
          <w:lang w:val="es-ES_tradnl"/>
        </w:rPr>
        <w:t>5</w:t>
      </w:r>
      <w:r w:rsidR="00142AAE" w:rsidRPr="00F32542">
        <w:rPr>
          <w:rFonts w:ascii="Arial" w:hAnsi="Arial" w:cs="Arial"/>
          <w:b/>
          <w:sz w:val="28"/>
          <w:szCs w:val="28"/>
          <w:lang w:val="es-ES_tradnl"/>
        </w:rPr>
        <w:t xml:space="preserve">. </w:t>
      </w:r>
      <w:r w:rsidRPr="00F32542">
        <w:rPr>
          <w:rFonts w:ascii="Arial" w:hAnsi="Arial" w:cs="Arial"/>
          <w:b/>
          <w:sz w:val="28"/>
          <w:szCs w:val="28"/>
          <w:lang w:val="es-ES_tradnl"/>
        </w:rPr>
        <w:t xml:space="preserve">Sustitución de candidaturas. </w:t>
      </w:r>
      <w:r w:rsidRPr="00F32542">
        <w:rPr>
          <w:rFonts w:ascii="Arial" w:hAnsi="Arial" w:cs="Arial"/>
          <w:sz w:val="28"/>
          <w:szCs w:val="28"/>
          <w:lang w:val="es-ES_tradnl"/>
        </w:rPr>
        <w:t xml:space="preserve">Entre el ocho de abril y el treinta y uno de mayo, el Consejo General del </w:t>
      </w:r>
      <w:r w:rsidR="00466F1F" w:rsidRPr="00F32542">
        <w:rPr>
          <w:rFonts w:ascii="Arial" w:hAnsi="Arial" w:cs="Arial"/>
          <w:i/>
          <w:iCs/>
          <w:sz w:val="28"/>
          <w:szCs w:val="28"/>
          <w:lang w:val="es-ES_tradnl"/>
        </w:rPr>
        <w:t>IECM</w:t>
      </w:r>
      <w:r w:rsidR="00466F1F" w:rsidRPr="00F32542">
        <w:rPr>
          <w:rFonts w:ascii="Arial" w:hAnsi="Arial" w:cs="Arial"/>
          <w:sz w:val="28"/>
          <w:szCs w:val="28"/>
          <w:lang w:val="es-ES_tradnl"/>
        </w:rPr>
        <w:t xml:space="preserve">, </w:t>
      </w:r>
      <w:r w:rsidRPr="00F32542">
        <w:rPr>
          <w:rFonts w:ascii="Arial" w:hAnsi="Arial" w:cs="Arial"/>
          <w:sz w:val="28"/>
          <w:szCs w:val="28"/>
          <w:lang w:val="es-ES_tradnl"/>
        </w:rPr>
        <w:t xml:space="preserve">aprobó diversos </w:t>
      </w:r>
      <w:r w:rsidR="00466F1F" w:rsidRPr="00F32542">
        <w:rPr>
          <w:rFonts w:ascii="Arial" w:hAnsi="Arial" w:cs="Arial"/>
          <w:sz w:val="28"/>
          <w:szCs w:val="28"/>
          <w:lang w:val="es-ES_tradnl"/>
        </w:rPr>
        <w:t>a</w:t>
      </w:r>
      <w:r w:rsidRPr="00F32542">
        <w:rPr>
          <w:rFonts w:ascii="Arial" w:hAnsi="Arial" w:cs="Arial"/>
          <w:sz w:val="28"/>
          <w:szCs w:val="28"/>
          <w:lang w:val="es-ES_tradnl"/>
        </w:rPr>
        <w:t xml:space="preserve">cuerdos </w:t>
      </w:r>
      <w:r w:rsidR="00466F1F" w:rsidRPr="00F32542">
        <w:rPr>
          <w:rFonts w:ascii="Arial" w:hAnsi="Arial" w:cs="Arial"/>
          <w:sz w:val="28"/>
          <w:szCs w:val="28"/>
          <w:lang w:val="es-ES_tradnl"/>
        </w:rPr>
        <w:t>para</w:t>
      </w:r>
      <w:r w:rsidRPr="00F32542">
        <w:rPr>
          <w:rFonts w:ascii="Arial" w:hAnsi="Arial" w:cs="Arial"/>
          <w:sz w:val="28"/>
          <w:szCs w:val="28"/>
          <w:lang w:val="es-ES_tradnl"/>
        </w:rPr>
        <w:t xml:space="preserve"> declarar procedentes las solicitudes de sustitución y registro de candidaturas presentadas por</w:t>
      </w:r>
      <w:r w:rsidR="00466F1F" w:rsidRPr="00F32542">
        <w:rPr>
          <w:rFonts w:ascii="Arial" w:hAnsi="Arial" w:cs="Arial"/>
          <w:sz w:val="28"/>
          <w:szCs w:val="28"/>
          <w:lang w:val="es-ES_tradnl"/>
        </w:rPr>
        <w:t xml:space="preserve"> diverso</w:t>
      </w:r>
      <w:r w:rsidRPr="00F32542">
        <w:rPr>
          <w:rFonts w:ascii="Arial" w:hAnsi="Arial" w:cs="Arial"/>
          <w:sz w:val="28"/>
          <w:szCs w:val="28"/>
          <w:lang w:val="es-ES_tradnl"/>
        </w:rPr>
        <w:t xml:space="preserve">s partidos políticos, relativas a las </w:t>
      </w:r>
      <w:r w:rsidR="00466F1F" w:rsidRPr="00F32542">
        <w:rPr>
          <w:rFonts w:ascii="Arial" w:hAnsi="Arial" w:cs="Arial"/>
          <w:sz w:val="28"/>
          <w:szCs w:val="28"/>
          <w:lang w:val="es-ES_tradnl"/>
        </w:rPr>
        <w:t>d</w:t>
      </w:r>
      <w:r w:rsidRPr="00F32542">
        <w:rPr>
          <w:rFonts w:ascii="Arial" w:hAnsi="Arial" w:cs="Arial"/>
          <w:sz w:val="28"/>
          <w:szCs w:val="28"/>
          <w:lang w:val="es-ES_tradnl"/>
        </w:rPr>
        <w:t xml:space="preserve">iputaciones al </w:t>
      </w:r>
      <w:r w:rsidRPr="00F32542">
        <w:rPr>
          <w:rFonts w:ascii="Arial" w:hAnsi="Arial" w:cs="Arial"/>
          <w:i/>
          <w:iCs/>
          <w:sz w:val="28"/>
          <w:szCs w:val="28"/>
          <w:lang w:val="es-ES_tradnl"/>
        </w:rPr>
        <w:t xml:space="preserve">Congreso </w:t>
      </w:r>
      <w:r w:rsidR="00466F1F" w:rsidRPr="00F32542">
        <w:rPr>
          <w:rFonts w:ascii="Arial" w:hAnsi="Arial" w:cs="Arial"/>
          <w:i/>
          <w:iCs/>
          <w:sz w:val="28"/>
          <w:szCs w:val="28"/>
          <w:lang w:val="es-ES_tradnl"/>
        </w:rPr>
        <w:t>local</w:t>
      </w:r>
      <w:r w:rsidRPr="00F32542">
        <w:rPr>
          <w:rFonts w:ascii="Arial" w:hAnsi="Arial" w:cs="Arial"/>
          <w:sz w:val="28"/>
          <w:szCs w:val="28"/>
          <w:lang w:val="es-ES_tradnl"/>
        </w:rPr>
        <w:t>, por el principio de representación proporcional.</w:t>
      </w:r>
    </w:p>
    <w:p w14:paraId="2AEBA1B7" w14:textId="77777777" w:rsidR="002E22BF" w:rsidRPr="00F32542" w:rsidRDefault="002E22BF" w:rsidP="00142AAE">
      <w:pPr>
        <w:spacing w:after="0" w:line="360" w:lineRule="auto"/>
        <w:jc w:val="both"/>
        <w:rPr>
          <w:rFonts w:ascii="Arial" w:hAnsi="Arial" w:cs="Arial"/>
          <w:b/>
          <w:sz w:val="28"/>
          <w:szCs w:val="28"/>
          <w:lang w:val="es-ES_tradnl"/>
        </w:rPr>
      </w:pPr>
    </w:p>
    <w:p w14:paraId="2CA7BD54" w14:textId="77777777" w:rsidR="00142AAE" w:rsidRPr="00F32542" w:rsidRDefault="002E22BF" w:rsidP="00142AAE">
      <w:pPr>
        <w:spacing w:after="0" w:line="360" w:lineRule="auto"/>
        <w:jc w:val="both"/>
        <w:rPr>
          <w:rFonts w:ascii="Arial" w:hAnsi="Arial" w:cs="Arial"/>
          <w:b/>
          <w:sz w:val="28"/>
          <w:szCs w:val="28"/>
          <w:lang w:val="es-ES_tradnl"/>
        </w:rPr>
      </w:pPr>
      <w:r w:rsidRPr="00F32542">
        <w:rPr>
          <w:rFonts w:ascii="Arial" w:hAnsi="Arial" w:cs="Arial"/>
          <w:b/>
          <w:sz w:val="28"/>
          <w:szCs w:val="28"/>
          <w:lang w:val="es-ES_tradnl"/>
        </w:rPr>
        <w:t xml:space="preserve">6. </w:t>
      </w:r>
      <w:r w:rsidR="00142AAE" w:rsidRPr="00F32542">
        <w:rPr>
          <w:rFonts w:ascii="Arial" w:hAnsi="Arial" w:cs="Arial"/>
          <w:b/>
          <w:sz w:val="28"/>
          <w:szCs w:val="28"/>
          <w:lang w:val="es-ES_tradnl"/>
        </w:rPr>
        <w:t xml:space="preserve">Jornada electoral. </w:t>
      </w:r>
      <w:r w:rsidR="00142AAE" w:rsidRPr="00F32542">
        <w:rPr>
          <w:rFonts w:ascii="Arial" w:hAnsi="Arial" w:cs="Arial"/>
          <w:sz w:val="28"/>
          <w:szCs w:val="28"/>
          <w:lang w:val="es-ES_tradnl"/>
        </w:rPr>
        <w:t xml:space="preserve">El seis de junio, </w:t>
      </w:r>
      <w:r w:rsidR="008025B5" w:rsidRPr="00F32542">
        <w:rPr>
          <w:rFonts w:ascii="Arial" w:hAnsi="Arial" w:cs="Arial"/>
          <w:sz w:val="28"/>
          <w:szCs w:val="28"/>
          <w:lang w:val="es-ES_tradnl"/>
        </w:rPr>
        <w:t>tuvo lugar la jornada electoral de los comicios de diputaciones locales.</w:t>
      </w:r>
      <w:r w:rsidR="00142AAE" w:rsidRPr="00F32542">
        <w:rPr>
          <w:rFonts w:ascii="Arial" w:hAnsi="Arial" w:cs="Arial"/>
          <w:sz w:val="28"/>
          <w:szCs w:val="28"/>
          <w:lang w:val="es-ES_tradnl"/>
        </w:rPr>
        <w:t xml:space="preserve"> </w:t>
      </w:r>
    </w:p>
    <w:p w14:paraId="3A16FCCF" w14:textId="77777777" w:rsidR="00142AAE" w:rsidRPr="00F32542" w:rsidRDefault="00142AAE" w:rsidP="00142AAE">
      <w:pPr>
        <w:spacing w:after="0" w:line="360" w:lineRule="auto"/>
        <w:jc w:val="both"/>
        <w:rPr>
          <w:rFonts w:ascii="Arial" w:hAnsi="Arial" w:cs="Arial"/>
          <w:sz w:val="28"/>
          <w:szCs w:val="28"/>
          <w:lang w:val="es-ES_tradnl"/>
        </w:rPr>
      </w:pPr>
    </w:p>
    <w:p w14:paraId="1EED5B02" w14:textId="77777777" w:rsidR="00142AAE" w:rsidRPr="00F32542" w:rsidRDefault="00C728FF" w:rsidP="009E3748">
      <w:pPr>
        <w:spacing w:after="0" w:line="360" w:lineRule="auto"/>
        <w:jc w:val="both"/>
        <w:rPr>
          <w:rFonts w:ascii="Arial" w:hAnsi="Arial" w:cs="Arial"/>
          <w:i/>
          <w:iCs/>
          <w:sz w:val="28"/>
          <w:szCs w:val="28"/>
          <w:lang w:val="es-ES_tradnl"/>
        </w:rPr>
      </w:pPr>
      <w:r w:rsidRPr="00F32542">
        <w:rPr>
          <w:rFonts w:ascii="Arial" w:hAnsi="Arial" w:cs="Arial"/>
          <w:b/>
          <w:sz w:val="28"/>
          <w:szCs w:val="28"/>
          <w:lang w:val="es-ES_tradnl"/>
        </w:rPr>
        <w:t>7</w:t>
      </w:r>
      <w:r w:rsidR="00142AAE" w:rsidRPr="00F32542">
        <w:rPr>
          <w:rFonts w:ascii="Arial" w:hAnsi="Arial" w:cs="Arial"/>
          <w:b/>
          <w:sz w:val="28"/>
          <w:szCs w:val="28"/>
          <w:lang w:val="es-ES_tradnl"/>
        </w:rPr>
        <w:t xml:space="preserve">. </w:t>
      </w:r>
      <w:r w:rsidR="009E3748" w:rsidRPr="00F32542">
        <w:rPr>
          <w:rFonts w:ascii="Arial" w:hAnsi="Arial" w:cs="Arial"/>
          <w:b/>
          <w:bCs/>
          <w:sz w:val="28"/>
          <w:szCs w:val="28"/>
          <w:lang w:val="es-ES_tradnl"/>
        </w:rPr>
        <w:t>As</w:t>
      </w:r>
      <w:r w:rsidRPr="00F32542">
        <w:rPr>
          <w:rFonts w:ascii="Arial" w:hAnsi="Arial" w:cs="Arial"/>
          <w:b/>
          <w:bCs/>
          <w:sz w:val="28"/>
          <w:szCs w:val="28"/>
          <w:lang w:val="es-ES_tradnl"/>
        </w:rPr>
        <w:t>i</w:t>
      </w:r>
      <w:r w:rsidR="009E3748" w:rsidRPr="00F32542">
        <w:rPr>
          <w:rFonts w:ascii="Arial" w:hAnsi="Arial" w:cs="Arial"/>
          <w:b/>
          <w:bCs/>
          <w:sz w:val="28"/>
          <w:szCs w:val="28"/>
          <w:lang w:val="es-ES_tradnl"/>
        </w:rPr>
        <w:t>gnación de Diputaciones al Congreso de la Ciudad de México y declaración de validez de la elección.</w:t>
      </w:r>
      <w:r w:rsidR="009E3748" w:rsidRPr="00F32542">
        <w:rPr>
          <w:rFonts w:ascii="Arial" w:hAnsi="Arial" w:cs="Arial"/>
          <w:sz w:val="28"/>
          <w:szCs w:val="28"/>
          <w:lang w:val="es-ES_tradnl"/>
        </w:rPr>
        <w:t xml:space="preserve"> El</w:t>
      </w:r>
      <w:r w:rsidR="008025B5" w:rsidRPr="00F32542">
        <w:rPr>
          <w:rFonts w:ascii="Arial" w:hAnsi="Arial" w:cs="Arial"/>
          <w:sz w:val="28"/>
          <w:szCs w:val="28"/>
          <w:lang w:val="es-ES_tradnl"/>
        </w:rPr>
        <w:t xml:space="preserve"> doce de junio siguiente</w:t>
      </w:r>
      <w:r w:rsidR="009E3748" w:rsidRPr="00F32542">
        <w:rPr>
          <w:rFonts w:ascii="Arial" w:hAnsi="Arial" w:cs="Arial"/>
          <w:sz w:val="28"/>
          <w:szCs w:val="28"/>
          <w:lang w:val="es-ES_tradnl"/>
        </w:rPr>
        <w:t>, el Consejo Genera</w:t>
      </w:r>
      <w:r w:rsidR="008025B5" w:rsidRPr="00F32542">
        <w:rPr>
          <w:rFonts w:ascii="Arial" w:hAnsi="Arial" w:cs="Arial"/>
          <w:sz w:val="28"/>
          <w:szCs w:val="28"/>
          <w:lang w:val="es-ES_tradnl"/>
        </w:rPr>
        <w:t>l</w:t>
      </w:r>
      <w:r w:rsidR="009E3748" w:rsidRPr="00F32542">
        <w:rPr>
          <w:rFonts w:ascii="Arial" w:hAnsi="Arial" w:cs="Arial"/>
          <w:sz w:val="28"/>
          <w:szCs w:val="28"/>
          <w:lang w:val="es-ES_tradnl"/>
        </w:rPr>
        <w:t xml:space="preserve"> del </w:t>
      </w:r>
      <w:r w:rsidR="008025B5" w:rsidRPr="00F32542">
        <w:rPr>
          <w:rFonts w:ascii="Arial" w:hAnsi="Arial" w:cs="Arial"/>
          <w:sz w:val="28"/>
          <w:szCs w:val="28"/>
          <w:lang w:val="es-ES_tradnl"/>
        </w:rPr>
        <w:t xml:space="preserve">IECM </w:t>
      </w:r>
      <w:r w:rsidR="009E3748" w:rsidRPr="00F32542">
        <w:rPr>
          <w:rFonts w:ascii="Arial" w:hAnsi="Arial" w:cs="Arial"/>
          <w:sz w:val="28"/>
          <w:szCs w:val="28"/>
          <w:lang w:val="es-ES_tradnl"/>
        </w:rPr>
        <w:t xml:space="preserve">aprobó el </w:t>
      </w:r>
      <w:r w:rsidR="008025B5" w:rsidRPr="00F32542">
        <w:rPr>
          <w:rFonts w:ascii="Arial" w:hAnsi="Arial" w:cs="Arial"/>
          <w:i/>
          <w:iCs/>
          <w:sz w:val="28"/>
          <w:szCs w:val="28"/>
          <w:lang w:val="es-ES_tradnl"/>
        </w:rPr>
        <w:t>a</w:t>
      </w:r>
      <w:r w:rsidR="009E3748" w:rsidRPr="00F32542">
        <w:rPr>
          <w:rFonts w:ascii="Arial" w:hAnsi="Arial" w:cs="Arial"/>
          <w:i/>
          <w:iCs/>
          <w:sz w:val="28"/>
          <w:szCs w:val="28"/>
          <w:lang w:val="es-ES_tradnl"/>
        </w:rPr>
        <w:t xml:space="preserve">cuerdo </w:t>
      </w:r>
      <w:r w:rsidR="008025B5" w:rsidRPr="00F32542">
        <w:rPr>
          <w:rFonts w:ascii="Arial" w:hAnsi="Arial" w:cs="Arial"/>
          <w:i/>
          <w:iCs/>
          <w:sz w:val="28"/>
          <w:szCs w:val="28"/>
          <w:lang w:val="es-ES_tradnl"/>
        </w:rPr>
        <w:t>impugnado.</w:t>
      </w:r>
    </w:p>
    <w:p w14:paraId="12C90BFC" w14:textId="77777777" w:rsidR="00142AAE" w:rsidRPr="00F32542" w:rsidRDefault="00142AAE" w:rsidP="00142AAE">
      <w:pPr>
        <w:spacing w:after="0" w:line="360" w:lineRule="auto"/>
        <w:jc w:val="both"/>
        <w:rPr>
          <w:rFonts w:ascii="Arial" w:hAnsi="Arial" w:cs="Arial"/>
          <w:sz w:val="28"/>
          <w:szCs w:val="28"/>
          <w:lang w:val="es-ES_tradnl"/>
        </w:rPr>
      </w:pPr>
    </w:p>
    <w:p w14:paraId="45DD7520" w14:textId="77777777" w:rsidR="00142AAE" w:rsidRPr="00F32542" w:rsidRDefault="003D047A" w:rsidP="00142AAE">
      <w:pPr>
        <w:spacing w:after="0" w:line="360" w:lineRule="auto"/>
        <w:jc w:val="both"/>
        <w:rPr>
          <w:rFonts w:ascii="Arial" w:hAnsi="Arial" w:cs="Arial"/>
          <w:b/>
          <w:sz w:val="28"/>
          <w:szCs w:val="28"/>
          <w:lang w:val="es-ES_tradnl"/>
        </w:rPr>
      </w:pPr>
      <w:r w:rsidRPr="00F32542">
        <w:rPr>
          <w:rFonts w:ascii="Arial" w:hAnsi="Arial" w:cs="Arial"/>
          <w:b/>
          <w:sz w:val="28"/>
          <w:szCs w:val="28"/>
          <w:lang w:val="es-ES_tradnl"/>
        </w:rPr>
        <w:t>II</w:t>
      </w:r>
      <w:r w:rsidR="00142AAE" w:rsidRPr="00F32542">
        <w:rPr>
          <w:rFonts w:ascii="Arial" w:hAnsi="Arial" w:cs="Arial"/>
          <w:b/>
          <w:sz w:val="28"/>
          <w:szCs w:val="28"/>
          <w:lang w:val="es-ES_tradnl"/>
        </w:rPr>
        <w:t xml:space="preserve">. Juicios Electorales </w:t>
      </w:r>
    </w:p>
    <w:p w14:paraId="5BE31767" w14:textId="77777777" w:rsidR="00142AAE" w:rsidRPr="00F32542" w:rsidRDefault="00142AAE" w:rsidP="00142AAE">
      <w:pPr>
        <w:spacing w:after="0" w:line="360" w:lineRule="auto"/>
        <w:jc w:val="both"/>
        <w:rPr>
          <w:rFonts w:ascii="Arial" w:hAnsi="Arial" w:cs="Arial"/>
          <w:b/>
          <w:sz w:val="28"/>
          <w:szCs w:val="28"/>
          <w:lang w:val="es-ES_tradnl"/>
        </w:rPr>
      </w:pPr>
    </w:p>
    <w:p w14:paraId="3205AEE6" w14:textId="77777777" w:rsidR="00142AAE" w:rsidRPr="00F32542" w:rsidRDefault="00142AAE" w:rsidP="00142AAE">
      <w:pPr>
        <w:spacing w:after="0" w:line="360" w:lineRule="auto"/>
        <w:jc w:val="both"/>
        <w:rPr>
          <w:rFonts w:ascii="Arial" w:hAnsi="Arial" w:cs="Arial"/>
          <w:sz w:val="28"/>
          <w:szCs w:val="28"/>
          <w:lang w:val="es-ES_tradnl"/>
        </w:rPr>
      </w:pPr>
      <w:r w:rsidRPr="00F32542">
        <w:rPr>
          <w:rFonts w:ascii="Arial" w:hAnsi="Arial" w:cs="Arial"/>
          <w:b/>
          <w:sz w:val="28"/>
          <w:szCs w:val="28"/>
          <w:lang w:val="es-ES_tradnl"/>
        </w:rPr>
        <w:t xml:space="preserve">1. Presentación de las demandas. </w:t>
      </w:r>
      <w:r w:rsidRPr="00F32542">
        <w:rPr>
          <w:rFonts w:ascii="Arial" w:hAnsi="Arial" w:cs="Arial"/>
          <w:sz w:val="28"/>
          <w:szCs w:val="28"/>
          <w:lang w:val="es-ES_tradnl"/>
        </w:rPr>
        <w:t>En</w:t>
      </w:r>
      <w:r w:rsidR="00C728FF" w:rsidRPr="00F32542">
        <w:rPr>
          <w:rFonts w:ascii="Arial" w:hAnsi="Arial" w:cs="Arial"/>
          <w:sz w:val="28"/>
          <w:szCs w:val="28"/>
          <w:lang w:val="es-ES_tradnl"/>
        </w:rPr>
        <w:t xml:space="preserve">tre el </w:t>
      </w:r>
      <w:r w:rsidR="00CB6E82" w:rsidRPr="00F32542">
        <w:rPr>
          <w:rFonts w:ascii="Arial" w:hAnsi="Arial" w:cs="Arial"/>
          <w:sz w:val="28"/>
          <w:szCs w:val="28"/>
          <w:lang w:val="es-ES_tradnl"/>
        </w:rPr>
        <w:t xml:space="preserve">dieciséis </w:t>
      </w:r>
      <w:r w:rsidR="00C728FF" w:rsidRPr="00F32542">
        <w:rPr>
          <w:rFonts w:ascii="Arial" w:hAnsi="Arial" w:cs="Arial"/>
          <w:sz w:val="28"/>
          <w:szCs w:val="28"/>
          <w:lang w:val="es-ES_tradnl"/>
        </w:rPr>
        <w:t xml:space="preserve">y </w:t>
      </w:r>
      <w:r w:rsidR="00CB6E82" w:rsidRPr="00F32542">
        <w:rPr>
          <w:rFonts w:ascii="Arial" w:hAnsi="Arial" w:cs="Arial"/>
          <w:sz w:val="28"/>
          <w:szCs w:val="28"/>
          <w:lang w:val="es-ES_tradnl"/>
        </w:rPr>
        <w:t xml:space="preserve">diecisiete </w:t>
      </w:r>
      <w:r w:rsidR="00C728FF" w:rsidRPr="00F32542">
        <w:rPr>
          <w:rFonts w:ascii="Arial" w:hAnsi="Arial" w:cs="Arial"/>
          <w:sz w:val="28"/>
          <w:szCs w:val="28"/>
          <w:lang w:val="es-ES_tradnl"/>
        </w:rPr>
        <w:t>de junio</w:t>
      </w:r>
      <w:r w:rsidRPr="00F32542">
        <w:rPr>
          <w:rFonts w:ascii="Arial" w:hAnsi="Arial" w:cs="Arial"/>
          <w:i/>
          <w:sz w:val="28"/>
          <w:szCs w:val="28"/>
          <w:lang w:val="es-ES_tradnl"/>
        </w:rPr>
        <w:t>,</w:t>
      </w:r>
      <w:r w:rsidRPr="00F32542">
        <w:rPr>
          <w:rFonts w:ascii="Arial" w:hAnsi="Arial" w:cs="Arial"/>
          <w:sz w:val="28"/>
          <w:szCs w:val="28"/>
          <w:lang w:val="es-ES_tradnl"/>
        </w:rPr>
        <w:t xml:space="preserve"> las </w:t>
      </w:r>
      <w:r w:rsidRPr="00F32542">
        <w:rPr>
          <w:rFonts w:ascii="Arial" w:hAnsi="Arial" w:cs="Arial"/>
          <w:i/>
          <w:sz w:val="28"/>
          <w:szCs w:val="28"/>
          <w:lang w:val="es-ES_tradnl"/>
        </w:rPr>
        <w:t>partes</w:t>
      </w:r>
      <w:r w:rsidRPr="00F32542">
        <w:rPr>
          <w:rFonts w:ascii="Arial" w:hAnsi="Arial" w:cs="Arial"/>
          <w:sz w:val="28"/>
          <w:szCs w:val="28"/>
          <w:lang w:val="es-ES_tradnl"/>
        </w:rPr>
        <w:t xml:space="preserve"> </w:t>
      </w:r>
      <w:r w:rsidRPr="00F32542">
        <w:rPr>
          <w:rFonts w:ascii="Arial" w:hAnsi="Arial" w:cs="Arial"/>
          <w:i/>
          <w:sz w:val="28"/>
          <w:szCs w:val="28"/>
          <w:lang w:val="es-ES_tradnl"/>
        </w:rPr>
        <w:t>actoras</w:t>
      </w:r>
      <w:r w:rsidRPr="00F32542">
        <w:rPr>
          <w:rFonts w:ascii="Arial" w:hAnsi="Arial" w:cs="Arial"/>
          <w:sz w:val="28"/>
          <w:szCs w:val="28"/>
          <w:lang w:val="es-ES_tradnl"/>
        </w:rPr>
        <w:t xml:space="preserve"> promovieron </w:t>
      </w:r>
      <w:r w:rsidR="00CB6E82" w:rsidRPr="00F32542">
        <w:rPr>
          <w:rFonts w:ascii="Arial" w:hAnsi="Arial" w:cs="Arial"/>
          <w:sz w:val="28"/>
          <w:szCs w:val="28"/>
          <w:lang w:val="es-ES_tradnl"/>
        </w:rPr>
        <w:t xml:space="preserve">los presentes </w:t>
      </w:r>
      <w:r w:rsidRPr="00F32542">
        <w:rPr>
          <w:rFonts w:ascii="Arial" w:hAnsi="Arial" w:cs="Arial"/>
          <w:sz w:val="28"/>
          <w:szCs w:val="28"/>
          <w:lang w:val="es-ES_tradnl"/>
        </w:rPr>
        <w:t>juicios</w:t>
      </w:r>
      <w:r w:rsidR="008025B5" w:rsidRPr="00F32542">
        <w:rPr>
          <w:rFonts w:ascii="Arial" w:hAnsi="Arial" w:cs="Arial"/>
          <w:sz w:val="28"/>
          <w:szCs w:val="28"/>
          <w:lang w:val="es-ES_tradnl"/>
        </w:rPr>
        <w:t>,</w:t>
      </w:r>
      <w:r w:rsidR="003465F4" w:rsidRPr="00F32542">
        <w:rPr>
          <w:rFonts w:ascii="Arial" w:hAnsi="Arial" w:cs="Arial"/>
          <w:sz w:val="28"/>
          <w:szCs w:val="28"/>
          <w:lang w:val="es-ES_tradnl"/>
        </w:rPr>
        <w:t xml:space="preserve"> </w:t>
      </w:r>
      <w:r w:rsidRPr="00F32542">
        <w:rPr>
          <w:rFonts w:ascii="Arial" w:hAnsi="Arial" w:cs="Arial"/>
          <w:sz w:val="28"/>
          <w:szCs w:val="28"/>
          <w:lang w:val="es-ES_tradnl"/>
        </w:rPr>
        <w:t xml:space="preserve">para </w:t>
      </w:r>
      <w:r w:rsidRPr="00F32542">
        <w:rPr>
          <w:rFonts w:ascii="Arial" w:hAnsi="Arial" w:cs="Arial"/>
          <w:sz w:val="28"/>
          <w:szCs w:val="28"/>
          <w:lang w:val="es-ES_tradnl"/>
        </w:rPr>
        <w:lastRenderedPageBreak/>
        <w:t>controvertir</w:t>
      </w:r>
      <w:r w:rsidR="00C728FF" w:rsidRPr="00F32542">
        <w:rPr>
          <w:rFonts w:ascii="Arial" w:hAnsi="Arial" w:cs="Arial"/>
          <w:sz w:val="28"/>
          <w:szCs w:val="28"/>
          <w:lang w:val="es-ES_tradnl"/>
        </w:rPr>
        <w:t xml:space="preserve"> el </w:t>
      </w:r>
      <w:r w:rsidR="008025B5" w:rsidRPr="00F32542">
        <w:rPr>
          <w:rFonts w:ascii="Arial" w:hAnsi="Arial" w:cs="Arial"/>
          <w:i/>
          <w:sz w:val="28"/>
          <w:szCs w:val="28"/>
          <w:lang w:val="es-ES_tradnl"/>
        </w:rPr>
        <w:t>a</w:t>
      </w:r>
      <w:r w:rsidR="00CB6E82" w:rsidRPr="00F32542">
        <w:rPr>
          <w:rFonts w:ascii="Arial" w:hAnsi="Arial" w:cs="Arial"/>
          <w:i/>
          <w:sz w:val="28"/>
          <w:szCs w:val="28"/>
          <w:lang w:val="es-ES_tradnl"/>
        </w:rPr>
        <w:t>c</w:t>
      </w:r>
      <w:r w:rsidR="008025B5" w:rsidRPr="00F32542">
        <w:rPr>
          <w:rFonts w:ascii="Arial" w:hAnsi="Arial" w:cs="Arial"/>
          <w:i/>
          <w:sz w:val="28"/>
          <w:szCs w:val="28"/>
          <w:lang w:val="es-ES_tradnl"/>
        </w:rPr>
        <w:t>uerdo</w:t>
      </w:r>
      <w:r w:rsidR="00CB6E82" w:rsidRPr="00F32542">
        <w:rPr>
          <w:rFonts w:ascii="Arial" w:hAnsi="Arial" w:cs="Arial"/>
          <w:i/>
          <w:sz w:val="28"/>
          <w:szCs w:val="28"/>
          <w:lang w:val="es-ES_tradnl"/>
        </w:rPr>
        <w:t xml:space="preserve"> </w:t>
      </w:r>
      <w:r w:rsidR="008025B5" w:rsidRPr="00F32542">
        <w:rPr>
          <w:rFonts w:ascii="Arial" w:hAnsi="Arial" w:cs="Arial"/>
          <w:i/>
          <w:sz w:val="28"/>
          <w:szCs w:val="28"/>
          <w:lang w:val="es-ES_tradnl"/>
        </w:rPr>
        <w:t>i</w:t>
      </w:r>
      <w:r w:rsidR="00CB6E82" w:rsidRPr="00F32542">
        <w:rPr>
          <w:rFonts w:ascii="Arial" w:hAnsi="Arial" w:cs="Arial"/>
          <w:i/>
          <w:sz w:val="28"/>
          <w:szCs w:val="28"/>
          <w:lang w:val="es-ES_tradnl"/>
        </w:rPr>
        <w:t>mpugnado</w:t>
      </w:r>
      <w:r w:rsidR="008025B5" w:rsidRPr="00F32542">
        <w:rPr>
          <w:rFonts w:ascii="Arial" w:hAnsi="Arial" w:cs="Arial"/>
          <w:sz w:val="28"/>
          <w:szCs w:val="28"/>
          <w:lang w:val="es-ES_tradnl"/>
        </w:rPr>
        <w:t>, tal</w:t>
      </w:r>
      <w:r w:rsidRPr="00F32542">
        <w:rPr>
          <w:rFonts w:ascii="Arial" w:hAnsi="Arial" w:cs="Arial"/>
          <w:sz w:val="28"/>
          <w:szCs w:val="28"/>
          <w:lang w:val="es-ES_tradnl"/>
        </w:rPr>
        <w:t xml:space="preserve"> como se exp</w:t>
      </w:r>
      <w:r w:rsidR="008025B5" w:rsidRPr="00F32542">
        <w:rPr>
          <w:rFonts w:ascii="Arial" w:hAnsi="Arial" w:cs="Arial"/>
          <w:sz w:val="28"/>
          <w:szCs w:val="28"/>
          <w:lang w:val="es-ES_tradnl"/>
        </w:rPr>
        <w:t>one</w:t>
      </w:r>
      <w:r w:rsidRPr="00F32542">
        <w:rPr>
          <w:rFonts w:ascii="Arial" w:hAnsi="Arial" w:cs="Arial"/>
          <w:sz w:val="28"/>
          <w:szCs w:val="28"/>
          <w:lang w:val="es-ES_tradnl"/>
        </w:rPr>
        <w:t xml:space="preserve"> en la siguiente tabla:</w:t>
      </w:r>
    </w:p>
    <w:p w14:paraId="1F137749" w14:textId="77777777" w:rsidR="00346511" w:rsidRPr="00F32542" w:rsidRDefault="00346511" w:rsidP="00142AAE">
      <w:pPr>
        <w:spacing w:after="0" w:line="360" w:lineRule="auto"/>
        <w:jc w:val="both"/>
        <w:rPr>
          <w:rFonts w:ascii="Arial" w:hAnsi="Arial" w:cs="Arial"/>
          <w:sz w:val="28"/>
          <w:szCs w:val="28"/>
          <w:lang w:val="es-ES_tradnl"/>
        </w:rPr>
      </w:pPr>
    </w:p>
    <w:tbl>
      <w:tblPr>
        <w:tblW w:w="0" w:type="auto"/>
        <w:jc w:val="center"/>
        <w:tblCellMar>
          <w:left w:w="0" w:type="dxa"/>
          <w:right w:w="0" w:type="dxa"/>
        </w:tblCellMar>
        <w:tblLook w:val="04A0" w:firstRow="1" w:lastRow="0" w:firstColumn="1" w:lastColumn="0" w:noHBand="0" w:noVBand="1"/>
      </w:tblPr>
      <w:tblGrid>
        <w:gridCol w:w="421"/>
        <w:gridCol w:w="2404"/>
        <w:gridCol w:w="2694"/>
        <w:gridCol w:w="2131"/>
      </w:tblGrid>
      <w:tr w:rsidR="00346511" w:rsidRPr="00F32542" w14:paraId="57A2489F" w14:textId="77777777" w:rsidTr="00346511">
        <w:trPr>
          <w:trHeight w:val="20"/>
          <w:tblHeader/>
          <w:jc w:val="center"/>
        </w:trPr>
        <w:tc>
          <w:tcPr>
            <w:tcW w:w="421" w:type="dxa"/>
            <w:tcBorders>
              <w:top w:val="single" w:sz="8" w:space="0" w:color="BFBFBF"/>
              <w:left w:val="single" w:sz="8" w:space="0" w:color="BFBFBF"/>
              <w:bottom w:val="single" w:sz="8" w:space="0" w:color="BFBFBF"/>
              <w:right w:val="single" w:sz="8" w:space="0" w:color="BFBFBF"/>
            </w:tcBorders>
            <w:shd w:val="clear" w:color="auto" w:fill="BFBFBF"/>
            <w:tcMar>
              <w:top w:w="0" w:type="dxa"/>
              <w:left w:w="108" w:type="dxa"/>
              <w:bottom w:w="0" w:type="dxa"/>
              <w:right w:w="108" w:type="dxa"/>
            </w:tcMar>
            <w:vAlign w:val="center"/>
            <w:hideMark/>
          </w:tcPr>
          <w:p w14:paraId="48D3FB2B" w14:textId="77777777" w:rsidR="00346511" w:rsidRPr="00F32542" w:rsidRDefault="00346511" w:rsidP="00346511">
            <w:pPr>
              <w:spacing w:after="0" w:line="240" w:lineRule="auto"/>
              <w:jc w:val="center"/>
              <w:rPr>
                <w:rFonts w:ascii="Arial" w:hAnsi="Arial" w:cs="Arial"/>
                <w:sz w:val="18"/>
                <w:szCs w:val="18"/>
                <w:lang w:eastAsia="es-MX"/>
              </w:rPr>
            </w:pPr>
            <w:bookmarkStart w:id="6" w:name="RANGE!A1:D6"/>
            <w:proofErr w:type="spellStart"/>
            <w:r w:rsidRPr="00F32542">
              <w:rPr>
                <w:rFonts w:ascii="Arial" w:hAnsi="Arial" w:cs="Arial"/>
                <w:b/>
                <w:bCs/>
                <w:sz w:val="18"/>
                <w:szCs w:val="18"/>
                <w:lang w:val="es-ES_tradnl" w:eastAsia="es-MX"/>
              </w:rPr>
              <w:t>N°</w:t>
            </w:r>
            <w:bookmarkEnd w:id="6"/>
            <w:proofErr w:type="spellEnd"/>
          </w:p>
        </w:tc>
        <w:tc>
          <w:tcPr>
            <w:tcW w:w="2404" w:type="dxa"/>
            <w:tcBorders>
              <w:top w:val="single" w:sz="8" w:space="0" w:color="BFBFBF"/>
              <w:left w:val="nil"/>
              <w:bottom w:val="single" w:sz="8" w:space="0" w:color="BFBFBF"/>
              <w:right w:val="single" w:sz="8" w:space="0" w:color="BFBFBF"/>
            </w:tcBorders>
            <w:shd w:val="clear" w:color="auto" w:fill="BFBFBF"/>
            <w:tcMar>
              <w:top w:w="0" w:type="dxa"/>
              <w:left w:w="108" w:type="dxa"/>
              <w:bottom w:w="0" w:type="dxa"/>
              <w:right w:w="108" w:type="dxa"/>
            </w:tcMar>
            <w:vAlign w:val="center"/>
            <w:hideMark/>
          </w:tcPr>
          <w:p w14:paraId="07577DB0"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b/>
                <w:bCs/>
                <w:color w:val="000000"/>
                <w:sz w:val="18"/>
                <w:szCs w:val="18"/>
                <w:lang w:val="es-ES_tradnl" w:eastAsia="es-MX"/>
              </w:rPr>
              <w:t>NÚMERO DE EXPEDIENTE</w:t>
            </w:r>
          </w:p>
        </w:tc>
        <w:tc>
          <w:tcPr>
            <w:tcW w:w="2694" w:type="dxa"/>
            <w:tcBorders>
              <w:top w:val="single" w:sz="8" w:space="0" w:color="BFBFBF"/>
              <w:left w:val="nil"/>
              <w:bottom w:val="single" w:sz="8" w:space="0" w:color="BFBFBF"/>
              <w:right w:val="single" w:sz="8" w:space="0" w:color="BFBFBF"/>
            </w:tcBorders>
            <w:shd w:val="clear" w:color="auto" w:fill="BFBFBF"/>
            <w:tcMar>
              <w:top w:w="0" w:type="dxa"/>
              <w:left w:w="108" w:type="dxa"/>
              <w:bottom w:w="0" w:type="dxa"/>
              <w:right w:w="108" w:type="dxa"/>
            </w:tcMar>
            <w:vAlign w:val="center"/>
            <w:hideMark/>
          </w:tcPr>
          <w:p w14:paraId="427D6CFA"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b/>
                <w:bCs/>
                <w:color w:val="000000"/>
                <w:sz w:val="18"/>
                <w:szCs w:val="18"/>
                <w:lang w:val="es-ES_tradnl" w:eastAsia="es-MX"/>
              </w:rPr>
              <w:t>PARTE ACTORA</w:t>
            </w:r>
          </w:p>
        </w:tc>
        <w:tc>
          <w:tcPr>
            <w:tcW w:w="2131" w:type="dxa"/>
            <w:tcBorders>
              <w:top w:val="single" w:sz="8" w:space="0" w:color="BFBFBF"/>
              <w:left w:val="nil"/>
              <w:bottom w:val="single" w:sz="8" w:space="0" w:color="BFBFBF"/>
              <w:right w:val="single" w:sz="8" w:space="0" w:color="BFBFBF"/>
            </w:tcBorders>
            <w:shd w:val="clear" w:color="auto" w:fill="BFBFBF"/>
            <w:tcMar>
              <w:top w:w="0" w:type="dxa"/>
              <w:left w:w="108" w:type="dxa"/>
              <w:bottom w:w="0" w:type="dxa"/>
              <w:right w:w="108" w:type="dxa"/>
            </w:tcMar>
            <w:vAlign w:val="center"/>
            <w:hideMark/>
          </w:tcPr>
          <w:p w14:paraId="60CA9AD2"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b/>
                <w:bCs/>
                <w:color w:val="000000"/>
                <w:sz w:val="18"/>
                <w:szCs w:val="18"/>
                <w:lang w:val="es-ES_tradnl" w:eastAsia="es-MX"/>
              </w:rPr>
              <w:t>PRESENTACIÓN DE DEMANDA</w:t>
            </w:r>
          </w:p>
        </w:tc>
      </w:tr>
      <w:tr w:rsidR="00346511" w:rsidRPr="00F32542" w14:paraId="5002F1F1" w14:textId="77777777" w:rsidTr="00346511">
        <w:trPr>
          <w:trHeight w:val="20"/>
          <w:jc w:val="center"/>
        </w:trPr>
        <w:tc>
          <w:tcPr>
            <w:tcW w:w="42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07C8EFE8"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color w:val="000000"/>
                <w:sz w:val="18"/>
                <w:szCs w:val="18"/>
                <w:lang w:val="es-ES_tradnl" w:eastAsia="es-MX"/>
              </w:rPr>
              <w:t>1</w:t>
            </w:r>
          </w:p>
        </w:tc>
        <w:tc>
          <w:tcPr>
            <w:tcW w:w="240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42A83939"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b/>
                <w:bCs/>
                <w:color w:val="000000"/>
                <w:sz w:val="18"/>
                <w:szCs w:val="18"/>
                <w:lang w:val="es-ES_tradnl" w:eastAsia="es-MX"/>
              </w:rPr>
              <w:t>TECDMX-JEL-204/2021</w:t>
            </w:r>
          </w:p>
        </w:tc>
        <w:tc>
          <w:tcPr>
            <w:tcW w:w="269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4AA82469"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MORENA</w:t>
            </w:r>
          </w:p>
        </w:tc>
        <w:tc>
          <w:tcPr>
            <w:tcW w:w="2131"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2F89AEC8"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16 de junio de 2021</w:t>
            </w:r>
          </w:p>
        </w:tc>
      </w:tr>
      <w:tr w:rsidR="00346511" w:rsidRPr="00F32542" w14:paraId="0F7D6BBE" w14:textId="77777777" w:rsidTr="00346511">
        <w:trPr>
          <w:trHeight w:val="20"/>
          <w:jc w:val="center"/>
        </w:trPr>
        <w:tc>
          <w:tcPr>
            <w:tcW w:w="42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1C0888BD"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color w:val="000000"/>
                <w:sz w:val="18"/>
                <w:szCs w:val="18"/>
                <w:lang w:val="es-ES_tradnl" w:eastAsia="es-MX"/>
              </w:rPr>
              <w:t>2</w:t>
            </w:r>
          </w:p>
        </w:tc>
        <w:tc>
          <w:tcPr>
            <w:tcW w:w="240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0E727A81"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b/>
                <w:bCs/>
                <w:color w:val="000000"/>
                <w:sz w:val="18"/>
                <w:szCs w:val="18"/>
                <w:lang w:val="es-ES_tradnl" w:eastAsia="es-MX"/>
              </w:rPr>
              <w:t>TECDMX-JEL-205/2021</w:t>
            </w:r>
          </w:p>
        </w:tc>
        <w:tc>
          <w:tcPr>
            <w:tcW w:w="269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58D2510C"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PRI</w:t>
            </w:r>
          </w:p>
        </w:tc>
        <w:tc>
          <w:tcPr>
            <w:tcW w:w="2131"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177C1D51"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16 de junio de 2021</w:t>
            </w:r>
          </w:p>
        </w:tc>
      </w:tr>
      <w:tr w:rsidR="00346511" w:rsidRPr="00F32542" w14:paraId="4BFAAD27" w14:textId="77777777" w:rsidTr="00346511">
        <w:trPr>
          <w:trHeight w:val="20"/>
          <w:jc w:val="center"/>
        </w:trPr>
        <w:tc>
          <w:tcPr>
            <w:tcW w:w="42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599B1E28"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color w:val="000000"/>
                <w:sz w:val="18"/>
                <w:szCs w:val="18"/>
                <w:lang w:val="es-ES_tradnl" w:eastAsia="es-MX"/>
              </w:rPr>
              <w:t>3</w:t>
            </w:r>
          </w:p>
        </w:tc>
        <w:tc>
          <w:tcPr>
            <w:tcW w:w="240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2EE0BEF9"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b/>
                <w:bCs/>
                <w:color w:val="000000"/>
                <w:sz w:val="18"/>
                <w:szCs w:val="18"/>
                <w:lang w:val="es-ES_tradnl" w:eastAsia="es-MX"/>
              </w:rPr>
              <w:t>TECDMX-JEL-206/2021</w:t>
            </w:r>
          </w:p>
        </w:tc>
        <w:tc>
          <w:tcPr>
            <w:tcW w:w="269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7F0B1325"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color w:val="000000"/>
                <w:sz w:val="18"/>
                <w:szCs w:val="18"/>
                <w:lang w:val="es-ES_tradnl" w:eastAsia="es-MX"/>
              </w:rPr>
              <w:t>PAN</w:t>
            </w:r>
          </w:p>
        </w:tc>
        <w:tc>
          <w:tcPr>
            <w:tcW w:w="2131"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66EA7796"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16 de junio de 2021</w:t>
            </w:r>
          </w:p>
        </w:tc>
      </w:tr>
      <w:tr w:rsidR="00346511" w:rsidRPr="00F32542" w14:paraId="339D815A" w14:textId="77777777" w:rsidTr="00346511">
        <w:trPr>
          <w:trHeight w:val="20"/>
          <w:jc w:val="center"/>
        </w:trPr>
        <w:tc>
          <w:tcPr>
            <w:tcW w:w="42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6AD18E14"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color w:val="000000"/>
                <w:sz w:val="18"/>
                <w:szCs w:val="18"/>
                <w:lang w:val="es-ES_tradnl" w:eastAsia="es-MX"/>
              </w:rPr>
              <w:t>4</w:t>
            </w:r>
          </w:p>
        </w:tc>
        <w:tc>
          <w:tcPr>
            <w:tcW w:w="240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0444781A"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b/>
                <w:bCs/>
                <w:color w:val="000000"/>
                <w:sz w:val="18"/>
                <w:szCs w:val="18"/>
                <w:lang w:val="es-ES_tradnl" w:eastAsia="es-MX"/>
              </w:rPr>
              <w:t>TECDMX-JLDC-088/2021</w:t>
            </w:r>
          </w:p>
        </w:tc>
        <w:tc>
          <w:tcPr>
            <w:tcW w:w="2694" w:type="dxa"/>
            <w:tcBorders>
              <w:top w:val="nil"/>
              <w:left w:val="nil"/>
              <w:bottom w:val="single" w:sz="8" w:space="0" w:color="BFBFBF"/>
              <w:right w:val="single" w:sz="8" w:space="0" w:color="BFBFBF"/>
            </w:tcBorders>
            <w:tcMar>
              <w:top w:w="0" w:type="dxa"/>
              <w:left w:w="108" w:type="dxa"/>
              <w:bottom w:w="0" w:type="dxa"/>
              <w:right w:w="108" w:type="dxa"/>
            </w:tcMar>
            <w:hideMark/>
          </w:tcPr>
          <w:p w14:paraId="51C02109"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 xml:space="preserve">Mucio Israel Hernández Guerrero </w:t>
            </w:r>
          </w:p>
        </w:tc>
        <w:tc>
          <w:tcPr>
            <w:tcW w:w="2131"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52C03AD3"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16 de junio de 2021</w:t>
            </w:r>
          </w:p>
        </w:tc>
      </w:tr>
      <w:tr w:rsidR="00346511" w:rsidRPr="00F32542" w14:paraId="76D1D110" w14:textId="77777777" w:rsidTr="00346511">
        <w:trPr>
          <w:trHeight w:val="20"/>
          <w:jc w:val="center"/>
        </w:trPr>
        <w:tc>
          <w:tcPr>
            <w:tcW w:w="42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3C782539"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color w:val="000000"/>
                <w:sz w:val="18"/>
                <w:szCs w:val="18"/>
                <w:lang w:val="es-ES_tradnl" w:eastAsia="es-MX"/>
              </w:rPr>
              <w:t>5</w:t>
            </w:r>
          </w:p>
        </w:tc>
        <w:tc>
          <w:tcPr>
            <w:tcW w:w="240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6838D924"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b/>
                <w:bCs/>
                <w:color w:val="000000"/>
                <w:sz w:val="18"/>
                <w:szCs w:val="18"/>
                <w:lang w:val="es-ES_tradnl" w:eastAsia="es-MX"/>
              </w:rPr>
              <w:t>TECDMX-JLDC-089/2021</w:t>
            </w:r>
          </w:p>
        </w:tc>
        <w:tc>
          <w:tcPr>
            <w:tcW w:w="2694" w:type="dxa"/>
            <w:tcBorders>
              <w:top w:val="nil"/>
              <w:left w:val="nil"/>
              <w:bottom w:val="single" w:sz="8" w:space="0" w:color="BFBFBF"/>
              <w:right w:val="single" w:sz="8" w:space="0" w:color="BFBFBF"/>
            </w:tcBorders>
            <w:tcMar>
              <w:top w:w="0" w:type="dxa"/>
              <w:left w:w="108" w:type="dxa"/>
              <w:bottom w:w="0" w:type="dxa"/>
              <w:right w:w="108" w:type="dxa"/>
            </w:tcMar>
            <w:hideMark/>
          </w:tcPr>
          <w:p w14:paraId="67EF2752"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 xml:space="preserve">Desirée Guadalupe Navarro López </w:t>
            </w:r>
          </w:p>
        </w:tc>
        <w:tc>
          <w:tcPr>
            <w:tcW w:w="2131"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5CC46E8C"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16 de junio de 2021</w:t>
            </w:r>
          </w:p>
        </w:tc>
      </w:tr>
      <w:tr w:rsidR="00346511" w:rsidRPr="00F32542" w14:paraId="345A97F9" w14:textId="77777777" w:rsidTr="00346511">
        <w:trPr>
          <w:trHeight w:val="20"/>
          <w:jc w:val="center"/>
        </w:trPr>
        <w:tc>
          <w:tcPr>
            <w:tcW w:w="42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6A4E5BB4"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color w:val="000000"/>
                <w:sz w:val="18"/>
                <w:szCs w:val="18"/>
                <w:lang w:val="es-ES_tradnl" w:eastAsia="es-MX"/>
              </w:rPr>
              <w:t>6</w:t>
            </w:r>
          </w:p>
        </w:tc>
        <w:tc>
          <w:tcPr>
            <w:tcW w:w="240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5B210332"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b/>
                <w:bCs/>
                <w:color w:val="000000"/>
                <w:sz w:val="18"/>
                <w:szCs w:val="18"/>
                <w:lang w:val="es-ES_tradnl" w:eastAsia="es-MX"/>
              </w:rPr>
              <w:t>TECDMX-JLDC-090/2021</w:t>
            </w:r>
          </w:p>
        </w:tc>
        <w:tc>
          <w:tcPr>
            <w:tcW w:w="2694" w:type="dxa"/>
            <w:tcBorders>
              <w:top w:val="nil"/>
              <w:left w:val="nil"/>
              <w:bottom w:val="single" w:sz="8" w:space="0" w:color="BFBFBF"/>
              <w:right w:val="single" w:sz="8" w:space="0" w:color="BFBFBF"/>
            </w:tcBorders>
            <w:tcMar>
              <w:top w:w="0" w:type="dxa"/>
              <w:left w:w="108" w:type="dxa"/>
              <w:bottom w:w="0" w:type="dxa"/>
              <w:right w:w="108" w:type="dxa"/>
            </w:tcMar>
            <w:hideMark/>
          </w:tcPr>
          <w:p w14:paraId="1C848A34"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 xml:space="preserve">Alejandro Argüelles </w:t>
            </w:r>
            <w:proofErr w:type="spellStart"/>
            <w:r w:rsidRPr="00F32542">
              <w:rPr>
                <w:rFonts w:ascii="Arial" w:hAnsi="Arial" w:cs="Arial"/>
                <w:sz w:val="18"/>
                <w:szCs w:val="18"/>
                <w:lang w:val="es-ES_tradnl" w:eastAsia="es-MX"/>
              </w:rPr>
              <w:t>Almontes</w:t>
            </w:r>
            <w:proofErr w:type="spellEnd"/>
            <w:r w:rsidRPr="00F32542">
              <w:rPr>
                <w:rFonts w:ascii="Arial" w:hAnsi="Arial" w:cs="Arial"/>
                <w:sz w:val="18"/>
                <w:szCs w:val="18"/>
                <w:lang w:val="es-ES_tradnl" w:eastAsia="es-MX"/>
              </w:rPr>
              <w:t xml:space="preserve"> </w:t>
            </w:r>
          </w:p>
        </w:tc>
        <w:tc>
          <w:tcPr>
            <w:tcW w:w="2131"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23B6BC18"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16 de junio de 2021</w:t>
            </w:r>
          </w:p>
        </w:tc>
      </w:tr>
      <w:tr w:rsidR="00346511" w:rsidRPr="00F32542" w14:paraId="27C8CA94" w14:textId="77777777" w:rsidTr="00346511">
        <w:trPr>
          <w:trHeight w:val="20"/>
          <w:jc w:val="center"/>
        </w:trPr>
        <w:tc>
          <w:tcPr>
            <w:tcW w:w="42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1284E83A"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color w:val="000000"/>
                <w:sz w:val="18"/>
                <w:szCs w:val="18"/>
                <w:lang w:val="es-ES_tradnl" w:eastAsia="es-MX"/>
              </w:rPr>
              <w:t>7</w:t>
            </w:r>
          </w:p>
        </w:tc>
        <w:tc>
          <w:tcPr>
            <w:tcW w:w="240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0FCDB877"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b/>
                <w:bCs/>
                <w:color w:val="000000"/>
                <w:sz w:val="18"/>
                <w:szCs w:val="18"/>
                <w:lang w:val="es-ES_tradnl" w:eastAsia="es-MX"/>
              </w:rPr>
              <w:t>TECDMX-JLDC-091/2021</w:t>
            </w:r>
          </w:p>
        </w:tc>
        <w:tc>
          <w:tcPr>
            <w:tcW w:w="2694" w:type="dxa"/>
            <w:tcBorders>
              <w:top w:val="nil"/>
              <w:left w:val="nil"/>
              <w:bottom w:val="single" w:sz="8" w:space="0" w:color="BFBFBF"/>
              <w:right w:val="single" w:sz="8" w:space="0" w:color="BFBFBF"/>
            </w:tcBorders>
            <w:tcMar>
              <w:top w:w="0" w:type="dxa"/>
              <w:left w:w="108" w:type="dxa"/>
              <w:bottom w:w="0" w:type="dxa"/>
              <w:right w:w="108" w:type="dxa"/>
            </w:tcMar>
            <w:hideMark/>
          </w:tcPr>
          <w:p w14:paraId="622A53F7" w14:textId="77777777" w:rsidR="00346511" w:rsidRPr="00F32542" w:rsidRDefault="00346511" w:rsidP="00346511">
            <w:pPr>
              <w:spacing w:after="0" w:line="240" w:lineRule="auto"/>
              <w:jc w:val="center"/>
              <w:rPr>
                <w:rFonts w:ascii="Arial" w:hAnsi="Arial" w:cs="Arial"/>
                <w:sz w:val="18"/>
                <w:szCs w:val="18"/>
                <w:lang w:eastAsia="es-MX"/>
              </w:rPr>
            </w:pPr>
            <w:proofErr w:type="spellStart"/>
            <w:r w:rsidRPr="00F32542">
              <w:rPr>
                <w:rFonts w:ascii="Arial" w:hAnsi="Arial" w:cs="Arial"/>
                <w:sz w:val="18"/>
                <w:szCs w:val="18"/>
                <w:lang w:val="es-ES_tradnl" w:eastAsia="es-MX"/>
              </w:rPr>
              <w:t>Nury</w:t>
            </w:r>
            <w:proofErr w:type="spellEnd"/>
            <w:r w:rsidRPr="00F32542">
              <w:rPr>
                <w:rFonts w:ascii="Arial" w:hAnsi="Arial" w:cs="Arial"/>
                <w:sz w:val="18"/>
                <w:szCs w:val="18"/>
                <w:lang w:val="es-ES_tradnl" w:eastAsia="es-MX"/>
              </w:rPr>
              <w:t xml:space="preserve"> Delia Ruiz Ovando </w:t>
            </w:r>
          </w:p>
        </w:tc>
        <w:tc>
          <w:tcPr>
            <w:tcW w:w="2131"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0CE4276A"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16 de junio de 2021</w:t>
            </w:r>
          </w:p>
        </w:tc>
      </w:tr>
      <w:tr w:rsidR="00346511" w:rsidRPr="00F32542" w14:paraId="7A592266" w14:textId="77777777" w:rsidTr="00346511">
        <w:trPr>
          <w:trHeight w:val="20"/>
          <w:jc w:val="center"/>
        </w:trPr>
        <w:tc>
          <w:tcPr>
            <w:tcW w:w="42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5D1044AA"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color w:val="000000"/>
                <w:sz w:val="18"/>
                <w:szCs w:val="18"/>
                <w:lang w:val="es-ES_tradnl" w:eastAsia="es-MX"/>
              </w:rPr>
              <w:t>8</w:t>
            </w:r>
          </w:p>
        </w:tc>
        <w:tc>
          <w:tcPr>
            <w:tcW w:w="240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542710BD"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b/>
                <w:bCs/>
                <w:color w:val="000000"/>
                <w:sz w:val="18"/>
                <w:szCs w:val="18"/>
                <w:lang w:val="es-ES_tradnl" w:eastAsia="es-MX"/>
              </w:rPr>
              <w:t>TECDMX-JLDC-092/2021</w:t>
            </w:r>
          </w:p>
        </w:tc>
        <w:tc>
          <w:tcPr>
            <w:tcW w:w="2694" w:type="dxa"/>
            <w:tcBorders>
              <w:top w:val="nil"/>
              <w:left w:val="nil"/>
              <w:bottom w:val="single" w:sz="8" w:space="0" w:color="BFBFBF"/>
              <w:right w:val="single" w:sz="8" w:space="0" w:color="BFBFBF"/>
            </w:tcBorders>
            <w:tcMar>
              <w:top w:w="0" w:type="dxa"/>
              <w:left w:w="108" w:type="dxa"/>
              <w:bottom w:w="0" w:type="dxa"/>
              <w:right w:w="108" w:type="dxa"/>
            </w:tcMar>
            <w:hideMark/>
          </w:tcPr>
          <w:p w14:paraId="79B9FA79"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 xml:space="preserve">Elizabeth Mateos Hernández </w:t>
            </w:r>
          </w:p>
        </w:tc>
        <w:tc>
          <w:tcPr>
            <w:tcW w:w="2131"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6ECAEFA9"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16 de junio de 2021</w:t>
            </w:r>
          </w:p>
        </w:tc>
      </w:tr>
      <w:tr w:rsidR="00346511" w:rsidRPr="00F32542" w14:paraId="62C99175" w14:textId="77777777" w:rsidTr="00346511">
        <w:trPr>
          <w:trHeight w:val="20"/>
          <w:jc w:val="center"/>
        </w:trPr>
        <w:tc>
          <w:tcPr>
            <w:tcW w:w="42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48899492"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color w:val="000000"/>
                <w:sz w:val="18"/>
                <w:szCs w:val="18"/>
                <w:lang w:val="es-ES_tradnl" w:eastAsia="es-MX"/>
              </w:rPr>
              <w:t>9</w:t>
            </w:r>
          </w:p>
        </w:tc>
        <w:tc>
          <w:tcPr>
            <w:tcW w:w="240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61158612"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b/>
                <w:bCs/>
                <w:color w:val="000000"/>
                <w:sz w:val="18"/>
                <w:szCs w:val="18"/>
                <w:lang w:val="es-ES_tradnl" w:eastAsia="es-MX"/>
              </w:rPr>
              <w:t>TECDMX-JLDC-093/2021</w:t>
            </w:r>
          </w:p>
        </w:tc>
        <w:tc>
          <w:tcPr>
            <w:tcW w:w="2694" w:type="dxa"/>
            <w:tcBorders>
              <w:top w:val="nil"/>
              <w:left w:val="nil"/>
              <w:bottom w:val="single" w:sz="8" w:space="0" w:color="BFBFBF"/>
              <w:right w:val="single" w:sz="8" w:space="0" w:color="BFBFBF"/>
            </w:tcBorders>
            <w:tcMar>
              <w:top w:w="0" w:type="dxa"/>
              <w:left w:w="108" w:type="dxa"/>
              <w:bottom w:w="0" w:type="dxa"/>
              <w:right w:w="108" w:type="dxa"/>
            </w:tcMar>
            <w:hideMark/>
          </w:tcPr>
          <w:p w14:paraId="11C542FF"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 xml:space="preserve">Lucia Alejandra Puente García </w:t>
            </w:r>
          </w:p>
        </w:tc>
        <w:tc>
          <w:tcPr>
            <w:tcW w:w="2131"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57A7FE09"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16 de junio de 2021</w:t>
            </w:r>
          </w:p>
        </w:tc>
      </w:tr>
      <w:tr w:rsidR="00346511" w:rsidRPr="00F32542" w14:paraId="1DAC9486" w14:textId="77777777" w:rsidTr="00346511">
        <w:trPr>
          <w:trHeight w:val="20"/>
          <w:jc w:val="center"/>
        </w:trPr>
        <w:tc>
          <w:tcPr>
            <w:tcW w:w="42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69DE2ED0"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color w:val="000000"/>
                <w:sz w:val="18"/>
                <w:szCs w:val="18"/>
                <w:lang w:val="es-ES_tradnl" w:eastAsia="es-MX"/>
              </w:rPr>
              <w:t>10</w:t>
            </w:r>
          </w:p>
        </w:tc>
        <w:tc>
          <w:tcPr>
            <w:tcW w:w="240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0BB6BE54"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b/>
                <w:bCs/>
                <w:color w:val="000000"/>
                <w:sz w:val="18"/>
                <w:szCs w:val="18"/>
                <w:lang w:val="es-ES_tradnl" w:eastAsia="es-MX"/>
              </w:rPr>
              <w:t>TECDMX-JLDC-094/2021</w:t>
            </w:r>
          </w:p>
        </w:tc>
        <w:tc>
          <w:tcPr>
            <w:tcW w:w="2694" w:type="dxa"/>
            <w:tcBorders>
              <w:top w:val="nil"/>
              <w:left w:val="nil"/>
              <w:bottom w:val="single" w:sz="8" w:space="0" w:color="BFBFBF"/>
              <w:right w:val="single" w:sz="8" w:space="0" w:color="BFBFBF"/>
            </w:tcBorders>
            <w:tcMar>
              <w:top w:w="0" w:type="dxa"/>
              <w:left w:w="108" w:type="dxa"/>
              <w:bottom w:w="0" w:type="dxa"/>
              <w:right w:w="108" w:type="dxa"/>
            </w:tcMar>
            <w:hideMark/>
          </w:tcPr>
          <w:p w14:paraId="7CB04B0B" w14:textId="77777777" w:rsidR="00346511" w:rsidRPr="00F32542" w:rsidRDefault="00346511" w:rsidP="0033094F">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 xml:space="preserve">Alberto Abraham Melo Torres </w:t>
            </w:r>
          </w:p>
        </w:tc>
        <w:tc>
          <w:tcPr>
            <w:tcW w:w="2131"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123BDD7C"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16 de junio de 2021</w:t>
            </w:r>
          </w:p>
        </w:tc>
      </w:tr>
      <w:tr w:rsidR="00346511" w:rsidRPr="00F32542" w14:paraId="51C6367A" w14:textId="77777777" w:rsidTr="00346511">
        <w:trPr>
          <w:trHeight w:val="20"/>
          <w:jc w:val="center"/>
        </w:trPr>
        <w:tc>
          <w:tcPr>
            <w:tcW w:w="42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00CA8E2F"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color w:val="000000"/>
                <w:sz w:val="18"/>
                <w:szCs w:val="18"/>
                <w:lang w:val="es-ES_tradnl" w:eastAsia="es-MX"/>
              </w:rPr>
              <w:t>11</w:t>
            </w:r>
          </w:p>
        </w:tc>
        <w:tc>
          <w:tcPr>
            <w:tcW w:w="240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75BD48B5"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b/>
                <w:bCs/>
                <w:color w:val="000000"/>
                <w:sz w:val="18"/>
                <w:szCs w:val="18"/>
                <w:lang w:val="es-ES_tradnl" w:eastAsia="es-MX"/>
              </w:rPr>
              <w:t>TECDMX-JLDC-095/2021</w:t>
            </w:r>
          </w:p>
        </w:tc>
        <w:tc>
          <w:tcPr>
            <w:tcW w:w="2694" w:type="dxa"/>
            <w:tcBorders>
              <w:top w:val="nil"/>
              <w:left w:val="nil"/>
              <w:bottom w:val="single" w:sz="8" w:space="0" w:color="BFBFBF"/>
              <w:right w:val="single" w:sz="8" w:space="0" w:color="BFBFBF"/>
            </w:tcBorders>
            <w:tcMar>
              <w:top w:w="0" w:type="dxa"/>
              <w:left w:w="108" w:type="dxa"/>
              <w:bottom w:w="0" w:type="dxa"/>
              <w:right w:w="108" w:type="dxa"/>
            </w:tcMar>
            <w:hideMark/>
          </w:tcPr>
          <w:p w14:paraId="799B4B53"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 xml:space="preserve">Monserrat Adriana Bosque Sánchez </w:t>
            </w:r>
          </w:p>
        </w:tc>
        <w:tc>
          <w:tcPr>
            <w:tcW w:w="2131"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55A5B965"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16 de junio de 2021</w:t>
            </w:r>
          </w:p>
        </w:tc>
      </w:tr>
      <w:tr w:rsidR="00346511" w:rsidRPr="00F32542" w14:paraId="7B04EFBC" w14:textId="77777777" w:rsidTr="00346511">
        <w:trPr>
          <w:trHeight w:val="20"/>
          <w:jc w:val="center"/>
        </w:trPr>
        <w:tc>
          <w:tcPr>
            <w:tcW w:w="42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3C24B78B"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color w:val="000000"/>
                <w:sz w:val="18"/>
                <w:szCs w:val="18"/>
                <w:lang w:val="es-ES_tradnl" w:eastAsia="es-MX"/>
              </w:rPr>
              <w:t>12</w:t>
            </w:r>
          </w:p>
        </w:tc>
        <w:tc>
          <w:tcPr>
            <w:tcW w:w="240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67A22570"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b/>
                <w:bCs/>
                <w:color w:val="000000"/>
                <w:sz w:val="18"/>
                <w:szCs w:val="18"/>
                <w:lang w:val="es-ES_tradnl" w:eastAsia="es-MX"/>
              </w:rPr>
              <w:t>TECDMX-JLDC-096/2021</w:t>
            </w:r>
          </w:p>
        </w:tc>
        <w:tc>
          <w:tcPr>
            <w:tcW w:w="2694" w:type="dxa"/>
            <w:tcBorders>
              <w:top w:val="nil"/>
              <w:left w:val="nil"/>
              <w:bottom w:val="single" w:sz="8" w:space="0" w:color="BFBFBF"/>
              <w:right w:val="single" w:sz="8" w:space="0" w:color="BFBFBF"/>
            </w:tcBorders>
            <w:tcMar>
              <w:top w:w="0" w:type="dxa"/>
              <w:left w:w="108" w:type="dxa"/>
              <w:bottom w:w="0" w:type="dxa"/>
              <w:right w:w="108" w:type="dxa"/>
            </w:tcMar>
            <w:hideMark/>
          </w:tcPr>
          <w:p w14:paraId="528320A3" w14:textId="77777777" w:rsidR="00346511" w:rsidRPr="00F32542" w:rsidRDefault="00346511" w:rsidP="00346511">
            <w:pPr>
              <w:spacing w:after="0" w:line="240" w:lineRule="auto"/>
              <w:jc w:val="center"/>
              <w:rPr>
                <w:rFonts w:ascii="Arial" w:hAnsi="Arial" w:cs="Arial"/>
                <w:sz w:val="18"/>
                <w:szCs w:val="18"/>
                <w:lang w:eastAsia="es-MX"/>
              </w:rPr>
            </w:pPr>
            <w:proofErr w:type="spellStart"/>
            <w:r w:rsidRPr="00F32542">
              <w:rPr>
                <w:rFonts w:ascii="Arial" w:hAnsi="Arial" w:cs="Arial"/>
                <w:sz w:val="18"/>
                <w:szCs w:val="18"/>
                <w:lang w:val="es-ES_tradnl" w:eastAsia="es-MX"/>
              </w:rPr>
              <w:t>Anthea</w:t>
            </w:r>
            <w:proofErr w:type="spellEnd"/>
            <w:r w:rsidRPr="00F32542">
              <w:rPr>
                <w:rFonts w:ascii="Arial" w:hAnsi="Arial" w:cs="Arial"/>
                <w:sz w:val="18"/>
                <w:szCs w:val="18"/>
                <w:lang w:val="es-ES_tradnl" w:eastAsia="es-MX"/>
              </w:rPr>
              <w:t xml:space="preserve"> Terina Sansores Olvera </w:t>
            </w:r>
          </w:p>
        </w:tc>
        <w:tc>
          <w:tcPr>
            <w:tcW w:w="2131"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0B87FD16"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16 de junio de 2021</w:t>
            </w:r>
          </w:p>
        </w:tc>
      </w:tr>
      <w:tr w:rsidR="00346511" w:rsidRPr="00F32542" w14:paraId="473AF63A" w14:textId="77777777" w:rsidTr="00346511">
        <w:trPr>
          <w:trHeight w:val="20"/>
          <w:jc w:val="center"/>
        </w:trPr>
        <w:tc>
          <w:tcPr>
            <w:tcW w:w="42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076DE8BA"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color w:val="000000"/>
                <w:sz w:val="18"/>
                <w:szCs w:val="18"/>
                <w:lang w:val="es-ES_tradnl" w:eastAsia="es-MX"/>
              </w:rPr>
              <w:t>13</w:t>
            </w:r>
          </w:p>
        </w:tc>
        <w:tc>
          <w:tcPr>
            <w:tcW w:w="240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1E85CA90"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b/>
                <w:bCs/>
                <w:color w:val="000000"/>
                <w:sz w:val="18"/>
                <w:szCs w:val="18"/>
                <w:lang w:val="es-ES_tradnl" w:eastAsia="es-MX"/>
              </w:rPr>
              <w:t>TECDMX-JLDC-097/2021</w:t>
            </w:r>
          </w:p>
        </w:tc>
        <w:tc>
          <w:tcPr>
            <w:tcW w:w="2694" w:type="dxa"/>
            <w:tcBorders>
              <w:top w:val="nil"/>
              <w:left w:val="nil"/>
              <w:bottom w:val="single" w:sz="8" w:space="0" w:color="BFBFBF"/>
              <w:right w:val="single" w:sz="8" w:space="0" w:color="BFBFBF"/>
            </w:tcBorders>
            <w:tcMar>
              <w:top w:w="0" w:type="dxa"/>
              <w:left w:w="108" w:type="dxa"/>
              <w:bottom w:w="0" w:type="dxa"/>
              <w:right w:w="108" w:type="dxa"/>
            </w:tcMar>
            <w:hideMark/>
          </w:tcPr>
          <w:p w14:paraId="0DB8C97C"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 xml:space="preserve">José Luis Rodríguez Díaz de León </w:t>
            </w:r>
          </w:p>
        </w:tc>
        <w:tc>
          <w:tcPr>
            <w:tcW w:w="2131"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0516655B"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16 de junio de 2021</w:t>
            </w:r>
          </w:p>
        </w:tc>
      </w:tr>
      <w:tr w:rsidR="00346511" w:rsidRPr="00F32542" w14:paraId="3C622B73" w14:textId="77777777" w:rsidTr="00346511">
        <w:trPr>
          <w:trHeight w:val="20"/>
          <w:jc w:val="center"/>
        </w:trPr>
        <w:tc>
          <w:tcPr>
            <w:tcW w:w="42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3C04E251"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color w:val="000000"/>
                <w:sz w:val="18"/>
                <w:szCs w:val="18"/>
                <w:lang w:val="es-ES_tradnl" w:eastAsia="es-MX"/>
              </w:rPr>
              <w:t>14</w:t>
            </w:r>
          </w:p>
        </w:tc>
        <w:tc>
          <w:tcPr>
            <w:tcW w:w="240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226B0FB3"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b/>
                <w:bCs/>
                <w:color w:val="000000"/>
                <w:sz w:val="18"/>
                <w:szCs w:val="18"/>
                <w:lang w:val="es-ES_tradnl" w:eastAsia="es-MX"/>
              </w:rPr>
              <w:t>TECDMX-JLDC-099/2021</w:t>
            </w:r>
          </w:p>
        </w:tc>
        <w:tc>
          <w:tcPr>
            <w:tcW w:w="2694" w:type="dxa"/>
            <w:tcBorders>
              <w:top w:val="nil"/>
              <w:left w:val="nil"/>
              <w:bottom w:val="single" w:sz="8" w:space="0" w:color="BFBFBF"/>
              <w:right w:val="single" w:sz="8" w:space="0" w:color="BFBFBF"/>
            </w:tcBorders>
            <w:tcMar>
              <w:top w:w="0" w:type="dxa"/>
              <w:left w:w="108" w:type="dxa"/>
              <w:bottom w:w="0" w:type="dxa"/>
              <w:right w:w="108" w:type="dxa"/>
            </w:tcMar>
            <w:hideMark/>
          </w:tcPr>
          <w:p w14:paraId="00460A71" w14:textId="77777777" w:rsidR="00346511" w:rsidRPr="00F32542" w:rsidRDefault="00346511" w:rsidP="00346511">
            <w:pPr>
              <w:spacing w:after="0" w:line="240" w:lineRule="auto"/>
              <w:jc w:val="center"/>
              <w:rPr>
                <w:rFonts w:ascii="Arial" w:hAnsi="Arial" w:cs="Arial"/>
                <w:sz w:val="18"/>
                <w:szCs w:val="18"/>
                <w:lang w:eastAsia="es-MX"/>
              </w:rPr>
            </w:pPr>
            <w:proofErr w:type="spellStart"/>
            <w:r w:rsidRPr="00F32542">
              <w:rPr>
                <w:rFonts w:ascii="Arial" w:hAnsi="Arial" w:cs="Arial"/>
                <w:sz w:val="18"/>
                <w:szCs w:val="18"/>
                <w:lang w:val="es-ES_tradnl" w:eastAsia="es-MX"/>
              </w:rPr>
              <w:t>Nitzia</w:t>
            </w:r>
            <w:proofErr w:type="spellEnd"/>
            <w:r w:rsidRPr="00F32542">
              <w:rPr>
                <w:rFonts w:ascii="Arial" w:hAnsi="Arial" w:cs="Arial"/>
                <w:sz w:val="18"/>
                <w:szCs w:val="18"/>
                <w:lang w:val="es-ES_tradnl" w:eastAsia="es-MX"/>
              </w:rPr>
              <w:t xml:space="preserve"> Lucero Rosas Chávez </w:t>
            </w:r>
          </w:p>
        </w:tc>
        <w:tc>
          <w:tcPr>
            <w:tcW w:w="2131"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1A0B3E4F"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17 de junio de 2021</w:t>
            </w:r>
          </w:p>
        </w:tc>
      </w:tr>
      <w:tr w:rsidR="00346511" w:rsidRPr="00F32542" w14:paraId="7CCF81A9" w14:textId="77777777" w:rsidTr="00346511">
        <w:trPr>
          <w:trHeight w:val="20"/>
          <w:jc w:val="center"/>
        </w:trPr>
        <w:tc>
          <w:tcPr>
            <w:tcW w:w="42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1D29BF51"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color w:val="000000"/>
                <w:sz w:val="18"/>
                <w:szCs w:val="18"/>
                <w:lang w:val="es-ES_tradnl" w:eastAsia="es-MX"/>
              </w:rPr>
              <w:t>15</w:t>
            </w:r>
          </w:p>
        </w:tc>
        <w:tc>
          <w:tcPr>
            <w:tcW w:w="240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659D38A0"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b/>
                <w:bCs/>
                <w:color w:val="000000"/>
                <w:sz w:val="18"/>
                <w:szCs w:val="18"/>
                <w:lang w:val="es-ES_tradnl" w:eastAsia="es-MX"/>
              </w:rPr>
              <w:t>TECDMX-JLDC-100/2021</w:t>
            </w:r>
          </w:p>
        </w:tc>
        <w:tc>
          <w:tcPr>
            <w:tcW w:w="2694" w:type="dxa"/>
            <w:tcBorders>
              <w:top w:val="nil"/>
              <w:left w:val="nil"/>
              <w:bottom w:val="single" w:sz="8" w:space="0" w:color="BFBFBF"/>
              <w:right w:val="single" w:sz="8" w:space="0" w:color="BFBFBF"/>
            </w:tcBorders>
            <w:tcMar>
              <w:top w:w="0" w:type="dxa"/>
              <w:left w:w="108" w:type="dxa"/>
              <w:bottom w:w="0" w:type="dxa"/>
              <w:right w:w="108" w:type="dxa"/>
            </w:tcMar>
            <w:hideMark/>
          </w:tcPr>
          <w:p w14:paraId="5B9246C9"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 xml:space="preserve">Rodrigo Miranda Berumen </w:t>
            </w:r>
          </w:p>
        </w:tc>
        <w:tc>
          <w:tcPr>
            <w:tcW w:w="2131"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15B2861B"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16 de junio de 2021</w:t>
            </w:r>
          </w:p>
        </w:tc>
      </w:tr>
      <w:tr w:rsidR="00346511" w:rsidRPr="00F32542" w14:paraId="0183748C" w14:textId="77777777" w:rsidTr="00346511">
        <w:trPr>
          <w:trHeight w:val="20"/>
          <w:jc w:val="center"/>
        </w:trPr>
        <w:tc>
          <w:tcPr>
            <w:tcW w:w="42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3FAE3804"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color w:val="000000"/>
                <w:sz w:val="18"/>
                <w:szCs w:val="18"/>
                <w:lang w:val="es-ES_tradnl" w:eastAsia="es-MX"/>
              </w:rPr>
              <w:t>16</w:t>
            </w:r>
          </w:p>
        </w:tc>
        <w:tc>
          <w:tcPr>
            <w:tcW w:w="240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19A7C29A"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b/>
                <w:bCs/>
                <w:color w:val="000000"/>
                <w:sz w:val="18"/>
                <w:szCs w:val="18"/>
                <w:lang w:val="es-ES_tradnl" w:eastAsia="es-MX"/>
              </w:rPr>
              <w:t>TECDMX-JLDC-101/2021</w:t>
            </w:r>
          </w:p>
        </w:tc>
        <w:tc>
          <w:tcPr>
            <w:tcW w:w="2694" w:type="dxa"/>
            <w:tcBorders>
              <w:top w:val="nil"/>
              <w:left w:val="nil"/>
              <w:bottom w:val="single" w:sz="8" w:space="0" w:color="BFBFBF"/>
              <w:right w:val="single" w:sz="8" w:space="0" w:color="BFBFBF"/>
            </w:tcBorders>
            <w:tcMar>
              <w:top w:w="0" w:type="dxa"/>
              <w:left w:w="108" w:type="dxa"/>
              <w:bottom w:w="0" w:type="dxa"/>
              <w:right w:w="108" w:type="dxa"/>
            </w:tcMar>
            <w:hideMark/>
          </w:tcPr>
          <w:p w14:paraId="53E15CEB"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 xml:space="preserve">Jacqueline Villarreal García </w:t>
            </w:r>
          </w:p>
        </w:tc>
        <w:tc>
          <w:tcPr>
            <w:tcW w:w="2131"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07B68E73"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16 de junio de 2021</w:t>
            </w:r>
          </w:p>
        </w:tc>
      </w:tr>
      <w:tr w:rsidR="00346511" w:rsidRPr="00F32542" w14:paraId="7B4DB431" w14:textId="77777777" w:rsidTr="00346511">
        <w:trPr>
          <w:trHeight w:val="20"/>
          <w:jc w:val="center"/>
        </w:trPr>
        <w:tc>
          <w:tcPr>
            <w:tcW w:w="42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2B1ADD20"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color w:val="000000"/>
                <w:sz w:val="18"/>
                <w:szCs w:val="18"/>
                <w:lang w:val="es-ES_tradnl" w:eastAsia="es-MX"/>
              </w:rPr>
              <w:t>17</w:t>
            </w:r>
          </w:p>
        </w:tc>
        <w:tc>
          <w:tcPr>
            <w:tcW w:w="240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40A1EC4B"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b/>
                <w:bCs/>
                <w:color w:val="000000"/>
                <w:sz w:val="18"/>
                <w:szCs w:val="18"/>
                <w:lang w:val="es-ES_tradnl" w:eastAsia="es-MX"/>
              </w:rPr>
              <w:t>TECDMX-JLDC-102/2021</w:t>
            </w:r>
          </w:p>
        </w:tc>
        <w:tc>
          <w:tcPr>
            <w:tcW w:w="2694" w:type="dxa"/>
            <w:tcBorders>
              <w:top w:val="nil"/>
              <w:left w:val="nil"/>
              <w:bottom w:val="single" w:sz="8" w:space="0" w:color="BFBFBF"/>
              <w:right w:val="single" w:sz="8" w:space="0" w:color="BFBFBF"/>
            </w:tcBorders>
            <w:tcMar>
              <w:top w:w="0" w:type="dxa"/>
              <w:left w:w="108" w:type="dxa"/>
              <w:bottom w:w="0" w:type="dxa"/>
              <w:right w:w="108" w:type="dxa"/>
            </w:tcMar>
            <w:hideMark/>
          </w:tcPr>
          <w:p w14:paraId="1EF2CC28"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 xml:space="preserve">Guillermo Sánchez Torres </w:t>
            </w:r>
          </w:p>
        </w:tc>
        <w:tc>
          <w:tcPr>
            <w:tcW w:w="2131"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638EE0AA"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17 de junio de 2021</w:t>
            </w:r>
          </w:p>
        </w:tc>
      </w:tr>
      <w:tr w:rsidR="00346511" w:rsidRPr="00F32542" w14:paraId="37419712" w14:textId="77777777" w:rsidTr="00346511">
        <w:trPr>
          <w:trHeight w:val="20"/>
          <w:jc w:val="center"/>
        </w:trPr>
        <w:tc>
          <w:tcPr>
            <w:tcW w:w="42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6F06C537"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color w:val="000000"/>
                <w:sz w:val="18"/>
                <w:szCs w:val="18"/>
                <w:lang w:val="es-ES_tradnl" w:eastAsia="es-MX"/>
              </w:rPr>
              <w:t>18</w:t>
            </w:r>
          </w:p>
        </w:tc>
        <w:tc>
          <w:tcPr>
            <w:tcW w:w="240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71C8D446"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b/>
                <w:bCs/>
                <w:color w:val="000000"/>
                <w:sz w:val="18"/>
                <w:szCs w:val="18"/>
                <w:lang w:val="es-ES_tradnl" w:eastAsia="es-MX"/>
              </w:rPr>
              <w:t>TECDMX-JLDC-103/2021</w:t>
            </w:r>
          </w:p>
        </w:tc>
        <w:tc>
          <w:tcPr>
            <w:tcW w:w="2694" w:type="dxa"/>
            <w:tcBorders>
              <w:top w:val="nil"/>
              <w:left w:val="nil"/>
              <w:bottom w:val="single" w:sz="8" w:space="0" w:color="BFBFBF"/>
              <w:right w:val="single" w:sz="8" w:space="0" w:color="BFBFBF"/>
            </w:tcBorders>
            <w:tcMar>
              <w:top w:w="0" w:type="dxa"/>
              <w:left w:w="108" w:type="dxa"/>
              <w:bottom w:w="0" w:type="dxa"/>
              <w:right w:w="108" w:type="dxa"/>
            </w:tcMar>
            <w:hideMark/>
          </w:tcPr>
          <w:p w14:paraId="40848707"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 xml:space="preserve">Mónica Jessica Menocal del Moral </w:t>
            </w:r>
          </w:p>
        </w:tc>
        <w:tc>
          <w:tcPr>
            <w:tcW w:w="2131"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373CEC4A"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17 de junio de 2021</w:t>
            </w:r>
          </w:p>
        </w:tc>
      </w:tr>
      <w:tr w:rsidR="00346511" w:rsidRPr="00F32542" w14:paraId="634D3050" w14:textId="77777777" w:rsidTr="00346511">
        <w:trPr>
          <w:trHeight w:val="20"/>
          <w:jc w:val="center"/>
        </w:trPr>
        <w:tc>
          <w:tcPr>
            <w:tcW w:w="42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6A4D4C40"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color w:val="000000"/>
                <w:sz w:val="18"/>
                <w:szCs w:val="18"/>
                <w:lang w:val="es-ES_tradnl" w:eastAsia="es-MX"/>
              </w:rPr>
              <w:t>19</w:t>
            </w:r>
          </w:p>
        </w:tc>
        <w:tc>
          <w:tcPr>
            <w:tcW w:w="240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327334BA"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b/>
                <w:bCs/>
                <w:color w:val="000000"/>
                <w:sz w:val="18"/>
                <w:szCs w:val="18"/>
                <w:lang w:val="es-ES_tradnl" w:eastAsia="es-MX"/>
              </w:rPr>
              <w:t>TECDMX-JLDC-104/2021</w:t>
            </w:r>
          </w:p>
        </w:tc>
        <w:tc>
          <w:tcPr>
            <w:tcW w:w="2694" w:type="dxa"/>
            <w:tcBorders>
              <w:top w:val="nil"/>
              <w:left w:val="nil"/>
              <w:bottom w:val="single" w:sz="8" w:space="0" w:color="BFBFBF"/>
              <w:right w:val="single" w:sz="8" w:space="0" w:color="BFBFBF"/>
            </w:tcBorders>
            <w:tcMar>
              <w:top w:w="0" w:type="dxa"/>
              <w:left w:w="108" w:type="dxa"/>
              <w:bottom w:w="0" w:type="dxa"/>
              <w:right w:w="108" w:type="dxa"/>
            </w:tcMar>
            <w:hideMark/>
          </w:tcPr>
          <w:p w14:paraId="08BA989E"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 xml:space="preserve">Paula Andrea Castillo Mendieta </w:t>
            </w:r>
          </w:p>
        </w:tc>
        <w:tc>
          <w:tcPr>
            <w:tcW w:w="2131"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797D9F17"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17 de junio de 2021</w:t>
            </w:r>
          </w:p>
        </w:tc>
      </w:tr>
      <w:tr w:rsidR="00346511" w:rsidRPr="00F32542" w14:paraId="70081A75" w14:textId="77777777" w:rsidTr="00346511">
        <w:trPr>
          <w:trHeight w:val="20"/>
          <w:jc w:val="center"/>
        </w:trPr>
        <w:tc>
          <w:tcPr>
            <w:tcW w:w="42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234349C0"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color w:val="000000"/>
                <w:sz w:val="18"/>
                <w:szCs w:val="18"/>
                <w:lang w:val="es-ES_tradnl" w:eastAsia="es-MX"/>
              </w:rPr>
              <w:t>20</w:t>
            </w:r>
          </w:p>
        </w:tc>
        <w:tc>
          <w:tcPr>
            <w:tcW w:w="240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677118AC"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b/>
                <w:bCs/>
                <w:color w:val="000000"/>
                <w:sz w:val="18"/>
                <w:szCs w:val="18"/>
                <w:lang w:val="es-ES_tradnl" w:eastAsia="es-MX"/>
              </w:rPr>
              <w:t>TECDMX-JLDC-108/2021</w:t>
            </w:r>
            <w:r w:rsidR="005C00E0" w:rsidRPr="00F32542">
              <w:rPr>
                <w:rStyle w:val="Refdenotaalpie"/>
                <w:rFonts w:ascii="Arial" w:hAnsi="Arial" w:cs="Arial"/>
                <w:b/>
                <w:bCs/>
                <w:color w:val="000000"/>
                <w:sz w:val="18"/>
                <w:szCs w:val="18"/>
                <w:lang w:val="es-ES_tradnl" w:eastAsia="es-MX"/>
              </w:rPr>
              <w:footnoteReference w:id="3"/>
            </w:r>
          </w:p>
        </w:tc>
        <w:tc>
          <w:tcPr>
            <w:tcW w:w="2694" w:type="dxa"/>
            <w:tcBorders>
              <w:top w:val="nil"/>
              <w:left w:val="nil"/>
              <w:bottom w:val="single" w:sz="8" w:space="0" w:color="BFBFBF"/>
              <w:right w:val="single" w:sz="8" w:space="0" w:color="BFBFBF"/>
            </w:tcBorders>
            <w:tcMar>
              <w:top w:w="0" w:type="dxa"/>
              <w:left w:w="108" w:type="dxa"/>
              <w:bottom w:w="0" w:type="dxa"/>
              <w:right w:w="108" w:type="dxa"/>
            </w:tcMar>
            <w:hideMark/>
          </w:tcPr>
          <w:p w14:paraId="78CC7B16" w14:textId="77777777" w:rsidR="00346511" w:rsidRPr="00F32542" w:rsidRDefault="00346511" w:rsidP="00346511">
            <w:pPr>
              <w:spacing w:after="0" w:line="240" w:lineRule="auto"/>
              <w:jc w:val="center"/>
              <w:rPr>
                <w:rFonts w:ascii="Arial" w:hAnsi="Arial" w:cs="Arial"/>
                <w:sz w:val="18"/>
                <w:szCs w:val="18"/>
                <w:lang w:eastAsia="es-MX"/>
              </w:rPr>
            </w:pPr>
            <w:proofErr w:type="spellStart"/>
            <w:r w:rsidRPr="00F32542">
              <w:rPr>
                <w:rFonts w:ascii="Arial" w:hAnsi="Arial" w:cs="Arial"/>
                <w:sz w:val="18"/>
                <w:szCs w:val="18"/>
                <w:lang w:val="es-ES_tradnl" w:eastAsia="es-MX"/>
              </w:rPr>
              <w:t>Kilauren</w:t>
            </w:r>
            <w:proofErr w:type="spellEnd"/>
            <w:r w:rsidRPr="00F32542">
              <w:rPr>
                <w:rFonts w:ascii="Arial" w:hAnsi="Arial" w:cs="Arial"/>
                <w:sz w:val="18"/>
                <w:szCs w:val="18"/>
                <w:lang w:val="es-ES_tradnl" w:eastAsia="es-MX"/>
              </w:rPr>
              <w:t xml:space="preserve"> Paulina Cobos Lázaro </w:t>
            </w:r>
          </w:p>
        </w:tc>
        <w:tc>
          <w:tcPr>
            <w:tcW w:w="2131"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579AFDD1"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16 de junio de 2021</w:t>
            </w:r>
          </w:p>
        </w:tc>
      </w:tr>
      <w:tr w:rsidR="00346511" w:rsidRPr="00F32542" w14:paraId="6DB6140C" w14:textId="77777777" w:rsidTr="00346511">
        <w:trPr>
          <w:trHeight w:val="20"/>
          <w:jc w:val="center"/>
        </w:trPr>
        <w:tc>
          <w:tcPr>
            <w:tcW w:w="42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01EBEB0D"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color w:val="000000"/>
                <w:sz w:val="18"/>
                <w:szCs w:val="18"/>
                <w:lang w:val="es-ES_tradnl" w:eastAsia="es-MX"/>
              </w:rPr>
              <w:t>21</w:t>
            </w:r>
          </w:p>
        </w:tc>
        <w:tc>
          <w:tcPr>
            <w:tcW w:w="240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52A4FE9B"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b/>
                <w:bCs/>
                <w:color w:val="000000"/>
                <w:sz w:val="18"/>
                <w:szCs w:val="18"/>
                <w:lang w:val="es-ES_tradnl" w:eastAsia="es-MX"/>
              </w:rPr>
              <w:t>TECDMX-JLDC-109/2021</w:t>
            </w:r>
            <w:r w:rsidR="005C00E0" w:rsidRPr="00F32542">
              <w:rPr>
                <w:rStyle w:val="Refdenotaalpie"/>
                <w:rFonts w:ascii="Arial" w:hAnsi="Arial" w:cs="Arial"/>
                <w:b/>
                <w:bCs/>
                <w:color w:val="000000"/>
                <w:sz w:val="18"/>
                <w:szCs w:val="18"/>
                <w:lang w:val="es-ES_tradnl" w:eastAsia="es-MX"/>
              </w:rPr>
              <w:footnoteReference w:id="4"/>
            </w:r>
          </w:p>
        </w:tc>
        <w:tc>
          <w:tcPr>
            <w:tcW w:w="2694" w:type="dxa"/>
            <w:tcBorders>
              <w:top w:val="nil"/>
              <w:left w:val="nil"/>
              <w:bottom w:val="single" w:sz="8" w:space="0" w:color="BFBFBF"/>
              <w:right w:val="single" w:sz="8" w:space="0" w:color="BFBFBF"/>
            </w:tcBorders>
            <w:tcMar>
              <w:top w:w="0" w:type="dxa"/>
              <w:left w:w="108" w:type="dxa"/>
              <w:bottom w:w="0" w:type="dxa"/>
              <w:right w:w="108" w:type="dxa"/>
            </w:tcMar>
            <w:hideMark/>
          </w:tcPr>
          <w:p w14:paraId="1EC85296" w14:textId="77777777" w:rsidR="00346511" w:rsidRPr="00F32542" w:rsidRDefault="00346511" w:rsidP="005C00E0">
            <w:pPr>
              <w:spacing w:after="0" w:line="240" w:lineRule="auto"/>
              <w:jc w:val="center"/>
              <w:rPr>
                <w:rFonts w:ascii="Arial" w:hAnsi="Arial" w:cs="Arial"/>
                <w:sz w:val="18"/>
                <w:szCs w:val="18"/>
                <w:lang w:val="es-ES_tradnl" w:eastAsia="es-MX"/>
              </w:rPr>
            </w:pPr>
            <w:r w:rsidRPr="00F32542">
              <w:rPr>
                <w:rFonts w:ascii="Arial" w:hAnsi="Arial" w:cs="Arial"/>
                <w:sz w:val="18"/>
                <w:szCs w:val="18"/>
                <w:lang w:val="es-ES_tradnl" w:eastAsia="es-MX"/>
              </w:rPr>
              <w:t xml:space="preserve">Nayaret </w:t>
            </w:r>
            <w:proofErr w:type="spellStart"/>
            <w:r w:rsidRPr="00F32542">
              <w:rPr>
                <w:rFonts w:ascii="Arial" w:hAnsi="Arial" w:cs="Arial"/>
                <w:sz w:val="18"/>
                <w:szCs w:val="18"/>
                <w:lang w:val="es-ES_tradnl" w:eastAsia="es-MX"/>
              </w:rPr>
              <w:t>Yazmín</w:t>
            </w:r>
            <w:proofErr w:type="spellEnd"/>
            <w:r w:rsidRPr="00F32542">
              <w:rPr>
                <w:rFonts w:ascii="Arial" w:hAnsi="Arial" w:cs="Arial"/>
                <w:sz w:val="18"/>
                <w:szCs w:val="18"/>
                <w:lang w:val="es-ES_tradnl" w:eastAsia="es-MX"/>
              </w:rPr>
              <w:t xml:space="preserve"> Calderón Martínez</w:t>
            </w:r>
          </w:p>
        </w:tc>
        <w:tc>
          <w:tcPr>
            <w:tcW w:w="2131"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0614F98C"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16 de junio de 2021</w:t>
            </w:r>
          </w:p>
        </w:tc>
      </w:tr>
      <w:tr w:rsidR="00346511" w:rsidRPr="00F32542" w14:paraId="4EC38D01" w14:textId="77777777" w:rsidTr="00346511">
        <w:trPr>
          <w:trHeight w:val="20"/>
          <w:jc w:val="center"/>
        </w:trPr>
        <w:tc>
          <w:tcPr>
            <w:tcW w:w="42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7D2C064B"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color w:val="000000"/>
                <w:sz w:val="18"/>
                <w:szCs w:val="18"/>
                <w:lang w:val="es-ES_tradnl" w:eastAsia="es-MX"/>
              </w:rPr>
              <w:t>22</w:t>
            </w:r>
          </w:p>
        </w:tc>
        <w:tc>
          <w:tcPr>
            <w:tcW w:w="2404"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1CFA67DB"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b/>
                <w:bCs/>
                <w:color w:val="000000"/>
                <w:sz w:val="18"/>
                <w:szCs w:val="18"/>
                <w:lang w:val="es-ES_tradnl" w:eastAsia="es-MX"/>
              </w:rPr>
              <w:t>TECDMX-JLDC-110/2021</w:t>
            </w:r>
            <w:r w:rsidR="005C00E0" w:rsidRPr="00F32542">
              <w:rPr>
                <w:rStyle w:val="Refdenotaalpie"/>
                <w:rFonts w:ascii="Arial" w:hAnsi="Arial" w:cs="Arial"/>
                <w:b/>
                <w:bCs/>
                <w:color w:val="000000"/>
                <w:sz w:val="18"/>
                <w:szCs w:val="18"/>
                <w:lang w:val="es-ES_tradnl" w:eastAsia="es-MX"/>
              </w:rPr>
              <w:footnoteReference w:id="5"/>
            </w:r>
          </w:p>
        </w:tc>
        <w:tc>
          <w:tcPr>
            <w:tcW w:w="2694" w:type="dxa"/>
            <w:tcBorders>
              <w:top w:val="nil"/>
              <w:left w:val="nil"/>
              <w:bottom w:val="single" w:sz="8" w:space="0" w:color="BFBFBF"/>
              <w:right w:val="single" w:sz="8" w:space="0" w:color="BFBFBF"/>
            </w:tcBorders>
            <w:tcMar>
              <w:top w:w="0" w:type="dxa"/>
              <w:left w:w="108" w:type="dxa"/>
              <w:bottom w:w="0" w:type="dxa"/>
              <w:right w:w="108" w:type="dxa"/>
            </w:tcMar>
            <w:hideMark/>
          </w:tcPr>
          <w:p w14:paraId="4D6EF2BB"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 xml:space="preserve">Fernando </w:t>
            </w:r>
            <w:proofErr w:type="spellStart"/>
            <w:r w:rsidRPr="00F32542">
              <w:rPr>
                <w:rFonts w:ascii="Arial" w:hAnsi="Arial" w:cs="Arial"/>
                <w:sz w:val="18"/>
                <w:szCs w:val="18"/>
                <w:lang w:val="es-ES_tradnl" w:eastAsia="es-MX"/>
              </w:rPr>
              <w:t>Belaunzarán</w:t>
            </w:r>
            <w:proofErr w:type="spellEnd"/>
            <w:r w:rsidRPr="00F32542">
              <w:rPr>
                <w:rFonts w:ascii="Arial" w:hAnsi="Arial" w:cs="Arial"/>
                <w:sz w:val="18"/>
                <w:szCs w:val="18"/>
                <w:lang w:val="es-ES_tradnl" w:eastAsia="es-MX"/>
              </w:rPr>
              <w:t xml:space="preserve"> Méndez </w:t>
            </w:r>
          </w:p>
        </w:tc>
        <w:tc>
          <w:tcPr>
            <w:tcW w:w="2131"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3462D649" w14:textId="77777777" w:rsidR="00346511" w:rsidRPr="00F32542" w:rsidRDefault="00346511" w:rsidP="00346511">
            <w:pPr>
              <w:spacing w:after="0" w:line="240" w:lineRule="auto"/>
              <w:jc w:val="center"/>
              <w:rPr>
                <w:rFonts w:ascii="Arial" w:hAnsi="Arial" w:cs="Arial"/>
                <w:sz w:val="18"/>
                <w:szCs w:val="18"/>
                <w:lang w:eastAsia="es-MX"/>
              </w:rPr>
            </w:pPr>
            <w:r w:rsidRPr="00F32542">
              <w:rPr>
                <w:rFonts w:ascii="Arial" w:hAnsi="Arial" w:cs="Arial"/>
                <w:sz w:val="18"/>
                <w:szCs w:val="18"/>
                <w:lang w:val="es-ES_tradnl" w:eastAsia="es-MX"/>
              </w:rPr>
              <w:t>16 de junio de 2021</w:t>
            </w:r>
          </w:p>
        </w:tc>
      </w:tr>
    </w:tbl>
    <w:p w14:paraId="3F053B13" w14:textId="77777777" w:rsidR="00346511" w:rsidRPr="00F32542" w:rsidRDefault="00346511" w:rsidP="00142AAE">
      <w:pPr>
        <w:spacing w:after="0" w:line="360" w:lineRule="auto"/>
        <w:jc w:val="both"/>
        <w:rPr>
          <w:rFonts w:ascii="Arial" w:eastAsia="Times New Roman" w:hAnsi="Arial" w:cs="Arial"/>
          <w:b/>
          <w:sz w:val="18"/>
          <w:szCs w:val="18"/>
          <w:lang w:val="es-ES_tradnl" w:eastAsia="es-MX"/>
        </w:rPr>
      </w:pPr>
    </w:p>
    <w:p w14:paraId="46B82E54" w14:textId="77777777" w:rsidR="003D29D2" w:rsidRPr="00F32542" w:rsidRDefault="003D29D2" w:rsidP="00142AAE">
      <w:pPr>
        <w:spacing w:after="0" w:line="360" w:lineRule="auto"/>
        <w:jc w:val="both"/>
        <w:rPr>
          <w:rFonts w:ascii="Arial" w:hAnsi="Arial" w:cs="Arial"/>
          <w:b/>
          <w:sz w:val="28"/>
          <w:szCs w:val="28"/>
          <w:lang w:val="es-ES_tradnl"/>
        </w:rPr>
      </w:pPr>
    </w:p>
    <w:p w14:paraId="22D631F8" w14:textId="77777777" w:rsidR="00142AAE" w:rsidRPr="00F32542" w:rsidRDefault="00142AAE" w:rsidP="00142AAE">
      <w:pPr>
        <w:spacing w:after="0" w:line="360" w:lineRule="auto"/>
        <w:jc w:val="both"/>
        <w:rPr>
          <w:rFonts w:ascii="Arial" w:eastAsia="Calibri" w:hAnsi="Arial" w:cs="Arial"/>
          <w:sz w:val="28"/>
          <w:szCs w:val="28"/>
          <w:lang w:val="es-ES_tradnl"/>
        </w:rPr>
      </w:pPr>
      <w:r w:rsidRPr="00F32542">
        <w:rPr>
          <w:rFonts w:ascii="Arial" w:hAnsi="Arial" w:cs="Arial"/>
          <w:b/>
          <w:sz w:val="28"/>
          <w:szCs w:val="28"/>
          <w:lang w:val="es-ES_tradnl"/>
        </w:rPr>
        <w:t xml:space="preserve">2. </w:t>
      </w:r>
      <w:r w:rsidRPr="00F32542">
        <w:rPr>
          <w:rFonts w:ascii="Arial" w:eastAsia="Calibri" w:hAnsi="Arial" w:cs="Arial"/>
          <w:b/>
          <w:sz w:val="28"/>
          <w:szCs w:val="28"/>
          <w:lang w:val="es-ES_tradnl"/>
        </w:rPr>
        <w:t>Publicitación de</w:t>
      </w:r>
      <w:r w:rsidR="00CB6E82" w:rsidRPr="00F32542">
        <w:rPr>
          <w:rFonts w:ascii="Arial" w:eastAsia="Calibri" w:hAnsi="Arial" w:cs="Arial"/>
          <w:b/>
          <w:sz w:val="28"/>
          <w:szCs w:val="28"/>
          <w:lang w:val="es-ES_tradnl"/>
        </w:rPr>
        <w:t xml:space="preserve"> </w:t>
      </w:r>
      <w:r w:rsidRPr="00F32542">
        <w:rPr>
          <w:rFonts w:ascii="Arial" w:eastAsia="Calibri" w:hAnsi="Arial" w:cs="Arial"/>
          <w:b/>
          <w:sz w:val="28"/>
          <w:szCs w:val="28"/>
          <w:lang w:val="es-ES_tradnl"/>
        </w:rPr>
        <w:t>l</w:t>
      </w:r>
      <w:r w:rsidR="00CB6E82" w:rsidRPr="00F32542">
        <w:rPr>
          <w:rFonts w:ascii="Arial" w:eastAsia="Calibri" w:hAnsi="Arial" w:cs="Arial"/>
          <w:b/>
          <w:sz w:val="28"/>
          <w:szCs w:val="28"/>
          <w:lang w:val="es-ES_tradnl"/>
        </w:rPr>
        <w:t>os</w:t>
      </w:r>
      <w:r w:rsidRPr="00F32542">
        <w:rPr>
          <w:rFonts w:ascii="Arial" w:eastAsia="Calibri" w:hAnsi="Arial" w:cs="Arial"/>
          <w:b/>
          <w:sz w:val="28"/>
          <w:szCs w:val="28"/>
          <w:lang w:val="es-ES_tradnl"/>
        </w:rPr>
        <w:t xml:space="preserve"> </w:t>
      </w:r>
      <w:r w:rsidRPr="00F32542">
        <w:rPr>
          <w:rFonts w:ascii="Arial" w:hAnsi="Arial" w:cs="Arial"/>
          <w:b/>
          <w:sz w:val="28"/>
          <w:szCs w:val="28"/>
          <w:lang w:val="es-ES_tradnl"/>
        </w:rPr>
        <w:t>juicio</w:t>
      </w:r>
      <w:r w:rsidR="00CB6E82" w:rsidRPr="00F32542">
        <w:rPr>
          <w:rFonts w:ascii="Arial" w:hAnsi="Arial" w:cs="Arial"/>
          <w:b/>
          <w:sz w:val="28"/>
          <w:szCs w:val="28"/>
          <w:lang w:val="es-ES_tradnl"/>
        </w:rPr>
        <w:t>s</w:t>
      </w:r>
      <w:r w:rsidRPr="00F32542">
        <w:rPr>
          <w:rFonts w:ascii="Arial" w:hAnsi="Arial" w:cs="Arial"/>
          <w:b/>
          <w:sz w:val="28"/>
          <w:szCs w:val="28"/>
          <w:lang w:val="es-ES_tradnl"/>
        </w:rPr>
        <w:t xml:space="preserve"> y </w:t>
      </w:r>
      <w:r w:rsidRPr="00F32542">
        <w:rPr>
          <w:rFonts w:ascii="Arial" w:hAnsi="Arial" w:cs="Arial"/>
          <w:b/>
          <w:i/>
          <w:sz w:val="28"/>
          <w:szCs w:val="28"/>
          <w:lang w:val="es-ES_tradnl"/>
        </w:rPr>
        <w:t>partes terceras interesadas</w:t>
      </w:r>
      <w:r w:rsidRPr="00F32542">
        <w:rPr>
          <w:rFonts w:ascii="Arial" w:hAnsi="Arial" w:cs="Arial"/>
          <w:b/>
          <w:sz w:val="28"/>
          <w:szCs w:val="28"/>
          <w:lang w:val="es-ES_tradnl"/>
        </w:rPr>
        <w:t xml:space="preserve">. </w:t>
      </w:r>
      <w:r w:rsidRPr="00F32542">
        <w:rPr>
          <w:rFonts w:ascii="Arial" w:eastAsia="Calibri" w:hAnsi="Arial" w:cs="Arial"/>
          <w:sz w:val="28"/>
          <w:szCs w:val="28"/>
          <w:lang w:val="es-ES_tradnl"/>
        </w:rPr>
        <w:t xml:space="preserve">Una vez presentadas las demandas, se publicitaron en los respectivos estrados </w:t>
      </w:r>
      <w:r w:rsidR="000415BD" w:rsidRPr="00F32542">
        <w:rPr>
          <w:rFonts w:ascii="Arial" w:eastAsia="Calibri" w:hAnsi="Arial" w:cs="Arial"/>
          <w:sz w:val="28"/>
          <w:szCs w:val="28"/>
          <w:lang w:val="es-ES_tradnl"/>
        </w:rPr>
        <w:t xml:space="preserve">del </w:t>
      </w:r>
      <w:r w:rsidR="000415BD" w:rsidRPr="00F32542">
        <w:rPr>
          <w:rFonts w:ascii="Arial" w:eastAsia="Calibri" w:hAnsi="Arial" w:cs="Arial"/>
          <w:i/>
          <w:iCs/>
          <w:sz w:val="28"/>
          <w:szCs w:val="28"/>
          <w:lang w:val="es-ES_tradnl"/>
        </w:rPr>
        <w:t>In</w:t>
      </w:r>
      <w:r w:rsidR="00B30C50" w:rsidRPr="00F32542">
        <w:rPr>
          <w:rFonts w:ascii="Arial" w:eastAsia="Calibri" w:hAnsi="Arial" w:cs="Arial"/>
          <w:i/>
          <w:iCs/>
          <w:sz w:val="28"/>
          <w:szCs w:val="28"/>
          <w:lang w:val="es-ES_tradnl"/>
        </w:rPr>
        <w:t>s</w:t>
      </w:r>
      <w:r w:rsidR="000415BD" w:rsidRPr="00F32542">
        <w:rPr>
          <w:rFonts w:ascii="Arial" w:eastAsia="Calibri" w:hAnsi="Arial" w:cs="Arial"/>
          <w:i/>
          <w:iCs/>
          <w:sz w:val="28"/>
          <w:szCs w:val="28"/>
          <w:lang w:val="es-ES_tradnl"/>
        </w:rPr>
        <w:t>tituto Electoral</w:t>
      </w:r>
      <w:r w:rsidRPr="00F32542">
        <w:rPr>
          <w:rFonts w:ascii="Arial" w:eastAsia="Calibri" w:hAnsi="Arial" w:cs="Arial"/>
          <w:sz w:val="28"/>
          <w:szCs w:val="28"/>
          <w:lang w:val="es-ES_tradnl"/>
        </w:rPr>
        <w:t>;</w:t>
      </w:r>
      <w:r w:rsidR="00B26425" w:rsidRPr="00F32542">
        <w:rPr>
          <w:rFonts w:ascii="Arial" w:eastAsia="Calibri" w:hAnsi="Arial" w:cs="Arial"/>
          <w:sz w:val="28"/>
          <w:szCs w:val="28"/>
          <w:lang w:val="es-ES_tradnl"/>
        </w:rPr>
        <w:t xml:space="preserve"> en función de ello</w:t>
      </w:r>
      <w:r w:rsidRPr="00F32542">
        <w:rPr>
          <w:rFonts w:ascii="Arial" w:eastAsia="Calibri" w:hAnsi="Arial" w:cs="Arial"/>
          <w:sz w:val="28"/>
          <w:szCs w:val="28"/>
          <w:lang w:val="es-ES_tradnl"/>
        </w:rPr>
        <w:t xml:space="preserve">, comparecieron </w:t>
      </w:r>
      <w:r w:rsidRPr="00F32542">
        <w:rPr>
          <w:rFonts w:ascii="Arial" w:eastAsia="Calibri" w:hAnsi="Arial" w:cs="Arial"/>
          <w:sz w:val="28"/>
          <w:szCs w:val="28"/>
          <w:lang w:val="es-ES_tradnl"/>
        </w:rPr>
        <w:lastRenderedPageBreak/>
        <w:t>diversas personas como terceras interesadas, como se detalla en la siguiente tabla:</w:t>
      </w:r>
    </w:p>
    <w:p w14:paraId="0E47CEB0" w14:textId="77777777" w:rsidR="00142AAE" w:rsidRPr="00F32542" w:rsidRDefault="00142AAE" w:rsidP="00142AAE">
      <w:pPr>
        <w:spacing w:after="0" w:line="360" w:lineRule="auto"/>
        <w:jc w:val="both"/>
        <w:rPr>
          <w:rFonts w:ascii="Arial" w:eastAsia="Calibri" w:hAnsi="Arial" w:cs="Arial"/>
          <w:sz w:val="28"/>
          <w:szCs w:val="28"/>
          <w:lang w:val="es-ES_tradnl"/>
        </w:rPr>
      </w:pPr>
    </w:p>
    <w:tbl>
      <w:tblPr>
        <w:tblStyle w:val="Cuadrculadetablaclara1"/>
        <w:tblW w:w="0" w:type="auto"/>
        <w:jc w:val="center"/>
        <w:tblLook w:val="04A0" w:firstRow="1" w:lastRow="0" w:firstColumn="1" w:lastColumn="0" w:noHBand="0" w:noVBand="1"/>
      </w:tblPr>
      <w:tblGrid>
        <w:gridCol w:w="441"/>
        <w:gridCol w:w="1624"/>
        <w:gridCol w:w="3317"/>
        <w:gridCol w:w="2126"/>
      </w:tblGrid>
      <w:tr w:rsidR="003C3B09" w:rsidRPr="00F32542" w14:paraId="770478F6" w14:textId="77777777" w:rsidTr="003C3B09">
        <w:trPr>
          <w:trHeight w:val="20"/>
          <w:tblHeader/>
          <w:jc w:val="center"/>
        </w:trPr>
        <w:tc>
          <w:tcPr>
            <w:tcW w:w="441" w:type="dxa"/>
            <w:shd w:val="clear" w:color="auto" w:fill="BFBFBF" w:themeFill="background1" w:themeFillShade="BF"/>
            <w:vAlign w:val="center"/>
            <w:hideMark/>
          </w:tcPr>
          <w:p w14:paraId="73D0F65F" w14:textId="77777777" w:rsidR="003C3B09" w:rsidRPr="00F32542" w:rsidRDefault="003C3B09" w:rsidP="00D3248E">
            <w:pPr>
              <w:spacing w:after="0" w:line="240" w:lineRule="auto"/>
              <w:jc w:val="center"/>
              <w:rPr>
                <w:rFonts w:ascii="Arial" w:eastAsia="Times New Roman" w:hAnsi="Arial" w:cs="Arial"/>
                <w:b/>
                <w:sz w:val="18"/>
                <w:szCs w:val="18"/>
                <w:lang w:val="es-ES_tradnl" w:eastAsia="es-MX"/>
              </w:rPr>
            </w:pPr>
            <w:proofErr w:type="spellStart"/>
            <w:r w:rsidRPr="00F32542">
              <w:rPr>
                <w:rFonts w:ascii="Arial" w:eastAsia="Times New Roman" w:hAnsi="Arial" w:cs="Arial"/>
                <w:b/>
                <w:sz w:val="18"/>
                <w:szCs w:val="18"/>
                <w:lang w:val="es-ES_tradnl" w:eastAsia="es-MX"/>
              </w:rPr>
              <w:t>N°</w:t>
            </w:r>
            <w:proofErr w:type="spellEnd"/>
          </w:p>
        </w:tc>
        <w:tc>
          <w:tcPr>
            <w:tcW w:w="1624" w:type="dxa"/>
            <w:shd w:val="clear" w:color="auto" w:fill="BFBFBF" w:themeFill="background1" w:themeFillShade="BF"/>
            <w:vAlign w:val="center"/>
            <w:hideMark/>
          </w:tcPr>
          <w:p w14:paraId="3288A2CF" w14:textId="77777777" w:rsidR="003C3B09" w:rsidRPr="00F32542" w:rsidRDefault="003C3B09" w:rsidP="000415BD">
            <w:pPr>
              <w:spacing w:after="0" w:line="240" w:lineRule="auto"/>
              <w:jc w:val="center"/>
              <w:rPr>
                <w:rFonts w:ascii="Arial" w:eastAsia="Times New Roman" w:hAnsi="Arial" w:cs="Arial"/>
                <w:b/>
                <w:sz w:val="18"/>
                <w:szCs w:val="18"/>
                <w:lang w:val="es-ES_tradnl" w:eastAsia="es-MX"/>
              </w:rPr>
            </w:pPr>
            <w:r w:rsidRPr="00F32542">
              <w:rPr>
                <w:rFonts w:ascii="Arial" w:eastAsia="Times New Roman" w:hAnsi="Arial" w:cs="Arial"/>
                <w:b/>
                <w:sz w:val="18"/>
                <w:szCs w:val="18"/>
                <w:lang w:val="es-ES_tradnl" w:eastAsia="es-MX"/>
              </w:rPr>
              <w:t>NÚMERO DE EXPEDIENTE</w:t>
            </w:r>
          </w:p>
        </w:tc>
        <w:tc>
          <w:tcPr>
            <w:tcW w:w="3317" w:type="dxa"/>
            <w:shd w:val="clear" w:color="auto" w:fill="BFBFBF" w:themeFill="background1" w:themeFillShade="BF"/>
            <w:vAlign w:val="center"/>
            <w:hideMark/>
          </w:tcPr>
          <w:p w14:paraId="3EDAA243" w14:textId="77777777" w:rsidR="003C3B09" w:rsidRPr="00F32542" w:rsidRDefault="003C3B09" w:rsidP="00D3248E">
            <w:pPr>
              <w:spacing w:after="0" w:line="240" w:lineRule="auto"/>
              <w:jc w:val="center"/>
              <w:rPr>
                <w:rFonts w:ascii="Arial" w:eastAsia="Times New Roman" w:hAnsi="Arial" w:cs="Arial"/>
                <w:b/>
                <w:sz w:val="18"/>
                <w:szCs w:val="18"/>
                <w:lang w:val="es-ES_tradnl" w:eastAsia="es-MX"/>
              </w:rPr>
            </w:pPr>
            <w:r w:rsidRPr="00F32542">
              <w:rPr>
                <w:rFonts w:ascii="Arial" w:eastAsia="Times New Roman" w:hAnsi="Arial" w:cs="Arial"/>
                <w:b/>
                <w:sz w:val="18"/>
                <w:szCs w:val="18"/>
                <w:lang w:val="es-ES_tradnl" w:eastAsia="es-MX"/>
              </w:rPr>
              <w:t>PUBLICITACIÓN</w:t>
            </w:r>
          </w:p>
        </w:tc>
        <w:tc>
          <w:tcPr>
            <w:tcW w:w="2126" w:type="dxa"/>
            <w:shd w:val="clear" w:color="auto" w:fill="BFBFBF" w:themeFill="background1" w:themeFillShade="BF"/>
            <w:vAlign w:val="center"/>
            <w:hideMark/>
          </w:tcPr>
          <w:p w14:paraId="648FAD9E" w14:textId="77777777" w:rsidR="003C3B09" w:rsidRPr="00F32542" w:rsidRDefault="003C3B09" w:rsidP="00D3248E">
            <w:pPr>
              <w:spacing w:after="0" w:line="240" w:lineRule="auto"/>
              <w:jc w:val="center"/>
              <w:rPr>
                <w:rFonts w:ascii="Arial" w:eastAsia="Times New Roman" w:hAnsi="Arial" w:cs="Arial"/>
                <w:b/>
                <w:sz w:val="18"/>
                <w:szCs w:val="18"/>
                <w:lang w:val="es-ES_tradnl" w:eastAsia="es-MX"/>
              </w:rPr>
            </w:pPr>
            <w:r w:rsidRPr="00F32542">
              <w:rPr>
                <w:rFonts w:ascii="Arial" w:eastAsia="Times New Roman" w:hAnsi="Arial" w:cs="Arial"/>
                <w:b/>
                <w:sz w:val="18"/>
                <w:szCs w:val="18"/>
                <w:lang w:val="es-ES_tradnl" w:eastAsia="es-MX"/>
              </w:rPr>
              <w:t>PARTES TERCERAS INTERESADAS</w:t>
            </w:r>
          </w:p>
        </w:tc>
      </w:tr>
      <w:tr w:rsidR="003C3B09" w:rsidRPr="00F32542" w14:paraId="7F1754C0" w14:textId="77777777" w:rsidTr="003C3B09">
        <w:trPr>
          <w:trHeight w:val="728"/>
          <w:jc w:val="center"/>
        </w:trPr>
        <w:tc>
          <w:tcPr>
            <w:tcW w:w="441" w:type="dxa"/>
            <w:vAlign w:val="center"/>
          </w:tcPr>
          <w:p w14:paraId="01A16B29" w14:textId="77777777" w:rsidR="003C3B09" w:rsidRPr="00F32542" w:rsidRDefault="003C3B09" w:rsidP="00CB6E82">
            <w:pPr>
              <w:spacing w:after="0" w:line="240" w:lineRule="auto"/>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1</w:t>
            </w:r>
          </w:p>
        </w:tc>
        <w:tc>
          <w:tcPr>
            <w:tcW w:w="1624" w:type="dxa"/>
            <w:vAlign w:val="center"/>
          </w:tcPr>
          <w:p w14:paraId="2898A5B0" w14:textId="77777777" w:rsidR="003C3B09" w:rsidRPr="00F32542" w:rsidRDefault="003C3B09" w:rsidP="00CB6E82">
            <w:pPr>
              <w:spacing w:after="0" w:line="240" w:lineRule="auto"/>
              <w:jc w:val="center"/>
              <w:rPr>
                <w:rFonts w:ascii="Arial" w:eastAsia="Times New Roman" w:hAnsi="Arial" w:cs="Arial"/>
                <w:b/>
                <w:bCs/>
                <w:color w:val="000000"/>
                <w:sz w:val="18"/>
                <w:szCs w:val="18"/>
                <w:lang w:val="es-ES_tradnl" w:eastAsia="es-MX"/>
              </w:rPr>
            </w:pPr>
            <w:r w:rsidRPr="00F32542">
              <w:rPr>
                <w:rFonts w:ascii="Arial" w:eastAsia="Times New Roman" w:hAnsi="Arial" w:cs="Arial"/>
                <w:b/>
                <w:bCs/>
                <w:color w:val="000000"/>
                <w:sz w:val="18"/>
                <w:szCs w:val="18"/>
                <w:lang w:val="es-ES_tradnl" w:eastAsia="es-MX"/>
              </w:rPr>
              <w:t>TECDMX-JEL-204/2021</w:t>
            </w:r>
          </w:p>
        </w:tc>
        <w:tc>
          <w:tcPr>
            <w:tcW w:w="3317" w:type="dxa"/>
            <w:vAlign w:val="center"/>
          </w:tcPr>
          <w:p w14:paraId="031927B6" w14:textId="77777777" w:rsidR="003C3B09" w:rsidRPr="00F32542" w:rsidRDefault="003C3B09" w:rsidP="003E221D">
            <w:pPr>
              <w:spacing w:after="0" w:line="240" w:lineRule="auto"/>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De las 23:50 del 17 de junio a las 23:50 del 20 de junio.</w:t>
            </w:r>
          </w:p>
        </w:tc>
        <w:tc>
          <w:tcPr>
            <w:tcW w:w="2126" w:type="dxa"/>
            <w:vAlign w:val="center"/>
          </w:tcPr>
          <w:p w14:paraId="771516C4" w14:textId="77777777" w:rsidR="003C3B09" w:rsidRPr="00F32542" w:rsidRDefault="003C3B09" w:rsidP="00CB6E82">
            <w:pPr>
              <w:spacing w:after="0" w:line="240" w:lineRule="auto"/>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No compareció</w:t>
            </w:r>
          </w:p>
        </w:tc>
      </w:tr>
      <w:tr w:rsidR="003C3B09" w:rsidRPr="00F32542" w14:paraId="69427821" w14:textId="77777777" w:rsidTr="003C3B09">
        <w:trPr>
          <w:trHeight w:val="728"/>
          <w:jc w:val="center"/>
        </w:trPr>
        <w:tc>
          <w:tcPr>
            <w:tcW w:w="441" w:type="dxa"/>
            <w:vAlign w:val="center"/>
          </w:tcPr>
          <w:p w14:paraId="3D1B4682" w14:textId="77777777" w:rsidR="003C3B09" w:rsidRPr="00F32542" w:rsidRDefault="003C3B09" w:rsidP="00CB6E82">
            <w:pPr>
              <w:spacing w:after="0" w:line="240" w:lineRule="auto"/>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2</w:t>
            </w:r>
          </w:p>
        </w:tc>
        <w:tc>
          <w:tcPr>
            <w:tcW w:w="1624" w:type="dxa"/>
            <w:vAlign w:val="center"/>
          </w:tcPr>
          <w:p w14:paraId="5A6CAD56" w14:textId="77777777" w:rsidR="003C3B09" w:rsidRPr="00F32542" w:rsidRDefault="003C3B09" w:rsidP="00CB6E82">
            <w:pPr>
              <w:spacing w:after="0" w:line="240" w:lineRule="auto"/>
              <w:jc w:val="center"/>
              <w:rPr>
                <w:rFonts w:ascii="Arial" w:eastAsia="Times New Roman" w:hAnsi="Arial" w:cs="Arial"/>
                <w:b/>
                <w:bCs/>
                <w:color w:val="000000"/>
                <w:sz w:val="18"/>
                <w:szCs w:val="18"/>
                <w:lang w:val="es-ES_tradnl" w:eastAsia="es-MX"/>
              </w:rPr>
            </w:pPr>
            <w:r w:rsidRPr="00F32542">
              <w:rPr>
                <w:rFonts w:ascii="Arial" w:eastAsia="Times New Roman" w:hAnsi="Arial" w:cs="Arial"/>
                <w:b/>
                <w:bCs/>
                <w:color w:val="000000"/>
                <w:sz w:val="18"/>
                <w:szCs w:val="18"/>
                <w:lang w:val="es-ES_tradnl" w:eastAsia="es-MX"/>
              </w:rPr>
              <w:t>TECDMX-JEL-205/2021</w:t>
            </w:r>
          </w:p>
        </w:tc>
        <w:tc>
          <w:tcPr>
            <w:tcW w:w="3317" w:type="dxa"/>
            <w:vAlign w:val="center"/>
          </w:tcPr>
          <w:p w14:paraId="16429A5B" w14:textId="77777777" w:rsidR="003C3B09" w:rsidRPr="00F32542" w:rsidRDefault="003C3B09" w:rsidP="003E221D">
            <w:pPr>
              <w:spacing w:after="0" w:line="240" w:lineRule="auto"/>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De las 14:30 del 18 de junio a las 14:30 del 21 de junio.</w:t>
            </w:r>
          </w:p>
        </w:tc>
        <w:tc>
          <w:tcPr>
            <w:tcW w:w="2126" w:type="dxa"/>
            <w:vAlign w:val="center"/>
          </w:tcPr>
          <w:p w14:paraId="14284DEF" w14:textId="77777777" w:rsidR="003C3B09" w:rsidRPr="00F32542" w:rsidRDefault="003C3B09" w:rsidP="00CB6E82">
            <w:pPr>
              <w:spacing w:after="0" w:line="240" w:lineRule="auto"/>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No compareció</w:t>
            </w:r>
          </w:p>
        </w:tc>
      </w:tr>
      <w:tr w:rsidR="003C3B09" w:rsidRPr="00F32542" w14:paraId="57B478BF" w14:textId="77777777" w:rsidTr="003C3B09">
        <w:trPr>
          <w:trHeight w:val="728"/>
          <w:jc w:val="center"/>
        </w:trPr>
        <w:tc>
          <w:tcPr>
            <w:tcW w:w="441" w:type="dxa"/>
            <w:vAlign w:val="center"/>
          </w:tcPr>
          <w:p w14:paraId="36076D92" w14:textId="77777777" w:rsidR="003C3B09" w:rsidRPr="00F32542" w:rsidRDefault="003C3B09" w:rsidP="00CB6E82">
            <w:pPr>
              <w:spacing w:after="0" w:line="240" w:lineRule="auto"/>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3</w:t>
            </w:r>
          </w:p>
        </w:tc>
        <w:tc>
          <w:tcPr>
            <w:tcW w:w="1624" w:type="dxa"/>
            <w:vAlign w:val="center"/>
          </w:tcPr>
          <w:p w14:paraId="56033CE0" w14:textId="77777777" w:rsidR="003C3B09" w:rsidRPr="00F32542" w:rsidRDefault="003C3B09" w:rsidP="00CB6E82">
            <w:pPr>
              <w:spacing w:after="0" w:line="240" w:lineRule="auto"/>
              <w:jc w:val="center"/>
              <w:rPr>
                <w:rFonts w:ascii="Arial" w:eastAsia="Times New Roman" w:hAnsi="Arial" w:cs="Arial"/>
                <w:b/>
                <w:bCs/>
                <w:color w:val="000000"/>
                <w:sz w:val="18"/>
                <w:szCs w:val="18"/>
                <w:lang w:val="es-ES_tradnl" w:eastAsia="es-MX"/>
              </w:rPr>
            </w:pPr>
            <w:r w:rsidRPr="00F32542">
              <w:rPr>
                <w:rFonts w:ascii="Arial" w:eastAsia="Times New Roman" w:hAnsi="Arial" w:cs="Arial"/>
                <w:b/>
                <w:bCs/>
                <w:color w:val="000000"/>
                <w:sz w:val="18"/>
                <w:szCs w:val="18"/>
                <w:lang w:val="es-ES_tradnl" w:eastAsia="es-MX"/>
              </w:rPr>
              <w:t>TECDMX-JEL-206/2021</w:t>
            </w:r>
          </w:p>
        </w:tc>
        <w:tc>
          <w:tcPr>
            <w:tcW w:w="3317" w:type="dxa"/>
            <w:vAlign w:val="center"/>
          </w:tcPr>
          <w:p w14:paraId="5543381D" w14:textId="77777777" w:rsidR="003C3B09" w:rsidRPr="00F32542" w:rsidRDefault="003C3B09" w:rsidP="003E221D">
            <w:pPr>
              <w:spacing w:after="0" w:line="240" w:lineRule="auto"/>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De las 14:30 del 18 de junio a las 14:30 del 21 de junio.</w:t>
            </w:r>
          </w:p>
        </w:tc>
        <w:tc>
          <w:tcPr>
            <w:tcW w:w="2126" w:type="dxa"/>
            <w:vAlign w:val="center"/>
          </w:tcPr>
          <w:p w14:paraId="0ECC891B" w14:textId="77777777" w:rsidR="003C3B09" w:rsidRPr="00F32542" w:rsidRDefault="003C3B09" w:rsidP="00CB6E82">
            <w:pPr>
              <w:spacing w:after="0" w:line="240" w:lineRule="auto"/>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Frida Jimena Guillen Ortiz</w:t>
            </w:r>
          </w:p>
        </w:tc>
      </w:tr>
      <w:tr w:rsidR="003C3B09" w:rsidRPr="00F32542" w14:paraId="05B9C900" w14:textId="77777777" w:rsidTr="003C3B09">
        <w:trPr>
          <w:trHeight w:val="728"/>
          <w:jc w:val="center"/>
        </w:trPr>
        <w:tc>
          <w:tcPr>
            <w:tcW w:w="441" w:type="dxa"/>
            <w:vAlign w:val="center"/>
          </w:tcPr>
          <w:p w14:paraId="41890A1C" w14:textId="77777777" w:rsidR="003C3B09" w:rsidRPr="00F32542" w:rsidRDefault="003C3B09" w:rsidP="00CB6E82">
            <w:pPr>
              <w:spacing w:after="0" w:line="240" w:lineRule="auto"/>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4</w:t>
            </w:r>
          </w:p>
        </w:tc>
        <w:tc>
          <w:tcPr>
            <w:tcW w:w="1624" w:type="dxa"/>
            <w:vAlign w:val="center"/>
            <w:hideMark/>
          </w:tcPr>
          <w:p w14:paraId="41559C07" w14:textId="77777777" w:rsidR="003C3B09" w:rsidRPr="00F32542" w:rsidRDefault="003C3B09" w:rsidP="00CB6E82">
            <w:pPr>
              <w:spacing w:after="0" w:line="240" w:lineRule="auto"/>
              <w:jc w:val="center"/>
              <w:rPr>
                <w:rFonts w:ascii="Arial" w:eastAsia="Times New Roman" w:hAnsi="Arial" w:cs="Arial"/>
                <w:b/>
                <w:bCs/>
                <w:sz w:val="18"/>
                <w:szCs w:val="18"/>
                <w:lang w:val="es-ES_tradnl" w:eastAsia="es-MX"/>
              </w:rPr>
            </w:pPr>
            <w:r w:rsidRPr="00F32542">
              <w:rPr>
                <w:rFonts w:ascii="Arial" w:eastAsia="Times New Roman" w:hAnsi="Arial" w:cs="Arial"/>
                <w:b/>
                <w:bCs/>
                <w:color w:val="000000"/>
                <w:sz w:val="18"/>
                <w:szCs w:val="18"/>
                <w:lang w:val="es-ES_tradnl" w:eastAsia="es-MX"/>
              </w:rPr>
              <w:t>TECDMX-JLDC-088/2021</w:t>
            </w:r>
          </w:p>
        </w:tc>
        <w:tc>
          <w:tcPr>
            <w:tcW w:w="3317" w:type="dxa"/>
            <w:vAlign w:val="center"/>
            <w:hideMark/>
          </w:tcPr>
          <w:p w14:paraId="0C4F99CE" w14:textId="77777777" w:rsidR="003C3B09" w:rsidRPr="00F32542" w:rsidRDefault="003C3B09" w:rsidP="003E221D">
            <w:pPr>
              <w:spacing w:after="0" w:line="240" w:lineRule="auto"/>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De las 23:30 del 16 de junio a las 23:30 del 19 de junio.</w:t>
            </w:r>
          </w:p>
        </w:tc>
        <w:tc>
          <w:tcPr>
            <w:tcW w:w="2126" w:type="dxa"/>
            <w:vAlign w:val="center"/>
            <w:hideMark/>
          </w:tcPr>
          <w:p w14:paraId="64CC1E78" w14:textId="77777777" w:rsidR="003C3B09" w:rsidRPr="00F32542" w:rsidRDefault="003C3B09" w:rsidP="00CB6E82">
            <w:pPr>
              <w:spacing w:after="0" w:line="240" w:lineRule="auto"/>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No compareció</w:t>
            </w:r>
          </w:p>
        </w:tc>
      </w:tr>
      <w:tr w:rsidR="003C3B09" w:rsidRPr="00F32542" w14:paraId="54B62CB4" w14:textId="77777777" w:rsidTr="003C3B09">
        <w:trPr>
          <w:trHeight w:val="412"/>
          <w:jc w:val="center"/>
        </w:trPr>
        <w:tc>
          <w:tcPr>
            <w:tcW w:w="441" w:type="dxa"/>
            <w:vAlign w:val="center"/>
          </w:tcPr>
          <w:p w14:paraId="4360AB97" w14:textId="77777777" w:rsidR="003C3B09" w:rsidRPr="00F32542" w:rsidRDefault="003C3B09" w:rsidP="00CB6E82">
            <w:pPr>
              <w:spacing w:after="0" w:line="240" w:lineRule="auto"/>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5</w:t>
            </w:r>
          </w:p>
        </w:tc>
        <w:tc>
          <w:tcPr>
            <w:tcW w:w="1624" w:type="dxa"/>
            <w:vAlign w:val="center"/>
          </w:tcPr>
          <w:p w14:paraId="6EA3883C" w14:textId="77777777" w:rsidR="003C3B09" w:rsidRPr="00F32542" w:rsidRDefault="003C3B09" w:rsidP="00CB6E82">
            <w:pPr>
              <w:spacing w:after="0" w:line="240" w:lineRule="auto"/>
              <w:jc w:val="center"/>
              <w:rPr>
                <w:rFonts w:ascii="Arial" w:eastAsia="Times New Roman" w:hAnsi="Arial" w:cs="Arial"/>
                <w:b/>
                <w:bCs/>
                <w:sz w:val="18"/>
                <w:szCs w:val="18"/>
                <w:lang w:val="es-ES_tradnl" w:eastAsia="es-MX"/>
              </w:rPr>
            </w:pPr>
            <w:r w:rsidRPr="00F32542">
              <w:rPr>
                <w:rFonts w:ascii="Arial" w:eastAsia="Times New Roman" w:hAnsi="Arial" w:cs="Arial"/>
                <w:b/>
                <w:bCs/>
                <w:color w:val="000000"/>
                <w:sz w:val="18"/>
                <w:szCs w:val="18"/>
                <w:lang w:val="es-ES_tradnl" w:eastAsia="es-MX"/>
              </w:rPr>
              <w:t>TECDMX-JLDC-089/2021</w:t>
            </w:r>
          </w:p>
        </w:tc>
        <w:tc>
          <w:tcPr>
            <w:tcW w:w="3317" w:type="dxa"/>
            <w:vAlign w:val="center"/>
          </w:tcPr>
          <w:p w14:paraId="12AE5179" w14:textId="77777777" w:rsidR="003C3B09" w:rsidRPr="00F32542" w:rsidRDefault="003C3B09" w:rsidP="003E221D">
            <w:pPr>
              <w:spacing w:after="0" w:line="240" w:lineRule="auto"/>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De las 23:30 del 16 de junio a las 23:30 del 19 de junio.</w:t>
            </w:r>
          </w:p>
        </w:tc>
        <w:tc>
          <w:tcPr>
            <w:tcW w:w="2126" w:type="dxa"/>
            <w:vAlign w:val="center"/>
          </w:tcPr>
          <w:p w14:paraId="4478432F" w14:textId="77777777" w:rsidR="003C3B09" w:rsidRPr="00F32542" w:rsidRDefault="003C3B09" w:rsidP="003C3B09">
            <w:pPr>
              <w:spacing w:after="0" w:line="240" w:lineRule="auto"/>
              <w:ind w:right="51"/>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 xml:space="preserve">Víctor Hugo Lobo Román y Ricardo </w:t>
            </w:r>
            <w:proofErr w:type="spellStart"/>
            <w:r w:rsidRPr="00F32542">
              <w:rPr>
                <w:rFonts w:ascii="Arial" w:eastAsia="Times New Roman" w:hAnsi="Arial" w:cs="Arial"/>
                <w:sz w:val="18"/>
                <w:szCs w:val="18"/>
                <w:lang w:val="es-ES_tradnl" w:eastAsia="es-MX"/>
              </w:rPr>
              <w:t>Janecarlo</w:t>
            </w:r>
            <w:proofErr w:type="spellEnd"/>
            <w:r w:rsidRPr="00F32542">
              <w:rPr>
                <w:rFonts w:ascii="Arial" w:eastAsia="Times New Roman" w:hAnsi="Arial" w:cs="Arial"/>
                <w:sz w:val="18"/>
                <w:szCs w:val="18"/>
                <w:lang w:val="es-ES_tradnl" w:eastAsia="es-MX"/>
              </w:rPr>
              <w:t xml:space="preserve"> Lozano Reynoso</w:t>
            </w:r>
          </w:p>
        </w:tc>
      </w:tr>
      <w:tr w:rsidR="003C3B09" w:rsidRPr="00F32542" w14:paraId="34930A6A" w14:textId="77777777" w:rsidTr="003C3B09">
        <w:trPr>
          <w:trHeight w:val="412"/>
          <w:jc w:val="center"/>
        </w:trPr>
        <w:tc>
          <w:tcPr>
            <w:tcW w:w="441" w:type="dxa"/>
            <w:vAlign w:val="center"/>
          </w:tcPr>
          <w:p w14:paraId="6BDDCBEE" w14:textId="77777777" w:rsidR="003C3B09" w:rsidRPr="00F32542" w:rsidRDefault="003C3B09" w:rsidP="003C3B09">
            <w:pPr>
              <w:spacing w:after="0" w:line="240" w:lineRule="auto"/>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6</w:t>
            </w:r>
          </w:p>
        </w:tc>
        <w:tc>
          <w:tcPr>
            <w:tcW w:w="1624" w:type="dxa"/>
            <w:vAlign w:val="center"/>
          </w:tcPr>
          <w:p w14:paraId="36E561CC" w14:textId="77777777" w:rsidR="003C3B09" w:rsidRPr="00F32542" w:rsidRDefault="003C3B09" w:rsidP="00CB6E82">
            <w:pPr>
              <w:spacing w:after="0" w:line="240" w:lineRule="auto"/>
              <w:jc w:val="center"/>
              <w:rPr>
                <w:rFonts w:ascii="Arial" w:eastAsia="Times New Roman" w:hAnsi="Arial" w:cs="Arial"/>
                <w:b/>
                <w:bCs/>
                <w:color w:val="000000"/>
                <w:sz w:val="18"/>
                <w:szCs w:val="18"/>
                <w:lang w:val="es-ES_tradnl" w:eastAsia="es-MX"/>
              </w:rPr>
            </w:pPr>
            <w:r w:rsidRPr="00F32542">
              <w:rPr>
                <w:rFonts w:ascii="Arial" w:eastAsia="Times New Roman" w:hAnsi="Arial" w:cs="Arial"/>
                <w:b/>
                <w:bCs/>
                <w:color w:val="000000"/>
                <w:sz w:val="18"/>
                <w:szCs w:val="18"/>
                <w:lang w:val="es-ES_tradnl" w:eastAsia="es-MX"/>
              </w:rPr>
              <w:t>TECDMX-JLDC-090/2021</w:t>
            </w:r>
          </w:p>
        </w:tc>
        <w:tc>
          <w:tcPr>
            <w:tcW w:w="3317" w:type="dxa"/>
            <w:vAlign w:val="center"/>
          </w:tcPr>
          <w:p w14:paraId="18E59E29" w14:textId="77777777" w:rsidR="003C3B09" w:rsidRPr="00F32542" w:rsidRDefault="003C3B09" w:rsidP="003E221D">
            <w:pPr>
              <w:spacing w:after="0" w:line="240" w:lineRule="auto"/>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De las 23:30 del 16 de junio a las 23:30 del 19 de junio.</w:t>
            </w:r>
          </w:p>
        </w:tc>
        <w:tc>
          <w:tcPr>
            <w:tcW w:w="2126" w:type="dxa"/>
            <w:vAlign w:val="center"/>
          </w:tcPr>
          <w:p w14:paraId="3BF15693" w14:textId="77777777" w:rsidR="003C3B09" w:rsidRPr="00F32542" w:rsidRDefault="003C3B09" w:rsidP="003E221D">
            <w:pPr>
              <w:spacing w:after="0" w:line="240" w:lineRule="auto"/>
              <w:ind w:right="51"/>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 xml:space="preserve">Mónica Fernández Cesar y </w:t>
            </w:r>
            <w:proofErr w:type="spellStart"/>
            <w:r w:rsidRPr="00F32542">
              <w:rPr>
                <w:rFonts w:ascii="Arial" w:eastAsia="Times New Roman" w:hAnsi="Arial" w:cs="Arial"/>
                <w:sz w:val="18"/>
                <w:szCs w:val="18"/>
                <w:lang w:val="es-ES_tradnl" w:eastAsia="es-MX"/>
              </w:rPr>
              <w:t>Jhonatan</w:t>
            </w:r>
            <w:proofErr w:type="spellEnd"/>
            <w:r w:rsidRPr="00F32542">
              <w:rPr>
                <w:rFonts w:ascii="Arial" w:eastAsia="Times New Roman" w:hAnsi="Arial" w:cs="Arial"/>
                <w:sz w:val="18"/>
                <w:szCs w:val="18"/>
                <w:lang w:val="es-ES_tradnl" w:eastAsia="es-MX"/>
              </w:rPr>
              <w:t xml:space="preserve"> Colmenares Rentería</w:t>
            </w:r>
          </w:p>
        </w:tc>
      </w:tr>
      <w:tr w:rsidR="003C3B09" w:rsidRPr="00F32542" w14:paraId="6F98CFCC" w14:textId="77777777" w:rsidTr="003C3B09">
        <w:trPr>
          <w:trHeight w:val="494"/>
          <w:jc w:val="center"/>
        </w:trPr>
        <w:tc>
          <w:tcPr>
            <w:tcW w:w="441" w:type="dxa"/>
            <w:vAlign w:val="center"/>
          </w:tcPr>
          <w:p w14:paraId="08034327" w14:textId="77777777" w:rsidR="003C3B09" w:rsidRPr="00F32542" w:rsidRDefault="003C3B09" w:rsidP="00CB6E82">
            <w:pPr>
              <w:spacing w:after="0" w:line="240" w:lineRule="auto"/>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7</w:t>
            </w:r>
          </w:p>
        </w:tc>
        <w:tc>
          <w:tcPr>
            <w:tcW w:w="1624" w:type="dxa"/>
            <w:vAlign w:val="center"/>
          </w:tcPr>
          <w:p w14:paraId="0033DCF4" w14:textId="77777777" w:rsidR="003C3B09" w:rsidRPr="00F32542" w:rsidRDefault="003C3B09" w:rsidP="00CB6E82">
            <w:pPr>
              <w:spacing w:after="0" w:line="240" w:lineRule="auto"/>
              <w:jc w:val="center"/>
              <w:rPr>
                <w:rFonts w:ascii="Arial" w:eastAsia="Times New Roman" w:hAnsi="Arial" w:cs="Arial"/>
                <w:b/>
                <w:bCs/>
                <w:color w:val="000000"/>
                <w:sz w:val="18"/>
                <w:szCs w:val="18"/>
                <w:lang w:val="es-ES_tradnl" w:eastAsia="es-MX"/>
              </w:rPr>
            </w:pPr>
            <w:r w:rsidRPr="00F32542">
              <w:rPr>
                <w:rFonts w:ascii="Arial" w:eastAsia="Times New Roman" w:hAnsi="Arial" w:cs="Arial"/>
                <w:b/>
                <w:bCs/>
                <w:color w:val="000000"/>
                <w:sz w:val="18"/>
                <w:szCs w:val="18"/>
                <w:lang w:val="es-ES_tradnl" w:eastAsia="es-MX"/>
              </w:rPr>
              <w:t>TECDMX-JLDC-091/2021</w:t>
            </w:r>
          </w:p>
        </w:tc>
        <w:tc>
          <w:tcPr>
            <w:tcW w:w="3317" w:type="dxa"/>
            <w:vAlign w:val="center"/>
          </w:tcPr>
          <w:p w14:paraId="60B02F71" w14:textId="77777777" w:rsidR="003C3B09" w:rsidRPr="00F32542" w:rsidRDefault="003C3B09" w:rsidP="003E221D">
            <w:pPr>
              <w:spacing w:after="0" w:line="240" w:lineRule="auto"/>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De las 23:30 del 16 de junio a las 23:30 del 19 de junio.</w:t>
            </w:r>
          </w:p>
        </w:tc>
        <w:tc>
          <w:tcPr>
            <w:tcW w:w="2126" w:type="dxa"/>
            <w:vAlign w:val="center"/>
          </w:tcPr>
          <w:p w14:paraId="6218E1BC" w14:textId="77777777" w:rsidR="003C3B09" w:rsidRPr="00F32542" w:rsidRDefault="003C3B09" w:rsidP="00CB6E82">
            <w:pPr>
              <w:spacing w:after="0" w:line="240" w:lineRule="auto"/>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 xml:space="preserve">Ricardo </w:t>
            </w:r>
            <w:proofErr w:type="spellStart"/>
            <w:r w:rsidRPr="00F32542">
              <w:rPr>
                <w:rFonts w:ascii="Arial" w:eastAsia="Times New Roman" w:hAnsi="Arial" w:cs="Arial"/>
                <w:sz w:val="18"/>
                <w:szCs w:val="18"/>
                <w:lang w:val="es-ES_tradnl" w:eastAsia="es-MX"/>
              </w:rPr>
              <w:t>Janecarlo</w:t>
            </w:r>
            <w:proofErr w:type="spellEnd"/>
            <w:r w:rsidRPr="00F32542">
              <w:rPr>
                <w:rFonts w:ascii="Arial" w:eastAsia="Times New Roman" w:hAnsi="Arial" w:cs="Arial"/>
                <w:sz w:val="18"/>
                <w:szCs w:val="18"/>
                <w:lang w:val="es-ES_tradnl" w:eastAsia="es-MX"/>
              </w:rPr>
              <w:t xml:space="preserve"> Lozano Reynoso.</w:t>
            </w:r>
          </w:p>
        </w:tc>
      </w:tr>
      <w:tr w:rsidR="003C3B09" w:rsidRPr="00F32542" w14:paraId="30AECBCD" w14:textId="77777777" w:rsidTr="003C3B09">
        <w:trPr>
          <w:trHeight w:val="412"/>
          <w:jc w:val="center"/>
        </w:trPr>
        <w:tc>
          <w:tcPr>
            <w:tcW w:w="441" w:type="dxa"/>
            <w:vAlign w:val="center"/>
          </w:tcPr>
          <w:p w14:paraId="5468B188" w14:textId="77777777" w:rsidR="003C3B09" w:rsidRPr="00F32542" w:rsidRDefault="003C3B09" w:rsidP="00CB6E82">
            <w:pPr>
              <w:spacing w:after="0" w:line="240" w:lineRule="auto"/>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8</w:t>
            </w:r>
          </w:p>
        </w:tc>
        <w:tc>
          <w:tcPr>
            <w:tcW w:w="1624" w:type="dxa"/>
            <w:vAlign w:val="center"/>
          </w:tcPr>
          <w:p w14:paraId="4F6F81F3" w14:textId="77777777" w:rsidR="003C3B09" w:rsidRPr="00F32542" w:rsidRDefault="003C3B09" w:rsidP="00CB6E82">
            <w:pPr>
              <w:spacing w:after="0" w:line="240" w:lineRule="auto"/>
              <w:jc w:val="center"/>
              <w:rPr>
                <w:rFonts w:ascii="Arial" w:eastAsia="Times New Roman" w:hAnsi="Arial" w:cs="Arial"/>
                <w:b/>
                <w:bCs/>
                <w:color w:val="000000"/>
                <w:sz w:val="18"/>
                <w:szCs w:val="18"/>
                <w:lang w:val="es-ES_tradnl" w:eastAsia="es-MX"/>
              </w:rPr>
            </w:pPr>
            <w:r w:rsidRPr="00F32542">
              <w:rPr>
                <w:rFonts w:ascii="Arial" w:eastAsia="Times New Roman" w:hAnsi="Arial" w:cs="Arial"/>
                <w:b/>
                <w:bCs/>
                <w:color w:val="000000"/>
                <w:sz w:val="18"/>
                <w:szCs w:val="18"/>
                <w:lang w:val="es-ES_tradnl" w:eastAsia="es-MX"/>
              </w:rPr>
              <w:t>TECDMX-JLDC-092/2021</w:t>
            </w:r>
          </w:p>
        </w:tc>
        <w:tc>
          <w:tcPr>
            <w:tcW w:w="3317" w:type="dxa"/>
            <w:vAlign w:val="center"/>
          </w:tcPr>
          <w:p w14:paraId="03D9356D" w14:textId="77777777" w:rsidR="003C3B09" w:rsidRPr="00F32542" w:rsidRDefault="003C3B09" w:rsidP="003E221D">
            <w:pPr>
              <w:spacing w:after="0" w:line="240" w:lineRule="auto"/>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De las 23:30 del 16 de junio a las 23:30 del 19 de junio.</w:t>
            </w:r>
          </w:p>
        </w:tc>
        <w:tc>
          <w:tcPr>
            <w:tcW w:w="2126" w:type="dxa"/>
            <w:vAlign w:val="center"/>
          </w:tcPr>
          <w:p w14:paraId="3EE34A86" w14:textId="77777777" w:rsidR="003C3B09" w:rsidRPr="00F32542" w:rsidRDefault="003C3B09" w:rsidP="00CB6E82">
            <w:pPr>
              <w:spacing w:after="0" w:line="240" w:lineRule="auto"/>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 xml:space="preserve">Manuel </w:t>
            </w:r>
            <w:proofErr w:type="spellStart"/>
            <w:r w:rsidRPr="00F32542">
              <w:rPr>
                <w:rFonts w:ascii="Arial" w:eastAsia="Times New Roman" w:hAnsi="Arial" w:cs="Arial"/>
                <w:sz w:val="18"/>
                <w:szCs w:val="18"/>
                <w:lang w:val="es-ES_tradnl" w:eastAsia="es-MX"/>
              </w:rPr>
              <w:t>Talayero</w:t>
            </w:r>
            <w:proofErr w:type="spellEnd"/>
            <w:r w:rsidRPr="00F32542">
              <w:rPr>
                <w:rFonts w:ascii="Arial" w:eastAsia="Times New Roman" w:hAnsi="Arial" w:cs="Arial"/>
                <w:sz w:val="18"/>
                <w:szCs w:val="18"/>
                <w:lang w:val="es-ES_tradnl" w:eastAsia="es-MX"/>
              </w:rPr>
              <w:t xml:space="preserve"> Pariente </w:t>
            </w:r>
          </w:p>
        </w:tc>
      </w:tr>
      <w:tr w:rsidR="003C3B09" w:rsidRPr="00F32542" w14:paraId="7E903506" w14:textId="77777777" w:rsidTr="003C3B09">
        <w:trPr>
          <w:trHeight w:val="412"/>
          <w:jc w:val="center"/>
        </w:trPr>
        <w:tc>
          <w:tcPr>
            <w:tcW w:w="441" w:type="dxa"/>
            <w:vAlign w:val="center"/>
          </w:tcPr>
          <w:p w14:paraId="3CCD3823" w14:textId="77777777" w:rsidR="003C3B09" w:rsidRPr="00F32542" w:rsidRDefault="003C3B09" w:rsidP="00CB6E82">
            <w:pPr>
              <w:spacing w:after="0" w:line="240" w:lineRule="auto"/>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9</w:t>
            </w:r>
          </w:p>
        </w:tc>
        <w:tc>
          <w:tcPr>
            <w:tcW w:w="1624" w:type="dxa"/>
            <w:vAlign w:val="center"/>
          </w:tcPr>
          <w:p w14:paraId="27EF6731" w14:textId="77777777" w:rsidR="003C3B09" w:rsidRPr="00F32542" w:rsidRDefault="003C3B09" w:rsidP="00CB6E82">
            <w:pPr>
              <w:spacing w:after="0" w:line="240" w:lineRule="auto"/>
              <w:jc w:val="center"/>
              <w:rPr>
                <w:rFonts w:ascii="Arial" w:eastAsia="Times New Roman" w:hAnsi="Arial" w:cs="Arial"/>
                <w:b/>
                <w:bCs/>
                <w:color w:val="000000"/>
                <w:sz w:val="18"/>
                <w:szCs w:val="18"/>
                <w:lang w:val="es-ES_tradnl" w:eastAsia="es-MX"/>
              </w:rPr>
            </w:pPr>
            <w:r w:rsidRPr="00F32542">
              <w:rPr>
                <w:rFonts w:ascii="Arial" w:eastAsia="Times New Roman" w:hAnsi="Arial" w:cs="Arial"/>
                <w:b/>
                <w:bCs/>
                <w:color w:val="000000"/>
                <w:sz w:val="18"/>
                <w:szCs w:val="18"/>
                <w:lang w:val="es-ES_tradnl" w:eastAsia="es-MX"/>
              </w:rPr>
              <w:t>TECDMX-JLDC-093/2021</w:t>
            </w:r>
          </w:p>
        </w:tc>
        <w:tc>
          <w:tcPr>
            <w:tcW w:w="3317" w:type="dxa"/>
            <w:vAlign w:val="center"/>
          </w:tcPr>
          <w:p w14:paraId="2656796D" w14:textId="77777777" w:rsidR="003C3B09" w:rsidRPr="00F32542" w:rsidRDefault="003C3B09" w:rsidP="003E221D">
            <w:pPr>
              <w:spacing w:after="0" w:line="240" w:lineRule="auto"/>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De las 23:30 del 16 de junio a las 23:30 del 19 de junio.</w:t>
            </w:r>
          </w:p>
        </w:tc>
        <w:tc>
          <w:tcPr>
            <w:tcW w:w="2126" w:type="dxa"/>
            <w:vAlign w:val="center"/>
          </w:tcPr>
          <w:p w14:paraId="5E7D0E08" w14:textId="77777777" w:rsidR="003C3B09" w:rsidRPr="00F32542" w:rsidRDefault="003C3B09" w:rsidP="00CB6E82">
            <w:pPr>
              <w:spacing w:after="0" w:line="240" w:lineRule="auto"/>
              <w:jc w:val="center"/>
              <w:rPr>
                <w:rFonts w:ascii="Arial" w:eastAsia="Times New Roman" w:hAnsi="Arial" w:cs="Arial"/>
                <w:b/>
                <w:sz w:val="18"/>
                <w:szCs w:val="18"/>
                <w:lang w:val="es-ES_tradnl" w:eastAsia="es-MX"/>
              </w:rPr>
            </w:pPr>
            <w:r w:rsidRPr="00F32542">
              <w:rPr>
                <w:rFonts w:ascii="Arial" w:eastAsia="Times New Roman" w:hAnsi="Arial" w:cs="Arial"/>
                <w:sz w:val="18"/>
                <w:szCs w:val="18"/>
                <w:lang w:val="es-ES_tradnl" w:eastAsia="es-MX"/>
              </w:rPr>
              <w:t>No compareció</w:t>
            </w:r>
          </w:p>
        </w:tc>
      </w:tr>
      <w:tr w:rsidR="003C3B09" w:rsidRPr="00F32542" w14:paraId="7579334B" w14:textId="77777777" w:rsidTr="003C3B09">
        <w:trPr>
          <w:trHeight w:val="412"/>
          <w:jc w:val="center"/>
        </w:trPr>
        <w:tc>
          <w:tcPr>
            <w:tcW w:w="441" w:type="dxa"/>
            <w:vAlign w:val="center"/>
          </w:tcPr>
          <w:p w14:paraId="7D4F2B80" w14:textId="77777777" w:rsidR="003C3B09" w:rsidRPr="00F32542" w:rsidRDefault="003C3B09" w:rsidP="00CB6E82">
            <w:pPr>
              <w:spacing w:after="0" w:line="240" w:lineRule="auto"/>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10</w:t>
            </w:r>
          </w:p>
        </w:tc>
        <w:tc>
          <w:tcPr>
            <w:tcW w:w="1624" w:type="dxa"/>
            <w:vAlign w:val="center"/>
          </w:tcPr>
          <w:p w14:paraId="6144C54F" w14:textId="77777777" w:rsidR="003C3B09" w:rsidRPr="00F32542" w:rsidRDefault="003C3B09" w:rsidP="00CB6E82">
            <w:pPr>
              <w:spacing w:after="0" w:line="240" w:lineRule="auto"/>
              <w:jc w:val="center"/>
              <w:rPr>
                <w:rFonts w:ascii="Arial" w:eastAsia="Times New Roman" w:hAnsi="Arial" w:cs="Arial"/>
                <w:b/>
                <w:bCs/>
                <w:color w:val="000000"/>
                <w:sz w:val="18"/>
                <w:szCs w:val="18"/>
                <w:lang w:val="es-ES_tradnl" w:eastAsia="es-MX"/>
              </w:rPr>
            </w:pPr>
            <w:r w:rsidRPr="00F32542">
              <w:rPr>
                <w:rFonts w:ascii="Arial" w:eastAsia="Times New Roman" w:hAnsi="Arial" w:cs="Arial"/>
                <w:b/>
                <w:bCs/>
                <w:color w:val="000000"/>
                <w:sz w:val="18"/>
                <w:szCs w:val="18"/>
                <w:lang w:val="es-ES_tradnl" w:eastAsia="es-MX"/>
              </w:rPr>
              <w:t>TECDMX-JLDC-094/2021</w:t>
            </w:r>
          </w:p>
        </w:tc>
        <w:tc>
          <w:tcPr>
            <w:tcW w:w="3317" w:type="dxa"/>
            <w:vAlign w:val="center"/>
          </w:tcPr>
          <w:p w14:paraId="265252A0" w14:textId="77777777" w:rsidR="003C3B09" w:rsidRPr="00F32542" w:rsidRDefault="003C3B09" w:rsidP="003E221D">
            <w:pPr>
              <w:spacing w:after="0" w:line="240" w:lineRule="auto"/>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De las 23:30 del 16 de junio a las 23:30 del 19 de junio.</w:t>
            </w:r>
          </w:p>
        </w:tc>
        <w:tc>
          <w:tcPr>
            <w:tcW w:w="2126" w:type="dxa"/>
            <w:vAlign w:val="center"/>
          </w:tcPr>
          <w:p w14:paraId="3F387F52" w14:textId="77777777" w:rsidR="003C3B09" w:rsidRPr="00F32542" w:rsidRDefault="003C3B09" w:rsidP="003C3B09">
            <w:pPr>
              <w:spacing w:after="0" w:line="240" w:lineRule="auto"/>
              <w:jc w:val="both"/>
              <w:rPr>
                <w:rFonts w:ascii="Arial" w:eastAsia="Times New Roman" w:hAnsi="Arial" w:cs="Arial"/>
                <w:b/>
                <w:sz w:val="18"/>
                <w:szCs w:val="18"/>
                <w:lang w:val="es-ES_tradnl" w:eastAsia="es-MX"/>
              </w:rPr>
            </w:pPr>
            <w:r w:rsidRPr="00F32542">
              <w:rPr>
                <w:rFonts w:ascii="Arial" w:eastAsia="Times New Roman" w:hAnsi="Arial" w:cs="Arial"/>
                <w:sz w:val="18"/>
                <w:szCs w:val="18"/>
                <w:lang w:val="es-ES_tradnl" w:eastAsia="es-MX"/>
              </w:rPr>
              <w:t xml:space="preserve">Manuel </w:t>
            </w:r>
            <w:proofErr w:type="spellStart"/>
            <w:r w:rsidRPr="00F32542">
              <w:rPr>
                <w:rFonts w:ascii="Arial" w:eastAsia="Times New Roman" w:hAnsi="Arial" w:cs="Arial"/>
                <w:sz w:val="18"/>
                <w:szCs w:val="18"/>
                <w:lang w:val="es-ES_tradnl" w:eastAsia="es-MX"/>
              </w:rPr>
              <w:t>Talayero</w:t>
            </w:r>
            <w:proofErr w:type="spellEnd"/>
            <w:r w:rsidRPr="00F32542">
              <w:rPr>
                <w:rFonts w:ascii="Arial" w:eastAsia="Times New Roman" w:hAnsi="Arial" w:cs="Arial"/>
                <w:sz w:val="18"/>
                <w:szCs w:val="18"/>
                <w:lang w:val="es-ES_tradnl" w:eastAsia="es-MX"/>
              </w:rPr>
              <w:t xml:space="preserve"> Pariente </w:t>
            </w:r>
          </w:p>
        </w:tc>
      </w:tr>
      <w:tr w:rsidR="003C3B09" w:rsidRPr="00F32542" w14:paraId="19DF2632" w14:textId="77777777" w:rsidTr="003C3B09">
        <w:trPr>
          <w:trHeight w:val="412"/>
          <w:jc w:val="center"/>
        </w:trPr>
        <w:tc>
          <w:tcPr>
            <w:tcW w:w="441" w:type="dxa"/>
            <w:vAlign w:val="center"/>
          </w:tcPr>
          <w:p w14:paraId="45B1C187" w14:textId="77777777" w:rsidR="003C3B09" w:rsidRPr="00F32542" w:rsidRDefault="003C3B09" w:rsidP="00CB6E82">
            <w:pPr>
              <w:spacing w:after="0" w:line="240" w:lineRule="auto"/>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11</w:t>
            </w:r>
          </w:p>
        </w:tc>
        <w:tc>
          <w:tcPr>
            <w:tcW w:w="1624" w:type="dxa"/>
            <w:vAlign w:val="center"/>
          </w:tcPr>
          <w:p w14:paraId="4F5A267E" w14:textId="77777777" w:rsidR="003C3B09" w:rsidRPr="00F32542" w:rsidRDefault="003C3B09" w:rsidP="00CB6E82">
            <w:pPr>
              <w:spacing w:after="0" w:line="240" w:lineRule="auto"/>
              <w:jc w:val="center"/>
              <w:rPr>
                <w:rFonts w:ascii="Arial" w:eastAsia="Times New Roman" w:hAnsi="Arial" w:cs="Arial"/>
                <w:b/>
                <w:bCs/>
                <w:color w:val="000000"/>
                <w:sz w:val="18"/>
                <w:szCs w:val="18"/>
                <w:lang w:val="es-ES_tradnl" w:eastAsia="es-MX"/>
              </w:rPr>
            </w:pPr>
            <w:r w:rsidRPr="00F32542">
              <w:rPr>
                <w:rFonts w:ascii="Arial" w:eastAsia="Times New Roman" w:hAnsi="Arial" w:cs="Arial"/>
                <w:b/>
                <w:bCs/>
                <w:color w:val="000000"/>
                <w:sz w:val="18"/>
                <w:szCs w:val="18"/>
                <w:lang w:val="es-ES_tradnl" w:eastAsia="es-MX"/>
              </w:rPr>
              <w:t>TECDMX-JLDC-095/2021</w:t>
            </w:r>
          </w:p>
        </w:tc>
        <w:tc>
          <w:tcPr>
            <w:tcW w:w="3317" w:type="dxa"/>
            <w:vAlign w:val="center"/>
          </w:tcPr>
          <w:p w14:paraId="5083906E" w14:textId="77777777" w:rsidR="003C3B09" w:rsidRPr="00F32542" w:rsidRDefault="003C3B09" w:rsidP="003E221D">
            <w:pPr>
              <w:spacing w:after="0" w:line="240" w:lineRule="auto"/>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De las 23:30 del 16 de junio a las 23:30 del 19 de junio.</w:t>
            </w:r>
          </w:p>
        </w:tc>
        <w:tc>
          <w:tcPr>
            <w:tcW w:w="2126" w:type="dxa"/>
            <w:vAlign w:val="center"/>
          </w:tcPr>
          <w:p w14:paraId="6248B1F0" w14:textId="77777777" w:rsidR="003C3B09" w:rsidRPr="00F32542" w:rsidRDefault="003C3B09" w:rsidP="00CB6E82">
            <w:pPr>
              <w:spacing w:after="0" w:line="240" w:lineRule="auto"/>
              <w:jc w:val="center"/>
              <w:rPr>
                <w:rFonts w:ascii="Arial" w:eastAsia="Times New Roman" w:hAnsi="Arial" w:cs="Arial"/>
                <w:b/>
                <w:sz w:val="18"/>
                <w:szCs w:val="18"/>
                <w:lang w:val="es-ES_tradnl" w:eastAsia="es-MX"/>
              </w:rPr>
            </w:pPr>
            <w:r w:rsidRPr="00F32542">
              <w:rPr>
                <w:rFonts w:ascii="Arial" w:eastAsia="Times New Roman" w:hAnsi="Arial" w:cs="Arial"/>
                <w:sz w:val="18"/>
                <w:szCs w:val="18"/>
                <w:lang w:val="es-ES_tradnl" w:eastAsia="es-MX"/>
              </w:rPr>
              <w:t>No compareció</w:t>
            </w:r>
          </w:p>
        </w:tc>
      </w:tr>
      <w:tr w:rsidR="003C3B09" w:rsidRPr="00F32542" w14:paraId="2E44624A" w14:textId="77777777" w:rsidTr="003C3B09">
        <w:trPr>
          <w:trHeight w:val="412"/>
          <w:jc w:val="center"/>
        </w:trPr>
        <w:tc>
          <w:tcPr>
            <w:tcW w:w="441" w:type="dxa"/>
            <w:vAlign w:val="center"/>
          </w:tcPr>
          <w:p w14:paraId="20C9161F" w14:textId="77777777" w:rsidR="003C3B09" w:rsidRPr="00F32542" w:rsidRDefault="003C3B09" w:rsidP="00CB6E82">
            <w:pPr>
              <w:spacing w:after="0" w:line="240" w:lineRule="auto"/>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12</w:t>
            </w:r>
          </w:p>
        </w:tc>
        <w:tc>
          <w:tcPr>
            <w:tcW w:w="1624" w:type="dxa"/>
            <w:vAlign w:val="center"/>
          </w:tcPr>
          <w:p w14:paraId="5D626173" w14:textId="77777777" w:rsidR="003C3B09" w:rsidRPr="00F32542" w:rsidRDefault="003C3B09" w:rsidP="00CB6E82">
            <w:pPr>
              <w:spacing w:after="0" w:line="240" w:lineRule="auto"/>
              <w:jc w:val="center"/>
              <w:rPr>
                <w:rFonts w:ascii="Arial" w:eastAsia="Times New Roman" w:hAnsi="Arial" w:cs="Arial"/>
                <w:b/>
                <w:bCs/>
                <w:color w:val="000000"/>
                <w:sz w:val="18"/>
                <w:szCs w:val="18"/>
                <w:lang w:val="es-ES_tradnl" w:eastAsia="es-MX"/>
              </w:rPr>
            </w:pPr>
            <w:r w:rsidRPr="00F32542">
              <w:rPr>
                <w:rFonts w:ascii="Arial" w:eastAsia="Times New Roman" w:hAnsi="Arial" w:cs="Arial"/>
                <w:b/>
                <w:bCs/>
                <w:color w:val="000000"/>
                <w:sz w:val="18"/>
                <w:szCs w:val="18"/>
                <w:lang w:val="es-ES_tradnl" w:eastAsia="es-MX"/>
              </w:rPr>
              <w:t>TECDMX-JLDC-096/2021</w:t>
            </w:r>
          </w:p>
        </w:tc>
        <w:tc>
          <w:tcPr>
            <w:tcW w:w="3317" w:type="dxa"/>
            <w:vAlign w:val="center"/>
          </w:tcPr>
          <w:p w14:paraId="22416FD7" w14:textId="77777777" w:rsidR="003C3B09" w:rsidRPr="00F32542" w:rsidRDefault="003C3B09" w:rsidP="003E221D">
            <w:pPr>
              <w:spacing w:after="0" w:line="240" w:lineRule="auto"/>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De las 23:30 del 16 de junio a las 23:30 del 19 de junio.</w:t>
            </w:r>
          </w:p>
        </w:tc>
        <w:tc>
          <w:tcPr>
            <w:tcW w:w="2126" w:type="dxa"/>
            <w:vAlign w:val="center"/>
          </w:tcPr>
          <w:p w14:paraId="436C56A2" w14:textId="77777777" w:rsidR="003C3B09" w:rsidRPr="00F32542" w:rsidRDefault="003C3B09" w:rsidP="00CB6E82">
            <w:pPr>
              <w:spacing w:after="0" w:line="240" w:lineRule="auto"/>
              <w:jc w:val="center"/>
              <w:rPr>
                <w:rFonts w:ascii="Arial" w:eastAsia="Times New Roman" w:hAnsi="Arial" w:cs="Arial"/>
                <w:b/>
                <w:sz w:val="18"/>
                <w:szCs w:val="18"/>
                <w:lang w:val="es-ES_tradnl" w:eastAsia="es-MX"/>
              </w:rPr>
            </w:pPr>
            <w:r w:rsidRPr="00F32542">
              <w:rPr>
                <w:rFonts w:ascii="Arial" w:eastAsia="Times New Roman" w:hAnsi="Arial" w:cs="Arial"/>
                <w:sz w:val="18"/>
                <w:szCs w:val="18"/>
                <w:lang w:val="es-ES_tradnl" w:eastAsia="es-MX"/>
              </w:rPr>
              <w:t>No compareció</w:t>
            </w:r>
          </w:p>
        </w:tc>
      </w:tr>
      <w:tr w:rsidR="003C3B09" w:rsidRPr="00F32542" w14:paraId="48AC2660" w14:textId="77777777" w:rsidTr="003C3B09">
        <w:trPr>
          <w:trHeight w:val="412"/>
          <w:jc w:val="center"/>
        </w:trPr>
        <w:tc>
          <w:tcPr>
            <w:tcW w:w="441" w:type="dxa"/>
            <w:vAlign w:val="center"/>
          </w:tcPr>
          <w:p w14:paraId="107B77C5" w14:textId="77777777" w:rsidR="003C3B09" w:rsidRPr="00F32542" w:rsidRDefault="003C3B09" w:rsidP="00CB6E82">
            <w:pPr>
              <w:spacing w:after="0" w:line="240" w:lineRule="auto"/>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13</w:t>
            </w:r>
          </w:p>
        </w:tc>
        <w:tc>
          <w:tcPr>
            <w:tcW w:w="1624" w:type="dxa"/>
            <w:vAlign w:val="center"/>
          </w:tcPr>
          <w:p w14:paraId="6BAE6D99" w14:textId="77777777" w:rsidR="003C3B09" w:rsidRPr="00F32542" w:rsidRDefault="003C3B09" w:rsidP="00CB6E82">
            <w:pPr>
              <w:spacing w:after="0" w:line="240" w:lineRule="auto"/>
              <w:jc w:val="center"/>
              <w:rPr>
                <w:rFonts w:ascii="Arial" w:eastAsia="Times New Roman" w:hAnsi="Arial" w:cs="Arial"/>
                <w:b/>
                <w:bCs/>
                <w:color w:val="000000"/>
                <w:sz w:val="18"/>
                <w:szCs w:val="18"/>
                <w:lang w:val="es-ES_tradnl" w:eastAsia="es-MX"/>
              </w:rPr>
            </w:pPr>
            <w:r w:rsidRPr="00F32542">
              <w:rPr>
                <w:rFonts w:ascii="Arial" w:eastAsia="Times New Roman" w:hAnsi="Arial" w:cs="Arial"/>
                <w:b/>
                <w:bCs/>
                <w:color w:val="000000"/>
                <w:sz w:val="18"/>
                <w:szCs w:val="18"/>
                <w:lang w:val="es-ES_tradnl" w:eastAsia="es-MX"/>
              </w:rPr>
              <w:t>TECDMX-JLDC-097/2021</w:t>
            </w:r>
          </w:p>
        </w:tc>
        <w:tc>
          <w:tcPr>
            <w:tcW w:w="3317" w:type="dxa"/>
            <w:vAlign w:val="center"/>
          </w:tcPr>
          <w:p w14:paraId="1DAF66CB" w14:textId="77777777" w:rsidR="003C3B09" w:rsidRPr="00F32542" w:rsidRDefault="003C3B09" w:rsidP="003E221D">
            <w:pPr>
              <w:spacing w:after="0" w:line="240" w:lineRule="auto"/>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De las 23:30 del 16 de junio a las 23:30 del 19 de junio.</w:t>
            </w:r>
          </w:p>
        </w:tc>
        <w:tc>
          <w:tcPr>
            <w:tcW w:w="2126" w:type="dxa"/>
            <w:vAlign w:val="center"/>
          </w:tcPr>
          <w:p w14:paraId="6D0735E9" w14:textId="77777777" w:rsidR="003C3B09" w:rsidRPr="00F32542" w:rsidRDefault="003C3B09" w:rsidP="003C3B09">
            <w:pPr>
              <w:spacing w:after="0" w:line="240" w:lineRule="auto"/>
              <w:ind w:right="51"/>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 xml:space="preserve">Víctor Hugo Lobo Román y Ricardo </w:t>
            </w:r>
            <w:proofErr w:type="spellStart"/>
            <w:r w:rsidRPr="00F32542">
              <w:rPr>
                <w:rFonts w:ascii="Arial" w:eastAsia="Times New Roman" w:hAnsi="Arial" w:cs="Arial"/>
                <w:sz w:val="18"/>
                <w:szCs w:val="18"/>
                <w:lang w:val="es-ES_tradnl" w:eastAsia="es-MX"/>
              </w:rPr>
              <w:t>Janecarlo</w:t>
            </w:r>
            <w:proofErr w:type="spellEnd"/>
            <w:r w:rsidRPr="00F32542">
              <w:rPr>
                <w:rFonts w:ascii="Arial" w:eastAsia="Times New Roman" w:hAnsi="Arial" w:cs="Arial"/>
                <w:sz w:val="18"/>
                <w:szCs w:val="18"/>
                <w:lang w:val="es-ES_tradnl" w:eastAsia="es-MX"/>
              </w:rPr>
              <w:t xml:space="preserve"> Lozano Reynoso</w:t>
            </w:r>
          </w:p>
        </w:tc>
      </w:tr>
      <w:tr w:rsidR="003C3B09" w:rsidRPr="00F32542" w14:paraId="638A9A8B" w14:textId="77777777" w:rsidTr="003C3B09">
        <w:trPr>
          <w:trHeight w:val="412"/>
          <w:jc w:val="center"/>
        </w:trPr>
        <w:tc>
          <w:tcPr>
            <w:tcW w:w="441" w:type="dxa"/>
            <w:vAlign w:val="center"/>
          </w:tcPr>
          <w:p w14:paraId="0F491F19" w14:textId="77777777" w:rsidR="003C3B09" w:rsidRPr="00F32542" w:rsidRDefault="003C3B09" w:rsidP="00CB6E82">
            <w:pPr>
              <w:spacing w:after="0" w:line="240" w:lineRule="auto"/>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14</w:t>
            </w:r>
          </w:p>
        </w:tc>
        <w:tc>
          <w:tcPr>
            <w:tcW w:w="1624" w:type="dxa"/>
            <w:vAlign w:val="center"/>
          </w:tcPr>
          <w:p w14:paraId="033ABCFB" w14:textId="77777777" w:rsidR="003C3B09" w:rsidRPr="00F32542" w:rsidRDefault="003C3B09" w:rsidP="00CB6E82">
            <w:pPr>
              <w:spacing w:after="0" w:line="240" w:lineRule="auto"/>
              <w:jc w:val="center"/>
              <w:rPr>
                <w:rFonts w:ascii="Arial" w:eastAsia="Times New Roman" w:hAnsi="Arial" w:cs="Arial"/>
                <w:b/>
                <w:bCs/>
                <w:color w:val="000000"/>
                <w:sz w:val="18"/>
                <w:szCs w:val="18"/>
                <w:lang w:val="es-ES_tradnl" w:eastAsia="es-MX"/>
              </w:rPr>
            </w:pPr>
            <w:r w:rsidRPr="00F32542">
              <w:rPr>
                <w:rFonts w:ascii="Arial" w:eastAsia="Times New Roman" w:hAnsi="Arial" w:cs="Arial"/>
                <w:b/>
                <w:bCs/>
                <w:color w:val="000000"/>
                <w:sz w:val="18"/>
                <w:szCs w:val="18"/>
                <w:lang w:val="es-ES_tradnl" w:eastAsia="es-MX"/>
              </w:rPr>
              <w:t>TECDMX-JLDC-099/2021</w:t>
            </w:r>
          </w:p>
        </w:tc>
        <w:tc>
          <w:tcPr>
            <w:tcW w:w="3317" w:type="dxa"/>
            <w:vAlign w:val="center"/>
          </w:tcPr>
          <w:p w14:paraId="7F7093D0" w14:textId="77777777" w:rsidR="003C3B09" w:rsidRPr="00F32542" w:rsidRDefault="003C3B09" w:rsidP="003E221D">
            <w:pPr>
              <w:spacing w:after="0" w:line="240" w:lineRule="auto"/>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De las 23:30 del 17 de junio a las 23:30 del 20 de junio.</w:t>
            </w:r>
          </w:p>
        </w:tc>
        <w:tc>
          <w:tcPr>
            <w:tcW w:w="2126" w:type="dxa"/>
            <w:vAlign w:val="center"/>
          </w:tcPr>
          <w:p w14:paraId="1CE3A055" w14:textId="77777777" w:rsidR="003C3B09" w:rsidRPr="00F32542" w:rsidRDefault="003C3B09" w:rsidP="00CB6E82">
            <w:pPr>
              <w:spacing w:after="0" w:line="240" w:lineRule="auto"/>
              <w:jc w:val="center"/>
              <w:rPr>
                <w:rFonts w:ascii="Arial" w:eastAsia="Times New Roman" w:hAnsi="Arial" w:cs="Arial"/>
                <w:b/>
                <w:sz w:val="18"/>
                <w:szCs w:val="18"/>
                <w:lang w:val="es-ES_tradnl" w:eastAsia="es-MX"/>
              </w:rPr>
            </w:pPr>
            <w:r w:rsidRPr="00F32542">
              <w:rPr>
                <w:rFonts w:ascii="Arial" w:eastAsia="Times New Roman" w:hAnsi="Arial" w:cs="Arial"/>
                <w:sz w:val="18"/>
                <w:szCs w:val="18"/>
                <w:lang w:val="es-ES_tradnl" w:eastAsia="es-MX"/>
              </w:rPr>
              <w:t>No compareció</w:t>
            </w:r>
          </w:p>
        </w:tc>
      </w:tr>
      <w:tr w:rsidR="003C3B09" w:rsidRPr="00F32542" w14:paraId="75D3F886" w14:textId="77777777" w:rsidTr="003C3B09">
        <w:trPr>
          <w:trHeight w:val="412"/>
          <w:jc w:val="center"/>
        </w:trPr>
        <w:tc>
          <w:tcPr>
            <w:tcW w:w="441" w:type="dxa"/>
            <w:vAlign w:val="center"/>
          </w:tcPr>
          <w:p w14:paraId="5757B324" w14:textId="77777777" w:rsidR="003C3B09" w:rsidRPr="00F32542" w:rsidRDefault="003C3B09" w:rsidP="00CB6E82">
            <w:pPr>
              <w:spacing w:after="0" w:line="240" w:lineRule="auto"/>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15</w:t>
            </w:r>
          </w:p>
        </w:tc>
        <w:tc>
          <w:tcPr>
            <w:tcW w:w="1624" w:type="dxa"/>
            <w:vAlign w:val="center"/>
          </w:tcPr>
          <w:p w14:paraId="5A805474" w14:textId="77777777" w:rsidR="003C3B09" w:rsidRPr="00F32542" w:rsidRDefault="003C3B09" w:rsidP="00CB6E82">
            <w:pPr>
              <w:spacing w:after="0" w:line="240" w:lineRule="auto"/>
              <w:jc w:val="center"/>
              <w:rPr>
                <w:rFonts w:ascii="Arial" w:eastAsia="Times New Roman" w:hAnsi="Arial" w:cs="Arial"/>
                <w:b/>
                <w:bCs/>
                <w:color w:val="000000"/>
                <w:sz w:val="18"/>
                <w:szCs w:val="18"/>
                <w:lang w:val="es-ES_tradnl" w:eastAsia="es-MX"/>
              </w:rPr>
            </w:pPr>
            <w:r w:rsidRPr="00F32542">
              <w:rPr>
                <w:rFonts w:ascii="Arial" w:eastAsia="Times New Roman" w:hAnsi="Arial" w:cs="Arial"/>
                <w:b/>
                <w:bCs/>
                <w:color w:val="000000"/>
                <w:sz w:val="18"/>
                <w:szCs w:val="18"/>
                <w:lang w:val="es-ES_tradnl" w:eastAsia="es-MX"/>
              </w:rPr>
              <w:t>TECDMX-JLDC-100/2021</w:t>
            </w:r>
          </w:p>
        </w:tc>
        <w:tc>
          <w:tcPr>
            <w:tcW w:w="3317" w:type="dxa"/>
            <w:vAlign w:val="center"/>
          </w:tcPr>
          <w:p w14:paraId="0834C0F5" w14:textId="77777777" w:rsidR="003C3B09" w:rsidRPr="00F32542" w:rsidRDefault="003C3B09" w:rsidP="003E221D">
            <w:pPr>
              <w:spacing w:after="0" w:line="240" w:lineRule="auto"/>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De las 23:30 del 17 de junio a las 23:30 del 20 de junio.</w:t>
            </w:r>
          </w:p>
        </w:tc>
        <w:tc>
          <w:tcPr>
            <w:tcW w:w="2126" w:type="dxa"/>
            <w:vAlign w:val="center"/>
          </w:tcPr>
          <w:p w14:paraId="6ADB302C" w14:textId="77777777" w:rsidR="003C3B09" w:rsidRPr="00F32542" w:rsidRDefault="003C3B09" w:rsidP="00CB6E82">
            <w:pPr>
              <w:spacing w:after="0" w:line="240" w:lineRule="auto"/>
              <w:jc w:val="center"/>
              <w:rPr>
                <w:rFonts w:ascii="Arial" w:eastAsia="Times New Roman" w:hAnsi="Arial" w:cs="Arial"/>
                <w:b/>
                <w:sz w:val="18"/>
                <w:szCs w:val="18"/>
                <w:lang w:val="es-ES_tradnl" w:eastAsia="es-MX"/>
              </w:rPr>
            </w:pPr>
            <w:r w:rsidRPr="00F32542">
              <w:rPr>
                <w:rFonts w:ascii="Arial" w:eastAsia="Times New Roman" w:hAnsi="Arial" w:cs="Arial"/>
                <w:sz w:val="18"/>
                <w:szCs w:val="18"/>
                <w:lang w:val="es-ES_tradnl" w:eastAsia="es-MX"/>
              </w:rPr>
              <w:t>Frida Jimena Guillen Ortiz</w:t>
            </w:r>
          </w:p>
        </w:tc>
      </w:tr>
      <w:tr w:rsidR="003C3B09" w:rsidRPr="00F32542" w14:paraId="5E5C2903" w14:textId="77777777" w:rsidTr="003C3B09">
        <w:trPr>
          <w:trHeight w:val="440"/>
          <w:jc w:val="center"/>
        </w:trPr>
        <w:tc>
          <w:tcPr>
            <w:tcW w:w="441" w:type="dxa"/>
            <w:vAlign w:val="center"/>
          </w:tcPr>
          <w:p w14:paraId="5FF22649" w14:textId="77777777" w:rsidR="003C3B09" w:rsidRPr="00F32542" w:rsidRDefault="003C3B09" w:rsidP="00CB6E82">
            <w:pPr>
              <w:spacing w:after="0" w:line="240" w:lineRule="auto"/>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16</w:t>
            </w:r>
          </w:p>
        </w:tc>
        <w:tc>
          <w:tcPr>
            <w:tcW w:w="1624" w:type="dxa"/>
            <w:vAlign w:val="center"/>
          </w:tcPr>
          <w:p w14:paraId="67B3B73A" w14:textId="77777777" w:rsidR="003C3B09" w:rsidRPr="00F32542" w:rsidRDefault="003C3B09" w:rsidP="00CB6E82">
            <w:pPr>
              <w:spacing w:after="0" w:line="240" w:lineRule="auto"/>
              <w:jc w:val="center"/>
              <w:rPr>
                <w:rFonts w:ascii="Arial" w:eastAsia="Times New Roman" w:hAnsi="Arial" w:cs="Arial"/>
                <w:b/>
                <w:bCs/>
                <w:color w:val="000000"/>
                <w:sz w:val="18"/>
                <w:szCs w:val="18"/>
                <w:lang w:val="es-ES_tradnl" w:eastAsia="es-MX"/>
              </w:rPr>
            </w:pPr>
            <w:r w:rsidRPr="00F32542">
              <w:rPr>
                <w:rFonts w:ascii="Arial" w:eastAsia="Times New Roman" w:hAnsi="Arial" w:cs="Arial"/>
                <w:b/>
                <w:bCs/>
                <w:color w:val="000000"/>
                <w:sz w:val="18"/>
                <w:szCs w:val="18"/>
                <w:lang w:val="es-ES_tradnl" w:eastAsia="es-MX"/>
              </w:rPr>
              <w:t>TECDMX-JLDC-101/2021</w:t>
            </w:r>
          </w:p>
        </w:tc>
        <w:tc>
          <w:tcPr>
            <w:tcW w:w="3317" w:type="dxa"/>
            <w:vAlign w:val="center"/>
          </w:tcPr>
          <w:p w14:paraId="74891DCF" w14:textId="77777777" w:rsidR="003C3B09" w:rsidRPr="00F32542" w:rsidRDefault="003C3B09" w:rsidP="003E221D">
            <w:pPr>
              <w:spacing w:after="0" w:line="240" w:lineRule="auto"/>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De las 23:30 del 17 de junio a las 23:30 del 20 de junio.</w:t>
            </w:r>
          </w:p>
        </w:tc>
        <w:tc>
          <w:tcPr>
            <w:tcW w:w="2126" w:type="dxa"/>
            <w:vAlign w:val="center"/>
          </w:tcPr>
          <w:p w14:paraId="4B498410" w14:textId="77777777" w:rsidR="003C3B09" w:rsidRPr="00F32542" w:rsidRDefault="003C3B09" w:rsidP="00CB6E82">
            <w:pPr>
              <w:spacing w:after="0" w:line="240" w:lineRule="auto"/>
              <w:jc w:val="center"/>
              <w:rPr>
                <w:rFonts w:ascii="Arial" w:eastAsia="Times New Roman" w:hAnsi="Arial" w:cs="Arial"/>
                <w:b/>
                <w:sz w:val="18"/>
                <w:szCs w:val="18"/>
                <w:lang w:val="es-ES_tradnl" w:eastAsia="es-MX"/>
              </w:rPr>
            </w:pPr>
            <w:r w:rsidRPr="00F32542">
              <w:rPr>
                <w:rFonts w:ascii="Arial" w:eastAsia="Times New Roman" w:hAnsi="Arial" w:cs="Arial"/>
                <w:sz w:val="18"/>
                <w:szCs w:val="18"/>
                <w:lang w:val="es-ES_tradnl" w:eastAsia="es-MX"/>
              </w:rPr>
              <w:t>No compareció</w:t>
            </w:r>
          </w:p>
        </w:tc>
      </w:tr>
      <w:tr w:rsidR="003C3B09" w:rsidRPr="00F32542" w14:paraId="486F4DE5" w14:textId="77777777" w:rsidTr="003C3B09">
        <w:trPr>
          <w:trHeight w:val="570"/>
          <w:jc w:val="center"/>
        </w:trPr>
        <w:tc>
          <w:tcPr>
            <w:tcW w:w="441" w:type="dxa"/>
            <w:vAlign w:val="center"/>
          </w:tcPr>
          <w:p w14:paraId="109E31B5" w14:textId="77777777" w:rsidR="003C3B09" w:rsidRPr="00F32542" w:rsidRDefault="003C3B09" w:rsidP="00CB6E82">
            <w:pPr>
              <w:spacing w:after="0" w:line="240" w:lineRule="auto"/>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17</w:t>
            </w:r>
          </w:p>
        </w:tc>
        <w:tc>
          <w:tcPr>
            <w:tcW w:w="1624" w:type="dxa"/>
            <w:vAlign w:val="center"/>
          </w:tcPr>
          <w:p w14:paraId="1FE5A986" w14:textId="77777777" w:rsidR="003C3B09" w:rsidRPr="00F32542" w:rsidRDefault="003C3B09" w:rsidP="00CB6E82">
            <w:pPr>
              <w:spacing w:after="0" w:line="240" w:lineRule="auto"/>
              <w:jc w:val="center"/>
              <w:rPr>
                <w:rFonts w:ascii="Arial" w:eastAsia="Times New Roman" w:hAnsi="Arial" w:cs="Arial"/>
                <w:b/>
                <w:bCs/>
                <w:color w:val="000000"/>
                <w:sz w:val="18"/>
                <w:szCs w:val="18"/>
                <w:lang w:val="es-ES_tradnl" w:eastAsia="es-MX"/>
              </w:rPr>
            </w:pPr>
            <w:r w:rsidRPr="00F32542">
              <w:rPr>
                <w:rFonts w:ascii="Arial" w:eastAsia="Times New Roman" w:hAnsi="Arial" w:cs="Arial"/>
                <w:b/>
                <w:bCs/>
                <w:color w:val="000000"/>
                <w:sz w:val="18"/>
                <w:szCs w:val="18"/>
                <w:lang w:val="es-ES_tradnl" w:eastAsia="es-MX"/>
              </w:rPr>
              <w:t>TECDMX-JLDC-102/2021</w:t>
            </w:r>
          </w:p>
        </w:tc>
        <w:tc>
          <w:tcPr>
            <w:tcW w:w="3317" w:type="dxa"/>
            <w:vAlign w:val="center"/>
          </w:tcPr>
          <w:p w14:paraId="48A53912" w14:textId="77777777" w:rsidR="003C3B09" w:rsidRPr="00F32542" w:rsidRDefault="003C3B09" w:rsidP="003E221D">
            <w:pPr>
              <w:spacing w:after="0" w:line="240" w:lineRule="auto"/>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De las 15:30 del 18 de junio a las 15:30 del 21 de junio.</w:t>
            </w:r>
          </w:p>
        </w:tc>
        <w:tc>
          <w:tcPr>
            <w:tcW w:w="2126" w:type="dxa"/>
            <w:vAlign w:val="center"/>
          </w:tcPr>
          <w:p w14:paraId="058B34A5" w14:textId="77777777" w:rsidR="003C3B09" w:rsidRPr="00F32542" w:rsidRDefault="003C3B09" w:rsidP="00CB6E82">
            <w:pPr>
              <w:spacing w:after="0" w:line="240" w:lineRule="auto"/>
              <w:jc w:val="center"/>
              <w:rPr>
                <w:rFonts w:ascii="Arial" w:eastAsia="Times New Roman" w:hAnsi="Arial" w:cs="Arial"/>
                <w:b/>
                <w:sz w:val="18"/>
                <w:szCs w:val="18"/>
                <w:lang w:val="es-ES_tradnl" w:eastAsia="es-MX"/>
              </w:rPr>
            </w:pPr>
            <w:r w:rsidRPr="00F32542">
              <w:rPr>
                <w:rFonts w:ascii="Arial" w:eastAsia="Times New Roman" w:hAnsi="Arial" w:cs="Arial"/>
                <w:sz w:val="18"/>
                <w:szCs w:val="18"/>
                <w:lang w:val="es-ES_tradnl" w:eastAsia="es-MX"/>
              </w:rPr>
              <w:t>Lucia Alejandra Puente García</w:t>
            </w:r>
          </w:p>
        </w:tc>
      </w:tr>
      <w:tr w:rsidR="003C3B09" w:rsidRPr="00F32542" w14:paraId="3FB8541D" w14:textId="77777777" w:rsidTr="003C3B09">
        <w:trPr>
          <w:trHeight w:val="412"/>
          <w:jc w:val="center"/>
        </w:trPr>
        <w:tc>
          <w:tcPr>
            <w:tcW w:w="441" w:type="dxa"/>
            <w:vAlign w:val="center"/>
          </w:tcPr>
          <w:p w14:paraId="710C2D9E" w14:textId="77777777" w:rsidR="003C3B09" w:rsidRPr="00F32542" w:rsidRDefault="003C3B09" w:rsidP="00CB6E82">
            <w:pPr>
              <w:spacing w:after="0" w:line="240" w:lineRule="auto"/>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18</w:t>
            </w:r>
          </w:p>
        </w:tc>
        <w:tc>
          <w:tcPr>
            <w:tcW w:w="1624" w:type="dxa"/>
            <w:vAlign w:val="center"/>
          </w:tcPr>
          <w:p w14:paraId="7B3F0805" w14:textId="77777777" w:rsidR="003C3B09" w:rsidRPr="00F32542" w:rsidRDefault="003C3B09" w:rsidP="00CB6E82">
            <w:pPr>
              <w:spacing w:after="0" w:line="240" w:lineRule="auto"/>
              <w:jc w:val="center"/>
              <w:rPr>
                <w:rFonts w:ascii="Arial" w:eastAsia="Times New Roman" w:hAnsi="Arial" w:cs="Arial"/>
                <w:b/>
                <w:bCs/>
                <w:color w:val="000000"/>
                <w:sz w:val="18"/>
                <w:szCs w:val="18"/>
                <w:lang w:val="es-ES_tradnl" w:eastAsia="es-MX"/>
              </w:rPr>
            </w:pPr>
            <w:r w:rsidRPr="00F32542">
              <w:rPr>
                <w:rFonts w:ascii="Arial" w:eastAsia="Times New Roman" w:hAnsi="Arial" w:cs="Arial"/>
                <w:b/>
                <w:bCs/>
                <w:color w:val="000000"/>
                <w:sz w:val="18"/>
                <w:szCs w:val="18"/>
                <w:lang w:val="es-ES_tradnl" w:eastAsia="es-MX"/>
              </w:rPr>
              <w:t>TECDMX-JLDC-103/2021</w:t>
            </w:r>
          </w:p>
        </w:tc>
        <w:tc>
          <w:tcPr>
            <w:tcW w:w="3317" w:type="dxa"/>
            <w:vAlign w:val="center"/>
          </w:tcPr>
          <w:p w14:paraId="3C23B14F" w14:textId="77777777" w:rsidR="003C3B09" w:rsidRPr="00F32542" w:rsidRDefault="003C3B09" w:rsidP="003E221D">
            <w:pPr>
              <w:spacing w:after="0" w:line="240" w:lineRule="auto"/>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De las 15:30 del 18 de junio a las 15:30 del 21 de junio.</w:t>
            </w:r>
          </w:p>
        </w:tc>
        <w:tc>
          <w:tcPr>
            <w:tcW w:w="2126" w:type="dxa"/>
            <w:vAlign w:val="center"/>
          </w:tcPr>
          <w:p w14:paraId="40560987" w14:textId="77777777" w:rsidR="003C3B09" w:rsidRPr="00F32542" w:rsidRDefault="003C3B09" w:rsidP="00CB6E82">
            <w:pPr>
              <w:spacing w:after="0" w:line="240" w:lineRule="auto"/>
              <w:jc w:val="center"/>
              <w:rPr>
                <w:rFonts w:ascii="Arial" w:eastAsia="Times New Roman" w:hAnsi="Arial" w:cs="Arial"/>
                <w:b/>
                <w:sz w:val="18"/>
                <w:szCs w:val="18"/>
                <w:lang w:val="es-ES_tradnl" w:eastAsia="es-MX"/>
              </w:rPr>
            </w:pPr>
            <w:r w:rsidRPr="00F32542">
              <w:rPr>
                <w:rFonts w:ascii="Arial" w:eastAsia="Times New Roman" w:hAnsi="Arial" w:cs="Arial"/>
                <w:sz w:val="18"/>
                <w:szCs w:val="18"/>
                <w:lang w:val="es-ES_tradnl" w:eastAsia="es-MX"/>
              </w:rPr>
              <w:t>Frida Jimena Guillen Ortiz</w:t>
            </w:r>
          </w:p>
        </w:tc>
      </w:tr>
      <w:tr w:rsidR="003C3B09" w:rsidRPr="00F32542" w14:paraId="6FE3036F" w14:textId="77777777" w:rsidTr="003C3B09">
        <w:trPr>
          <w:trHeight w:val="412"/>
          <w:jc w:val="center"/>
        </w:trPr>
        <w:tc>
          <w:tcPr>
            <w:tcW w:w="441" w:type="dxa"/>
            <w:vAlign w:val="center"/>
          </w:tcPr>
          <w:p w14:paraId="1D7FAEBC" w14:textId="77777777" w:rsidR="003C3B09" w:rsidRPr="00F32542" w:rsidRDefault="003C3B09" w:rsidP="00CB6E82">
            <w:pPr>
              <w:spacing w:after="0" w:line="240" w:lineRule="auto"/>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19</w:t>
            </w:r>
          </w:p>
        </w:tc>
        <w:tc>
          <w:tcPr>
            <w:tcW w:w="1624" w:type="dxa"/>
            <w:vAlign w:val="center"/>
          </w:tcPr>
          <w:p w14:paraId="465F1FBD" w14:textId="77777777" w:rsidR="003C3B09" w:rsidRPr="00F32542" w:rsidRDefault="003C3B09" w:rsidP="00CB6E82">
            <w:pPr>
              <w:spacing w:after="0" w:line="240" w:lineRule="auto"/>
              <w:jc w:val="center"/>
              <w:rPr>
                <w:rFonts w:ascii="Arial" w:eastAsia="Times New Roman" w:hAnsi="Arial" w:cs="Arial"/>
                <w:b/>
                <w:bCs/>
                <w:color w:val="000000"/>
                <w:sz w:val="18"/>
                <w:szCs w:val="18"/>
                <w:lang w:val="es-ES_tradnl" w:eastAsia="es-MX"/>
              </w:rPr>
            </w:pPr>
            <w:r w:rsidRPr="00F32542">
              <w:rPr>
                <w:rFonts w:ascii="Arial" w:eastAsia="Times New Roman" w:hAnsi="Arial" w:cs="Arial"/>
                <w:b/>
                <w:bCs/>
                <w:color w:val="000000"/>
                <w:sz w:val="18"/>
                <w:szCs w:val="18"/>
                <w:lang w:val="es-ES_tradnl" w:eastAsia="es-MX"/>
              </w:rPr>
              <w:t>TECDMX-JLDC-104/2021</w:t>
            </w:r>
          </w:p>
        </w:tc>
        <w:tc>
          <w:tcPr>
            <w:tcW w:w="3317" w:type="dxa"/>
            <w:vAlign w:val="center"/>
          </w:tcPr>
          <w:p w14:paraId="4A516D67" w14:textId="77777777" w:rsidR="003C3B09" w:rsidRPr="00F32542" w:rsidRDefault="003C3B09" w:rsidP="003E221D">
            <w:pPr>
              <w:spacing w:after="0" w:line="240" w:lineRule="auto"/>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De las 19:00 del 18 de junio a las 19:00 del 21 de junio.</w:t>
            </w:r>
          </w:p>
        </w:tc>
        <w:tc>
          <w:tcPr>
            <w:tcW w:w="2126" w:type="dxa"/>
            <w:vAlign w:val="center"/>
          </w:tcPr>
          <w:p w14:paraId="30DED6CB" w14:textId="77777777" w:rsidR="003C3B09" w:rsidRPr="00F32542" w:rsidRDefault="003C3B09" w:rsidP="003C3B09">
            <w:pPr>
              <w:spacing w:after="0" w:line="240" w:lineRule="auto"/>
              <w:ind w:right="51"/>
              <w:jc w:val="both"/>
              <w:rPr>
                <w:rFonts w:ascii="Arial" w:eastAsia="Times New Roman" w:hAnsi="Arial" w:cs="Arial"/>
                <w:b/>
                <w:sz w:val="18"/>
                <w:szCs w:val="18"/>
                <w:lang w:val="es-ES_tradnl" w:eastAsia="es-MX"/>
              </w:rPr>
            </w:pPr>
            <w:r w:rsidRPr="00F32542">
              <w:rPr>
                <w:rFonts w:ascii="Arial" w:eastAsia="Times New Roman" w:hAnsi="Arial" w:cs="Arial"/>
                <w:sz w:val="18"/>
                <w:szCs w:val="18"/>
                <w:lang w:val="es-ES_tradnl" w:eastAsia="es-MX"/>
              </w:rPr>
              <w:t xml:space="preserve">Víctor Hugo Lobo Román, Ricardo </w:t>
            </w:r>
            <w:proofErr w:type="spellStart"/>
            <w:r w:rsidRPr="00F32542">
              <w:rPr>
                <w:rFonts w:ascii="Arial" w:eastAsia="Times New Roman" w:hAnsi="Arial" w:cs="Arial"/>
                <w:sz w:val="18"/>
                <w:szCs w:val="18"/>
                <w:lang w:val="es-ES_tradnl" w:eastAsia="es-MX"/>
              </w:rPr>
              <w:t>Janecarlo</w:t>
            </w:r>
            <w:proofErr w:type="spellEnd"/>
            <w:r w:rsidRPr="00F32542">
              <w:rPr>
                <w:rFonts w:ascii="Arial" w:eastAsia="Times New Roman" w:hAnsi="Arial" w:cs="Arial"/>
                <w:sz w:val="18"/>
                <w:szCs w:val="18"/>
                <w:lang w:val="es-ES_tradnl" w:eastAsia="es-MX"/>
              </w:rPr>
              <w:t xml:space="preserve"> Lozano Reynoso y PRD </w:t>
            </w:r>
          </w:p>
        </w:tc>
      </w:tr>
      <w:tr w:rsidR="003C3B09" w:rsidRPr="00F32542" w14:paraId="0C9652F4" w14:textId="77777777" w:rsidTr="003C3B09">
        <w:trPr>
          <w:trHeight w:val="412"/>
          <w:jc w:val="center"/>
        </w:trPr>
        <w:tc>
          <w:tcPr>
            <w:tcW w:w="441" w:type="dxa"/>
            <w:vAlign w:val="center"/>
          </w:tcPr>
          <w:p w14:paraId="7307A36B" w14:textId="77777777" w:rsidR="003C3B09" w:rsidRPr="00F32542" w:rsidRDefault="003C3B09" w:rsidP="00CB6E82">
            <w:pPr>
              <w:spacing w:after="0" w:line="240" w:lineRule="auto"/>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20</w:t>
            </w:r>
          </w:p>
        </w:tc>
        <w:tc>
          <w:tcPr>
            <w:tcW w:w="1624" w:type="dxa"/>
            <w:vAlign w:val="center"/>
          </w:tcPr>
          <w:p w14:paraId="071547DF" w14:textId="77777777" w:rsidR="003C3B09" w:rsidRPr="00F32542" w:rsidRDefault="003C3B09" w:rsidP="003E221D">
            <w:pPr>
              <w:spacing w:after="0" w:line="240" w:lineRule="auto"/>
              <w:jc w:val="center"/>
              <w:rPr>
                <w:rFonts w:ascii="Arial" w:eastAsia="Times New Roman" w:hAnsi="Arial" w:cs="Arial"/>
                <w:b/>
                <w:bCs/>
                <w:color w:val="000000"/>
                <w:sz w:val="18"/>
                <w:szCs w:val="18"/>
                <w:lang w:val="es-ES_tradnl" w:eastAsia="es-MX"/>
              </w:rPr>
            </w:pPr>
            <w:r w:rsidRPr="00F32542">
              <w:rPr>
                <w:rFonts w:ascii="Arial" w:eastAsia="Times New Roman" w:hAnsi="Arial" w:cs="Arial"/>
                <w:b/>
                <w:bCs/>
                <w:color w:val="000000"/>
                <w:sz w:val="18"/>
                <w:szCs w:val="18"/>
                <w:lang w:val="es-ES_tradnl" w:eastAsia="es-MX"/>
              </w:rPr>
              <w:t>TECDMX-JLDC-108/2021</w:t>
            </w:r>
          </w:p>
        </w:tc>
        <w:tc>
          <w:tcPr>
            <w:tcW w:w="3317" w:type="dxa"/>
            <w:vAlign w:val="center"/>
          </w:tcPr>
          <w:p w14:paraId="5672DD33" w14:textId="77777777" w:rsidR="003C3B09" w:rsidRPr="00F32542" w:rsidRDefault="003C3B09" w:rsidP="003E221D">
            <w:pPr>
              <w:spacing w:after="0" w:line="240" w:lineRule="auto"/>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De las 23:55 del 16 de junio a las 23:55 del 19 de junio.</w:t>
            </w:r>
          </w:p>
        </w:tc>
        <w:tc>
          <w:tcPr>
            <w:tcW w:w="2126" w:type="dxa"/>
            <w:vAlign w:val="center"/>
          </w:tcPr>
          <w:p w14:paraId="0F9CC74B" w14:textId="77777777" w:rsidR="003C3B09" w:rsidRPr="00F32542" w:rsidRDefault="003C3B09" w:rsidP="00CB6E82">
            <w:pPr>
              <w:spacing w:after="0" w:line="240" w:lineRule="auto"/>
              <w:ind w:right="51"/>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 xml:space="preserve">Víctor Hugo Lobo Román y Ricardo </w:t>
            </w:r>
            <w:proofErr w:type="spellStart"/>
            <w:r w:rsidRPr="00F32542">
              <w:rPr>
                <w:rFonts w:ascii="Arial" w:eastAsia="Times New Roman" w:hAnsi="Arial" w:cs="Arial"/>
                <w:sz w:val="18"/>
                <w:szCs w:val="18"/>
                <w:lang w:val="es-ES_tradnl" w:eastAsia="es-MX"/>
              </w:rPr>
              <w:t>Janecarlo</w:t>
            </w:r>
            <w:proofErr w:type="spellEnd"/>
            <w:r w:rsidRPr="00F32542">
              <w:rPr>
                <w:rFonts w:ascii="Arial" w:eastAsia="Times New Roman" w:hAnsi="Arial" w:cs="Arial"/>
                <w:sz w:val="18"/>
                <w:szCs w:val="18"/>
                <w:lang w:val="es-ES_tradnl" w:eastAsia="es-MX"/>
              </w:rPr>
              <w:t xml:space="preserve"> Lozano Reynoso</w:t>
            </w:r>
          </w:p>
        </w:tc>
      </w:tr>
      <w:tr w:rsidR="003C3B09" w:rsidRPr="00F32542" w14:paraId="03268A2A" w14:textId="77777777" w:rsidTr="003C3B09">
        <w:trPr>
          <w:trHeight w:val="412"/>
          <w:jc w:val="center"/>
        </w:trPr>
        <w:tc>
          <w:tcPr>
            <w:tcW w:w="441" w:type="dxa"/>
            <w:vAlign w:val="center"/>
          </w:tcPr>
          <w:p w14:paraId="7DF911C9" w14:textId="77777777" w:rsidR="003C3B09" w:rsidRPr="00F32542" w:rsidRDefault="003C3B09" w:rsidP="00CB6E82">
            <w:pPr>
              <w:spacing w:after="0" w:line="240" w:lineRule="auto"/>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21</w:t>
            </w:r>
          </w:p>
        </w:tc>
        <w:tc>
          <w:tcPr>
            <w:tcW w:w="1624" w:type="dxa"/>
            <w:vAlign w:val="center"/>
          </w:tcPr>
          <w:p w14:paraId="572C403B" w14:textId="77777777" w:rsidR="003C3B09" w:rsidRPr="00F32542" w:rsidRDefault="003C3B09" w:rsidP="003E221D">
            <w:pPr>
              <w:spacing w:after="0" w:line="240" w:lineRule="auto"/>
              <w:jc w:val="center"/>
              <w:rPr>
                <w:rFonts w:ascii="Arial" w:eastAsia="Times New Roman" w:hAnsi="Arial" w:cs="Arial"/>
                <w:b/>
                <w:bCs/>
                <w:color w:val="000000"/>
                <w:sz w:val="18"/>
                <w:szCs w:val="18"/>
                <w:lang w:val="es-ES_tradnl" w:eastAsia="es-MX"/>
              </w:rPr>
            </w:pPr>
            <w:r w:rsidRPr="00F32542">
              <w:rPr>
                <w:rFonts w:ascii="Arial" w:eastAsia="Times New Roman" w:hAnsi="Arial" w:cs="Arial"/>
                <w:b/>
                <w:bCs/>
                <w:color w:val="000000"/>
                <w:sz w:val="18"/>
                <w:szCs w:val="18"/>
                <w:lang w:val="es-ES_tradnl" w:eastAsia="es-MX"/>
              </w:rPr>
              <w:t>TECDMX-JLDC-109/2021</w:t>
            </w:r>
          </w:p>
        </w:tc>
        <w:tc>
          <w:tcPr>
            <w:tcW w:w="3317" w:type="dxa"/>
            <w:vAlign w:val="center"/>
          </w:tcPr>
          <w:p w14:paraId="57A90D25" w14:textId="77777777" w:rsidR="003C3B09" w:rsidRPr="00F32542" w:rsidRDefault="003C3B09" w:rsidP="003E221D">
            <w:pPr>
              <w:spacing w:after="0" w:line="240" w:lineRule="auto"/>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De las 23:50 del 16 de junio a las 23:50 del 19 de junio.</w:t>
            </w:r>
          </w:p>
        </w:tc>
        <w:tc>
          <w:tcPr>
            <w:tcW w:w="2126" w:type="dxa"/>
            <w:vAlign w:val="center"/>
          </w:tcPr>
          <w:p w14:paraId="0B6A2BFF" w14:textId="77777777" w:rsidR="003C3B09" w:rsidRPr="00F32542" w:rsidRDefault="003C3B09" w:rsidP="00CB6E82">
            <w:pPr>
              <w:spacing w:after="0" w:line="240" w:lineRule="auto"/>
              <w:jc w:val="center"/>
              <w:rPr>
                <w:rFonts w:ascii="Arial" w:eastAsia="Times New Roman" w:hAnsi="Arial" w:cs="Arial"/>
                <w:bCs/>
                <w:sz w:val="18"/>
                <w:szCs w:val="18"/>
                <w:lang w:val="es-ES_tradnl" w:eastAsia="es-MX"/>
              </w:rPr>
            </w:pPr>
            <w:r w:rsidRPr="00F32542">
              <w:rPr>
                <w:rFonts w:ascii="Arial" w:eastAsia="Times New Roman" w:hAnsi="Arial" w:cs="Arial"/>
                <w:bCs/>
                <w:sz w:val="18"/>
                <w:szCs w:val="18"/>
                <w:lang w:val="es-ES_tradnl" w:eastAsia="es-MX"/>
              </w:rPr>
              <w:t>Lucia Alejandra Puente García</w:t>
            </w:r>
          </w:p>
        </w:tc>
      </w:tr>
      <w:tr w:rsidR="003C3B09" w:rsidRPr="00F32542" w14:paraId="5778D5FA" w14:textId="77777777" w:rsidTr="003C3B09">
        <w:trPr>
          <w:trHeight w:val="412"/>
          <w:jc w:val="center"/>
        </w:trPr>
        <w:tc>
          <w:tcPr>
            <w:tcW w:w="441" w:type="dxa"/>
            <w:vAlign w:val="center"/>
          </w:tcPr>
          <w:p w14:paraId="788F2D65" w14:textId="77777777" w:rsidR="003C3B09" w:rsidRPr="00F32542" w:rsidRDefault="003C3B09" w:rsidP="00CB6E82">
            <w:pPr>
              <w:spacing w:after="0" w:line="240" w:lineRule="auto"/>
              <w:jc w:val="center"/>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lastRenderedPageBreak/>
              <w:t>22</w:t>
            </w:r>
          </w:p>
        </w:tc>
        <w:tc>
          <w:tcPr>
            <w:tcW w:w="1624" w:type="dxa"/>
            <w:vAlign w:val="center"/>
          </w:tcPr>
          <w:p w14:paraId="27CD681E" w14:textId="77777777" w:rsidR="003C3B09" w:rsidRPr="00F32542" w:rsidRDefault="003C3B09" w:rsidP="003E221D">
            <w:pPr>
              <w:spacing w:after="0" w:line="240" w:lineRule="auto"/>
              <w:jc w:val="center"/>
              <w:rPr>
                <w:rFonts w:ascii="Arial" w:eastAsia="Times New Roman" w:hAnsi="Arial" w:cs="Arial"/>
                <w:b/>
                <w:bCs/>
                <w:color w:val="000000"/>
                <w:sz w:val="18"/>
                <w:szCs w:val="18"/>
                <w:lang w:val="es-ES_tradnl" w:eastAsia="es-MX"/>
              </w:rPr>
            </w:pPr>
            <w:r w:rsidRPr="00F32542">
              <w:rPr>
                <w:rFonts w:ascii="Arial" w:eastAsia="Times New Roman" w:hAnsi="Arial" w:cs="Arial"/>
                <w:b/>
                <w:bCs/>
                <w:color w:val="000000"/>
                <w:sz w:val="18"/>
                <w:szCs w:val="18"/>
                <w:lang w:val="es-ES_tradnl" w:eastAsia="es-MX"/>
              </w:rPr>
              <w:t>TECDMX-JLDC-110/2021</w:t>
            </w:r>
          </w:p>
        </w:tc>
        <w:tc>
          <w:tcPr>
            <w:tcW w:w="3317" w:type="dxa"/>
            <w:vAlign w:val="center"/>
          </w:tcPr>
          <w:p w14:paraId="0E200B03" w14:textId="77777777" w:rsidR="003C3B09" w:rsidRPr="00F32542" w:rsidRDefault="003C3B09" w:rsidP="003E221D">
            <w:pPr>
              <w:spacing w:after="0" w:line="240" w:lineRule="auto"/>
              <w:jc w:val="both"/>
              <w:rPr>
                <w:rFonts w:ascii="Arial" w:eastAsia="Times New Roman" w:hAnsi="Arial" w:cs="Arial"/>
                <w:sz w:val="18"/>
                <w:szCs w:val="18"/>
                <w:lang w:val="es-ES_tradnl" w:eastAsia="es-MX"/>
              </w:rPr>
            </w:pPr>
            <w:r w:rsidRPr="00F32542">
              <w:rPr>
                <w:rFonts w:ascii="Arial" w:eastAsia="Times New Roman" w:hAnsi="Arial" w:cs="Arial"/>
                <w:sz w:val="18"/>
                <w:szCs w:val="18"/>
                <w:lang w:val="es-ES_tradnl" w:eastAsia="es-MX"/>
              </w:rPr>
              <w:t>De las 23:50 del 16 de junio a las 23:50 del 19 de junio.</w:t>
            </w:r>
          </w:p>
        </w:tc>
        <w:tc>
          <w:tcPr>
            <w:tcW w:w="2126" w:type="dxa"/>
            <w:vAlign w:val="center"/>
          </w:tcPr>
          <w:p w14:paraId="7E5329D5" w14:textId="77777777" w:rsidR="003C3B09" w:rsidRPr="00F32542" w:rsidRDefault="003C3B09" w:rsidP="00CB6E82">
            <w:pPr>
              <w:spacing w:after="0" w:line="240" w:lineRule="auto"/>
              <w:jc w:val="center"/>
              <w:rPr>
                <w:rFonts w:ascii="Arial" w:eastAsia="Times New Roman" w:hAnsi="Arial" w:cs="Arial"/>
                <w:b/>
                <w:sz w:val="18"/>
                <w:szCs w:val="18"/>
                <w:lang w:val="es-ES_tradnl" w:eastAsia="es-MX"/>
              </w:rPr>
            </w:pPr>
            <w:r w:rsidRPr="00F32542">
              <w:rPr>
                <w:rFonts w:ascii="Arial" w:eastAsia="Times New Roman" w:hAnsi="Arial" w:cs="Arial"/>
                <w:sz w:val="18"/>
                <w:szCs w:val="18"/>
                <w:lang w:val="es-ES_tradnl" w:eastAsia="es-MX"/>
              </w:rPr>
              <w:t>José Gonzalo Espina Miranda</w:t>
            </w:r>
            <w:r w:rsidRPr="00F32542">
              <w:rPr>
                <w:rStyle w:val="Refdenotaalpie"/>
                <w:rFonts w:ascii="Arial" w:eastAsia="Times New Roman" w:hAnsi="Arial" w:cs="Arial"/>
                <w:sz w:val="18"/>
                <w:szCs w:val="18"/>
                <w:lang w:val="es-ES_tradnl" w:eastAsia="es-MX"/>
              </w:rPr>
              <w:footnoteReference w:id="6"/>
            </w:r>
          </w:p>
        </w:tc>
      </w:tr>
    </w:tbl>
    <w:p w14:paraId="51B5AC90" w14:textId="77777777" w:rsidR="00142AAE" w:rsidRPr="00F32542" w:rsidRDefault="00142AAE" w:rsidP="003D29D2">
      <w:pPr>
        <w:spacing w:after="0" w:line="360" w:lineRule="auto"/>
        <w:jc w:val="both"/>
        <w:rPr>
          <w:rFonts w:ascii="Arial" w:eastAsia="Calibri" w:hAnsi="Arial" w:cs="Arial"/>
          <w:sz w:val="28"/>
          <w:szCs w:val="28"/>
          <w:lang w:val="es-ES_tradnl"/>
        </w:rPr>
      </w:pPr>
    </w:p>
    <w:p w14:paraId="41A9FADC" w14:textId="77777777" w:rsidR="00142AAE" w:rsidRPr="00F32542" w:rsidRDefault="00142AAE" w:rsidP="003D29D2">
      <w:pPr>
        <w:spacing w:after="0" w:line="360" w:lineRule="auto"/>
        <w:jc w:val="both"/>
        <w:rPr>
          <w:rFonts w:ascii="Arial" w:hAnsi="Arial" w:cs="Arial"/>
          <w:sz w:val="28"/>
          <w:szCs w:val="28"/>
          <w:lang w:val="es-ES_tradnl"/>
        </w:rPr>
      </w:pPr>
      <w:r w:rsidRPr="00F32542">
        <w:rPr>
          <w:rFonts w:ascii="Arial" w:eastAsia="Calibri" w:hAnsi="Arial" w:cs="Arial"/>
          <w:b/>
          <w:sz w:val="28"/>
          <w:szCs w:val="28"/>
          <w:lang w:val="es-ES_tradnl"/>
        </w:rPr>
        <w:t>3. Remisión de</w:t>
      </w:r>
      <w:r w:rsidR="00B26425" w:rsidRPr="00F32542">
        <w:rPr>
          <w:rFonts w:ascii="Arial" w:eastAsia="Calibri" w:hAnsi="Arial" w:cs="Arial"/>
          <w:b/>
          <w:sz w:val="28"/>
          <w:szCs w:val="28"/>
          <w:lang w:val="es-ES_tradnl"/>
        </w:rPr>
        <w:t xml:space="preserve"> los asuntos</w:t>
      </w:r>
      <w:r w:rsidRPr="00F32542">
        <w:rPr>
          <w:rFonts w:ascii="Arial" w:eastAsia="Calibri" w:hAnsi="Arial" w:cs="Arial"/>
          <w:b/>
          <w:sz w:val="28"/>
          <w:szCs w:val="28"/>
          <w:lang w:val="es-ES_tradnl"/>
        </w:rPr>
        <w:t xml:space="preserve">. </w:t>
      </w:r>
      <w:r w:rsidRPr="00F32542">
        <w:rPr>
          <w:rFonts w:ascii="Arial" w:eastAsia="Calibri" w:hAnsi="Arial" w:cs="Arial"/>
          <w:sz w:val="28"/>
          <w:szCs w:val="28"/>
          <w:lang w:val="es-ES_tradnl"/>
        </w:rPr>
        <w:t xml:space="preserve">Del </w:t>
      </w:r>
      <w:r w:rsidR="004730A8" w:rsidRPr="00F32542">
        <w:rPr>
          <w:rFonts w:ascii="Arial" w:eastAsia="Calibri" w:hAnsi="Arial" w:cs="Arial"/>
          <w:sz w:val="28"/>
          <w:szCs w:val="28"/>
          <w:lang w:val="es-ES_tradnl"/>
        </w:rPr>
        <w:t>veintiuno</w:t>
      </w:r>
      <w:r w:rsidRPr="00F32542">
        <w:rPr>
          <w:rFonts w:ascii="Arial" w:eastAsia="Calibri" w:hAnsi="Arial" w:cs="Arial"/>
          <w:sz w:val="28"/>
          <w:szCs w:val="28"/>
          <w:lang w:val="es-ES_tradnl"/>
        </w:rPr>
        <w:t xml:space="preserve"> al </w:t>
      </w:r>
      <w:r w:rsidR="004730A8" w:rsidRPr="00F32542">
        <w:rPr>
          <w:rFonts w:ascii="Arial" w:eastAsia="Calibri" w:hAnsi="Arial" w:cs="Arial"/>
          <w:sz w:val="28"/>
          <w:szCs w:val="28"/>
          <w:lang w:val="es-ES_tradnl"/>
        </w:rPr>
        <w:t>veintitrés</w:t>
      </w:r>
      <w:r w:rsidRPr="00F32542">
        <w:rPr>
          <w:rFonts w:ascii="Arial" w:eastAsia="Calibri" w:hAnsi="Arial" w:cs="Arial"/>
          <w:sz w:val="28"/>
          <w:szCs w:val="28"/>
          <w:lang w:val="es-ES_tradnl"/>
        </w:rPr>
        <w:t xml:space="preserve"> de junio, </w:t>
      </w:r>
      <w:r w:rsidR="004730A8" w:rsidRPr="00F32542">
        <w:rPr>
          <w:rFonts w:ascii="Arial" w:eastAsia="Calibri" w:hAnsi="Arial" w:cs="Arial"/>
          <w:sz w:val="28"/>
          <w:szCs w:val="28"/>
          <w:lang w:val="es-ES_tradnl"/>
        </w:rPr>
        <w:t xml:space="preserve">el </w:t>
      </w:r>
      <w:r w:rsidR="004730A8" w:rsidRPr="00F32542">
        <w:rPr>
          <w:rFonts w:ascii="Arial" w:eastAsia="Calibri" w:hAnsi="Arial" w:cs="Arial"/>
          <w:i/>
          <w:iCs/>
          <w:sz w:val="28"/>
          <w:szCs w:val="28"/>
          <w:lang w:val="es-ES_tradnl"/>
        </w:rPr>
        <w:t>Instituto Electoral</w:t>
      </w:r>
      <w:r w:rsidR="004730A8" w:rsidRPr="00F32542">
        <w:rPr>
          <w:rFonts w:ascii="Arial" w:eastAsia="Calibri" w:hAnsi="Arial" w:cs="Arial"/>
          <w:sz w:val="28"/>
          <w:szCs w:val="28"/>
          <w:lang w:val="es-ES_tradnl"/>
        </w:rPr>
        <w:t xml:space="preserve"> </w:t>
      </w:r>
      <w:r w:rsidRPr="00F32542">
        <w:rPr>
          <w:rFonts w:ascii="Arial" w:eastAsia="Times New Roman" w:hAnsi="Arial" w:cs="Arial"/>
          <w:sz w:val="28"/>
          <w:szCs w:val="28"/>
          <w:lang w:val="es-ES_tradnl" w:eastAsia="es-MX"/>
        </w:rPr>
        <w:t>remiti</w:t>
      </w:r>
      <w:r w:rsidR="004730A8" w:rsidRPr="00F32542">
        <w:rPr>
          <w:rFonts w:ascii="Arial" w:eastAsia="Times New Roman" w:hAnsi="Arial" w:cs="Arial"/>
          <w:sz w:val="28"/>
          <w:szCs w:val="28"/>
          <w:lang w:val="es-ES_tradnl" w:eastAsia="es-MX"/>
        </w:rPr>
        <w:t>ó</w:t>
      </w:r>
      <w:r w:rsidRPr="00F32542">
        <w:rPr>
          <w:rFonts w:ascii="Arial" w:eastAsia="Times New Roman" w:hAnsi="Arial" w:cs="Arial"/>
          <w:sz w:val="28"/>
          <w:szCs w:val="28"/>
          <w:lang w:val="es-ES_tradnl" w:eastAsia="es-MX"/>
        </w:rPr>
        <w:t xml:space="preserve"> al </w:t>
      </w:r>
      <w:r w:rsidRPr="00F32542">
        <w:rPr>
          <w:rFonts w:ascii="Arial" w:eastAsia="Times New Roman" w:hAnsi="Arial" w:cs="Arial"/>
          <w:i/>
          <w:sz w:val="28"/>
          <w:szCs w:val="28"/>
          <w:lang w:val="es-ES_tradnl" w:eastAsia="es-MX"/>
        </w:rPr>
        <w:t>Tribunal Electoral</w:t>
      </w:r>
      <w:r w:rsidRPr="00F32542">
        <w:rPr>
          <w:rFonts w:ascii="Arial" w:eastAsia="Times New Roman" w:hAnsi="Arial" w:cs="Arial"/>
          <w:sz w:val="28"/>
          <w:szCs w:val="28"/>
          <w:lang w:val="es-ES_tradnl" w:eastAsia="es-MX"/>
        </w:rPr>
        <w:t xml:space="preserve"> el original de las demandas, las cédulas de publicitación de cada juicio, sus informes circunstanciados, los escritos de las partes terceras interesadas y las constancias relacionadas con los actos reclamados.</w:t>
      </w:r>
    </w:p>
    <w:p w14:paraId="3109AF00" w14:textId="77777777" w:rsidR="00142AAE" w:rsidRPr="00F32542" w:rsidRDefault="00142AAE" w:rsidP="003D29D2">
      <w:pPr>
        <w:spacing w:after="0" w:line="360" w:lineRule="auto"/>
        <w:jc w:val="both"/>
        <w:rPr>
          <w:rFonts w:ascii="Arial" w:eastAsia="Calibri" w:hAnsi="Arial" w:cs="Arial"/>
          <w:sz w:val="28"/>
          <w:szCs w:val="28"/>
          <w:lang w:val="es-ES_tradnl"/>
        </w:rPr>
      </w:pPr>
    </w:p>
    <w:p w14:paraId="5B8B6E1D" w14:textId="77777777" w:rsidR="00142AAE" w:rsidRPr="00F32542" w:rsidRDefault="00142AAE" w:rsidP="003D29D2">
      <w:pPr>
        <w:spacing w:after="0" w:line="360" w:lineRule="auto"/>
        <w:jc w:val="both"/>
        <w:rPr>
          <w:rFonts w:ascii="Arial" w:eastAsia="Calibri" w:hAnsi="Arial" w:cs="Arial"/>
          <w:sz w:val="28"/>
          <w:szCs w:val="28"/>
          <w:lang w:val="es-ES_tradnl"/>
        </w:rPr>
      </w:pPr>
      <w:r w:rsidRPr="00F32542">
        <w:rPr>
          <w:rFonts w:ascii="Arial" w:eastAsia="Calibri" w:hAnsi="Arial" w:cs="Arial"/>
          <w:b/>
          <w:sz w:val="28"/>
          <w:szCs w:val="28"/>
          <w:lang w:val="es-ES_tradnl"/>
        </w:rPr>
        <w:t>4. Trámite y turno.</w:t>
      </w:r>
      <w:r w:rsidRPr="00F32542">
        <w:rPr>
          <w:rFonts w:ascii="Arial" w:eastAsia="Calibri" w:hAnsi="Arial" w:cs="Arial"/>
          <w:sz w:val="28"/>
          <w:szCs w:val="28"/>
          <w:lang w:val="es-ES_tradnl"/>
        </w:rPr>
        <w:t xml:space="preserve"> El veinticinco de junio</w:t>
      </w:r>
      <w:r w:rsidR="005112E7" w:rsidRPr="00F32542">
        <w:rPr>
          <w:rFonts w:ascii="Arial" w:eastAsia="Calibri" w:hAnsi="Arial" w:cs="Arial"/>
          <w:sz w:val="28"/>
          <w:szCs w:val="28"/>
          <w:lang w:val="es-ES_tradnl"/>
        </w:rPr>
        <w:t xml:space="preserve"> y cinco de julio</w:t>
      </w:r>
      <w:r w:rsidRPr="00F32542">
        <w:rPr>
          <w:rFonts w:ascii="Arial" w:eastAsia="Calibri" w:hAnsi="Arial" w:cs="Arial"/>
          <w:sz w:val="28"/>
          <w:szCs w:val="28"/>
          <w:lang w:val="es-ES_tradnl"/>
        </w:rPr>
        <w:t xml:space="preserve"> </w:t>
      </w:r>
      <w:r w:rsidR="00B26425" w:rsidRPr="00F32542">
        <w:rPr>
          <w:rFonts w:ascii="Arial" w:eastAsia="Calibri" w:hAnsi="Arial" w:cs="Arial"/>
          <w:sz w:val="28"/>
          <w:szCs w:val="28"/>
          <w:lang w:val="es-ES_tradnl"/>
        </w:rPr>
        <w:t>—</w:t>
      </w:r>
      <w:r w:rsidR="0042169D" w:rsidRPr="00F32542">
        <w:rPr>
          <w:rFonts w:ascii="Arial" w:eastAsia="Calibri" w:hAnsi="Arial" w:cs="Arial"/>
          <w:sz w:val="28"/>
          <w:szCs w:val="28"/>
          <w:lang w:val="es-ES_tradnl"/>
        </w:rPr>
        <w:t>por cuanto a los expedientes reencauzados</w:t>
      </w:r>
      <w:r w:rsidR="00B26425" w:rsidRPr="00F32542">
        <w:rPr>
          <w:rFonts w:ascii="Arial" w:eastAsia="Calibri" w:hAnsi="Arial" w:cs="Arial"/>
          <w:sz w:val="28"/>
          <w:szCs w:val="28"/>
          <w:lang w:val="es-ES_tradnl"/>
        </w:rPr>
        <w:t>—</w:t>
      </w:r>
      <w:r w:rsidR="0042169D" w:rsidRPr="00F32542">
        <w:rPr>
          <w:rFonts w:ascii="Arial" w:eastAsia="Calibri" w:hAnsi="Arial" w:cs="Arial"/>
          <w:sz w:val="28"/>
          <w:szCs w:val="28"/>
          <w:lang w:val="es-ES_tradnl"/>
        </w:rPr>
        <w:t xml:space="preserve"> </w:t>
      </w:r>
      <w:r w:rsidRPr="00F32542">
        <w:rPr>
          <w:rFonts w:ascii="Arial" w:eastAsia="Calibri" w:hAnsi="Arial" w:cs="Arial"/>
          <w:sz w:val="28"/>
          <w:szCs w:val="28"/>
          <w:lang w:val="es-ES_tradnl"/>
        </w:rPr>
        <w:t xml:space="preserve">el Magistrado </w:t>
      </w:r>
      <w:proofErr w:type="gramStart"/>
      <w:r w:rsidRPr="00F32542">
        <w:rPr>
          <w:rFonts w:ascii="Arial" w:eastAsia="Calibri" w:hAnsi="Arial" w:cs="Arial"/>
          <w:sz w:val="28"/>
          <w:szCs w:val="28"/>
          <w:lang w:val="es-ES_tradnl"/>
        </w:rPr>
        <w:t>Presidente</w:t>
      </w:r>
      <w:proofErr w:type="gramEnd"/>
      <w:r w:rsidRPr="00F32542">
        <w:rPr>
          <w:rFonts w:ascii="Arial" w:eastAsia="Calibri" w:hAnsi="Arial" w:cs="Arial"/>
          <w:sz w:val="28"/>
          <w:szCs w:val="28"/>
          <w:lang w:val="es-ES_tradnl"/>
        </w:rPr>
        <w:t xml:space="preserve"> de este </w:t>
      </w:r>
      <w:r w:rsidRPr="00F32542">
        <w:rPr>
          <w:rFonts w:ascii="Arial" w:eastAsia="Calibri" w:hAnsi="Arial" w:cs="Arial"/>
          <w:iCs/>
          <w:sz w:val="28"/>
          <w:szCs w:val="28"/>
          <w:lang w:val="es-ES_tradnl"/>
        </w:rPr>
        <w:t>órgano jurisdiccional ordenó</w:t>
      </w:r>
      <w:r w:rsidRPr="00F32542">
        <w:rPr>
          <w:rFonts w:ascii="Arial" w:eastAsia="Calibri" w:hAnsi="Arial" w:cs="Arial"/>
          <w:sz w:val="28"/>
          <w:szCs w:val="28"/>
          <w:lang w:val="es-ES_tradnl"/>
        </w:rPr>
        <w:t xml:space="preserve"> formar los expedientes de los </w:t>
      </w:r>
      <w:r w:rsidR="0042169D" w:rsidRPr="00F32542">
        <w:rPr>
          <w:rFonts w:ascii="Arial" w:eastAsia="Calibri" w:hAnsi="Arial" w:cs="Arial"/>
          <w:sz w:val="28"/>
          <w:szCs w:val="28"/>
          <w:lang w:val="es-ES_tradnl"/>
        </w:rPr>
        <w:t xml:space="preserve">presentes </w:t>
      </w:r>
      <w:r w:rsidRPr="00F32542">
        <w:rPr>
          <w:rFonts w:ascii="Arial" w:eastAsia="Calibri" w:hAnsi="Arial" w:cs="Arial"/>
          <w:sz w:val="28"/>
          <w:szCs w:val="28"/>
          <w:lang w:val="es-ES_tradnl"/>
        </w:rPr>
        <w:t>juicios y turnarlos a la Ponencia de la Magistrada Martha Leticia Mercado Ramírez, lo que se cumplimentó el veintiocho de junio</w:t>
      </w:r>
      <w:r w:rsidR="005112E7" w:rsidRPr="00F32542">
        <w:rPr>
          <w:rFonts w:ascii="Arial" w:eastAsia="Calibri" w:hAnsi="Arial" w:cs="Arial"/>
          <w:sz w:val="28"/>
          <w:szCs w:val="28"/>
          <w:lang w:val="es-ES_tradnl"/>
        </w:rPr>
        <w:t xml:space="preserve"> y cinco de julio respectivamente</w:t>
      </w:r>
      <w:r w:rsidRPr="00F32542">
        <w:rPr>
          <w:rFonts w:ascii="Arial" w:eastAsia="Calibri" w:hAnsi="Arial" w:cs="Arial"/>
          <w:sz w:val="28"/>
          <w:szCs w:val="28"/>
          <w:lang w:val="es-ES_tradnl"/>
        </w:rPr>
        <w:t>.</w:t>
      </w:r>
    </w:p>
    <w:p w14:paraId="0F0C2395" w14:textId="77777777" w:rsidR="00142AAE" w:rsidRPr="00F32542" w:rsidRDefault="00142AAE" w:rsidP="003D29D2">
      <w:pPr>
        <w:spacing w:after="0" w:line="360" w:lineRule="auto"/>
        <w:jc w:val="both"/>
        <w:rPr>
          <w:rFonts w:ascii="Arial" w:eastAsia="Calibri" w:hAnsi="Arial" w:cs="Arial"/>
          <w:sz w:val="28"/>
          <w:szCs w:val="28"/>
          <w:lang w:val="es-ES_tradnl"/>
        </w:rPr>
      </w:pPr>
    </w:p>
    <w:p w14:paraId="5FBDC4D2" w14:textId="77777777" w:rsidR="00142AAE" w:rsidRPr="00F32542" w:rsidRDefault="00142AAE" w:rsidP="003D29D2">
      <w:pPr>
        <w:spacing w:after="0" w:line="360" w:lineRule="auto"/>
        <w:jc w:val="both"/>
        <w:rPr>
          <w:rFonts w:ascii="Arial" w:eastAsia="Calibri" w:hAnsi="Arial" w:cs="Arial"/>
          <w:sz w:val="28"/>
          <w:szCs w:val="28"/>
          <w:lang w:val="es-ES_tradnl"/>
        </w:rPr>
      </w:pPr>
      <w:r w:rsidRPr="00F32542">
        <w:rPr>
          <w:rFonts w:ascii="Arial" w:eastAsia="Calibri" w:hAnsi="Arial" w:cs="Arial"/>
          <w:b/>
          <w:sz w:val="28"/>
          <w:szCs w:val="28"/>
          <w:lang w:val="es-ES_tradnl"/>
        </w:rPr>
        <w:t>5.</w:t>
      </w:r>
      <w:r w:rsidRPr="00F32542">
        <w:rPr>
          <w:rFonts w:ascii="Arial" w:eastAsia="Calibri" w:hAnsi="Arial" w:cs="Arial"/>
          <w:sz w:val="28"/>
          <w:szCs w:val="28"/>
          <w:lang w:val="es-ES_tradnl"/>
        </w:rPr>
        <w:t xml:space="preserve"> </w:t>
      </w:r>
      <w:r w:rsidRPr="00F32542">
        <w:rPr>
          <w:rFonts w:ascii="Arial" w:eastAsia="Calibri" w:hAnsi="Arial" w:cs="Arial"/>
          <w:b/>
          <w:sz w:val="28"/>
          <w:szCs w:val="28"/>
          <w:lang w:val="es-ES_tradnl"/>
        </w:rPr>
        <w:t>Radicación.</w:t>
      </w:r>
      <w:r w:rsidRPr="00F32542">
        <w:rPr>
          <w:rFonts w:ascii="Arial" w:eastAsia="Calibri" w:hAnsi="Arial" w:cs="Arial"/>
          <w:sz w:val="28"/>
          <w:szCs w:val="28"/>
          <w:lang w:val="es-ES_tradnl"/>
        </w:rPr>
        <w:t xml:space="preserve"> El treinta de junio</w:t>
      </w:r>
      <w:r w:rsidR="001E4146" w:rsidRPr="00F32542">
        <w:rPr>
          <w:rFonts w:ascii="Arial" w:eastAsia="Calibri" w:hAnsi="Arial" w:cs="Arial"/>
          <w:sz w:val="28"/>
          <w:szCs w:val="28"/>
          <w:lang w:val="es-ES_tradnl"/>
        </w:rPr>
        <w:t xml:space="preserve"> y seis de julio</w:t>
      </w:r>
      <w:r w:rsidR="0042169D" w:rsidRPr="00F32542">
        <w:rPr>
          <w:rFonts w:ascii="Arial" w:eastAsia="Calibri" w:hAnsi="Arial" w:cs="Arial"/>
          <w:sz w:val="28"/>
          <w:szCs w:val="28"/>
          <w:lang w:val="es-ES_tradnl"/>
        </w:rPr>
        <w:t xml:space="preserve"> </w:t>
      </w:r>
      <w:r w:rsidR="00B26425" w:rsidRPr="00F32542">
        <w:rPr>
          <w:rFonts w:ascii="Arial" w:eastAsia="Calibri" w:hAnsi="Arial" w:cs="Arial"/>
          <w:sz w:val="28"/>
          <w:szCs w:val="28"/>
          <w:lang w:val="es-ES_tradnl"/>
        </w:rPr>
        <w:t>—</w:t>
      </w:r>
      <w:r w:rsidR="0042169D" w:rsidRPr="00F32542">
        <w:rPr>
          <w:rFonts w:ascii="Arial" w:eastAsia="Calibri" w:hAnsi="Arial" w:cs="Arial"/>
          <w:sz w:val="28"/>
          <w:szCs w:val="28"/>
          <w:lang w:val="es-ES_tradnl"/>
        </w:rPr>
        <w:t>por cuanto hace a los expedientes reencauzados</w:t>
      </w:r>
      <w:r w:rsidR="00B26425" w:rsidRPr="00F32542">
        <w:rPr>
          <w:rFonts w:ascii="Arial" w:eastAsia="Calibri" w:hAnsi="Arial" w:cs="Arial"/>
          <w:sz w:val="28"/>
          <w:szCs w:val="28"/>
          <w:lang w:val="es-ES_tradnl"/>
        </w:rPr>
        <w:t>—</w:t>
      </w:r>
      <w:r w:rsidRPr="00F32542">
        <w:rPr>
          <w:rFonts w:ascii="Arial" w:eastAsia="Calibri" w:hAnsi="Arial" w:cs="Arial"/>
          <w:sz w:val="28"/>
          <w:szCs w:val="28"/>
          <w:lang w:val="es-ES_tradnl"/>
        </w:rPr>
        <w:t xml:space="preserve"> la Magistrada Instructora radicó </w:t>
      </w:r>
      <w:r w:rsidRPr="00F32542">
        <w:rPr>
          <w:rFonts w:ascii="Arial" w:hAnsi="Arial" w:cs="Arial"/>
          <w:sz w:val="28"/>
          <w:szCs w:val="28"/>
          <w:lang w:val="es-ES_tradnl"/>
        </w:rPr>
        <w:t xml:space="preserve">los </w:t>
      </w:r>
      <w:r w:rsidR="0042169D" w:rsidRPr="00F32542">
        <w:rPr>
          <w:rFonts w:ascii="Arial" w:hAnsi="Arial" w:cs="Arial"/>
          <w:sz w:val="28"/>
          <w:szCs w:val="28"/>
          <w:lang w:val="es-ES_tradnl"/>
        </w:rPr>
        <w:t xml:space="preserve">presentes </w:t>
      </w:r>
      <w:r w:rsidRPr="00F32542">
        <w:rPr>
          <w:rFonts w:ascii="Arial" w:hAnsi="Arial" w:cs="Arial"/>
          <w:sz w:val="28"/>
          <w:szCs w:val="28"/>
          <w:lang w:val="es-ES_tradnl"/>
        </w:rPr>
        <w:t>juicios</w:t>
      </w:r>
      <w:r w:rsidR="001E4146" w:rsidRPr="00F32542">
        <w:rPr>
          <w:rFonts w:ascii="Arial" w:hAnsi="Arial" w:cs="Arial"/>
          <w:sz w:val="28"/>
          <w:szCs w:val="28"/>
          <w:lang w:val="es-ES_tradnl"/>
        </w:rPr>
        <w:t>.</w:t>
      </w:r>
    </w:p>
    <w:p w14:paraId="0E34A740" w14:textId="77777777" w:rsidR="00142AAE" w:rsidRPr="00F32542" w:rsidRDefault="00142AAE" w:rsidP="003D29D2">
      <w:pPr>
        <w:spacing w:after="0" w:line="360" w:lineRule="auto"/>
        <w:jc w:val="both"/>
        <w:rPr>
          <w:rFonts w:ascii="Arial" w:eastAsia="Calibri" w:hAnsi="Arial" w:cs="Arial"/>
          <w:sz w:val="28"/>
          <w:szCs w:val="28"/>
          <w:lang w:val="es-ES_tradnl"/>
        </w:rPr>
      </w:pPr>
    </w:p>
    <w:p w14:paraId="1500F880" w14:textId="77777777" w:rsidR="00142AAE" w:rsidRPr="00F32542" w:rsidRDefault="00142AAE" w:rsidP="003D29D2">
      <w:pPr>
        <w:spacing w:after="0" w:line="360" w:lineRule="auto"/>
        <w:jc w:val="both"/>
        <w:rPr>
          <w:rFonts w:ascii="Arial" w:eastAsia="Calibri" w:hAnsi="Arial" w:cs="Arial"/>
          <w:sz w:val="28"/>
          <w:szCs w:val="28"/>
          <w:lang w:val="es-ES_tradnl"/>
        </w:rPr>
      </w:pPr>
      <w:r w:rsidRPr="00F32542">
        <w:rPr>
          <w:rFonts w:ascii="Arial" w:eastAsia="Calibri" w:hAnsi="Arial" w:cs="Arial"/>
          <w:b/>
          <w:sz w:val="28"/>
          <w:szCs w:val="28"/>
          <w:lang w:val="es-ES_tradnl"/>
        </w:rPr>
        <w:t xml:space="preserve">6. Admisión y cierre de instrucción. </w:t>
      </w:r>
      <w:r w:rsidRPr="00F32542">
        <w:rPr>
          <w:rFonts w:ascii="Arial" w:eastAsia="Calibri" w:hAnsi="Arial" w:cs="Arial"/>
          <w:sz w:val="28"/>
          <w:szCs w:val="28"/>
          <w:lang w:val="es-ES_tradnl"/>
        </w:rPr>
        <w:t>En su oportunidad</w:t>
      </w:r>
      <w:r w:rsidRPr="00F32542">
        <w:rPr>
          <w:rFonts w:ascii="Arial" w:hAnsi="Arial" w:cs="Arial"/>
          <w:sz w:val="28"/>
          <w:szCs w:val="28"/>
          <w:lang w:val="es-ES_tradnl"/>
        </w:rPr>
        <w:t xml:space="preserve"> al no existir diligencias pendientes, </w:t>
      </w:r>
      <w:r w:rsidR="005112E7" w:rsidRPr="00F32542">
        <w:rPr>
          <w:rFonts w:ascii="Arial" w:eastAsia="Calibri" w:hAnsi="Arial" w:cs="Arial"/>
          <w:sz w:val="28"/>
          <w:szCs w:val="28"/>
          <w:lang w:val="es-ES_tradnl"/>
        </w:rPr>
        <w:t>la Magistrada Instructora</w:t>
      </w:r>
      <w:r w:rsidR="005112E7" w:rsidRPr="00F32542">
        <w:rPr>
          <w:rFonts w:ascii="Arial" w:hAnsi="Arial" w:cs="Arial"/>
          <w:sz w:val="28"/>
          <w:szCs w:val="28"/>
          <w:lang w:val="es-ES_tradnl"/>
        </w:rPr>
        <w:t xml:space="preserve"> </w:t>
      </w:r>
      <w:r w:rsidRPr="00F32542">
        <w:rPr>
          <w:rFonts w:ascii="Arial" w:hAnsi="Arial" w:cs="Arial"/>
          <w:sz w:val="28"/>
          <w:szCs w:val="28"/>
          <w:lang w:val="es-ES_tradnl"/>
        </w:rPr>
        <w:t>ordenó cerrar la instrucción y formular el proyecto de sentencia correspondiente, a efecto de ponerlo a consideración del Pleno de este órgano jurisdiccional.</w:t>
      </w:r>
    </w:p>
    <w:p w14:paraId="614A0D75" w14:textId="77777777" w:rsidR="00142AAE" w:rsidRPr="00F32542" w:rsidRDefault="00142AAE" w:rsidP="003D29D2">
      <w:pPr>
        <w:spacing w:after="0" w:line="360" w:lineRule="auto"/>
        <w:rPr>
          <w:rFonts w:ascii="Arial" w:eastAsia="Times New Roman" w:hAnsi="Arial" w:cs="Arial"/>
          <w:b/>
          <w:sz w:val="28"/>
          <w:szCs w:val="28"/>
          <w:lang w:val="es-ES_tradnl" w:eastAsia="es-ES"/>
        </w:rPr>
      </w:pPr>
    </w:p>
    <w:p w14:paraId="70F31BDD" w14:textId="77777777" w:rsidR="00C279D9" w:rsidRPr="00F32542" w:rsidRDefault="00C279D9" w:rsidP="003D29D2">
      <w:pPr>
        <w:spacing w:after="0" w:line="360" w:lineRule="auto"/>
        <w:rPr>
          <w:rFonts w:ascii="Arial" w:eastAsia="Times New Roman" w:hAnsi="Arial" w:cs="Arial"/>
          <w:b/>
          <w:sz w:val="28"/>
          <w:szCs w:val="28"/>
          <w:lang w:val="es-ES_tradnl" w:eastAsia="es-ES"/>
        </w:rPr>
      </w:pPr>
    </w:p>
    <w:p w14:paraId="3980EFBC" w14:textId="77777777" w:rsidR="00142AAE" w:rsidRPr="00F32542" w:rsidRDefault="00142AAE" w:rsidP="003D29D2">
      <w:pPr>
        <w:pStyle w:val="Ttulo1"/>
        <w:spacing w:before="0" w:line="360" w:lineRule="auto"/>
        <w:jc w:val="center"/>
        <w:rPr>
          <w:rFonts w:ascii="Arial" w:eastAsia="Times New Roman" w:hAnsi="Arial" w:cs="Arial"/>
          <w:b/>
          <w:color w:val="auto"/>
          <w:sz w:val="28"/>
          <w:szCs w:val="28"/>
          <w:lang w:val="es-ES_tradnl" w:eastAsia="es-ES"/>
        </w:rPr>
      </w:pPr>
      <w:bookmarkStart w:id="7" w:name="_Toc77856953"/>
      <w:bookmarkStart w:id="8" w:name="_Toc77982020"/>
      <w:bookmarkStart w:id="9" w:name="_Toc77983179"/>
      <w:r w:rsidRPr="00F32542">
        <w:rPr>
          <w:rFonts w:ascii="Arial" w:eastAsia="Times New Roman" w:hAnsi="Arial" w:cs="Arial"/>
          <w:b/>
          <w:color w:val="auto"/>
          <w:sz w:val="28"/>
          <w:szCs w:val="28"/>
          <w:lang w:val="es-ES_tradnl" w:eastAsia="es-ES"/>
        </w:rPr>
        <w:lastRenderedPageBreak/>
        <w:t>CONSIDERACIONES</w:t>
      </w:r>
      <w:bookmarkEnd w:id="7"/>
      <w:bookmarkEnd w:id="8"/>
      <w:bookmarkEnd w:id="9"/>
    </w:p>
    <w:p w14:paraId="2279E247" w14:textId="77777777" w:rsidR="00142AAE" w:rsidRPr="00F32542" w:rsidRDefault="00142AAE" w:rsidP="003D29D2">
      <w:pPr>
        <w:spacing w:after="0" w:line="360" w:lineRule="auto"/>
        <w:jc w:val="both"/>
        <w:rPr>
          <w:rFonts w:ascii="Arial" w:eastAsia="Times New Roman" w:hAnsi="Arial" w:cs="Arial"/>
          <w:b/>
          <w:sz w:val="28"/>
          <w:szCs w:val="28"/>
          <w:lang w:val="es-ES_tradnl" w:eastAsia="es-ES"/>
        </w:rPr>
      </w:pPr>
    </w:p>
    <w:p w14:paraId="38EA959C" w14:textId="77777777" w:rsidR="00142AAE" w:rsidRPr="00F32542" w:rsidRDefault="00142AAE" w:rsidP="003D29D2">
      <w:pPr>
        <w:pStyle w:val="Ttulo1"/>
        <w:spacing w:before="0" w:line="360" w:lineRule="auto"/>
        <w:rPr>
          <w:rFonts w:ascii="Arial" w:hAnsi="Arial" w:cs="Arial"/>
          <w:b/>
          <w:color w:val="auto"/>
          <w:sz w:val="28"/>
          <w:szCs w:val="28"/>
          <w:lang w:val="es-ES_tradnl" w:eastAsia="es-MX"/>
        </w:rPr>
      </w:pPr>
      <w:bookmarkStart w:id="10" w:name="_Toc77983180"/>
      <w:bookmarkStart w:id="11" w:name="_Toc77856954"/>
      <w:bookmarkStart w:id="12" w:name="_Toc77982021"/>
      <w:r w:rsidRPr="00F32542">
        <w:rPr>
          <w:rFonts w:ascii="Arial" w:hAnsi="Arial" w:cs="Arial"/>
          <w:b/>
          <w:color w:val="auto"/>
          <w:sz w:val="28"/>
          <w:szCs w:val="28"/>
          <w:lang w:val="es-ES_tradnl"/>
        </w:rPr>
        <w:t xml:space="preserve">PRIMERA. </w:t>
      </w:r>
      <w:r w:rsidRPr="00F32542">
        <w:rPr>
          <w:rFonts w:ascii="Arial" w:hAnsi="Arial" w:cs="Arial"/>
          <w:b/>
          <w:color w:val="auto"/>
          <w:sz w:val="28"/>
          <w:szCs w:val="28"/>
          <w:lang w:val="es-ES_tradnl" w:eastAsia="es-MX"/>
        </w:rPr>
        <w:t>Competencia.</w:t>
      </w:r>
      <w:bookmarkEnd w:id="10"/>
    </w:p>
    <w:p w14:paraId="1A7A5705" w14:textId="77777777" w:rsidR="00142AAE" w:rsidRPr="00F32542" w:rsidRDefault="00142AAE" w:rsidP="003D29D2">
      <w:pPr>
        <w:pStyle w:val="Ttulo"/>
        <w:spacing w:line="360" w:lineRule="auto"/>
        <w:contextualSpacing w:val="0"/>
        <w:jc w:val="both"/>
        <w:outlineLvl w:val="0"/>
        <w:rPr>
          <w:rFonts w:ascii="Arial" w:hAnsi="Arial" w:cs="Arial"/>
          <w:b/>
          <w:bCs/>
          <w:sz w:val="28"/>
          <w:szCs w:val="28"/>
          <w:lang w:val="es-ES_tradnl" w:eastAsia="es-MX"/>
        </w:rPr>
      </w:pPr>
    </w:p>
    <w:p w14:paraId="62690A05" w14:textId="77777777" w:rsidR="00B26425" w:rsidRPr="00F32542" w:rsidRDefault="00142AAE" w:rsidP="003D29D2">
      <w:pPr>
        <w:pStyle w:val="Ttulo"/>
        <w:spacing w:line="360" w:lineRule="auto"/>
        <w:jc w:val="both"/>
        <w:outlineLvl w:val="0"/>
        <w:rPr>
          <w:rFonts w:ascii="Arial" w:eastAsiaTheme="minorHAnsi" w:hAnsi="Arial" w:cs="Arial"/>
          <w:spacing w:val="0"/>
          <w:kern w:val="0"/>
          <w:sz w:val="28"/>
          <w:szCs w:val="28"/>
          <w:lang w:val="es-ES_tradnl"/>
        </w:rPr>
      </w:pPr>
      <w:bookmarkStart w:id="13" w:name="_Toc77983181"/>
      <w:r w:rsidRPr="00F32542">
        <w:rPr>
          <w:rFonts w:ascii="Arial" w:eastAsiaTheme="minorHAnsi" w:hAnsi="Arial" w:cs="Arial"/>
          <w:spacing w:val="0"/>
          <w:kern w:val="0"/>
          <w:sz w:val="28"/>
          <w:szCs w:val="28"/>
          <w:lang w:val="es-ES_tradnl"/>
        </w:rPr>
        <w:t xml:space="preserve">El Pleno del Tribunal Electoral es competente para conocer y resolver los presentes juicios electorales, toda vez que, en su carácter de máximo órgano jurisdiccional electoral en la Ciudad de México, es garante de la constitucionalidad, convencionalidad y legalidad de los actos y resoluciones en la materia, por lo que le corresponde resolver, en primera instancia, de forma definitiva e inatacable, </w:t>
      </w:r>
      <w:bookmarkEnd w:id="11"/>
      <w:bookmarkEnd w:id="12"/>
      <w:bookmarkEnd w:id="13"/>
      <w:r w:rsidR="00455AF1" w:rsidRPr="00F32542">
        <w:rPr>
          <w:rFonts w:ascii="Arial" w:eastAsiaTheme="minorHAnsi" w:hAnsi="Arial" w:cs="Arial"/>
          <w:spacing w:val="0"/>
          <w:kern w:val="0"/>
          <w:sz w:val="28"/>
          <w:szCs w:val="28"/>
          <w:lang w:val="es-ES_tradnl"/>
        </w:rPr>
        <w:t xml:space="preserve">entre otros asuntos, los medios de impugnación relativos a las elecciones de </w:t>
      </w:r>
      <w:r w:rsidR="00B26425" w:rsidRPr="00F32542">
        <w:rPr>
          <w:rFonts w:ascii="Arial" w:eastAsiaTheme="minorHAnsi" w:hAnsi="Arial" w:cs="Arial"/>
          <w:spacing w:val="0"/>
          <w:kern w:val="0"/>
          <w:sz w:val="28"/>
          <w:szCs w:val="28"/>
          <w:lang w:val="es-ES_tradnl"/>
        </w:rPr>
        <w:t>d</w:t>
      </w:r>
      <w:r w:rsidR="00455AF1" w:rsidRPr="00F32542">
        <w:rPr>
          <w:rFonts w:ascii="Arial" w:eastAsiaTheme="minorHAnsi" w:hAnsi="Arial" w:cs="Arial"/>
          <w:spacing w:val="0"/>
          <w:kern w:val="0"/>
          <w:sz w:val="28"/>
          <w:szCs w:val="28"/>
          <w:lang w:val="es-ES_tradnl"/>
        </w:rPr>
        <w:t>iputa</w:t>
      </w:r>
      <w:r w:rsidR="0040249A" w:rsidRPr="00F32542">
        <w:rPr>
          <w:rFonts w:ascii="Arial" w:eastAsiaTheme="minorHAnsi" w:hAnsi="Arial" w:cs="Arial"/>
          <w:spacing w:val="0"/>
          <w:kern w:val="0"/>
          <w:sz w:val="28"/>
          <w:szCs w:val="28"/>
          <w:lang w:val="es-ES_tradnl"/>
        </w:rPr>
        <w:t>ciones</w:t>
      </w:r>
      <w:r w:rsidR="00455AF1" w:rsidRPr="00F32542">
        <w:rPr>
          <w:rFonts w:ascii="Arial" w:eastAsiaTheme="minorHAnsi" w:hAnsi="Arial" w:cs="Arial"/>
          <w:spacing w:val="0"/>
          <w:kern w:val="0"/>
          <w:sz w:val="28"/>
          <w:szCs w:val="28"/>
          <w:lang w:val="es-ES_tradnl"/>
        </w:rPr>
        <w:t xml:space="preserve"> al </w:t>
      </w:r>
      <w:r w:rsidR="00455AF1" w:rsidRPr="00F32542">
        <w:rPr>
          <w:rFonts w:ascii="Arial" w:eastAsiaTheme="minorHAnsi" w:hAnsi="Arial" w:cs="Arial"/>
          <w:i/>
          <w:iCs/>
          <w:spacing w:val="0"/>
          <w:kern w:val="0"/>
          <w:sz w:val="28"/>
          <w:szCs w:val="28"/>
          <w:lang w:val="es-ES_tradnl"/>
        </w:rPr>
        <w:t>Congreso local</w:t>
      </w:r>
      <w:r w:rsidR="00B26425" w:rsidRPr="00F32542">
        <w:rPr>
          <w:rFonts w:ascii="Arial" w:eastAsiaTheme="minorHAnsi" w:hAnsi="Arial" w:cs="Arial"/>
          <w:spacing w:val="0"/>
          <w:kern w:val="0"/>
          <w:sz w:val="28"/>
          <w:szCs w:val="28"/>
          <w:lang w:val="es-ES_tradnl"/>
        </w:rPr>
        <w:t>.</w:t>
      </w:r>
    </w:p>
    <w:p w14:paraId="72B24C49" w14:textId="77777777" w:rsidR="00455AF1" w:rsidRPr="00F32542" w:rsidRDefault="00455AF1" w:rsidP="003D29D2">
      <w:pPr>
        <w:spacing w:after="0" w:line="360" w:lineRule="auto"/>
        <w:jc w:val="both"/>
        <w:rPr>
          <w:rFonts w:ascii="Arial" w:hAnsi="Arial" w:cs="Arial"/>
          <w:sz w:val="28"/>
          <w:szCs w:val="28"/>
          <w:lang w:val="es-ES_tradnl" w:eastAsia="es-ES"/>
        </w:rPr>
      </w:pPr>
    </w:p>
    <w:p w14:paraId="3D2590FE" w14:textId="77777777" w:rsidR="00B26425" w:rsidRPr="00F32542" w:rsidRDefault="00142AAE" w:rsidP="003D29D2">
      <w:pPr>
        <w:pStyle w:val="Ttulo"/>
        <w:spacing w:line="360" w:lineRule="auto"/>
        <w:jc w:val="both"/>
        <w:outlineLvl w:val="0"/>
        <w:rPr>
          <w:rFonts w:ascii="Arial" w:eastAsiaTheme="minorHAnsi" w:hAnsi="Arial" w:cs="Arial"/>
          <w:spacing w:val="0"/>
          <w:kern w:val="0"/>
          <w:sz w:val="28"/>
          <w:szCs w:val="28"/>
          <w:lang w:val="es-ES_tradnl"/>
        </w:rPr>
      </w:pPr>
      <w:r w:rsidRPr="00F32542">
        <w:rPr>
          <w:rFonts w:ascii="Arial" w:hAnsi="Arial" w:cs="Arial"/>
          <w:spacing w:val="0"/>
          <w:sz w:val="28"/>
          <w:szCs w:val="28"/>
          <w:lang w:val="es-ES_tradnl" w:eastAsia="es-ES"/>
        </w:rPr>
        <w:t xml:space="preserve">Lo que en la especie se actualiza, </w:t>
      </w:r>
      <w:r w:rsidR="00455AF1" w:rsidRPr="00F32542">
        <w:rPr>
          <w:rFonts w:ascii="Arial" w:hAnsi="Arial" w:cs="Arial"/>
          <w:spacing w:val="0"/>
          <w:sz w:val="28"/>
          <w:szCs w:val="28"/>
          <w:lang w:val="es-ES_tradnl" w:eastAsia="es-ES"/>
        </w:rPr>
        <w:t xml:space="preserve">al </w:t>
      </w:r>
      <w:r w:rsidR="00B26425" w:rsidRPr="00F32542">
        <w:rPr>
          <w:rFonts w:ascii="Arial" w:hAnsi="Arial" w:cs="Arial"/>
          <w:spacing w:val="0"/>
          <w:sz w:val="28"/>
          <w:szCs w:val="28"/>
          <w:lang w:val="es-ES_tradnl" w:eastAsia="es-ES"/>
        </w:rPr>
        <w:t xml:space="preserve">promoverse los juicios en que se actúa, en contra de una determinación del </w:t>
      </w:r>
      <w:r w:rsidR="00B26425" w:rsidRPr="00F32542">
        <w:rPr>
          <w:rFonts w:ascii="Arial" w:hAnsi="Arial" w:cs="Arial"/>
          <w:i/>
          <w:iCs/>
          <w:spacing w:val="0"/>
          <w:sz w:val="28"/>
          <w:szCs w:val="28"/>
          <w:lang w:val="es-ES_tradnl" w:eastAsia="es-ES"/>
        </w:rPr>
        <w:t>IECM</w:t>
      </w:r>
      <w:r w:rsidR="00B26425" w:rsidRPr="00F32542">
        <w:rPr>
          <w:rFonts w:ascii="Arial" w:hAnsi="Arial" w:cs="Arial"/>
          <w:spacing w:val="0"/>
          <w:sz w:val="28"/>
          <w:szCs w:val="28"/>
          <w:lang w:val="es-ES_tradnl" w:eastAsia="es-ES"/>
        </w:rPr>
        <w:t xml:space="preserve"> relacionada con la </w:t>
      </w:r>
      <w:r w:rsidR="00455AF1" w:rsidRPr="00F32542">
        <w:rPr>
          <w:rFonts w:ascii="Arial" w:hAnsi="Arial" w:cs="Arial"/>
          <w:spacing w:val="0"/>
          <w:sz w:val="28"/>
          <w:szCs w:val="28"/>
          <w:lang w:val="es-ES_tradnl" w:eastAsia="es-ES"/>
        </w:rPr>
        <w:t>asignación de diputaciones por el principio de representación prop</w:t>
      </w:r>
      <w:r w:rsidR="00B4516B" w:rsidRPr="00F32542">
        <w:rPr>
          <w:rFonts w:ascii="Arial" w:hAnsi="Arial" w:cs="Arial"/>
          <w:spacing w:val="0"/>
          <w:sz w:val="28"/>
          <w:szCs w:val="28"/>
          <w:lang w:val="es-ES_tradnl" w:eastAsia="es-ES"/>
        </w:rPr>
        <w:t>orcional,</w:t>
      </w:r>
      <w:r w:rsidR="00B26425" w:rsidRPr="00F32542">
        <w:rPr>
          <w:rFonts w:ascii="Arial" w:eastAsiaTheme="minorHAnsi" w:hAnsi="Arial" w:cs="Arial"/>
          <w:spacing w:val="0"/>
          <w:kern w:val="0"/>
          <w:sz w:val="28"/>
          <w:szCs w:val="28"/>
          <w:lang w:val="es-ES_tradnl"/>
        </w:rPr>
        <w:t xml:space="preserve"> en los cuales, se controviert</w:t>
      </w:r>
      <w:r w:rsidR="00645D6B" w:rsidRPr="00F32542">
        <w:rPr>
          <w:rFonts w:ascii="Arial" w:eastAsiaTheme="minorHAnsi" w:hAnsi="Arial" w:cs="Arial"/>
          <w:spacing w:val="0"/>
          <w:kern w:val="0"/>
          <w:sz w:val="28"/>
          <w:szCs w:val="28"/>
          <w:lang w:val="es-ES_tradnl"/>
        </w:rPr>
        <w:t>e</w:t>
      </w:r>
      <w:r w:rsidR="00B26425" w:rsidRPr="00F32542">
        <w:rPr>
          <w:rFonts w:ascii="Arial" w:eastAsiaTheme="minorHAnsi" w:hAnsi="Arial" w:cs="Arial"/>
          <w:spacing w:val="0"/>
          <w:kern w:val="0"/>
          <w:sz w:val="28"/>
          <w:szCs w:val="28"/>
          <w:lang w:val="es-ES_tradnl"/>
        </w:rPr>
        <w:t xml:space="preserve"> y cuestion</w:t>
      </w:r>
      <w:r w:rsidR="00645D6B" w:rsidRPr="00F32542">
        <w:rPr>
          <w:rFonts w:ascii="Arial" w:eastAsiaTheme="minorHAnsi" w:hAnsi="Arial" w:cs="Arial"/>
          <w:spacing w:val="0"/>
          <w:kern w:val="0"/>
          <w:sz w:val="28"/>
          <w:szCs w:val="28"/>
          <w:lang w:val="es-ES_tradnl"/>
        </w:rPr>
        <w:t>a</w:t>
      </w:r>
      <w:r w:rsidR="00B26425" w:rsidRPr="00F32542">
        <w:rPr>
          <w:rFonts w:ascii="Arial" w:eastAsiaTheme="minorHAnsi" w:hAnsi="Arial" w:cs="Arial"/>
          <w:spacing w:val="0"/>
          <w:kern w:val="0"/>
          <w:sz w:val="28"/>
          <w:szCs w:val="28"/>
          <w:lang w:val="es-ES_tradnl"/>
        </w:rPr>
        <w:t xml:space="preserve"> la legalidad de la asignación por el principio de representación proporcional.</w:t>
      </w:r>
    </w:p>
    <w:p w14:paraId="65383F81" w14:textId="77777777" w:rsidR="00142AAE" w:rsidRPr="00F32542" w:rsidRDefault="00142AAE" w:rsidP="003D29D2">
      <w:pPr>
        <w:spacing w:after="0" w:line="360" w:lineRule="auto"/>
        <w:jc w:val="both"/>
        <w:rPr>
          <w:rFonts w:ascii="Arial" w:hAnsi="Arial" w:cs="Arial"/>
          <w:sz w:val="28"/>
          <w:szCs w:val="28"/>
          <w:lang w:val="es-ES_tradnl" w:eastAsia="es-ES"/>
        </w:rPr>
      </w:pPr>
    </w:p>
    <w:p w14:paraId="39E932E5" w14:textId="77777777" w:rsidR="00142AAE" w:rsidRPr="00F32542" w:rsidRDefault="00142AAE" w:rsidP="003D29D2">
      <w:pPr>
        <w:spacing w:after="0" w:line="360" w:lineRule="auto"/>
        <w:ind w:right="51"/>
        <w:jc w:val="both"/>
        <w:rPr>
          <w:rFonts w:ascii="Arial" w:hAnsi="Arial" w:cs="Arial"/>
          <w:sz w:val="28"/>
          <w:szCs w:val="28"/>
          <w:lang w:val="es-ES_tradnl" w:eastAsia="es-MX"/>
        </w:rPr>
      </w:pPr>
      <w:r w:rsidRPr="00F32542">
        <w:rPr>
          <w:rFonts w:ascii="Arial" w:hAnsi="Arial" w:cs="Arial"/>
          <w:bCs/>
          <w:sz w:val="28"/>
          <w:szCs w:val="28"/>
          <w:lang w:val="es-ES_tradnl"/>
        </w:rPr>
        <w:t xml:space="preserve">Lo anterior, con fundamento en los artículos </w:t>
      </w:r>
      <w:r w:rsidRPr="00F32542">
        <w:rPr>
          <w:rFonts w:ascii="Arial" w:hAnsi="Arial" w:cs="Arial"/>
          <w:sz w:val="28"/>
          <w:szCs w:val="28"/>
          <w:lang w:val="es-ES_tradnl"/>
        </w:rPr>
        <w:t>17, 116, párrafo segundo, fracción IV, incisos b) y c); 122, Apartado A, fracciones VII y IX de la</w:t>
      </w:r>
      <w:r w:rsidR="00694E40" w:rsidRPr="00F32542">
        <w:rPr>
          <w:rFonts w:ascii="Arial" w:hAnsi="Arial" w:cs="Arial"/>
          <w:bCs/>
          <w:i/>
          <w:iCs/>
          <w:sz w:val="28"/>
          <w:szCs w:val="28"/>
          <w:lang w:val="es-ES_tradnl"/>
        </w:rPr>
        <w:t xml:space="preserve"> CPEUM</w:t>
      </w:r>
      <w:r w:rsidRPr="00F32542">
        <w:rPr>
          <w:rFonts w:ascii="Arial" w:hAnsi="Arial" w:cs="Arial"/>
          <w:bCs/>
          <w:sz w:val="28"/>
          <w:szCs w:val="28"/>
          <w:lang w:val="es-ES_tradnl"/>
        </w:rPr>
        <w:t xml:space="preserve">; </w:t>
      </w:r>
      <w:r w:rsidR="00044A42" w:rsidRPr="00F32542">
        <w:rPr>
          <w:rFonts w:ascii="Arial" w:hAnsi="Arial" w:cs="Arial"/>
          <w:bCs/>
          <w:sz w:val="28"/>
          <w:szCs w:val="28"/>
          <w:lang w:val="es-ES_tradnl"/>
        </w:rPr>
        <w:t xml:space="preserve">29 apartado B, </w:t>
      </w:r>
      <w:r w:rsidRPr="00F32542">
        <w:rPr>
          <w:rFonts w:ascii="Arial" w:hAnsi="Arial" w:cs="Arial"/>
          <w:sz w:val="28"/>
          <w:szCs w:val="28"/>
          <w:lang w:val="es-ES_tradnl"/>
        </w:rPr>
        <w:t xml:space="preserve">38 y 46, Apartado A, inciso g), de la </w:t>
      </w:r>
      <w:r w:rsidRPr="00F32542">
        <w:rPr>
          <w:rFonts w:ascii="Arial" w:hAnsi="Arial" w:cs="Arial"/>
          <w:sz w:val="28"/>
          <w:szCs w:val="28"/>
          <w:lang w:val="es-ES_tradnl" w:eastAsia="es-MX"/>
        </w:rPr>
        <w:t>Constitución Local; 30, 165, párrafo segundo, fracción II y V, así como tercero; 171, 178 y 179, fracción I,</w:t>
      </w:r>
      <w:r w:rsidR="00044A42" w:rsidRPr="00F32542">
        <w:rPr>
          <w:rFonts w:ascii="Arial" w:hAnsi="Arial" w:cs="Arial"/>
          <w:sz w:val="28"/>
          <w:szCs w:val="28"/>
          <w:lang w:val="es-ES_tradnl" w:eastAsia="es-MX"/>
        </w:rPr>
        <w:t xml:space="preserve"> </w:t>
      </w:r>
      <w:r w:rsidR="006A60ED" w:rsidRPr="00F32542">
        <w:rPr>
          <w:rFonts w:ascii="Arial" w:hAnsi="Arial" w:cs="Arial"/>
          <w:sz w:val="28"/>
          <w:szCs w:val="28"/>
          <w:lang w:val="es-ES_tradnl" w:eastAsia="es-MX"/>
        </w:rPr>
        <w:t xml:space="preserve">del </w:t>
      </w:r>
      <w:r w:rsidRPr="00F32542">
        <w:rPr>
          <w:rFonts w:ascii="Arial" w:hAnsi="Arial" w:cs="Arial"/>
          <w:i/>
          <w:iCs/>
          <w:sz w:val="28"/>
          <w:szCs w:val="28"/>
          <w:lang w:val="es-ES_tradnl" w:eastAsia="es-MX"/>
        </w:rPr>
        <w:t>Código Electoral</w:t>
      </w:r>
      <w:r w:rsidRPr="00F32542">
        <w:rPr>
          <w:rFonts w:ascii="Arial" w:hAnsi="Arial" w:cs="Arial"/>
          <w:sz w:val="28"/>
          <w:szCs w:val="28"/>
          <w:lang w:val="es-ES_tradnl" w:eastAsia="es-MX"/>
        </w:rPr>
        <w:t xml:space="preserve">; y </w:t>
      </w:r>
      <w:r w:rsidR="00044A42" w:rsidRPr="00F32542">
        <w:rPr>
          <w:rFonts w:ascii="Arial" w:hAnsi="Arial" w:cs="Arial"/>
          <w:sz w:val="28"/>
          <w:szCs w:val="28"/>
          <w:lang w:val="es-ES_tradnl" w:eastAsia="es-MX"/>
        </w:rPr>
        <w:t xml:space="preserve">28, </w:t>
      </w:r>
      <w:r w:rsidRPr="00F32542">
        <w:rPr>
          <w:rFonts w:ascii="Arial" w:hAnsi="Arial" w:cs="Arial"/>
          <w:sz w:val="28"/>
          <w:szCs w:val="28"/>
          <w:lang w:val="es-ES_tradnl" w:eastAsia="es-MX"/>
        </w:rPr>
        <w:t xml:space="preserve">31, </w:t>
      </w:r>
      <w:r w:rsidR="00044A42" w:rsidRPr="00F32542">
        <w:rPr>
          <w:rFonts w:ascii="Arial" w:hAnsi="Arial" w:cs="Arial"/>
          <w:sz w:val="28"/>
          <w:szCs w:val="28"/>
          <w:lang w:val="es-ES_tradnl" w:eastAsia="es-MX"/>
        </w:rPr>
        <w:t>36</w:t>
      </w:r>
      <w:r w:rsidR="00694E40" w:rsidRPr="00F32542">
        <w:rPr>
          <w:rFonts w:ascii="Arial" w:hAnsi="Arial" w:cs="Arial"/>
          <w:sz w:val="28"/>
          <w:szCs w:val="28"/>
          <w:lang w:val="es-ES_tradnl" w:eastAsia="es-MX"/>
        </w:rPr>
        <w:t xml:space="preserve"> a</w:t>
      </w:r>
      <w:r w:rsidR="00044A42" w:rsidRPr="00F32542">
        <w:rPr>
          <w:rFonts w:ascii="Arial" w:hAnsi="Arial" w:cs="Arial"/>
          <w:sz w:val="28"/>
          <w:szCs w:val="28"/>
          <w:lang w:val="es-ES_tradnl"/>
        </w:rPr>
        <w:t xml:space="preserve"> 38, </w:t>
      </w:r>
      <w:r w:rsidRPr="00F32542">
        <w:rPr>
          <w:rFonts w:ascii="Arial" w:hAnsi="Arial" w:cs="Arial"/>
          <w:sz w:val="28"/>
          <w:szCs w:val="28"/>
          <w:lang w:val="es-ES_tradnl" w:eastAsia="es-MX"/>
        </w:rPr>
        <w:t>102</w:t>
      </w:r>
      <w:r w:rsidR="006A60ED" w:rsidRPr="00F32542">
        <w:rPr>
          <w:rFonts w:ascii="Arial" w:hAnsi="Arial" w:cs="Arial"/>
          <w:sz w:val="28"/>
          <w:szCs w:val="28"/>
          <w:lang w:val="es-ES_tradnl" w:eastAsia="es-MX"/>
        </w:rPr>
        <w:t xml:space="preserve"> y </w:t>
      </w:r>
      <w:r w:rsidR="00044A42" w:rsidRPr="00F32542">
        <w:rPr>
          <w:rFonts w:ascii="Arial" w:hAnsi="Arial" w:cs="Arial"/>
          <w:sz w:val="28"/>
          <w:szCs w:val="28"/>
          <w:lang w:val="es-ES_tradnl" w:eastAsia="es-MX"/>
        </w:rPr>
        <w:t xml:space="preserve">123 </w:t>
      </w:r>
      <w:r w:rsidRPr="00F32542">
        <w:rPr>
          <w:rFonts w:ascii="Arial" w:hAnsi="Arial" w:cs="Arial"/>
          <w:sz w:val="28"/>
          <w:szCs w:val="28"/>
          <w:lang w:val="es-ES_tradnl" w:eastAsia="es-MX"/>
        </w:rPr>
        <w:t xml:space="preserve">de la </w:t>
      </w:r>
      <w:r w:rsidRPr="00F32542">
        <w:rPr>
          <w:rFonts w:ascii="Arial" w:hAnsi="Arial" w:cs="Arial"/>
          <w:i/>
          <w:iCs/>
          <w:sz w:val="28"/>
          <w:szCs w:val="28"/>
          <w:lang w:val="es-ES_tradnl" w:eastAsia="es-MX"/>
        </w:rPr>
        <w:t>Ley Procesal</w:t>
      </w:r>
      <w:r w:rsidRPr="00F32542">
        <w:rPr>
          <w:rFonts w:ascii="Arial" w:hAnsi="Arial" w:cs="Arial"/>
          <w:sz w:val="28"/>
          <w:szCs w:val="28"/>
          <w:lang w:val="es-ES_tradnl" w:eastAsia="es-MX"/>
        </w:rPr>
        <w:t>.</w:t>
      </w:r>
    </w:p>
    <w:p w14:paraId="42525EC5" w14:textId="77777777" w:rsidR="00C279D9" w:rsidRPr="00F32542" w:rsidRDefault="00C279D9" w:rsidP="003D29D2">
      <w:pPr>
        <w:spacing w:after="0" w:line="360" w:lineRule="auto"/>
        <w:ind w:right="51"/>
        <w:jc w:val="both"/>
        <w:rPr>
          <w:rFonts w:ascii="Arial" w:hAnsi="Arial" w:cs="Arial"/>
          <w:sz w:val="28"/>
          <w:szCs w:val="28"/>
          <w:lang w:val="es-ES_tradnl" w:eastAsia="es-MX"/>
        </w:rPr>
      </w:pPr>
    </w:p>
    <w:p w14:paraId="6D0A94C3" w14:textId="77777777" w:rsidR="00C279D9" w:rsidRPr="00F32542" w:rsidRDefault="00C279D9" w:rsidP="003D29D2">
      <w:pPr>
        <w:spacing w:after="0" w:line="360" w:lineRule="auto"/>
        <w:ind w:right="51"/>
        <w:jc w:val="both"/>
        <w:rPr>
          <w:rFonts w:ascii="Arial" w:hAnsi="Arial" w:cs="Arial"/>
          <w:sz w:val="28"/>
          <w:szCs w:val="28"/>
          <w:lang w:val="es-ES_tradnl" w:eastAsia="es-MX"/>
        </w:rPr>
      </w:pPr>
    </w:p>
    <w:p w14:paraId="49F9FDF1" w14:textId="77777777" w:rsidR="00C279D9" w:rsidRPr="00F32542" w:rsidRDefault="00C279D9" w:rsidP="003D29D2">
      <w:pPr>
        <w:spacing w:after="0" w:line="360" w:lineRule="auto"/>
        <w:ind w:right="51"/>
        <w:jc w:val="both"/>
        <w:rPr>
          <w:rFonts w:ascii="Arial" w:hAnsi="Arial" w:cs="Arial"/>
          <w:sz w:val="28"/>
          <w:szCs w:val="28"/>
          <w:lang w:val="es-ES_tradnl" w:eastAsia="es-MX"/>
        </w:rPr>
      </w:pPr>
    </w:p>
    <w:p w14:paraId="168FDF32" w14:textId="77777777" w:rsidR="00C279D9" w:rsidRPr="00F32542" w:rsidRDefault="00C279D9" w:rsidP="003D29D2">
      <w:pPr>
        <w:spacing w:after="0" w:line="360" w:lineRule="auto"/>
        <w:ind w:right="51"/>
        <w:jc w:val="both"/>
        <w:rPr>
          <w:rFonts w:ascii="Arial" w:hAnsi="Arial" w:cs="Arial"/>
          <w:sz w:val="28"/>
          <w:szCs w:val="28"/>
          <w:lang w:val="es-ES_tradnl" w:eastAsia="es-MX"/>
        </w:rPr>
      </w:pPr>
    </w:p>
    <w:p w14:paraId="28723012" w14:textId="77777777" w:rsidR="00142AAE" w:rsidRPr="00F32542" w:rsidRDefault="00142AAE" w:rsidP="003D29D2">
      <w:pPr>
        <w:pStyle w:val="Ttulo"/>
        <w:spacing w:line="360" w:lineRule="auto"/>
        <w:contextualSpacing w:val="0"/>
        <w:jc w:val="both"/>
        <w:outlineLvl w:val="0"/>
        <w:rPr>
          <w:rFonts w:ascii="Arial" w:hAnsi="Arial" w:cs="Arial"/>
          <w:b/>
          <w:sz w:val="28"/>
          <w:szCs w:val="28"/>
          <w:lang w:val="es-ES_tradnl"/>
        </w:rPr>
      </w:pPr>
      <w:bookmarkStart w:id="14" w:name="_Toc77856955"/>
      <w:bookmarkStart w:id="15" w:name="_Toc77982022"/>
      <w:bookmarkStart w:id="16" w:name="_Toc77983182"/>
      <w:r w:rsidRPr="00F32542">
        <w:rPr>
          <w:rStyle w:val="Ttulo1Car"/>
          <w:rFonts w:ascii="Arial" w:hAnsi="Arial" w:cs="Arial"/>
          <w:b/>
          <w:color w:val="auto"/>
          <w:sz w:val="28"/>
          <w:szCs w:val="28"/>
          <w:lang w:val="es-ES_tradnl"/>
        </w:rPr>
        <w:lastRenderedPageBreak/>
        <w:t>SEGUNDA. Acumulación</w:t>
      </w:r>
      <w:r w:rsidRPr="00F32542">
        <w:rPr>
          <w:rFonts w:ascii="Arial" w:hAnsi="Arial" w:cs="Arial"/>
          <w:b/>
          <w:sz w:val="28"/>
          <w:szCs w:val="28"/>
          <w:lang w:val="es-ES_tradnl"/>
        </w:rPr>
        <w:t>.</w:t>
      </w:r>
      <w:bookmarkEnd w:id="14"/>
      <w:bookmarkEnd w:id="15"/>
      <w:bookmarkEnd w:id="16"/>
      <w:r w:rsidRPr="00F32542">
        <w:rPr>
          <w:rFonts w:ascii="Arial" w:hAnsi="Arial" w:cs="Arial"/>
          <w:b/>
          <w:sz w:val="28"/>
          <w:szCs w:val="28"/>
          <w:lang w:val="es-ES_tradnl"/>
        </w:rPr>
        <w:t xml:space="preserve"> </w:t>
      </w:r>
    </w:p>
    <w:p w14:paraId="3FAAF124" w14:textId="77777777" w:rsidR="00142AAE" w:rsidRPr="00F32542" w:rsidRDefault="00142AAE" w:rsidP="003D29D2">
      <w:pPr>
        <w:spacing w:after="0" w:line="360" w:lineRule="auto"/>
        <w:ind w:right="51"/>
        <w:jc w:val="both"/>
        <w:rPr>
          <w:rFonts w:ascii="Arial" w:hAnsi="Arial" w:cs="Arial"/>
          <w:sz w:val="28"/>
          <w:szCs w:val="28"/>
          <w:lang w:val="es-ES_tradnl"/>
        </w:rPr>
      </w:pPr>
    </w:p>
    <w:p w14:paraId="1BF1BA50" w14:textId="77777777" w:rsidR="00142AAE" w:rsidRPr="00F32542" w:rsidRDefault="00142AAE" w:rsidP="003D29D2">
      <w:pPr>
        <w:spacing w:after="0" w:line="360" w:lineRule="auto"/>
        <w:jc w:val="both"/>
        <w:rPr>
          <w:rFonts w:ascii="Arial" w:hAnsi="Arial" w:cs="Arial"/>
          <w:sz w:val="28"/>
          <w:szCs w:val="28"/>
          <w:lang w:val="es-ES_tradnl"/>
        </w:rPr>
      </w:pPr>
      <w:r w:rsidRPr="00F32542">
        <w:rPr>
          <w:rFonts w:ascii="Arial" w:eastAsia="Times New Roman" w:hAnsi="Arial" w:cs="Arial"/>
          <w:sz w:val="28"/>
          <w:szCs w:val="28"/>
          <w:lang w:val="es-ES_tradnl" w:eastAsia="es-MX"/>
        </w:rPr>
        <w:t xml:space="preserve">De la lectura </w:t>
      </w:r>
      <w:r w:rsidR="00250341" w:rsidRPr="00F32542">
        <w:rPr>
          <w:rFonts w:ascii="Arial" w:eastAsia="Times New Roman" w:hAnsi="Arial" w:cs="Arial"/>
          <w:sz w:val="28"/>
          <w:szCs w:val="28"/>
          <w:lang w:val="es-ES_tradnl" w:eastAsia="es-MX"/>
        </w:rPr>
        <w:t>í</w:t>
      </w:r>
      <w:r w:rsidRPr="00F32542">
        <w:rPr>
          <w:rFonts w:ascii="Arial" w:eastAsia="Times New Roman" w:hAnsi="Arial" w:cs="Arial"/>
          <w:sz w:val="28"/>
          <w:szCs w:val="28"/>
          <w:lang w:val="es-ES_tradnl" w:eastAsia="es-MX"/>
        </w:rPr>
        <w:t xml:space="preserve">ntegra de las demandas, se advierte </w:t>
      </w:r>
      <w:proofErr w:type="gramStart"/>
      <w:r w:rsidRPr="00F32542">
        <w:rPr>
          <w:rFonts w:ascii="Arial" w:eastAsia="Times New Roman" w:hAnsi="Arial" w:cs="Arial"/>
          <w:sz w:val="28"/>
          <w:szCs w:val="28"/>
          <w:lang w:val="es-ES_tradnl" w:eastAsia="es-MX"/>
        </w:rPr>
        <w:t>que</w:t>
      </w:r>
      <w:proofErr w:type="gramEnd"/>
      <w:r w:rsidRPr="00F32542">
        <w:rPr>
          <w:rFonts w:ascii="Arial" w:eastAsia="Times New Roman" w:hAnsi="Arial" w:cs="Arial"/>
          <w:sz w:val="28"/>
          <w:szCs w:val="28"/>
          <w:lang w:val="es-ES_tradnl" w:eastAsia="es-MX"/>
        </w:rPr>
        <w:t xml:space="preserve"> en todos los </w:t>
      </w:r>
      <w:r w:rsidR="006A60ED" w:rsidRPr="00F32542">
        <w:rPr>
          <w:rFonts w:ascii="Arial" w:eastAsia="Times New Roman" w:hAnsi="Arial" w:cs="Arial"/>
          <w:sz w:val="28"/>
          <w:szCs w:val="28"/>
          <w:lang w:val="es-ES_tradnl" w:eastAsia="es-MX"/>
        </w:rPr>
        <w:t>juicios resueltos en esta sentencia,</w:t>
      </w:r>
      <w:r w:rsidRPr="00F32542">
        <w:rPr>
          <w:rFonts w:ascii="Arial" w:eastAsia="Times New Roman" w:hAnsi="Arial" w:cs="Arial"/>
          <w:sz w:val="28"/>
          <w:szCs w:val="28"/>
          <w:lang w:val="es-ES_tradnl" w:eastAsia="es-MX"/>
        </w:rPr>
        <w:t xml:space="preserve"> se controvierte</w:t>
      </w:r>
      <w:r w:rsidR="00044A42" w:rsidRPr="00F32542">
        <w:rPr>
          <w:rFonts w:ascii="Arial" w:eastAsia="Times New Roman" w:hAnsi="Arial" w:cs="Arial"/>
          <w:sz w:val="28"/>
          <w:szCs w:val="28"/>
          <w:lang w:val="es-ES_tradnl" w:eastAsia="es-MX"/>
        </w:rPr>
        <w:t xml:space="preserve"> el </w:t>
      </w:r>
      <w:r w:rsidR="00044A42" w:rsidRPr="00F32542">
        <w:rPr>
          <w:rFonts w:ascii="Arial" w:hAnsi="Arial" w:cs="Arial"/>
          <w:sz w:val="28"/>
          <w:szCs w:val="28"/>
          <w:lang w:val="es-ES_tradnl"/>
        </w:rPr>
        <w:t xml:space="preserve">Acuerdo </w:t>
      </w:r>
      <w:r w:rsidR="00044A42" w:rsidRPr="00F32542">
        <w:rPr>
          <w:rFonts w:ascii="Arial" w:hAnsi="Arial" w:cs="Arial"/>
          <w:b/>
          <w:bCs/>
          <w:sz w:val="28"/>
          <w:szCs w:val="28"/>
          <w:lang w:val="es-ES_tradnl"/>
        </w:rPr>
        <w:t>IECM/ACU-CG-324/2021</w:t>
      </w:r>
      <w:r w:rsidR="00044A42" w:rsidRPr="00F32542">
        <w:rPr>
          <w:rFonts w:ascii="Arial" w:hAnsi="Arial" w:cs="Arial"/>
          <w:sz w:val="28"/>
          <w:szCs w:val="28"/>
          <w:lang w:val="es-ES_tradnl"/>
        </w:rPr>
        <w:t xml:space="preserve">, mediante el cual se realizó la asignación de las </w:t>
      </w:r>
      <w:r w:rsidR="006A60ED" w:rsidRPr="00F32542">
        <w:rPr>
          <w:rFonts w:ascii="Arial" w:hAnsi="Arial" w:cs="Arial"/>
          <w:sz w:val="28"/>
          <w:szCs w:val="28"/>
          <w:lang w:val="es-ES_tradnl"/>
        </w:rPr>
        <w:t>d</w:t>
      </w:r>
      <w:r w:rsidR="00044A42" w:rsidRPr="00F32542">
        <w:rPr>
          <w:rFonts w:ascii="Arial" w:hAnsi="Arial" w:cs="Arial"/>
          <w:sz w:val="28"/>
          <w:szCs w:val="28"/>
          <w:lang w:val="es-ES_tradnl"/>
        </w:rPr>
        <w:t xml:space="preserve">iputaciones al </w:t>
      </w:r>
      <w:r w:rsidR="00044A42" w:rsidRPr="00F32542">
        <w:rPr>
          <w:rFonts w:ascii="Arial" w:hAnsi="Arial" w:cs="Arial"/>
          <w:i/>
          <w:iCs/>
          <w:sz w:val="28"/>
          <w:szCs w:val="28"/>
          <w:lang w:val="es-ES_tradnl"/>
        </w:rPr>
        <w:t xml:space="preserve">Congreso </w:t>
      </w:r>
      <w:r w:rsidR="00250341" w:rsidRPr="00F32542">
        <w:rPr>
          <w:rFonts w:ascii="Arial" w:hAnsi="Arial" w:cs="Arial"/>
          <w:i/>
          <w:iCs/>
          <w:sz w:val="28"/>
          <w:szCs w:val="28"/>
          <w:lang w:val="es-ES_tradnl"/>
        </w:rPr>
        <w:t>local</w:t>
      </w:r>
      <w:r w:rsidR="00044A42" w:rsidRPr="00F32542">
        <w:rPr>
          <w:rFonts w:ascii="Arial" w:hAnsi="Arial" w:cs="Arial"/>
          <w:sz w:val="28"/>
          <w:szCs w:val="28"/>
          <w:lang w:val="es-ES_tradnl"/>
        </w:rPr>
        <w:t xml:space="preserve"> electas por el principio de representación proporcional y se declara la validez de esa elección en el Proceso Electoral Local Ordinario 2020-2021.</w:t>
      </w:r>
    </w:p>
    <w:p w14:paraId="23854670" w14:textId="77777777" w:rsidR="00142AAE" w:rsidRPr="00F32542" w:rsidRDefault="00142AAE" w:rsidP="003D29D2">
      <w:pPr>
        <w:spacing w:after="0" w:line="360" w:lineRule="auto"/>
        <w:jc w:val="both"/>
        <w:rPr>
          <w:rFonts w:ascii="Arial" w:hAnsi="Arial" w:cs="Arial"/>
          <w:sz w:val="28"/>
          <w:szCs w:val="28"/>
          <w:lang w:val="es-ES_tradnl"/>
        </w:rPr>
      </w:pPr>
    </w:p>
    <w:p w14:paraId="4AEBF314" w14:textId="77777777" w:rsidR="00337E2D" w:rsidRPr="00F32542" w:rsidRDefault="00142AAE" w:rsidP="003D29D2">
      <w:pPr>
        <w:spacing w:after="0" w:line="360" w:lineRule="auto"/>
        <w:jc w:val="both"/>
        <w:rPr>
          <w:rFonts w:ascii="Arial" w:eastAsia="Calibri" w:hAnsi="Arial" w:cs="Arial"/>
          <w:sz w:val="28"/>
          <w:szCs w:val="28"/>
          <w:lang w:val="es-ES_tradnl"/>
        </w:rPr>
      </w:pPr>
      <w:r w:rsidRPr="00F32542">
        <w:rPr>
          <w:rFonts w:ascii="Arial" w:eastAsia="Times New Roman" w:hAnsi="Arial" w:cs="Arial"/>
          <w:sz w:val="28"/>
          <w:szCs w:val="28"/>
          <w:lang w:val="es-ES_tradnl" w:eastAsia="es-MX"/>
        </w:rPr>
        <w:t xml:space="preserve">En ese contexto, al existir identidad en </w:t>
      </w:r>
      <w:r w:rsidR="00250341" w:rsidRPr="00F32542">
        <w:rPr>
          <w:rFonts w:ascii="Arial" w:eastAsia="Times New Roman" w:hAnsi="Arial" w:cs="Arial"/>
          <w:sz w:val="28"/>
          <w:szCs w:val="28"/>
          <w:lang w:val="es-ES_tradnl" w:eastAsia="es-MX"/>
        </w:rPr>
        <w:t>el acto impugnado</w:t>
      </w:r>
      <w:r w:rsidR="0061431E" w:rsidRPr="00F32542">
        <w:rPr>
          <w:rFonts w:ascii="Arial" w:eastAsia="Times New Roman" w:hAnsi="Arial" w:cs="Arial"/>
          <w:sz w:val="28"/>
          <w:szCs w:val="28"/>
          <w:lang w:val="es-ES_tradnl" w:eastAsia="es-MX"/>
        </w:rPr>
        <w:t xml:space="preserve"> </w:t>
      </w:r>
      <w:r w:rsidRPr="00F32542">
        <w:rPr>
          <w:rFonts w:ascii="Arial" w:eastAsia="Times New Roman" w:hAnsi="Arial" w:cs="Arial"/>
          <w:sz w:val="28"/>
          <w:szCs w:val="28"/>
          <w:lang w:val="es-ES_tradnl" w:eastAsia="es-MX"/>
        </w:rPr>
        <w:t xml:space="preserve">y con el fin de resolver de manera expedita y congruente, con fundamento en los artículos 82 y 83 de la </w:t>
      </w:r>
      <w:r w:rsidRPr="00F32542">
        <w:rPr>
          <w:rFonts w:ascii="Arial" w:eastAsia="Times New Roman" w:hAnsi="Arial" w:cs="Arial"/>
          <w:i/>
          <w:sz w:val="28"/>
          <w:szCs w:val="28"/>
          <w:lang w:val="es-ES_tradnl" w:eastAsia="es-MX"/>
        </w:rPr>
        <w:t>Ley</w:t>
      </w:r>
      <w:r w:rsidRPr="00F32542">
        <w:rPr>
          <w:rFonts w:ascii="Arial" w:eastAsia="Times New Roman" w:hAnsi="Arial" w:cs="Arial"/>
          <w:sz w:val="28"/>
          <w:szCs w:val="28"/>
          <w:lang w:val="es-ES_tradnl" w:eastAsia="es-MX"/>
        </w:rPr>
        <w:t xml:space="preserve"> </w:t>
      </w:r>
      <w:r w:rsidRPr="00F32542">
        <w:rPr>
          <w:rFonts w:ascii="Arial" w:eastAsia="Times New Roman" w:hAnsi="Arial" w:cs="Arial"/>
          <w:i/>
          <w:sz w:val="28"/>
          <w:szCs w:val="28"/>
          <w:lang w:val="es-ES_tradnl" w:eastAsia="es-MX"/>
        </w:rPr>
        <w:t>Procesal</w:t>
      </w:r>
      <w:r w:rsidRPr="00F32542">
        <w:rPr>
          <w:rFonts w:ascii="Arial" w:eastAsia="Times New Roman" w:hAnsi="Arial" w:cs="Arial"/>
          <w:sz w:val="28"/>
          <w:szCs w:val="28"/>
          <w:lang w:val="es-ES_tradnl" w:eastAsia="es-MX"/>
        </w:rPr>
        <w:t>, se decreta la acumulación de los</w:t>
      </w:r>
      <w:r w:rsidR="0040249A" w:rsidRPr="00F32542">
        <w:rPr>
          <w:rFonts w:ascii="Arial" w:eastAsia="Times New Roman" w:hAnsi="Arial" w:cs="Arial"/>
          <w:sz w:val="28"/>
          <w:szCs w:val="28"/>
          <w:lang w:val="es-ES_tradnl" w:eastAsia="es-MX"/>
        </w:rPr>
        <w:t xml:space="preserve"> juicios electorales</w:t>
      </w:r>
      <w:r w:rsidR="0040249A" w:rsidRPr="00F32542">
        <w:rPr>
          <w:rFonts w:ascii="Arial" w:eastAsia="Calibri" w:hAnsi="Arial" w:cs="Arial"/>
          <w:b/>
          <w:sz w:val="28"/>
          <w:szCs w:val="28"/>
          <w:lang w:val="es-ES_tradnl"/>
        </w:rPr>
        <w:t xml:space="preserve"> TECDMX-JEL-205/2021 </w:t>
      </w:r>
      <w:r w:rsidR="0040249A" w:rsidRPr="00F32542">
        <w:rPr>
          <w:rFonts w:ascii="Arial" w:eastAsia="Calibri" w:hAnsi="Arial" w:cs="Arial"/>
          <w:sz w:val="28"/>
          <w:szCs w:val="28"/>
          <w:lang w:val="es-ES_tradnl"/>
        </w:rPr>
        <w:t>y</w:t>
      </w:r>
      <w:r w:rsidR="0040249A" w:rsidRPr="00F32542">
        <w:rPr>
          <w:rFonts w:ascii="Arial" w:eastAsia="Calibri" w:hAnsi="Arial" w:cs="Arial"/>
          <w:b/>
          <w:sz w:val="28"/>
          <w:szCs w:val="28"/>
          <w:lang w:val="es-ES_tradnl"/>
        </w:rPr>
        <w:t xml:space="preserve"> TECDMX-JEL-206/2021</w:t>
      </w:r>
      <w:r w:rsidR="0040249A" w:rsidRPr="00F32542">
        <w:rPr>
          <w:rFonts w:ascii="Arial" w:eastAsia="Calibri" w:hAnsi="Arial" w:cs="Arial"/>
          <w:sz w:val="28"/>
          <w:szCs w:val="28"/>
          <w:lang w:val="es-ES_tradnl"/>
        </w:rPr>
        <w:t>, así como los juicios de la ciudadanía</w:t>
      </w:r>
      <w:r w:rsidR="0040249A" w:rsidRPr="00F32542">
        <w:rPr>
          <w:rFonts w:ascii="Arial" w:eastAsia="Calibri" w:hAnsi="Arial" w:cs="Arial"/>
          <w:b/>
          <w:sz w:val="28"/>
          <w:szCs w:val="28"/>
          <w:lang w:val="es-ES_tradnl"/>
        </w:rPr>
        <w:t xml:space="preserve"> TECDMX-JLDC-088/2021</w:t>
      </w:r>
      <w:r w:rsidR="0040249A" w:rsidRPr="00F32542">
        <w:rPr>
          <w:rFonts w:ascii="Arial" w:eastAsia="Calibri" w:hAnsi="Arial" w:cs="Arial"/>
          <w:sz w:val="28"/>
          <w:szCs w:val="28"/>
          <w:lang w:val="es-ES_tradnl"/>
        </w:rPr>
        <w:t>,</w:t>
      </w:r>
      <w:r w:rsidR="0040249A" w:rsidRPr="00F32542">
        <w:rPr>
          <w:rFonts w:ascii="Arial" w:eastAsia="Calibri" w:hAnsi="Arial" w:cs="Arial"/>
          <w:b/>
          <w:sz w:val="28"/>
          <w:szCs w:val="28"/>
          <w:lang w:val="es-ES_tradnl"/>
        </w:rPr>
        <w:t xml:space="preserve"> </w:t>
      </w:r>
      <w:r w:rsidR="00D867F7" w:rsidRPr="00F32542">
        <w:rPr>
          <w:rFonts w:ascii="Arial" w:eastAsia="Calibri" w:hAnsi="Arial" w:cs="Arial"/>
          <w:b/>
          <w:sz w:val="28"/>
          <w:szCs w:val="28"/>
          <w:lang w:val="es-ES_tradnl"/>
        </w:rPr>
        <w:t>TECDMX-JLDC-089/2021</w:t>
      </w:r>
      <w:r w:rsidR="00D867F7" w:rsidRPr="00F32542">
        <w:rPr>
          <w:rFonts w:ascii="Arial" w:eastAsia="Calibri" w:hAnsi="Arial" w:cs="Arial"/>
          <w:sz w:val="28"/>
          <w:szCs w:val="28"/>
          <w:lang w:val="es-ES_tradnl"/>
        </w:rPr>
        <w:t>,</w:t>
      </w:r>
      <w:r w:rsidR="00D867F7" w:rsidRPr="00F32542">
        <w:rPr>
          <w:rFonts w:ascii="Arial" w:eastAsia="Calibri" w:hAnsi="Arial" w:cs="Arial"/>
          <w:b/>
          <w:sz w:val="28"/>
          <w:szCs w:val="28"/>
          <w:lang w:val="es-ES_tradnl"/>
        </w:rPr>
        <w:t xml:space="preserve"> TECDMX-JLDC-090/2021</w:t>
      </w:r>
      <w:r w:rsidR="00D867F7" w:rsidRPr="00F32542">
        <w:rPr>
          <w:rFonts w:ascii="Arial" w:eastAsia="Calibri" w:hAnsi="Arial" w:cs="Arial"/>
          <w:sz w:val="28"/>
          <w:szCs w:val="28"/>
          <w:lang w:val="es-ES_tradnl"/>
        </w:rPr>
        <w:t>,</w:t>
      </w:r>
      <w:r w:rsidR="00D867F7" w:rsidRPr="00F32542">
        <w:rPr>
          <w:rFonts w:ascii="Arial" w:eastAsia="Calibri" w:hAnsi="Arial" w:cs="Arial"/>
          <w:b/>
          <w:sz w:val="28"/>
          <w:szCs w:val="28"/>
          <w:lang w:val="es-ES_tradnl"/>
        </w:rPr>
        <w:t xml:space="preserve"> TECDMX-JLDC-091/2021</w:t>
      </w:r>
      <w:r w:rsidR="00D867F7" w:rsidRPr="00F32542">
        <w:rPr>
          <w:rFonts w:ascii="Arial" w:eastAsia="Calibri" w:hAnsi="Arial" w:cs="Arial"/>
          <w:sz w:val="28"/>
          <w:szCs w:val="28"/>
          <w:lang w:val="es-ES_tradnl"/>
        </w:rPr>
        <w:t>,</w:t>
      </w:r>
      <w:r w:rsidR="00D867F7" w:rsidRPr="00F32542">
        <w:rPr>
          <w:rFonts w:ascii="Arial" w:eastAsia="Calibri" w:hAnsi="Arial" w:cs="Arial"/>
          <w:b/>
          <w:sz w:val="28"/>
          <w:szCs w:val="28"/>
          <w:lang w:val="es-ES_tradnl"/>
        </w:rPr>
        <w:t xml:space="preserve"> TECDMX-JLDC-092/2021</w:t>
      </w:r>
      <w:r w:rsidR="00D867F7" w:rsidRPr="00F32542">
        <w:rPr>
          <w:rFonts w:ascii="Arial" w:eastAsia="Calibri" w:hAnsi="Arial" w:cs="Arial"/>
          <w:sz w:val="28"/>
          <w:szCs w:val="28"/>
          <w:lang w:val="es-ES_tradnl"/>
        </w:rPr>
        <w:t>,</w:t>
      </w:r>
      <w:r w:rsidR="00D867F7" w:rsidRPr="00F32542">
        <w:rPr>
          <w:rFonts w:ascii="Arial" w:eastAsia="Calibri" w:hAnsi="Arial" w:cs="Arial"/>
          <w:b/>
          <w:sz w:val="28"/>
          <w:szCs w:val="28"/>
          <w:lang w:val="es-ES_tradnl"/>
        </w:rPr>
        <w:t xml:space="preserve"> TECDMX-JLDC-093/2021</w:t>
      </w:r>
      <w:r w:rsidR="00D867F7" w:rsidRPr="00F32542">
        <w:rPr>
          <w:rFonts w:ascii="Arial" w:eastAsia="Calibri" w:hAnsi="Arial" w:cs="Arial"/>
          <w:sz w:val="28"/>
          <w:szCs w:val="28"/>
          <w:lang w:val="es-ES_tradnl"/>
        </w:rPr>
        <w:t>,</w:t>
      </w:r>
      <w:r w:rsidR="00D867F7" w:rsidRPr="00F32542">
        <w:rPr>
          <w:rFonts w:ascii="Arial" w:eastAsia="Calibri" w:hAnsi="Arial" w:cs="Arial"/>
          <w:b/>
          <w:sz w:val="28"/>
          <w:szCs w:val="28"/>
          <w:lang w:val="es-ES_tradnl"/>
        </w:rPr>
        <w:t xml:space="preserve"> TECDMX-JLDC-094/2021</w:t>
      </w:r>
      <w:r w:rsidR="00D867F7" w:rsidRPr="00F32542">
        <w:rPr>
          <w:rFonts w:ascii="Arial" w:eastAsia="Calibri" w:hAnsi="Arial" w:cs="Arial"/>
          <w:sz w:val="28"/>
          <w:szCs w:val="28"/>
          <w:lang w:val="es-ES_tradnl"/>
        </w:rPr>
        <w:t>,</w:t>
      </w:r>
      <w:r w:rsidR="00D867F7" w:rsidRPr="00F32542">
        <w:rPr>
          <w:rFonts w:ascii="Arial" w:eastAsia="Calibri" w:hAnsi="Arial" w:cs="Arial"/>
          <w:b/>
          <w:sz w:val="28"/>
          <w:szCs w:val="28"/>
          <w:lang w:val="es-ES_tradnl"/>
        </w:rPr>
        <w:t xml:space="preserve"> TECDMX-JLDC-095/2021</w:t>
      </w:r>
      <w:r w:rsidR="00D867F7" w:rsidRPr="00F32542">
        <w:rPr>
          <w:rFonts w:ascii="Arial" w:eastAsia="Calibri" w:hAnsi="Arial" w:cs="Arial"/>
          <w:sz w:val="28"/>
          <w:szCs w:val="28"/>
          <w:lang w:val="es-ES_tradnl"/>
        </w:rPr>
        <w:t>,</w:t>
      </w:r>
      <w:r w:rsidR="00D867F7" w:rsidRPr="00F32542">
        <w:rPr>
          <w:rFonts w:ascii="Arial" w:eastAsia="Calibri" w:hAnsi="Arial" w:cs="Arial"/>
          <w:b/>
          <w:sz w:val="28"/>
          <w:szCs w:val="28"/>
          <w:lang w:val="es-ES_tradnl"/>
        </w:rPr>
        <w:t xml:space="preserve"> TECDMX-JLDC-096/2021</w:t>
      </w:r>
      <w:r w:rsidR="00D867F7" w:rsidRPr="00F32542">
        <w:rPr>
          <w:rFonts w:ascii="Arial" w:eastAsia="Calibri" w:hAnsi="Arial" w:cs="Arial"/>
          <w:sz w:val="28"/>
          <w:szCs w:val="28"/>
          <w:lang w:val="es-ES_tradnl"/>
        </w:rPr>
        <w:t>,</w:t>
      </w:r>
      <w:r w:rsidR="00D867F7" w:rsidRPr="00F32542">
        <w:rPr>
          <w:rFonts w:ascii="Arial" w:eastAsia="Calibri" w:hAnsi="Arial" w:cs="Arial"/>
          <w:b/>
          <w:sz w:val="28"/>
          <w:szCs w:val="28"/>
          <w:lang w:val="es-ES_tradnl"/>
        </w:rPr>
        <w:t xml:space="preserve"> TECDMX-JLDC-097/2021</w:t>
      </w:r>
      <w:r w:rsidR="00D867F7" w:rsidRPr="00F32542">
        <w:rPr>
          <w:rFonts w:ascii="Arial" w:eastAsia="Calibri" w:hAnsi="Arial" w:cs="Arial"/>
          <w:sz w:val="28"/>
          <w:szCs w:val="28"/>
          <w:lang w:val="es-ES_tradnl"/>
        </w:rPr>
        <w:t>,</w:t>
      </w:r>
      <w:r w:rsidR="00D867F7" w:rsidRPr="00F32542">
        <w:rPr>
          <w:rFonts w:ascii="Arial" w:eastAsia="Calibri" w:hAnsi="Arial" w:cs="Arial"/>
          <w:b/>
          <w:sz w:val="28"/>
          <w:szCs w:val="28"/>
          <w:lang w:val="es-ES_tradnl"/>
        </w:rPr>
        <w:t xml:space="preserve"> TECDMX-JLDC-099/2021</w:t>
      </w:r>
      <w:r w:rsidR="00D867F7" w:rsidRPr="00F32542">
        <w:rPr>
          <w:rFonts w:ascii="Arial" w:eastAsia="Calibri" w:hAnsi="Arial" w:cs="Arial"/>
          <w:sz w:val="28"/>
          <w:szCs w:val="28"/>
          <w:lang w:val="es-ES_tradnl"/>
        </w:rPr>
        <w:t>,</w:t>
      </w:r>
      <w:r w:rsidR="00D867F7" w:rsidRPr="00F32542">
        <w:rPr>
          <w:rFonts w:ascii="Arial" w:eastAsia="Calibri" w:hAnsi="Arial" w:cs="Arial"/>
          <w:b/>
          <w:sz w:val="28"/>
          <w:szCs w:val="28"/>
          <w:lang w:val="es-ES_tradnl"/>
        </w:rPr>
        <w:t xml:space="preserve"> TECDMX-JLDC-100/2021</w:t>
      </w:r>
      <w:r w:rsidR="00D867F7" w:rsidRPr="00F32542">
        <w:rPr>
          <w:rFonts w:ascii="Arial" w:eastAsia="Calibri" w:hAnsi="Arial" w:cs="Arial"/>
          <w:sz w:val="28"/>
          <w:szCs w:val="28"/>
          <w:lang w:val="es-ES_tradnl"/>
        </w:rPr>
        <w:t>,</w:t>
      </w:r>
      <w:r w:rsidR="00D867F7" w:rsidRPr="00F32542">
        <w:rPr>
          <w:rFonts w:ascii="Arial" w:eastAsia="Calibri" w:hAnsi="Arial" w:cs="Arial"/>
          <w:b/>
          <w:sz w:val="28"/>
          <w:szCs w:val="28"/>
          <w:lang w:val="es-ES_tradnl"/>
        </w:rPr>
        <w:t xml:space="preserve"> TECDMX-JLDC-101/2021</w:t>
      </w:r>
      <w:r w:rsidR="00D867F7" w:rsidRPr="00F32542">
        <w:rPr>
          <w:rFonts w:ascii="Arial" w:eastAsia="Calibri" w:hAnsi="Arial" w:cs="Arial"/>
          <w:sz w:val="28"/>
          <w:szCs w:val="28"/>
          <w:lang w:val="es-ES_tradnl"/>
        </w:rPr>
        <w:t>,</w:t>
      </w:r>
      <w:r w:rsidR="00D867F7" w:rsidRPr="00F32542">
        <w:rPr>
          <w:rFonts w:ascii="Arial" w:eastAsia="Calibri" w:hAnsi="Arial" w:cs="Arial"/>
          <w:b/>
          <w:sz w:val="28"/>
          <w:szCs w:val="28"/>
          <w:lang w:val="es-ES_tradnl"/>
        </w:rPr>
        <w:t xml:space="preserve"> TECDMX-JLDC-102/2021</w:t>
      </w:r>
      <w:r w:rsidR="00D867F7" w:rsidRPr="00F32542">
        <w:rPr>
          <w:rFonts w:ascii="Arial" w:eastAsia="Calibri" w:hAnsi="Arial" w:cs="Arial"/>
          <w:sz w:val="28"/>
          <w:szCs w:val="28"/>
          <w:lang w:val="es-ES_tradnl"/>
        </w:rPr>
        <w:t>,</w:t>
      </w:r>
      <w:r w:rsidR="00D867F7" w:rsidRPr="00F32542">
        <w:rPr>
          <w:rFonts w:ascii="Arial" w:eastAsia="Calibri" w:hAnsi="Arial" w:cs="Arial"/>
          <w:b/>
          <w:sz w:val="28"/>
          <w:szCs w:val="28"/>
          <w:lang w:val="es-ES_tradnl"/>
        </w:rPr>
        <w:t xml:space="preserve"> TECDMX-JLDC-103/2021</w:t>
      </w:r>
      <w:r w:rsidR="00D867F7" w:rsidRPr="00F32542">
        <w:rPr>
          <w:rFonts w:ascii="Arial" w:eastAsia="Calibri" w:hAnsi="Arial" w:cs="Arial"/>
          <w:sz w:val="28"/>
          <w:szCs w:val="28"/>
          <w:lang w:val="es-ES_tradnl"/>
        </w:rPr>
        <w:t>,</w:t>
      </w:r>
      <w:r w:rsidR="00D867F7" w:rsidRPr="00F32542">
        <w:rPr>
          <w:rFonts w:ascii="Arial" w:eastAsia="Calibri" w:hAnsi="Arial" w:cs="Arial"/>
          <w:b/>
          <w:sz w:val="28"/>
          <w:szCs w:val="28"/>
          <w:lang w:val="es-ES_tradnl"/>
        </w:rPr>
        <w:t xml:space="preserve"> TECDMX-JLDC-104/2021</w:t>
      </w:r>
      <w:r w:rsidR="00D867F7" w:rsidRPr="00F32542">
        <w:rPr>
          <w:rFonts w:ascii="Arial" w:eastAsia="Calibri" w:hAnsi="Arial" w:cs="Arial"/>
          <w:sz w:val="28"/>
          <w:szCs w:val="28"/>
          <w:lang w:val="es-ES_tradnl"/>
        </w:rPr>
        <w:t>,</w:t>
      </w:r>
      <w:r w:rsidR="00D867F7" w:rsidRPr="00F32542">
        <w:rPr>
          <w:rFonts w:ascii="Arial" w:eastAsia="Calibri" w:hAnsi="Arial" w:cs="Arial"/>
          <w:b/>
          <w:sz w:val="28"/>
          <w:szCs w:val="28"/>
          <w:lang w:val="es-ES_tradnl"/>
        </w:rPr>
        <w:t xml:space="preserve"> TECDMX-JLDC-108/2021</w:t>
      </w:r>
      <w:r w:rsidR="00D867F7" w:rsidRPr="00F32542">
        <w:rPr>
          <w:rFonts w:ascii="Arial" w:eastAsia="Calibri" w:hAnsi="Arial" w:cs="Arial"/>
          <w:sz w:val="28"/>
          <w:szCs w:val="28"/>
          <w:lang w:val="es-ES_tradnl"/>
        </w:rPr>
        <w:t>,</w:t>
      </w:r>
      <w:r w:rsidR="00D867F7" w:rsidRPr="00F32542">
        <w:rPr>
          <w:rFonts w:ascii="Arial" w:eastAsia="Calibri" w:hAnsi="Arial" w:cs="Arial"/>
          <w:b/>
          <w:sz w:val="28"/>
          <w:szCs w:val="28"/>
          <w:lang w:val="es-ES_tradnl"/>
        </w:rPr>
        <w:t xml:space="preserve"> TECDMX-JLDC-109/2021</w:t>
      </w:r>
      <w:r w:rsidR="0040249A" w:rsidRPr="00F32542">
        <w:rPr>
          <w:rFonts w:ascii="Arial" w:eastAsia="Calibri" w:hAnsi="Arial" w:cs="Arial"/>
          <w:b/>
          <w:sz w:val="28"/>
          <w:szCs w:val="28"/>
          <w:lang w:val="es-ES_tradnl"/>
        </w:rPr>
        <w:t xml:space="preserve"> </w:t>
      </w:r>
      <w:r w:rsidR="0040249A" w:rsidRPr="00F32542">
        <w:rPr>
          <w:rFonts w:ascii="Arial" w:eastAsia="Calibri" w:hAnsi="Arial" w:cs="Arial"/>
          <w:sz w:val="28"/>
          <w:szCs w:val="28"/>
          <w:lang w:val="es-ES_tradnl"/>
        </w:rPr>
        <w:t>y</w:t>
      </w:r>
      <w:r w:rsidR="00D867F7" w:rsidRPr="00F32542">
        <w:rPr>
          <w:rFonts w:ascii="Arial" w:eastAsia="Calibri" w:hAnsi="Arial" w:cs="Arial"/>
          <w:b/>
          <w:sz w:val="28"/>
          <w:szCs w:val="28"/>
          <w:lang w:val="es-ES_tradnl"/>
        </w:rPr>
        <w:t xml:space="preserve"> TECDMX-JLDC-110/2021, </w:t>
      </w:r>
      <w:r w:rsidRPr="00F32542">
        <w:rPr>
          <w:rFonts w:ascii="Arial" w:eastAsia="Times New Roman" w:hAnsi="Arial" w:cs="Arial"/>
          <w:sz w:val="28"/>
          <w:szCs w:val="28"/>
          <w:lang w:val="es-ES_tradnl" w:eastAsia="es-MX"/>
        </w:rPr>
        <w:t>al</w:t>
      </w:r>
      <w:r w:rsidR="0040249A" w:rsidRPr="00F32542">
        <w:rPr>
          <w:rFonts w:ascii="Arial" w:eastAsia="Times New Roman" w:hAnsi="Arial" w:cs="Arial"/>
          <w:sz w:val="28"/>
          <w:szCs w:val="28"/>
          <w:lang w:val="es-ES_tradnl" w:eastAsia="es-MX"/>
        </w:rPr>
        <w:t xml:space="preserve"> diverso</w:t>
      </w:r>
      <w:r w:rsidRPr="00F32542">
        <w:rPr>
          <w:rFonts w:ascii="Arial" w:eastAsia="Times New Roman" w:hAnsi="Arial" w:cs="Arial"/>
          <w:sz w:val="28"/>
          <w:szCs w:val="28"/>
          <w:lang w:val="es-ES_tradnl" w:eastAsia="es-MX"/>
        </w:rPr>
        <w:t xml:space="preserve"> </w:t>
      </w:r>
      <w:r w:rsidR="0040249A" w:rsidRPr="00F32542">
        <w:rPr>
          <w:rFonts w:ascii="Arial" w:eastAsia="Calibri" w:hAnsi="Arial" w:cs="Arial"/>
          <w:b/>
          <w:sz w:val="28"/>
          <w:szCs w:val="28"/>
          <w:lang w:val="es-ES_tradnl"/>
        </w:rPr>
        <w:t>TECDMX-JEL-204/2021</w:t>
      </w:r>
      <w:r w:rsidR="00337E2D" w:rsidRPr="00F32542">
        <w:rPr>
          <w:rFonts w:ascii="Arial" w:eastAsia="Calibri" w:hAnsi="Arial" w:cs="Arial"/>
          <w:sz w:val="28"/>
          <w:szCs w:val="28"/>
          <w:lang w:val="es-ES_tradnl"/>
        </w:rPr>
        <w:t>.</w:t>
      </w:r>
    </w:p>
    <w:p w14:paraId="58D92F8A" w14:textId="77777777" w:rsidR="00337E2D" w:rsidRPr="00F32542" w:rsidRDefault="00337E2D" w:rsidP="003D29D2">
      <w:pPr>
        <w:spacing w:after="0" w:line="360" w:lineRule="auto"/>
        <w:jc w:val="both"/>
        <w:rPr>
          <w:rFonts w:ascii="Arial" w:eastAsia="Calibri" w:hAnsi="Arial" w:cs="Arial"/>
          <w:sz w:val="28"/>
          <w:szCs w:val="28"/>
          <w:lang w:val="es-ES_tradnl"/>
        </w:rPr>
      </w:pPr>
    </w:p>
    <w:p w14:paraId="1F01A2D7" w14:textId="77777777" w:rsidR="00142AAE" w:rsidRPr="00F32542" w:rsidRDefault="00337E2D" w:rsidP="003D29D2">
      <w:pPr>
        <w:spacing w:after="0" w:line="360" w:lineRule="auto"/>
        <w:jc w:val="both"/>
        <w:rPr>
          <w:rFonts w:ascii="Arial" w:eastAsia="Calibri" w:hAnsi="Arial" w:cs="Arial"/>
          <w:b/>
          <w:sz w:val="28"/>
          <w:szCs w:val="28"/>
          <w:lang w:val="es-ES_tradnl"/>
        </w:rPr>
      </w:pPr>
      <w:r w:rsidRPr="00F32542">
        <w:rPr>
          <w:rFonts w:ascii="Arial" w:eastAsia="Calibri" w:hAnsi="Arial" w:cs="Arial"/>
          <w:sz w:val="28"/>
          <w:szCs w:val="28"/>
          <w:lang w:val="es-ES_tradnl"/>
        </w:rPr>
        <w:t xml:space="preserve">Lo anterior, </w:t>
      </w:r>
      <w:r w:rsidRPr="00F32542">
        <w:rPr>
          <w:rFonts w:ascii="Arial" w:hAnsi="Arial" w:cs="Arial"/>
          <w:color w:val="000000"/>
          <w:sz w:val="28"/>
          <w:szCs w:val="28"/>
        </w:rPr>
        <w:t xml:space="preserve">de conformidad con el último párrafo del artículo 82 de la </w:t>
      </w:r>
      <w:r w:rsidRPr="00F32542">
        <w:rPr>
          <w:rFonts w:ascii="Arial" w:hAnsi="Arial" w:cs="Arial"/>
          <w:i/>
          <w:iCs/>
          <w:color w:val="000000"/>
          <w:sz w:val="28"/>
          <w:szCs w:val="28"/>
        </w:rPr>
        <w:t>Ley Procesal</w:t>
      </w:r>
      <w:r w:rsidRPr="00F32542">
        <w:rPr>
          <w:rFonts w:ascii="Arial" w:hAnsi="Arial" w:cs="Arial"/>
          <w:iCs/>
          <w:color w:val="000000"/>
          <w:sz w:val="28"/>
          <w:szCs w:val="28"/>
        </w:rPr>
        <w:t>,</w:t>
      </w:r>
      <w:r w:rsidRPr="00F32542">
        <w:rPr>
          <w:rFonts w:ascii="Arial" w:hAnsi="Arial" w:cs="Arial"/>
          <w:color w:val="000000"/>
          <w:sz w:val="28"/>
          <w:szCs w:val="28"/>
        </w:rPr>
        <w:t xml:space="preserve"> el cual establece que, para efectos de la acumulación, los juicios electorales atraerán a los juicios de la ciudadanía que guarden relación con la materia de impugnación</w:t>
      </w:r>
      <w:r w:rsidR="00142AAE" w:rsidRPr="00F32542">
        <w:rPr>
          <w:rFonts w:ascii="Arial" w:eastAsia="Times New Roman" w:hAnsi="Arial" w:cs="Arial"/>
          <w:sz w:val="28"/>
          <w:szCs w:val="28"/>
          <w:lang w:val="es-ES_tradnl" w:eastAsia="es-MX"/>
        </w:rPr>
        <w:t>.</w:t>
      </w:r>
    </w:p>
    <w:p w14:paraId="1CD0E68D" w14:textId="77777777" w:rsidR="00142AAE" w:rsidRPr="00F32542" w:rsidRDefault="00142AAE" w:rsidP="003D29D2">
      <w:pPr>
        <w:spacing w:after="0" w:line="360" w:lineRule="auto"/>
        <w:jc w:val="both"/>
        <w:rPr>
          <w:rFonts w:ascii="Arial" w:eastAsia="Times New Roman" w:hAnsi="Arial" w:cs="Arial"/>
          <w:sz w:val="28"/>
          <w:szCs w:val="28"/>
          <w:lang w:val="es-ES_tradnl" w:eastAsia="es-MX"/>
        </w:rPr>
      </w:pPr>
    </w:p>
    <w:p w14:paraId="15297DE6" w14:textId="77777777" w:rsidR="00142AAE" w:rsidRPr="00F32542" w:rsidRDefault="00142AAE" w:rsidP="003D29D2">
      <w:pPr>
        <w:spacing w:after="0" w:line="360" w:lineRule="auto"/>
        <w:ind w:right="51"/>
        <w:jc w:val="both"/>
        <w:rPr>
          <w:rFonts w:ascii="Arial" w:eastAsia="Times New Roman" w:hAnsi="Arial" w:cs="Arial"/>
          <w:sz w:val="28"/>
          <w:szCs w:val="28"/>
          <w:lang w:val="es-ES_tradnl" w:eastAsia="es-MX"/>
        </w:rPr>
      </w:pPr>
      <w:r w:rsidRPr="00F32542">
        <w:rPr>
          <w:rFonts w:ascii="Arial" w:eastAsia="Times New Roman" w:hAnsi="Arial" w:cs="Arial"/>
          <w:sz w:val="28"/>
          <w:szCs w:val="28"/>
          <w:lang w:val="es-ES_tradnl" w:eastAsia="es-MX"/>
        </w:rPr>
        <w:lastRenderedPageBreak/>
        <w:t xml:space="preserve">Al respecto, no pasa inadvertido el criterio sustentado por la Sala Superior del TEPJF en la </w:t>
      </w:r>
      <w:r w:rsidRPr="00F32542">
        <w:rPr>
          <w:rFonts w:ascii="Arial" w:eastAsia="Times New Roman" w:hAnsi="Arial" w:cs="Arial"/>
          <w:b/>
          <w:sz w:val="28"/>
          <w:szCs w:val="28"/>
          <w:lang w:val="es-ES_tradnl" w:eastAsia="es-MX"/>
        </w:rPr>
        <w:t>Jurisprudencia 2/2004</w:t>
      </w:r>
      <w:r w:rsidRPr="00F32542">
        <w:rPr>
          <w:rStyle w:val="Refdenotaalpie"/>
          <w:rFonts w:ascii="Arial" w:eastAsia="Times New Roman" w:hAnsi="Arial" w:cs="Arial"/>
          <w:sz w:val="28"/>
          <w:szCs w:val="28"/>
          <w:lang w:val="es-ES_tradnl" w:eastAsia="es-MX"/>
        </w:rPr>
        <w:footnoteReference w:id="7"/>
      </w:r>
      <w:r w:rsidRPr="00F32542">
        <w:rPr>
          <w:rFonts w:ascii="Arial" w:eastAsia="Times New Roman" w:hAnsi="Arial" w:cs="Arial"/>
          <w:sz w:val="28"/>
          <w:szCs w:val="28"/>
          <w:lang w:val="es-ES_tradnl" w:eastAsia="es-MX"/>
        </w:rPr>
        <w:t xml:space="preserve"> de rubro: “</w:t>
      </w:r>
      <w:r w:rsidRPr="00F32542">
        <w:rPr>
          <w:rFonts w:ascii="Arial" w:hAnsi="Arial" w:cs="Arial"/>
          <w:b/>
          <w:bCs/>
          <w:iCs/>
          <w:color w:val="000000"/>
          <w:sz w:val="28"/>
          <w:szCs w:val="28"/>
          <w:shd w:val="clear" w:color="auto" w:fill="FFFFFF"/>
          <w:lang w:val="es-ES_tradnl"/>
        </w:rPr>
        <w:t>ACUMULACIÓN. NO CONFIGURA LA ADQUISICIÓN PROCESAL DE LAS PRETENSIONES</w:t>
      </w:r>
      <w:r w:rsidRPr="00F32542">
        <w:rPr>
          <w:rFonts w:ascii="Arial" w:hAnsi="Arial" w:cs="Arial"/>
          <w:bCs/>
          <w:color w:val="000000"/>
          <w:sz w:val="28"/>
          <w:szCs w:val="28"/>
          <w:shd w:val="clear" w:color="auto" w:fill="FFFFFF"/>
          <w:lang w:val="es-ES_tradnl"/>
        </w:rPr>
        <w:t>”,</w:t>
      </w:r>
      <w:r w:rsidRPr="00F32542">
        <w:rPr>
          <w:rFonts w:ascii="Arial" w:hAnsi="Arial" w:cs="Arial"/>
          <w:b/>
          <w:bCs/>
          <w:color w:val="000000"/>
          <w:sz w:val="28"/>
          <w:szCs w:val="28"/>
          <w:shd w:val="clear" w:color="auto" w:fill="FFFFFF"/>
          <w:lang w:val="es-ES_tradnl"/>
        </w:rPr>
        <w:t xml:space="preserve"> </w:t>
      </w:r>
      <w:r w:rsidRPr="00F32542">
        <w:rPr>
          <w:rFonts w:ascii="Arial" w:hAnsi="Arial" w:cs="Arial"/>
          <w:bCs/>
          <w:color w:val="000000"/>
          <w:sz w:val="28"/>
          <w:szCs w:val="28"/>
          <w:shd w:val="clear" w:color="auto" w:fill="FFFFFF"/>
          <w:lang w:val="es-ES_tradnl"/>
        </w:rPr>
        <w:t>en la que se determina que l</w:t>
      </w:r>
      <w:r w:rsidRPr="00F32542">
        <w:rPr>
          <w:rFonts w:ascii="Arial" w:eastAsia="Times New Roman" w:hAnsi="Arial" w:cs="Arial"/>
          <w:sz w:val="28"/>
          <w:szCs w:val="28"/>
          <w:lang w:val="es-ES_tradnl" w:eastAsia="es-MX"/>
        </w:rPr>
        <w:t>os efectos de la acumulación son meramente procesales dado que las finalidades que se persiguen con ésta son única y exclusivamente la economía procesal y evitar sentencias contradictorias; por lo que en modo alguno pueden modificar los derechos sustantivos de las partes que intervienen en los diversos juicios.</w:t>
      </w:r>
    </w:p>
    <w:p w14:paraId="73CFAFC0" w14:textId="77777777" w:rsidR="00142AAE" w:rsidRPr="00F32542" w:rsidRDefault="00142AAE" w:rsidP="003D29D2">
      <w:pPr>
        <w:spacing w:after="0" w:line="360" w:lineRule="auto"/>
        <w:ind w:right="51"/>
        <w:jc w:val="both"/>
        <w:rPr>
          <w:rFonts w:ascii="Arial" w:eastAsia="Times New Roman" w:hAnsi="Arial" w:cs="Arial"/>
          <w:sz w:val="28"/>
          <w:szCs w:val="28"/>
          <w:lang w:val="es-ES_tradnl" w:eastAsia="es-MX"/>
        </w:rPr>
      </w:pPr>
    </w:p>
    <w:p w14:paraId="019658BB" w14:textId="77777777" w:rsidR="00142AAE" w:rsidRPr="00F32542" w:rsidRDefault="00142AAE" w:rsidP="003D29D2">
      <w:pPr>
        <w:spacing w:after="0" w:line="360" w:lineRule="auto"/>
        <w:ind w:right="51"/>
        <w:jc w:val="both"/>
        <w:rPr>
          <w:rFonts w:ascii="Arial" w:eastAsia="Times New Roman" w:hAnsi="Arial" w:cs="Arial"/>
          <w:sz w:val="28"/>
          <w:szCs w:val="28"/>
          <w:lang w:val="es-ES_tradnl" w:eastAsia="es-MX"/>
        </w:rPr>
      </w:pPr>
      <w:r w:rsidRPr="00F32542">
        <w:rPr>
          <w:rFonts w:ascii="Arial" w:eastAsia="Times New Roman" w:hAnsi="Arial" w:cs="Arial"/>
          <w:sz w:val="28"/>
          <w:szCs w:val="28"/>
          <w:lang w:val="es-ES_tradnl" w:eastAsia="es-MX"/>
        </w:rPr>
        <w:t>En consecuencia, se deberá glosar copia certificada de los puntos resolutivos de la presente sentencia, a los autos de los expedientes acumulados.</w:t>
      </w:r>
    </w:p>
    <w:p w14:paraId="7FD6BAB2" w14:textId="77777777" w:rsidR="00142AAE" w:rsidRPr="00F32542" w:rsidRDefault="00142AAE" w:rsidP="003D29D2">
      <w:pPr>
        <w:spacing w:after="0" w:line="360" w:lineRule="auto"/>
        <w:ind w:right="51"/>
        <w:jc w:val="both"/>
        <w:rPr>
          <w:rFonts w:ascii="Arial" w:hAnsi="Arial" w:cs="Arial"/>
          <w:sz w:val="28"/>
          <w:szCs w:val="28"/>
          <w:lang w:val="es-ES_tradnl"/>
        </w:rPr>
      </w:pPr>
    </w:p>
    <w:p w14:paraId="6BC54AC7" w14:textId="77777777" w:rsidR="00142AAE" w:rsidRPr="00F32542" w:rsidRDefault="00142AAE" w:rsidP="003D29D2">
      <w:pPr>
        <w:pStyle w:val="Ttulo1"/>
        <w:spacing w:before="0" w:line="360" w:lineRule="auto"/>
        <w:rPr>
          <w:rFonts w:ascii="Arial" w:hAnsi="Arial" w:cs="Arial"/>
          <w:b/>
          <w:sz w:val="28"/>
          <w:szCs w:val="28"/>
          <w:lang w:val="es-ES_tradnl"/>
        </w:rPr>
      </w:pPr>
      <w:bookmarkStart w:id="17" w:name="_Toc77856956"/>
      <w:bookmarkStart w:id="18" w:name="_Toc77982023"/>
      <w:bookmarkStart w:id="19" w:name="_Toc77983183"/>
      <w:r w:rsidRPr="00F32542">
        <w:rPr>
          <w:rFonts w:ascii="Arial" w:hAnsi="Arial" w:cs="Arial"/>
          <w:b/>
          <w:color w:val="auto"/>
          <w:sz w:val="28"/>
          <w:szCs w:val="28"/>
          <w:lang w:val="es-ES_tradnl"/>
        </w:rPr>
        <w:t>TERCERA. Partes terceras interesadas.</w:t>
      </w:r>
      <w:bookmarkEnd w:id="17"/>
      <w:bookmarkEnd w:id="18"/>
      <w:bookmarkEnd w:id="19"/>
    </w:p>
    <w:p w14:paraId="0AD2B34D" w14:textId="77777777" w:rsidR="00142AAE" w:rsidRPr="00F32542" w:rsidRDefault="00142AAE" w:rsidP="003D29D2">
      <w:pPr>
        <w:spacing w:after="0" w:line="360" w:lineRule="auto"/>
        <w:ind w:right="51"/>
        <w:jc w:val="both"/>
        <w:rPr>
          <w:rFonts w:ascii="Arial" w:hAnsi="Arial" w:cs="Arial"/>
          <w:sz w:val="28"/>
          <w:szCs w:val="28"/>
          <w:lang w:val="es-ES_tradnl"/>
        </w:rPr>
      </w:pPr>
    </w:p>
    <w:p w14:paraId="50353FF4" w14:textId="77777777" w:rsidR="00142AAE" w:rsidRPr="00F32542" w:rsidRDefault="00142AAE" w:rsidP="003D29D2">
      <w:pPr>
        <w:spacing w:after="0" w:line="360" w:lineRule="auto"/>
        <w:jc w:val="both"/>
        <w:rPr>
          <w:rFonts w:ascii="Arial" w:hAnsi="Arial" w:cs="Arial"/>
          <w:bCs/>
          <w:sz w:val="28"/>
          <w:szCs w:val="28"/>
          <w:lang w:val="es-ES_tradnl"/>
        </w:rPr>
      </w:pPr>
      <w:r w:rsidRPr="00F32542">
        <w:rPr>
          <w:rFonts w:ascii="Arial" w:hAnsi="Arial" w:cs="Arial"/>
          <w:bCs/>
          <w:sz w:val="28"/>
          <w:szCs w:val="28"/>
          <w:lang w:val="es-ES_tradnl"/>
        </w:rPr>
        <w:t xml:space="preserve">En autos de los expedientes </w:t>
      </w:r>
      <w:r w:rsidR="00216E9F" w:rsidRPr="00F32542">
        <w:rPr>
          <w:rFonts w:ascii="Arial" w:eastAsia="Calibri" w:hAnsi="Arial" w:cs="Arial"/>
          <w:b/>
          <w:sz w:val="28"/>
          <w:szCs w:val="28"/>
          <w:lang w:val="es-ES_tradnl"/>
        </w:rPr>
        <w:t>TECDMX-JLDC-089/2021</w:t>
      </w:r>
      <w:r w:rsidR="00216E9F" w:rsidRPr="00F32542">
        <w:rPr>
          <w:rFonts w:ascii="Arial" w:eastAsia="Calibri" w:hAnsi="Arial" w:cs="Arial"/>
          <w:sz w:val="28"/>
          <w:szCs w:val="28"/>
          <w:lang w:val="es-ES_tradnl"/>
        </w:rPr>
        <w:t>,</w:t>
      </w:r>
      <w:r w:rsidR="00216E9F" w:rsidRPr="00F32542">
        <w:rPr>
          <w:rFonts w:ascii="Arial" w:eastAsia="Calibri" w:hAnsi="Arial" w:cs="Arial"/>
          <w:b/>
          <w:sz w:val="28"/>
          <w:szCs w:val="28"/>
          <w:lang w:val="es-ES_tradnl"/>
        </w:rPr>
        <w:t xml:space="preserve"> TECDMX-JLDC-090/2021</w:t>
      </w:r>
      <w:r w:rsidR="00216E9F" w:rsidRPr="00F32542">
        <w:rPr>
          <w:rFonts w:ascii="Arial" w:eastAsia="Calibri" w:hAnsi="Arial" w:cs="Arial"/>
          <w:sz w:val="28"/>
          <w:szCs w:val="28"/>
          <w:lang w:val="es-ES_tradnl"/>
        </w:rPr>
        <w:t>,</w:t>
      </w:r>
      <w:r w:rsidR="00216E9F" w:rsidRPr="00F32542">
        <w:rPr>
          <w:rFonts w:ascii="Arial" w:eastAsia="Calibri" w:hAnsi="Arial" w:cs="Arial"/>
          <w:b/>
          <w:sz w:val="28"/>
          <w:szCs w:val="28"/>
          <w:lang w:val="es-ES_tradnl"/>
        </w:rPr>
        <w:t xml:space="preserve"> TECDMX-JLDC-091/2021</w:t>
      </w:r>
      <w:r w:rsidR="00216E9F" w:rsidRPr="00F32542">
        <w:rPr>
          <w:rFonts w:ascii="Arial" w:eastAsia="Calibri" w:hAnsi="Arial" w:cs="Arial"/>
          <w:sz w:val="28"/>
          <w:szCs w:val="28"/>
          <w:lang w:val="es-ES_tradnl"/>
        </w:rPr>
        <w:t>,</w:t>
      </w:r>
      <w:r w:rsidR="00216E9F" w:rsidRPr="00F32542">
        <w:rPr>
          <w:rFonts w:ascii="Arial" w:eastAsia="Calibri" w:hAnsi="Arial" w:cs="Arial"/>
          <w:b/>
          <w:sz w:val="28"/>
          <w:szCs w:val="28"/>
          <w:lang w:val="es-ES_tradnl"/>
        </w:rPr>
        <w:t xml:space="preserve"> TECDMX-JLDC-092/2021</w:t>
      </w:r>
      <w:r w:rsidR="00216E9F" w:rsidRPr="00F32542">
        <w:rPr>
          <w:rFonts w:ascii="Arial" w:eastAsia="Calibri" w:hAnsi="Arial" w:cs="Arial"/>
          <w:sz w:val="28"/>
          <w:szCs w:val="28"/>
          <w:lang w:val="es-ES_tradnl"/>
        </w:rPr>
        <w:t>,</w:t>
      </w:r>
      <w:r w:rsidR="00216E9F" w:rsidRPr="00F32542">
        <w:rPr>
          <w:rFonts w:ascii="Arial" w:eastAsia="Calibri" w:hAnsi="Arial" w:cs="Arial"/>
          <w:b/>
          <w:sz w:val="28"/>
          <w:szCs w:val="28"/>
          <w:lang w:val="es-ES_tradnl"/>
        </w:rPr>
        <w:t xml:space="preserve"> TECDMX-JLDC-094/2021</w:t>
      </w:r>
      <w:r w:rsidR="00216E9F" w:rsidRPr="00F32542">
        <w:rPr>
          <w:rFonts w:ascii="Arial" w:eastAsia="Calibri" w:hAnsi="Arial" w:cs="Arial"/>
          <w:sz w:val="28"/>
          <w:szCs w:val="28"/>
          <w:lang w:val="es-ES_tradnl"/>
        </w:rPr>
        <w:t>,</w:t>
      </w:r>
      <w:r w:rsidR="00216E9F" w:rsidRPr="00F32542">
        <w:rPr>
          <w:rFonts w:ascii="Arial" w:eastAsia="Calibri" w:hAnsi="Arial" w:cs="Arial"/>
          <w:b/>
          <w:sz w:val="28"/>
          <w:szCs w:val="28"/>
          <w:lang w:val="es-ES_tradnl"/>
        </w:rPr>
        <w:t xml:space="preserve"> TECDMX-JLDC-097/2021</w:t>
      </w:r>
      <w:r w:rsidR="00216E9F" w:rsidRPr="00F32542">
        <w:rPr>
          <w:rFonts w:ascii="Arial" w:eastAsia="Calibri" w:hAnsi="Arial" w:cs="Arial"/>
          <w:sz w:val="28"/>
          <w:szCs w:val="28"/>
          <w:lang w:val="es-ES_tradnl"/>
        </w:rPr>
        <w:t>,</w:t>
      </w:r>
      <w:r w:rsidR="00216E9F" w:rsidRPr="00F32542">
        <w:rPr>
          <w:rFonts w:ascii="Arial" w:eastAsia="Calibri" w:hAnsi="Arial" w:cs="Arial"/>
          <w:b/>
          <w:sz w:val="28"/>
          <w:szCs w:val="28"/>
          <w:lang w:val="es-ES_tradnl"/>
        </w:rPr>
        <w:t xml:space="preserve"> TECDMX-JLDC-100/2021</w:t>
      </w:r>
      <w:r w:rsidR="00216E9F" w:rsidRPr="00F32542">
        <w:rPr>
          <w:rFonts w:ascii="Arial" w:eastAsia="Calibri" w:hAnsi="Arial" w:cs="Arial"/>
          <w:sz w:val="28"/>
          <w:szCs w:val="28"/>
          <w:lang w:val="es-ES_tradnl"/>
        </w:rPr>
        <w:t>,</w:t>
      </w:r>
      <w:r w:rsidR="00216E9F" w:rsidRPr="00F32542">
        <w:rPr>
          <w:rFonts w:ascii="Arial" w:eastAsia="Calibri" w:hAnsi="Arial" w:cs="Arial"/>
          <w:b/>
          <w:sz w:val="28"/>
          <w:szCs w:val="28"/>
          <w:lang w:val="es-ES_tradnl"/>
        </w:rPr>
        <w:t xml:space="preserve"> TECDMX-JLDC-102/2021</w:t>
      </w:r>
      <w:r w:rsidR="00216E9F" w:rsidRPr="00F32542">
        <w:rPr>
          <w:rFonts w:ascii="Arial" w:eastAsia="Calibri" w:hAnsi="Arial" w:cs="Arial"/>
          <w:sz w:val="28"/>
          <w:szCs w:val="28"/>
          <w:lang w:val="es-ES_tradnl"/>
        </w:rPr>
        <w:t>,</w:t>
      </w:r>
      <w:r w:rsidR="00216E9F" w:rsidRPr="00F32542">
        <w:rPr>
          <w:rFonts w:ascii="Arial" w:eastAsia="Calibri" w:hAnsi="Arial" w:cs="Arial"/>
          <w:b/>
          <w:sz w:val="28"/>
          <w:szCs w:val="28"/>
          <w:lang w:val="es-ES_tradnl"/>
        </w:rPr>
        <w:t xml:space="preserve"> TECDMX-JLDC-103/2021</w:t>
      </w:r>
      <w:r w:rsidR="00216E9F" w:rsidRPr="00F32542">
        <w:rPr>
          <w:rFonts w:ascii="Arial" w:eastAsia="Calibri" w:hAnsi="Arial" w:cs="Arial"/>
          <w:sz w:val="28"/>
          <w:szCs w:val="28"/>
          <w:lang w:val="es-ES_tradnl"/>
        </w:rPr>
        <w:t>,</w:t>
      </w:r>
      <w:r w:rsidR="00216E9F" w:rsidRPr="00F32542">
        <w:rPr>
          <w:rFonts w:ascii="Arial" w:eastAsia="Calibri" w:hAnsi="Arial" w:cs="Arial"/>
          <w:b/>
          <w:sz w:val="28"/>
          <w:szCs w:val="28"/>
          <w:lang w:val="es-ES_tradnl"/>
        </w:rPr>
        <w:t xml:space="preserve"> TECDMX-JLDC-104/2021</w:t>
      </w:r>
      <w:r w:rsidR="00216E9F" w:rsidRPr="00F32542">
        <w:rPr>
          <w:rFonts w:ascii="Arial" w:eastAsia="Calibri" w:hAnsi="Arial" w:cs="Arial"/>
          <w:sz w:val="28"/>
          <w:szCs w:val="28"/>
          <w:lang w:val="es-ES_tradnl"/>
        </w:rPr>
        <w:t>,</w:t>
      </w:r>
      <w:r w:rsidR="00216E9F" w:rsidRPr="00F32542">
        <w:rPr>
          <w:rFonts w:ascii="Arial" w:eastAsia="Calibri" w:hAnsi="Arial" w:cs="Arial"/>
          <w:b/>
          <w:sz w:val="28"/>
          <w:szCs w:val="28"/>
          <w:lang w:val="es-ES_tradnl"/>
        </w:rPr>
        <w:t xml:space="preserve"> TECDMX-JLDC-108/2021</w:t>
      </w:r>
      <w:r w:rsidR="00216E9F" w:rsidRPr="00F32542">
        <w:rPr>
          <w:rFonts w:ascii="Arial" w:eastAsia="Calibri" w:hAnsi="Arial" w:cs="Arial"/>
          <w:sz w:val="28"/>
          <w:szCs w:val="28"/>
          <w:lang w:val="es-ES_tradnl"/>
        </w:rPr>
        <w:t>,</w:t>
      </w:r>
      <w:r w:rsidR="00216E9F" w:rsidRPr="00F32542">
        <w:rPr>
          <w:rFonts w:ascii="Arial" w:eastAsia="Calibri" w:hAnsi="Arial" w:cs="Arial"/>
          <w:b/>
          <w:sz w:val="28"/>
          <w:szCs w:val="28"/>
          <w:lang w:val="es-ES_tradnl"/>
        </w:rPr>
        <w:t xml:space="preserve"> TECDMX-JLDC-109/2021</w:t>
      </w:r>
      <w:r w:rsidR="00216E9F" w:rsidRPr="00F32542">
        <w:rPr>
          <w:rFonts w:ascii="Arial" w:eastAsia="Calibri" w:hAnsi="Arial" w:cs="Arial"/>
          <w:sz w:val="28"/>
          <w:szCs w:val="28"/>
          <w:lang w:val="es-ES_tradnl"/>
        </w:rPr>
        <w:t>,</w:t>
      </w:r>
      <w:r w:rsidR="00216E9F" w:rsidRPr="00F32542">
        <w:rPr>
          <w:rFonts w:ascii="Arial" w:eastAsia="Calibri" w:hAnsi="Arial" w:cs="Arial"/>
          <w:b/>
          <w:sz w:val="28"/>
          <w:szCs w:val="28"/>
          <w:lang w:val="es-ES_tradnl"/>
        </w:rPr>
        <w:t xml:space="preserve"> TECDMX-JLDC-110/2021 </w:t>
      </w:r>
      <w:r w:rsidR="00216E9F" w:rsidRPr="00F32542">
        <w:rPr>
          <w:rFonts w:ascii="Arial" w:eastAsia="Calibri" w:hAnsi="Arial" w:cs="Arial"/>
          <w:sz w:val="28"/>
          <w:szCs w:val="28"/>
          <w:lang w:val="es-ES_tradnl"/>
        </w:rPr>
        <w:t>y</w:t>
      </w:r>
      <w:r w:rsidR="00216E9F" w:rsidRPr="00F32542">
        <w:rPr>
          <w:rFonts w:ascii="Arial" w:eastAsia="Calibri" w:hAnsi="Arial" w:cs="Arial"/>
          <w:b/>
          <w:sz w:val="28"/>
          <w:szCs w:val="28"/>
          <w:lang w:val="es-ES_tradnl"/>
        </w:rPr>
        <w:t xml:space="preserve"> TECDMX-JEL-206/2021</w:t>
      </w:r>
      <w:r w:rsidRPr="00F32542">
        <w:rPr>
          <w:rFonts w:ascii="Arial" w:eastAsia="Calibri" w:hAnsi="Arial" w:cs="Arial"/>
          <w:b/>
          <w:sz w:val="28"/>
          <w:szCs w:val="28"/>
          <w:lang w:val="es-ES_tradnl"/>
        </w:rPr>
        <w:t xml:space="preserve"> </w:t>
      </w:r>
      <w:r w:rsidRPr="00F32542">
        <w:rPr>
          <w:rFonts w:ascii="Arial" w:hAnsi="Arial" w:cs="Arial"/>
          <w:bCs/>
          <w:sz w:val="28"/>
          <w:szCs w:val="28"/>
          <w:lang w:val="es-ES_tradnl"/>
        </w:rPr>
        <w:t xml:space="preserve">constan escritos de las </w:t>
      </w:r>
      <w:r w:rsidRPr="00F32542">
        <w:rPr>
          <w:rFonts w:ascii="Arial" w:hAnsi="Arial" w:cs="Arial"/>
          <w:bCs/>
          <w:i/>
          <w:sz w:val="28"/>
          <w:szCs w:val="28"/>
          <w:lang w:val="es-ES_tradnl"/>
        </w:rPr>
        <w:t>partes</w:t>
      </w:r>
      <w:r w:rsidRPr="00F32542">
        <w:rPr>
          <w:rFonts w:ascii="Arial" w:hAnsi="Arial" w:cs="Arial"/>
          <w:bCs/>
          <w:sz w:val="28"/>
          <w:szCs w:val="28"/>
          <w:lang w:val="es-ES_tradnl"/>
        </w:rPr>
        <w:t xml:space="preserve"> </w:t>
      </w:r>
      <w:r w:rsidRPr="00F32542">
        <w:rPr>
          <w:rFonts w:ascii="Arial" w:hAnsi="Arial" w:cs="Arial"/>
          <w:bCs/>
          <w:i/>
          <w:sz w:val="28"/>
          <w:szCs w:val="28"/>
          <w:lang w:val="es-ES_tradnl"/>
        </w:rPr>
        <w:t>terceras interesadas</w:t>
      </w:r>
      <w:r w:rsidRPr="00F32542">
        <w:rPr>
          <w:rFonts w:ascii="Arial" w:hAnsi="Arial" w:cs="Arial"/>
          <w:bCs/>
          <w:sz w:val="28"/>
          <w:szCs w:val="28"/>
          <w:lang w:val="es-ES_tradnl"/>
        </w:rPr>
        <w:t xml:space="preserve">, mismos que serán analizados a continuación en cumplimiento </w:t>
      </w:r>
      <w:r w:rsidRPr="00F32542">
        <w:rPr>
          <w:rFonts w:ascii="Arial" w:hAnsi="Arial" w:cs="Arial"/>
          <w:sz w:val="28"/>
          <w:szCs w:val="28"/>
          <w:lang w:val="es-ES_tradnl"/>
        </w:rPr>
        <w:t xml:space="preserve">a los requisitos previstos en el artículo 44 de la </w:t>
      </w:r>
      <w:r w:rsidRPr="00F32542">
        <w:rPr>
          <w:rFonts w:ascii="Arial" w:hAnsi="Arial" w:cs="Arial"/>
          <w:i/>
          <w:sz w:val="28"/>
          <w:szCs w:val="28"/>
          <w:lang w:val="es-ES_tradnl"/>
        </w:rPr>
        <w:t>Ley Procesal</w:t>
      </w:r>
      <w:r w:rsidRPr="00F32542">
        <w:rPr>
          <w:rFonts w:ascii="Arial" w:hAnsi="Arial" w:cs="Arial"/>
          <w:bCs/>
          <w:i/>
          <w:sz w:val="28"/>
          <w:szCs w:val="28"/>
          <w:lang w:val="es-ES_tradnl"/>
        </w:rPr>
        <w:t>.</w:t>
      </w:r>
    </w:p>
    <w:p w14:paraId="25E34936" w14:textId="77777777" w:rsidR="00142AAE" w:rsidRPr="00F32542" w:rsidRDefault="00142AAE" w:rsidP="003D29D2">
      <w:pPr>
        <w:spacing w:after="0" w:line="360" w:lineRule="auto"/>
        <w:jc w:val="both"/>
        <w:rPr>
          <w:rFonts w:ascii="Arial" w:hAnsi="Arial" w:cs="Arial"/>
          <w:b/>
          <w:bCs/>
          <w:sz w:val="28"/>
          <w:szCs w:val="28"/>
          <w:lang w:val="es-ES_tradnl"/>
        </w:rPr>
      </w:pPr>
    </w:p>
    <w:p w14:paraId="1B7C60BB" w14:textId="77777777" w:rsidR="00142AAE" w:rsidRPr="00F32542" w:rsidRDefault="00874767" w:rsidP="003D29D2">
      <w:pPr>
        <w:spacing w:after="0" w:line="360" w:lineRule="auto"/>
        <w:jc w:val="both"/>
        <w:rPr>
          <w:rFonts w:ascii="Arial" w:hAnsi="Arial" w:cs="Arial"/>
          <w:bCs/>
          <w:sz w:val="28"/>
          <w:szCs w:val="28"/>
          <w:lang w:val="es-ES_tradnl"/>
        </w:rPr>
      </w:pPr>
      <w:r w:rsidRPr="00F32542">
        <w:rPr>
          <w:rFonts w:ascii="Arial" w:hAnsi="Arial" w:cs="Arial"/>
          <w:b/>
          <w:bCs/>
          <w:sz w:val="28"/>
          <w:szCs w:val="28"/>
          <w:lang w:val="es-ES_tradnl"/>
        </w:rPr>
        <w:lastRenderedPageBreak/>
        <w:t>1</w:t>
      </w:r>
      <w:r w:rsidR="00142AAE" w:rsidRPr="00F32542">
        <w:rPr>
          <w:rFonts w:ascii="Arial" w:hAnsi="Arial" w:cs="Arial"/>
          <w:b/>
          <w:bCs/>
          <w:sz w:val="28"/>
          <w:szCs w:val="28"/>
          <w:lang w:val="es-ES_tradnl"/>
        </w:rPr>
        <w:t>. Forma.</w:t>
      </w:r>
      <w:r w:rsidR="00142AAE" w:rsidRPr="00F32542">
        <w:rPr>
          <w:rFonts w:ascii="Arial" w:hAnsi="Arial" w:cs="Arial"/>
          <w:bCs/>
          <w:sz w:val="28"/>
          <w:szCs w:val="28"/>
          <w:lang w:val="es-ES_tradnl"/>
        </w:rPr>
        <w:t xml:space="preserve"> Las </w:t>
      </w:r>
      <w:r w:rsidR="00142AAE" w:rsidRPr="00F32542">
        <w:rPr>
          <w:rFonts w:ascii="Arial" w:hAnsi="Arial" w:cs="Arial"/>
          <w:bCs/>
          <w:i/>
          <w:sz w:val="28"/>
          <w:szCs w:val="28"/>
          <w:lang w:val="es-ES_tradnl"/>
        </w:rPr>
        <w:t>partes terceras interesadas</w:t>
      </w:r>
      <w:r w:rsidR="00142AAE" w:rsidRPr="00F32542">
        <w:rPr>
          <w:rFonts w:ascii="Arial" w:hAnsi="Arial" w:cs="Arial"/>
          <w:bCs/>
          <w:sz w:val="28"/>
          <w:szCs w:val="28"/>
          <w:lang w:val="es-ES_tradnl"/>
        </w:rPr>
        <w:t xml:space="preserve"> presentaron sus respectivos escritos en los que constan sus nombres; identifican los actos que pretenden subsistan, enuncian los hechos y razones que a sus intereses convienen y hacen constar su firma autógrafa o la de su representante legítimo.</w:t>
      </w:r>
    </w:p>
    <w:p w14:paraId="0D979DAF" w14:textId="77777777" w:rsidR="00216E9F" w:rsidRPr="00F32542" w:rsidRDefault="00216E9F" w:rsidP="003D29D2">
      <w:pPr>
        <w:spacing w:after="0" w:line="360" w:lineRule="auto"/>
        <w:jc w:val="both"/>
        <w:rPr>
          <w:rFonts w:ascii="Arial" w:hAnsi="Arial" w:cs="Arial"/>
          <w:bCs/>
          <w:sz w:val="28"/>
          <w:szCs w:val="28"/>
          <w:lang w:val="es-ES_tradnl"/>
        </w:rPr>
      </w:pPr>
    </w:p>
    <w:p w14:paraId="0C88FB73" w14:textId="77777777" w:rsidR="00216E9F" w:rsidRPr="00F32542" w:rsidRDefault="00216E9F" w:rsidP="003D29D2">
      <w:pPr>
        <w:spacing w:after="0" w:line="360" w:lineRule="auto"/>
        <w:jc w:val="both"/>
        <w:rPr>
          <w:rFonts w:ascii="Arial" w:hAnsi="Arial" w:cs="Arial"/>
          <w:bCs/>
          <w:sz w:val="28"/>
          <w:szCs w:val="28"/>
          <w:lang w:val="es-ES_tradnl"/>
        </w:rPr>
      </w:pPr>
      <w:r w:rsidRPr="00F32542">
        <w:rPr>
          <w:rFonts w:ascii="Arial" w:hAnsi="Arial" w:cs="Arial"/>
          <w:bCs/>
          <w:sz w:val="28"/>
          <w:szCs w:val="28"/>
          <w:lang w:val="es-ES_tradnl"/>
        </w:rPr>
        <w:t xml:space="preserve">Ahora bien, no pasa desapercibido que en el escrito presentado por </w:t>
      </w:r>
      <w:proofErr w:type="spellStart"/>
      <w:r w:rsidRPr="00F32542">
        <w:rPr>
          <w:rFonts w:ascii="Arial" w:hAnsi="Arial" w:cs="Arial"/>
          <w:bCs/>
          <w:sz w:val="28"/>
          <w:szCs w:val="28"/>
          <w:lang w:val="es-ES_tradnl"/>
        </w:rPr>
        <w:t>Jhonatan</w:t>
      </w:r>
      <w:proofErr w:type="spellEnd"/>
      <w:r w:rsidRPr="00F32542">
        <w:rPr>
          <w:rFonts w:ascii="Arial" w:hAnsi="Arial" w:cs="Arial"/>
          <w:bCs/>
          <w:sz w:val="28"/>
          <w:szCs w:val="28"/>
          <w:lang w:val="es-ES_tradnl"/>
        </w:rPr>
        <w:t xml:space="preserve"> Colmenares Rentería </w:t>
      </w:r>
      <w:r w:rsidR="0061431E" w:rsidRPr="00F32542">
        <w:rPr>
          <w:rFonts w:ascii="Arial" w:hAnsi="Arial" w:cs="Arial"/>
          <w:bCs/>
          <w:sz w:val="28"/>
          <w:szCs w:val="28"/>
          <w:lang w:val="es-ES_tradnl"/>
        </w:rPr>
        <w:t>—</w:t>
      </w:r>
      <w:r w:rsidR="00337E2D" w:rsidRPr="00F32542">
        <w:rPr>
          <w:rFonts w:ascii="Arial" w:hAnsi="Arial" w:cs="Arial"/>
          <w:bCs/>
          <w:sz w:val="28"/>
          <w:szCs w:val="28"/>
          <w:lang w:val="es-ES_tradnl"/>
        </w:rPr>
        <w:t>vía correo electrónico</w:t>
      </w:r>
      <w:r w:rsidR="0061431E" w:rsidRPr="00F32542">
        <w:rPr>
          <w:rFonts w:ascii="Arial" w:hAnsi="Arial" w:cs="Arial"/>
          <w:bCs/>
          <w:sz w:val="28"/>
          <w:szCs w:val="28"/>
          <w:lang w:val="es-ES_tradnl"/>
        </w:rPr>
        <w:t>—</w:t>
      </w:r>
      <w:r w:rsidR="00337E2D" w:rsidRPr="00F32542">
        <w:rPr>
          <w:rFonts w:ascii="Arial" w:hAnsi="Arial" w:cs="Arial"/>
          <w:bCs/>
          <w:sz w:val="28"/>
          <w:szCs w:val="28"/>
          <w:lang w:val="es-ES_tradnl"/>
        </w:rPr>
        <w:t xml:space="preserve">, </w:t>
      </w:r>
      <w:r w:rsidRPr="00F32542">
        <w:rPr>
          <w:rFonts w:ascii="Arial" w:hAnsi="Arial" w:cs="Arial"/>
          <w:bCs/>
          <w:sz w:val="28"/>
          <w:szCs w:val="28"/>
          <w:lang w:val="es-ES_tradnl"/>
        </w:rPr>
        <w:t xml:space="preserve">por medio del cual compareció como tercero interesado en el </w:t>
      </w:r>
      <w:r w:rsidR="00337E2D" w:rsidRPr="00F32542">
        <w:rPr>
          <w:rFonts w:ascii="Arial" w:hAnsi="Arial" w:cs="Arial"/>
          <w:bCs/>
          <w:sz w:val="28"/>
          <w:szCs w:val="28"/>
          <w:lang w:val="es-ES_tradnl"/>
        </w:rPr>
        <w:t>j</w:t>
      </w:r>
      <w:r w:rsidRPr="00F32542">
        <w:rPr>
          <w:rFonts w:ascii="Arial" w:hAnsi="Arial" w:cs="Arial"/>
          <w:bCs/>
          <w:sz w:val="28"/>
          <w:szCs w:val="28"/>
          <w:lang w:val="es-ES_tradnl"/>
        </w:rPr>
        <w:t xml:space="preserve">uicio de la </w:t>
      </w:r>
      <w:r w:rsidR="00337E2D" w:rsidRPr="00F32542">
        <w:rPr>
          <w:rFonts w:ascii="Arial" w:hAnsi="Arial" w:cs="Arial"/>
          <w:bCs/>
          <w:sz w:val="28"/>
          <w:szCs w:val="28"/>
          <w:lang w:val="es-ES_tradnl"/>
        </w:rPr>
        <w:t>c</w:t>
      </w:r>
      <w:r w:rsidRPr="00F32542">
        <w:rPr>
          <w:rFonts w:ascii="Arial" w:hAnsi="Arial" w:cs="Arial"/>
          <w:bCs/>
          <w:sz w:val="28"/>
          <w:szCs w:val="28"/>
          <w:lang w:val="es-ES_tradnl"/>
        </w:rPr>
        <w:t xml:space="preserve">iudadanía </w:t>
      </w:r>
      <w:r w:rsidRPr="00F32542">
        <w:rPr>
          <w:rFonts w:ascii="Arial" w:hAnsi="Arial" w:cs="Arial"/>
          <w:b/>
          <w:bCs/>
          <w:sz w:val="28"/>
          <w:szCs w:val="28"/>
          <w:lang w:val="es-ES_tradnl"/>
        </w:rPr>
        <w:t>TECDMX-JLDC-090/2021</w:t>
      </w:r>
      <w:r w:rsidR="00286BB3" w:rsidRPr="00F32542">
        <w:rPr>
          <w:rFonts w:ascii="Arial" w:hAnsi="Arial" w:cs="Arial"/>
          <w:bCs/>
          <w:sz w:val="28"/>
          <w:szCs w:val="28"/>
          <w:lang w:val="es-ES_tradnl"/>
        </w:rPr>
        <w:t>,</w:t>
      </w:r>
      <w:r w:rsidRPr="00F32542">
        <w:rPr>
          <w:rFonts w:ascii="Arial" w:hAnsi="Arial" w:cs="Arial"/>
          <w:bCs/>
          <w:sz w:val="28"/>
          <w:szCs w:val="28"/>
          <w:lang w:val="es-ES_tradnl"/>
        </w:rPr>
        <w:t xml:space="preserve"> no obra </w:t>
      </w:r>
      <w:r w:rsidR="0061431E" w:rsidRPr="00F32542">
        <w:rPr>
          <w:rFonts w:ascii="Arial" w:hAnsi="Arial" w:cs="Arial"/>
          <w:bCs/>
          <w:sz w:val="28"/>
          <w:szCs w:val="28"/>
          <w:lang w:val="es-ES_tradnl"/>
        </w:rPr>
        <w:t xml:space="preserve">asentada </w:t>
      </w:r>
      <w:r w:rsidRPr="00F32542">
        <w:rPr>
          <w:rFonts w:ascii="Arial" w:hAnsi="Arial" w:cs="Arial"/>
          <w:bCs/>
          <w:sz w:val="28"/>
          <w:szCs w:val="28"/>
          <w:lang w:val="es-ES_tradnl"/>
        </w:rPr>
        <w:t>firma autógrafa</w:t>
      </w:r>
      <w:r w:rsidR="00337E2D" w:rsidRPr="00F32542">
        <w:rPr>
          <w:rFonts w:ascii="Arial" w:hAnsi="Arial" w:cs="Arial"/>
          <w:bCs/>
          <w:sz w:val="28"/>
          <w:szCs w:val="28"/>
          <w:lang w:val="es-ES_tradnl"/>
        </w:rPr>
        <w:t xml:space="preserve">. </w:t>
      </w:r>
    </w:p>
    <w:p w14:paraId="7E231914" w14:textId="77777777" w:rsidR="00F967FE" w:rsidRPr="00F32542" w:rsidRDefault="00F967FE" w:rsidP="003D29D2">
      <w:pPr>
        <w:spacing w:after="0" w:line="360" w:lineRule="auto"/>
        <w:jc w:val="both"/>
        <w:rPr>
          <w:rFonts w:ascii="Arial" w:hAnsi="Arial" w:cs="Arial"/>
          <w:sz w:val="28"/>
          <w:szCs w:val="28"/>
        </w:rPr>
      </w:pPr>
    </w:p>
    <w:p w14:paraId="23861E36" w14:textId="77777777" w:rsidR="008554D7" w:rsidRPr="00F32542" w:rsidRDefault="00337E2D" w:rsidP="003D29D2">
      <w:pPr>
        <w:spacing w:after="0" w:line="360" w:lineRule="auto"/>
        <w:jc w:val="both"/>
        <w:rPr>
          <w:rFonts w:ascii="Arial" w:hAnsi="Arial" w:cs="Arial"/>
          <w:bCs/>
          <w:sz w:val="28"/>
          <w:szCs w:val="28"/>
        </w:rPr>
      </w:pPr>
      <w:r w:rsidRPr="00F32542">
        <w:rPr>
          <w:rFonts w:ascii="Arial" w:hAnsi="Arial" w:cs="Arial"/>
          <w:sz w:val="28"/>
          <w:szCs w:val="28"/>
        </w:rPr>
        <w:t xml:space="preserve">Al respecto, </w:t>
      </w:r>
      <w:r w:rsidR="00F967FE" w:rsidRPr="00F32542">
        <w:rPr>
          <w:rFonts w:ascii="Arial" w:hAnsi="Arial" w:cs="Arial"/>
          <w:bCs/>
          <w:sz w:val="28"/>
          <w:szCs w:val="28"/>
        </w:rPr>
        <w:t>e</w:t>
      </w:r>
      <w:r w:rsidR="00F967FE" w:rsidRPr="00F32542">
        <w:rPr>
          <w:rFonts w:ascii="Arial" w:hAnsi="Arial" w:cs="Arial"/>
          <w:sz w:val="28"/>
          <w:szCs w:val="28"/>
        </w:rPr>
        <w:t xml:space="preserve">s un hecho notorio, en términos del artículo 52 de la </w:t>
      </w:r>
      <w:r w:rsidR="00F967FE" w:rsidRPr="00F32542">
        <w:rPr>
          <w:rFonts w:ascii="Arial" w:hAnsi="Arial" w:cs="Arial"/>
          <w:i/>
          <w:sz w:val="28"/>
          <w:szCs w:val="28"/>
        </w:rPr>
        <w:t>Ley Procesal</w:t>
      </w:r>
      <w:r w:rsidR="008554D7" w:rsidRPr="00F32542">
        <w:rPr>
          <w:rFonts w:ascii="Arial" w:hAnsi="Arial" w:cs="Arial"/>
          <w:sz w:val="28"/>
          <w:szCs w:val="28"/>
        </w:rPr>
        <w:t xml:space="preserve">, </w:t>
      </w:r>
      <w:r w:rsidR="00F967FE" w:rsidRPr="00F32542">
        <w:rPr>
          <w:rFonts w:ascii="Arial" w:hAnsi="Arial" w:cs="Arial"/>
          <w:sz w:val="28"/>
          <w:szCs w:val="28"/>
        </w:rPr>
        <w:t xml:space="preserve">que el once de marzo de dos mil veinte, la Organización Mundial de la Salud </w:t>
      </w:r>
      <w:proofErr w:type="gramStart"/>
      <w:r w:rsidR="00F967FE" w:rsidRPr="00F32542">
        <w:rPr>
          <w:rFonts w:ascii="Arial" w:hAnsi="Arial" w:cs="Arial"/>
          <w:sz w:val="28"/>
          <w:szCs w:val="28"/>
        </w:rPr>
        <w:t>declaró como</w:t>
      </w:r>
      <w:proofErr w:type="gramEnd"/>
      <w:r w:rsidR="00F967FE" w:rsidRPr="00F32542">
        <w:rPr>
          <w:rFonts w:ascii="Arial" w:hAnsi="Arial" w:cs="Arial"/>
          <w:sz w:val="28"/>
          <w:szCs w:val="28"/>
        </w:rPr>
        <w:t xml:space="preserve"> pandemia la enfermedad causada por la propagación del virus SARS-CoV2 (COVID-19).</w:t>
      </w:r>
      <w:r w:rsidR="00B36F68" w:rsidRPr="00F32542">
        <w:rPr>
          <w:rFonts w:ascii="Arial" w:hAnsi="Arial" w:cs="Arial"/>
          <w:sz w:val="28"/>
          <w:szCs w:val="28"/>
        </w:rPr>
        <w:t xml:space="preserve"> </w:t>
      </w:r>
    </w:p>
    <w:p w14:paraId="6B41C087" w14:textId="77777777" w:rsidR="008554D7" w:rsidRPr="00F32542" w:rsidRDefault="008554D7" w:rsidP="003D29D2">
      <w:pPr>
        <w:spacing w:after="0" w:line="360" w:lineRule="auto"/>
        <w:jc w:val="both"/>
        <w:rPr>
          <w:rFonts w:ascii="Arial" w:hAnsi="Arial" w:cs="Arial"/>
          <w:sz w:val="28"/>
          <w:szCs w:val="28"/>
        </w:rPr>
      </w:pPr>
    </w:p>
    <w:p w14:paraId="5483DCC0" w14:textId="77777777" w:rsidR="00F967FE" w:rsidRPr="00F32542" w:rsidRDefault="00B36F68" w:rsidP="003D29D2">
      <w:pPr>
        <w:spacing w:after="0" w:line="360" w:lineRule="auto"/>
        <w:jc w:val="both"/>
        <w:rPr>
          <w:rFonts w:ascii="Arial" w:hAnsi="Arial" w:cs="Arial"/>
          <w:bCs/>
          <w:sz w:val="28"/>
          <w:szCs w:val="28"/>
        </w:rPr>
      </w:pPr>
      <w:r w:rsidRPr="00F32542">
        <w:rPr>
          <w:rFonts w:ascii="Arial" w:hAnsi="Arial" w:cs="Arial"/>
          <w:sz w:val="28"/>
          <w:szCs w:val="28"/>
        </w:rPr>
        <w:t>Motivo por el cual</w:t>
      </w:r>
      <w:r w:rsidR="00F967FE" w:rsidRPr="00F32542">
        <w:rPr>
          <w:rFonts w:ascii="Arial" w:hAnsi="Arial" w:cs="Arial"/>
          <w:bCs/>
          <w:sz w:val="28"/>
          <w:szCs w:val="28"/>
        </w:rPr>
        <w:t>, este Tribunal Electoral</w:t>
      </w:r>
      <w:r w:rsidR="008554D7" w:rsidRPr="00F32542">
        <w:rPr>
          <w:rFonts w:ascii="Arial" w:hAnsi="Arial" w:cs="Arial"/>
          <w:bCs/>
          <w:sz w:val="28"/>
          <w:szCs w:val="28"/>
        </w:rPr>
        <w:t xml:space="preserve"> </w:t>
      </w:r>
      <w:r w:rsidR="00F967FE" w:rsidRPr="00F32542">
        <w:rPr>
          <w:rFonts w:ascii="Arial" w:hAnsi="Arial" w:cs="Arial"/>
          <w:bCs/>
          <w:sz w:val="28"/>
          <w:szCs w:val="28"/>
        </w:rPr>
        <w:t>aprobó los “</w:t>
      </w:r>
      <w:r w:rsidR="00F967FE" w:rsidRPr="00F32542">
        <w:rPr>
          <w:rFonts w:ascii="Arial" w:hAnsi="Arial" w:cs="Arial"/>
          <w:bCs/>
          <w:i/>
          <w:iCs/>
          <w:sz w:val="28"/>
          <w:szCs w:val="28"/>
        </w:rPr>
        <w:t>Lineamientos para el uso de tecnologías de la información en la presentación y trámite de medios de impugnación, procedimiento especial sancionador y/o promociones”</w:t>
      </w:r>
      <w:r w:rsidRPr="00F32542">
        <w:rPr>
          <w:rFonts w:ascii="Arial" w:hAnsi="Arial" w:cs="Arial"/>
          <w:bCs/>
          <w:i/>
          <w:iCs/>
          <w:sz w:val="28"/>
          <w:szCs w:val="28"/>
        </w:rPr>
        <w:t xml:space="preserve">, </w:t>
      </w:r>
      <w:r w:rsidR="008554D7" w:rsidRPr="00F32542">
        <w:rPr>
          <w:rFonts w:ascii="Arial" w:hAnsi="Arial" w:cs="Arial"/>
          <w:bCs/>
          <w:sz w:val="28"/>
          <w:szCs w:val="28"/>
        </w:rPr>
        <w:t>los cuales</w:t>
      </w:r>
      <w:r w:rsidR="00F967FE" w:rsidRPr="00F32542">
        <w:rPr>
          <w:rFonts w:ascii="Arial" w:eastAsia="Calibri" w:hAnsi="Arial" w:cs="Arial"/>
          <w:sz w:val="28"/>
          <w:szCs w:val="28"/>
          <w:lang w:eastAsia="es-MX"/>
        </w:rPr>
        <w:t xml:space="preserve"> </w:t>
      </w:r>
      <w:r w:rsidRPr="00F32542">
        <w:rPr>
          <w:rFonts w:ascii="Arial" w:eastAsia="Calibri" w:hAnsi="Arial" w:cs="Arial"/>
          <w:sz w:val="28"/>
          <w:szCs w:val="28"/>
          <w:lang w:eastAsia="es-MX"/>
        </w:rPr>
        <w:t xml:space="preserve">prevén que para la presentación de promociones vía electrónica, el escrito atinente </w:t>
      </w:r>
      <w:r w:rsidR="00F967FE" w:rsidRPr="00F32542">
        <w:rPr>
          <w:rFonts w:ascii="Arial" w:eastAsia="Calibri" w:hAnsi="Arial" w:cs="Arial"/>
          <w:bCs/>
          <w:i/>
          <w:sz w:val="28"/>
          <w:szCs w:val="28"/>
          <w:lang w:eastAsia="es-MX"/>
        </w:rPr>
        <w:t xml:space="preserve"> </w:t>
      </w:r>
      <w:r w:rsidRPr="00F32542">
        <w:rPr>
          <w:rFonts w:ascii="Arial" w:eastAsia="Calibri" w:hAnsi="Arial" w:cs="Arial"/>
          <w:bCs/>
          <w:iCs/>
          <w:sz w:val="28"/>
          <w:szCs w:val="28"/>
          <w:lang w:eastAsia="es-MX"/>
        </w:rPr>
        <w:t>“…</w:t>
      </w:r>
      <w:r w:rsidR="00F967FE" w:rsidRPr="00F32542">
        <w:rPr>
          <w:rFonts w:ascii="Arial" w:eastAsia="Calibri" w:hAnsi="Arial" w:cs="Arial"/>
          <w:b/>
          <w:bCs/>
          <w:i/>
          <w:sz w:val="28"/>
          <w:szCs w:val="28"/>
          <w:lang w:eastAsia="es-MX"/>
        </w:rPr>
        <w:t>d</w:t>
      </w:r>
      <w:r w:rsidR="00F967FE" w:rsidRPr="00F32542">
        <w:rPr>
          <w:rFonts w:ascii="Arial" w:eastAsia="Calibri" w:hAnsi="Arial" w:cs="Arial"/>
          <w:b/>
          <w:i/>
          <w:sz w:val="28"/>
          <w:szCs w:val="28"/>
          <w:lang w:eastAsia="es-MX"/>
        </w:rPr>
        <w:t xml:space="preserve">eberá estar firmado por quien lo suscribe </w:t>
      </w:r>
      <w:r w:rsidR="00F967FE" w:rsidRPr="00F32542">
        <w:rPr>
          <w:rFonts w:ascii="Arial" w:eastAsia="Calibri" w:hAnsi="Arial" w:cs="Arial"/>
          <w:bCs/>
          <w:i/>
          <w:sz w:val="28"/>
          <w:szCs w:val="28"/>
          <w:lang w:eastAsia="es-MX"/>
        </w:rPr>
        <w:t>para ser digitalizado y enviarlo a través de la página del Tribunal Electoral en el apartado Oficialía de Partes</w:t>
      </w:r>
      <w:r w:rsidRPr="00F32542">
        <w:rPr>
          <w:rFonts w:ascii="Arial" w:eastAsia="Calibri" w:hAnsi="Arial" w:cs="Arial"/>
          <w:bCs/>
          <w:iCs/>
          <w:sz w:val="28"/>
          <w:szCs w:val="28"/>
          <w:lang w:eastAsia="es-MX"/>
        </w:rPr>
        <w:t xml:space="preserve">, </w:t>
      </w:r>
      <w:r w:rsidR="00F967FE" w:rsidRPr="00F32542">
        <w:rPr>
          <w:rFonts w:ascii="Arial" w:eastAsia="Calibri" w:hAnsi="Arial" w:cs="Arial"/>
          <w:bCs/>
          <w:i/>
          <w:sz w:val="28"/>
          <w:szCs w:val="28"/>
          <w:lang w:eastAsia="es-MX"/>
        </w:rPr>
        <w:t>donde deberá adjuntar, también en archivo electrónico, identificación oficial legible y los anexos correspondientes</w:t>
      </w:r>
      <w:r w:rsidRPr="00F32542">
        <w:rPr>
          <w:rFonts w:ascii="Arial" w:eastAsia="Calibri" w:hAnsi="Arial" w:cs="Arial"/>
          <w:bCs/>
          <w:i/>
          <w:sz w:val="28"/>
          <w:szCs w:val="28"/>
          <w:lang w:eastAsia="es-MX"/>
        </w:rPr>
        <w:t>…</w:t>
      </w:r>
      <w:r w:rsidR="00F967FE" w:rsidRPr="00F32542">
        <w:rPr>
          <w:rFonts w:ascii="Arial" w:eastAsia="Calibri" w:hAnsi="Arial" w:cs="Arial"/>
          <w:bCs/>
          <w:i/>
          <w:sz w:val="28"/>
          <w:szCs w:val="28"/>
          <w:lang w:eastAsia="es-MX"/>
        </w:rPr>
        <w:t>”</w:t>
      </w:r>
    </w:p>
    <w:p w14:paraId="61B88631" w14:textId="77777777" w:rsidR="00B36F68" w:rsidRPr="00F32542" w:rsidRDefault="00B36F68" w:rsidP="003D29D2">
      <w:pPr>
        <w:spacing w:after="0" w:line="360" w:lineRule="auto"/>
        <w:jc w:val="both"/>
        <w:rPr>
          <w:rFonts w:ascii="Arial" w:hAnsi="Arial" w:cs="Arial"/>
          <w:b/>
          <w:bCs/>
          <w:iCs/>
          <w:sz w:val="28"/>
          <w:szCs w:val="28"/>
          <w:u w:val="single"/>
        </w:rPr>
      </w:pPr>
    </w:p>
    <w:p w14:paraId="7F00FAD6" w14:textId="77777777" w:rsidR="00F967FE" w:rsidRPr="00F32542" w:rsidRDefault="00F967FE" w:rsidP="003D29D2">
      <w:pPr>
        <w:spacing w:after="0" w:line="360" w:lineRule="auto"/>
        <w:jc w:val="both"/>
        <w:rPr>
          <w:rFonts w:ascii="Arial" w:hAnsi="Arial" w:cs="Arial"/>
          <w:bCs/>
          <w:sz w:val="28"/>
          <w:szCs w:val="28"/>
        </w:rPr>
      </w:pPr>
      <w:r w:rsidRPr="00F32542">
        <w:rPr>
          <w:rFonts w:ascii="Arial" w:hAnsi="Arial" w:cs="Arial"/>
          <w:bCs/>
          <w:sz w:val="28"/>
          <w:szCs w:val="28"/>
        </w:rPr>
        <w:lastRenderedPageBreak/>
        <w:t>Al respecto, resulta evidente que</w:t>
      </w:r>
      <w:r w:rsidR="008913D7" w:rsidRPr="00F32542">
        <w:rPr>
          <w:rFonts w:ascii="Arial" w:hAnsi="Arial" w:cs="Arial"/>
          <w:bCs/>
          <w:sz w:val="28"/>
          <w:szCs w:val="28"/>
        </w:rPr>
        <w:t>,</w:t>
      </w:r>
      <w:r w:rsidRPr="00F32542">
        <w:rPr>
          <w:rFonts w:ascii="Arial" w:hAnsi="Arial" w:cs="Arial"/>
          <w:bCs/>
          <w:sz w:val="28"/>
          <w:szCs w:val="28"/>
        </w:rPr>
        <w:t xml:space="preserve"> para la </w:t>
      </w:r>
      <w:r w:rsidR="00FD170C" w:rsidRPr="00F32542">
        <w:rPr>
          <w:rFonts w:ascii="Arial" w:hAnsi="Arial" w:cs="Arial"/>
          <w:bCs/>
          <w:sz w:val="28"/>
          <w:szCs w:val="28"/>
        </w:rPr>
        <w:t xml:space="preserve">presentación </w:t>
      </w:r>
      <w:r w:rsidR="008554D7" w:rsidRPr="00F32542">
        <w:rPr>
          <w:rFonts w:ascii="Arial" w:hAnsi="Arial" w:cs="Arial"/>
          <w:bCs/>
          <w:sz w:val="28"/>
          <w:szCs w:val="28"/>
        </w:rPr>
        <w:t xml:space="preserve">de </w:t>
      </w:r>
      <w:r w:rsidRPr="00F32542">
        <w:rPr>
          <w:rFonts w:ascii="Arial" w:hAnsi="Arial" w:cs="Arial"/>
          <w:bCs/>
          <w:sz w:val="28"/>
          <w:szCs w:val="28"/>
        </w:rPr>
        <w:t xml:space="preserve">promociones </w:t>
      </w:r>
      <w:r w:rsidR="008554D7" w:rsidRPr="00F32542">
        <w:rPr>
          <w:rFonts w:ascii="Arial" w:hAnsi="Arial" w:cs="Arial"/>
          <w:bCs/>
          <w:sz w:val="28"/>
          <w:szCs w:val="28"/>
        </w:rPr>
        <w:t>mediante</w:t>
      </w:r>
      <w:r w:rsidR="00875398" w:rsidRPr="00F32542">
        <w:rPr>
          <w:rFonts w:ascii="Arial" w:hAnsi="Arial" w:cs="Arial"/>
          <w:bCs/>
          <w:sz w:val="28"/>
          <w:szCs w:val="28"/>
        </w:rPr>
        <w:t xml:space="preserve"> un</w:t>
      </w:r>
      <w:r w:rsidRPr="00F32542">
        <w:rPr>
          <w:rFonts w:ascii="Arial" w:hAnsi="Arial" w:cs="Arial"/>
          <w:bCs/>
          <w:sz w:val="28"/>
          <w:szCs w:val="28"/>
        </w:rPr>
        <w:t xml:space="preserve"> mecanismo digital, </w:t>
      </w:r>
      <w:r w:rsidR="008554D7" w:rsidRPr="00F32542">
        <w:rPr>
          <w:rFonts w:ascii="Arial" w:hAnsi="Arial" w:cs="Arial"/>
          <w:bCs/>
          <w:sz w:val="28"/>
          <w:szCs w:val="28"/>
        </w:rPr>
        <w:t xml:space="preserve">se </w:t>
      </w:r>
      <w:r w:rsidRPr="00F32542">
        <w:rPr>
          <w:rFonts w:ascii="Arial" w:hAnsi="Arial" w:cs="Arial"/>
          <w:bCs/>
          <w:sz w:val="28"/>
          <w:szCs w:val="28"/>
        </w:rPr>
        <w:t>debe cumplir con</w:t>
      </w:r>
      <w:r w:rsidR="008554D7" w:rsidRPr="00F32542">
        <w:rPr>
          <w:rFonts w:ascii="Arial" w:hAnsi="Arial" w:cs="Arial"/>
          <w:bCs/>
          <w:sz w:val="28"/>
          <w:szCs w:val="28"/>
        </w:rPr>
        <w:t xml:space="preserve"> el requisito de </w:t>
      </w:r>
      <w:r w:rsidR="008913D7" w:rsidRPr="00F32542">
        <w:rPr>
          <w:rFonts w:ascii="Arial" w:hAnsi="Arial" w:cs="Arial"/>
          <w:bCs/>
          <w:sz w:val="28"/>
          <w:szCs w:val="28"/>
        </w:rPr>
        <w:t>contar</w:t>
      </w:r>
      <w:r w:rsidR="008554D7" w:rsidRPr="00F32542">
        <w:rPr>
          <w:rFonts w:ascii="Arial" w:hAnsi="Arial" w:cs="Arial"/>
          <w:bCs/>
          <w:sz w:val="28"/>
          <w:szCs w:val="28"/>
        </w:rPr>
        <w:t xml:space="preserve"> con</w:t>
      </w:r>
      <w:r w:rsidRPr="00F32542">
        <w:rPr>
          <w:rFonts w:ascii="Arial" w:hAnsi="Arial" w:cs="Arial"/>
          <w:bCs/>
          <w:sz w:val="28"/>
          <w:szCs w:val="28"/>
        </w:rPr>
        <w:t xml:space="preserve"> firma autógrafa</w:t>
      </w:r>
      <w:r w:rsidR="00AE3419" w:rsidRPr="00F32542">
        <w:rPr>
          <w:rFonts w:ascii="Arial" w:hAnsi="Arial" w:cs="Arial"/>
          <w:bCs/>
          <w:sz w:val="28"/>
          <w:szCs w:val="28"/>
        </w:rPr>
        <w:t>.</w:t>
      </w:r>
    </w:p>
    <w:p w14:paraId="63A3D94E" w14:textId="77777777" w:rsidR="00F967FE" w:rsidRPr="00F32542" w:rsidRDefault="00F967FE" w:rsidP="003D29D2">
      <w:pPr>
        <w:spacing w:after="0" w:line="360" w:lineRule="auto"/>
        <w:jc w:val="both"/>
        <w:rPr>
          <w:rFonts w:ascii="Arial" w:hAnsi="Arial" w:cs="Arial"/>
          <w:bCs/>
          <w:sz w:val="28"/>
          <w:szCs w:val="28"/>
        </w:rPr>
      </w:pPr>
    </w:p>
    <w:p w14:paraId="1FD45F07" w14:textId="77777777" w:rsidR="00F967FE" w:rsidRPr="00F32542" w:rsidRDefault="00F967FE" w:rsidP="003D29D2">
      <w:pPr>
        <w:spacing w:after="0" w:line="360" w:lineRule="auto"/>
        <w:jc w:val="both"/>
        <w:rPr>
          <w:rFonts w:ascii="Arial" w:eastAsia="Times New Roman" w:hAnsi="Arial" w:cs="Arial"/>
          <w:bCs/>
          <w:sz w:val="28"/>
          <w:szCs w:val="28"/>
          <w:lang w:val="es-ES" w:eastAsia="es-ES"/>
        </w:rPr>
      </w:pPr>
      <w:r w:rsidRPr="00F32542">
        <w:rPr>
          <w:rFonts w:ascii="Arial" w:eastAsia="Times New Roman" w:hAnsi="Arial" w:cs="Arial"/>
          <w:sz w:val="28"/>
          <w:szCs w:val="28"/>
          <w:lang w:val="es-ES" w:eastAsia="es-ES"/>
        </w:rPr>
        <w:t xml:space="preserve">Sin embargo, </w:t>
      </w:r>
      <w:r w:rsidR="00913C73" w:rsidRPr="00F32542">
        <w:rPr>
          <w:rFonts w:ascii="Arial" w:eastAsia="Times New Roman" w:hAnsi="Arial" w:cs="Arial"/>
          <w:sz w:val="28"/>
          <w:szCs w:val="28"/>
          <w:lang w:val="es-ES" w:eastAsia="es-ES"/>
        </w:rPr>
        <w:t xml:space="preserve">se estima </w:t>
      </w:r>
      <w:r w:rsidR="00AE3419" w:rsidRPr="00F32542">
        <w:rPr>
          <w:rFonts w:ascii="Arial" w:eastAsia="Times New Roman" w:hAnsi="Arial" w:cs="Arial"/>
          <w:sz w:val="28"/>
          <w:szCs w:val="28"/>
          <w:lang w:val="es-ES" w:eastAsia="es-ES"/>
        </w:rPr>
        <w:t xml:space="preserve">que la falta de firma de un escrito de </w:t>
      </w:r>
      <w:proofErr w:type="gramStart"/>
      <w:r w:rsidR="00AE3419" w:rsidRPr="00F32542">
        <w:rPr>
          <w:rFonts w:ascii="Arial" w:eastAsia="Times New Roman" w:hAnsi="Arial" w:cs="Arial"/>
          <w:sz w:val="28"/>
          <w:szCs w:val="28"/>
          <w:lang w:val="es-ES" w:eastAsia="es-ES"/>
        </w:rPr>
        <w:t>comparecencia,</w:t>
      </w:r>
      <w:proofErr w:type="gramEnd"/>
      <w:r w:rsidRPr="00F32542">
        <w:rPr>
          <w:rFonts w:ascii="Arial" w:eastAsia="Times New Roman" w:hAnsi="Arial" w:cs="Arial"/>
          <w:sz w:val="28"/>
          <w:szCs w:val="28"/>
          <w:lang w:val="es-ES" w:eastAsia="es-ES"/>
        </w:rPr>
        <w:t xml:space="preserve"> no necesariamente trae como consecuencia su</w:t>
      </w:r>
      <w:r w:rsidR="0031222B" w:rsidRPr="00F32542">
        <w:rPr>
          <w:rFonts w:ascii="Arial" w:eastAsia="Times New Roman" w:hAnsi="Arial" w:cs="Arial"/>
          <w:sz w:val="28"/>
          <w:szCs w:val="28"/>
          <w:lang w:val="es-ES" w:eastAsia="es-ES"/>
        </w:rPr>
        <w:t xml:space="preserve"> improcedencia</w:t>
      </w:r>
      <w:r w:rsidR="008913D7" w:rsidRPr="00F32542">
        <w:rPr>
          <w:rFonts w:ascii="Arial" w:eastAsia="Times New Roman" w:hAnsi="Arial" w:cs="Arial"/>
          <w:sz w:val="28"/>
          <w:szCs w:val="28"/>
          <w:lang w:val="es-ES" w:eastAsia="es-ES"/>
        </w:rPr>
        <w:t xml:space="preserve">, </w:t>
      </w:r>
      <w:r w:rsidRPr="00F32542">
        <w:rPr>
          <w:rFonts w:ascii="Arial" w:eastAsia="Times New Roman" w:hAnsi="Arial" w:cs="Arial"/>
          <w:sz w:val="28"/>
          <w:szCs w:val="28"/>
          <w:lang w:val="es-ES" w:eastAsia="es-ES"/>
        </w:rPr>
        <w:t>ya que existen supuestos de excepció</w:t>
      </w:r>
      <w:r w:rsidR="008554D7" w:rsidRPr="00F32542">
        <w:rPr>
          <w:rFonts w:ascii="Arial" w:eastAsia="Times New Roman" w:hAnsi="Arial" w:cs="Arial"/>
          <w:sz w:val="28"/>
          <w:szCs w:val="28"/>
          <w:lang w:val="es-ES" w:eastAsia="es-ES"/>
        </w:rPr>
        <w:t>n</w:t>
      </w:r>
      <w:r w:rsidR="00AE3419" w:rsidRPr="00F32542">
        <w:rPr>
          <w:rFonts w:ascii="Arial" w:eastAsia="Times New Roman" w:hAnsi="Arial" w:cs="Arial"/>
          <w:bCs/>
          <w:sz w:val="28"/>
          <w:szCs w:val="28"/>
          <w:lang w:val="es-ES" w:eastAsia="es-ES"/>
        </w:rPr>
        <w:t>,</w:t>
      </w:r>
      <w:r w:rsidR="00AE3419" w:rsidRPr="00F32542">
        <w:rPr>
          <w:rStyle w:val="Refdenotaalpie"/>
          <w:rFonts w:ascii="Arial" w:eastAsia="Times New Roman" w:hAnsi="Arial" w:cs="Arial"/>
          <w:sz w:val="28"/>
          <w:szCs w:val="28"/>
          <w:lang w:val="es-ES" w:eastAsia="es-ES"/>
        </w:rPr>
        <w:footnoteReference w:id="8"/>
      </w:r>
      <w:r w:rsidR="00AE3419" w:rsidRPr="00F32542">
        <w:rPr>
          <w:rFonts w:ascii="Arial" w:eastAsia="Times New Roman" w:hAnsi="Arial" w:cs="Arial"/>
          <w:bCs/>
          <w:sz w:val="28"/>
          <w:szCs w:val="28"/>
          <w:lang w:val="es-ES" w:eastAsia="es-ES"/>
        </w:rPr>
        <w:t xml:space="preserve"> como sería el acontecido</w:t>
      </w:r>
      <w:r w:rsidR="008913D7" w:rsidRPr="00F32542">
        <w:rPr>
          <w:rFonts w:ascii="Arial" w:eastAsia="Times New Roman" w:hAnsi="Arial" w:cs="Arial"/>
          <w:bCs/>
          <w:sz w:val="28"/>
          <w:szCs w:val="28"/>
          <w:lang w:val="es-ES" w:eastAsia="es-ES"/>
        </w:rPr>
        <w:t xml:space="preserve"> respecto al </w:t>
      </w:r>
      <w:r w:rsidR="00AE3419" w:rsidRPr="00F32542">
        <w:rPr>
          <w:rFonts w:ascii="Arial" w:eastAsia="Times New Roman" w:hAnsi="Arial" w:cs="Arial"/>
          <w:bCs/>
          <w:sz w:val="28"/>
          <w:szCs w:val="28"/>
          <w:lang w:val="es-ES" w:eastAsia="es-ES"/>
        </w:rPr>
        <w:t>ocurso exhibido</w:t>
      </w:r>
      <w:r w:rsidR="008913D7" w:rsidRPr="00F32542">
        <w:rPr>
          <w:rFonts w:ascii="Arial" w:eastAsia="Times New Roman" w:hAnsi="Arial" w:cs="Arial"/>
          <w:bCs/>
          <w:sz w:val="28"/>
          <w:szCs w:val="28"/>
          <w:lang w:val="es-ES" w:eastAsia="es-ES"/>
        </w:rPr>
        <w:t xml:space="preserve"> en el</w:t>
      </w:r>
      <w:r w:rsidRPr="00F32542">
        <w:rPr>
          <w:rFonts w:ascii="Arial" w:eastAsia="Times New Roman" w:hAnsi="Arial" w:cs="Arial"/>
          <w:bCs/>
          <w:sz w:val="28"/>
          <w:szCs w:val="28"/>
          <w:lang w:val="es-ES" w:eastAsia="es-ES"/>
        </w:rPr>
        <w:t xml:space="preserve"> juicio TECDMX-JLDC-090/202</w:t>
      </w:r>
      <w:r w:rsidR="00AE3419" w:rsidRPr="00F32542">
        <w:rPr>
          <w:rFonts w:ascii="Arial" w:eastAsia="Times New Roman" w:hAnsi="Arial" w:cs="Arial"/>
          <w:bCs/>
          <w:sz w:val="28"/>
          <w:szCs w:val="28"/>
          <w:lang w:val="es-ES" w:eastAsia="es-ES"/>
        </w:rPr>
        <w:t xml:space="preserve">1, </w:t>
      </w:r>
      <w:r w:rsidR="008913D7" w:rsidRPr="00F32542">
        <w:rPr>
          <w:rFonts w:ascii="Arial" w:eastAsia="Times New Roman" w:hAnsi="Arial" w:cs="Arial"/>
          <w:bCs/>
          <w:sz w:val="28"/>
          <w:szCs w:val="28"/>
          <w:lang w:val="es-ES" w:eastAsia="es-ES"/>
        </w:rPr>
        <w:t xml:space="preserve">pues al momento de </w:t>
      </w:r>
      <w:r w:rsidRPr="00F32542">
        <w:rPr>
          <w:rFonts w:ascii="Arial" w:eastAsia="Times New Roman" w:hAnsi="Arial" w:cs="Arial"/>
          <w:bCs/>
          <w:sz w:val="28"/>
          <w:szCs w:val="28"/>
          <w:lang w:val="es-ES" w:eastAsia="es-ES"/>
        </w:rPr>
        <w:t>presenta</w:t>
      </w:r>
      <w:r w:rsidR="008913D7" w:rsidRPr="00F32542">
        <w:rPr>
          <w:rFonts w:ascii="Arial" w:eastAsia="Times New Roman" w:hAnsi="Arial" w:cs="Arial"/>
          <w:bCs/>
          <w:sz w:val="28"/>
          <w:szCs w:val="28"/>
          <w:lang w:val="es-ES" w:eastAsia="es-ES"/>
        </w:rPr>
        <w:t>rse</w:t>
      </w:r>
      <w:r w:rsidRPr="00F32542">
        <w:rPr>
          <w:rFonts w:ascii="Arial" w:eastAsia="Times New Roman" w:hAnsi="Arial" w:cs="Arial"/>
          <w:bCs/>
          <w:sz w:val="28"/>
          <w:szCs w:val="28"/>
          <w:lang w:val="es-ES" w:eastAsia="es-ES"/>
        </w:rPr>
        <w:t xml:space="preserve"> electrónicamente</w:t>
      </w:r>
      <w:r w:rsidR="008913D7" w:rsidRPr="00F32542">
        <w:rPr>
          <w:rFonts w:ascii="Arial" w:eastAsia="Times New Roman" w:hAnsi="Arial" w:cs="Arial"/>
          <w:bCs/>
          <w:sz w:val="28"/>
          <w:szCs w:val="28"/>
          <w:lang w:val="es-ES" w:eastAsia="es-ES"/>
        </w:rPr>
        <w:t xml:space="preserve">, </w:t>
      </w:r>
      <w:r w:rsidRPr="00F32542">
        <w:rPr>
          <w:rFonts w:ascii="Arial" w:eastAsia="Times New Roman" w:hAnsi="Arial" w:cs="Arial"/>
          <w:bCs/>
          <w:sz w:val="28"/>
          <w:szCs w:val="28"/>
          <w:lang w:val="es-ES" w:eastAsia="es-ES"/>
        </w:rPr>
        <w:t xml:space="preserve">ante la autoridad responsable, </w:t>
      </w:r>
      <w:r w:rsidR="008913D7" w:rsidRPr="00F32542">
        <w:rPr>
          <w:rFonts w:ascii="Arial" w:eastAsia="Times New Roman" w:hAnsi="Arial" w:cs="Arial"/>
          <w:bCs/>
          <w:sz w:val="28"/>
          <w:szCs w:val="28"/>
          <w:lang w:val="es-ES" w:eastAsia="es-ES"/>
        </w:rPr>
        <w:t>se adjuntó al mismo</w:t>
      </w:r>
      <w:r w:rsidR="0031222B" w:rsidRPr="00F32542">
        <w:rPr>
          <w:rFonts w:ascii="Arial" w:eastAsia="Times New Roman" w:hAnsi="Arial" w:cs="Arial"/>
          <w:bCs/>
          <w:sz w:val="28"/>
          <w:szCs w:val="28"/>
          <w:lang w:val="es-ES" w:eastAsia="es-ES"/>
        </w:rPr>
        <w:t>,</w:t>
      </w:r>
      <w:r w:rsidR="008913D7" w:rsidRPr="00F32542">
        <w:rPr>
          <w:rFonts w:ascii="Arial" w:eastAsia="Times New Roman" w:hAnsi="Arial" w:cs="Arial"/>
          <w:bCs/>
          <w:sz w:val="28"/>
          <w:szCs w:val="28"/>
          <w:lang w:val="es-ES" w:eastAsia="es-ES"/>
        </w:rPr>
        <w:t xml:space="preserve"> </w:t>
      </w:r>
      <w:r w:rsidRPr="00F32542">
        <w:rPr>
          <w:rFonts w:ascii="Arial" w:eastAsia="Times New Roman" w:hAnsi="Arial" w:cs="Arial"/>
          <w:bCs/>
          <w:sz w:val="28"/>
          <w:szCs w:val="28"/>
          <w:lang w:val="es-ES" w:eastAsia="es-ES"/>
        </w:rPr>
        <w:t xml:space="preserve">copia simple de </w:t>
      </w:r>
      <w:r w:rsidR="008554D7" w:rsidRPr="00F32542">
        <w:rPr>
          <w:rFonts w:ascii="Arial" w:eastAsia="Times New Roman" w:hAnsi="Arial" w:cs="Arial"/>
          <w:bCs/>
          <w:sz w:val="28"/>
          <w:szCs w:val="28"/>
          <w:lang w:val="es-ES" w:eastAsia="es-ES"/>
        </w:rPr>
        <w:t>la credencial de elector de</w:t>
      </w:r>
      <w:r w:rsidR="008913D7" w:rsidRPr="00F32542">
        <w:rPr>
          <w:rFonts w:ascii="Arial" w:eastAsia="Times New Roman" w:hAnsi="Arial" w:cs="Arial"/>
          <w:bCs/>
          <w:sz w:val="28"/>
          <w:szCs w:val="28"/>
          <w:lang w:val="es-ES" w:eastAsia="es-ES"/>
        </w:rPr>
        <w:t xml:space="preserve"> la persona </w:t>
      </w:r>
      <w:r w:rsidR="00AE3419" w:rsidRPr="00F32542">
        <w:rPr>
          <w:rFonts w:ascii="Arial" w:eastAsia="Times New Roman" w:hAnsi="Arial" w:cs="Arial"/>
          <w:bCs/>
          <w:sz w:val="28"/>
          <w:szCs w:val="28"/>
          <w:lang w:val="es-ES" w:eastAsia="es-ES"/>
        </w:rPr>
        <w:t>compareciente.</w:t>
      </w:r>
    </w:p>
    <w:p w14:paraId="314E5348" w14:textId="77777777" w:rsidR="00F967FE" w:rsidRPr="00F32542" w:rsidRDefault="00F967FE" w:rsidP="003D29D2">
      <w:pPr>
        <w:spacing w:after="0" w:line="360" w:lineRule="auto"/>
        <w:jc w:val="both"/>
        <w:rPr>
          <w:rFonts w:ascii="Arial" w:eastAsia="Times New Roman" w:hAnsi="Arial" w:cs="Arial"/>
          <w:bCs/>
          <w:sz w:val="28"/>
          <w:szCs w:val="28"/>
          <w:lang w:val="es-ES" w:eastAsia="es-ES"/>
        </w:rPr>
      </w:pPr>
    </w:p>
    <w:p w14:paraId="24DDAC6D" w14:textId="77777777" w:rsidR="00F967FE" w:rsidRPr="00F32542" w:rsidRDefault="008554D7" w:rsidP="003D29D2">
      <w:pPr>
        <w:spacing w:after="0" w:line="360" w:lineRule="auto"/>
        <w:jc w:val="both"/>
        <w:rPr>
          <w:rFonts w:ascii="Arial" w:eastAsia="Times New Roman" w:hAnsi="Arial" w:cs="Arial"/>
          <w:bCs/>
          <w:sz w:val="28"/>
          <w:szCs w:val="28"/>
          <w:lang w:val="es-ES" w:eastAsia="es-ES"/>
        </w:rPr>
      </w:pPr>
      <w:r w:rsidRPr="00F32542">
        <w:rPr>
          <w:rFonts w:ascii="Arial" w:eastAsia="Times New Roman" w:hAnsi="Arial" w:cs="Arial"/>
          <w:bCs/>
          <w:sz w:val="28"/>
          <w:szCs w:val="28"/>
          <w:lang w:val="es-ES" w:eastAsia="es-ES"/>
        </w:rPr>
        <w:t>D</w:t>
      </w:r>
      <w:r w:rsidR="00F967FE" w:rsidRPr="00F32542">
        <w:rPr>
          <w:rFonts w:ascii="Arial" w:eastAsia="Times New Roman" w:hAnsi="Arial" w:cs="Arial"/>
          <w:bCs/>
          <w:sz w:val="28"/>
          <w:szCs w:val="28"/>
          <w:lang w:val="es-ES" w:eastAsia="es-ES"/>
        </w:rPr>
        <w:t xml:space="preserve">ocumento de uso personalísimo de </w:t>
      </w:r>
      <w:r w:rsidR="00AE3419" w:rsidRPr="00F32542">
        <w:rPr>
          <w:rFonts w:ascii="Arial" w:eastAsia="Times New Roman" w:hAnsi="Arial" w:cs="Arial"/>
          <w:bCs/>
          <w:sz w:val="28"/>
          <w:szCs w:val="28"/>
          <w:lang w:val="es-ES" w:eastAsia="es-ES"/>
        </w:rPr>
        <w:t xml:space="preserve">dicha persona </w:t>
      </w:r>
      <w:r w:rsidR="00F967FE" w:rsidRPr="00F32542">
        <w:rPr>
          <w:rFonts w:ascii="Arial" w:eastAsia="Times New Roman" w:hAnsi="Arial" w:cs="Arial"/>
          <w:bCs/>
          <w:sz w:val="28"/>
          <w:szCs w:val="28"/>
          <w:lang w:val="es-ES" w:eastAsia="es-ES"/>
        </w:rPr>
        <w:t xml:space="preserve">y, por consiguiente, </w:t>
      </w:r>
      <w:r w:rsidR="00AE3419" w:rsidRPr="00F32542">
        <w:rPr>
          <w:rFonts w:ascii="Arial" w:eastAsia="Times New Roman" w:hAnsi="Arial" w:cs="Arial"/>
          <w:bCs/>
          <w:sz w:val="28"/>
          <w:szCs w:val="28"/>
          <w:lang w:val="es-ES" w:eastAsia="es-ES"/>
        </w:rPr>
        <w:t xml:space="preserve">que </w:t>
      </w:r>
      <w:r w:rsidR="00F967FE" w:rsidRPr="00F32542">
        <w:rPr>
          <w:rFonts w:ascii="Arial" w:eastAsia="Times New Roman" w:hAnsi="Arial" w:cs="Arial"/>
          <w:bCs/>
          <w:sz w:val="28"/>
          <w:szCs w:val="28"/>
          <w:lang w:val="es-ES" w:eastAsia="es-ES"/>
        </w:rPr>
        <w:t xml:space="preserve">se presume </w:t>
      </w:r>
      <w:r w:rsidR="00AE3419" w:rsidRPr="00F32542">
        <w:rPr>
          <w:rFonts w:ascii="Arial" w:eastAsia="Times New Roman" w:hAnsi="Arial" w:cs="Arial"/>
          <w:bCs/>
          <w:sz w:val="28"/>
          <w:szCs w:val="28"/>
          <w:lang w:val="es-ES" w:eastAsia="es-ES"/>
        </w:rPr>
        <w:t>a disposición</w:t>
      </w:r>
      <w:r w:rsidR="00F967FE" w:rsidRPr="00F32542">
        <w:rPr>
          <w:rFonts w:ascii="Arial" w:eastAsia="Times New Roman" w:hAnsi="Arial" w:cs="Arial"/>
          <w:bCs/>
          <w:sz w:val="28"/>
          <w:szCs w:val="28"/>
          <w:lang w:val="es-ES" w:eastAsia="es-ES"/>
        </w:rPr>
        <w:t xml:space="preserve"> solamente </w:t>
      </w:r>
      <w:r w:rsidR="00AE3419" w:rsidRPr="00F32542">
        <w:rPr>
          <w:rFonts w:ascii="Arial" w:eastAsia="Times New Roman" w:hAnsi="Arial" w:cs="Arial"/>
          <w:bCs/>
          <w:sz w:val="28"/>
          <w:szCs w:val="28"/>
          <w:lang w:val="es-ES" w:eastAsia="es-ES"/>
        </w:rPr>
        <w:t>de ella</w:t>
      </w:r>
      <w:r w:rsidR="00B44B9A" w:rsidRPr="00F32542">
        <w:rPr>
          <w:rFonts w:ascii="Arial" w:eastAsia="Times New Roman" w:hAnsi="Arial" w:cs="Arial"/>
          <w:bCs/>
          <w:sz w:val="28"/>
          <w:szCs w:val="28"/>
          <w:lang w:val="es-ES" w:eastAsia="es-ES"/>
        </w:rPr>
        <w:t>;</w:t>
      </w:r>
      <w:r w:rsidR="00F967FE" w:rsidRPr="00F32542">
        <w:rPr>
          <w:rFonts w:ascii="Arial" w:eastAsia="Times New Roman" w:hAnsi="Arial" w:cs="Arial"/>
          <w:bCs/>
          <w:sz w:val="28"/>
          <w:szCs w:val="28"/>
          <w:lang w:val="es-ES" w:eastAsia="es-ES"/>
        </w:rPr>
        <w:t xml:space="preserve"> de modo que</w:t>
      </w:r>
      <w:r w:rsidR="0031222B" w:rsidRPr="00F32542">
        <w:rPr>
          <w:rFonts w:ascii="Arial" w:eastAsia="Times New Roman" w:hAnsi="Arial" w:cs="Arial"/>
          <w:bCs/>
          <w:sz w:val="28"/>
          <w:szCs w:val="28"/>
          <w:lang w:val="es-ES" w:eastAsia="es-ES"/>
        </w:rPr>
        <w:t xml:space="preserve">, ante </w:t>
      </w:r>
      <w:r w:rsidR="00F967FE" w:rsidRPr="00F32542">
        <w:rPr>
          <w:rFonts w:ascii="Arial" w:eastAsia="Times New Roman" w:hAnsi="Arial" w:cs="Arial"/>
          <w:bCs/>
          <w:sz w:val="28"/>
          <w:szCs w:val="28"/>
          <w:lang w:val="es-ES" w:eastAsia="es-ES"/>
        </w:rPr>
        <w:t>su exhibición en copia adjunta a</w:t>
      </w:r>
      <w:r w:rsidR="00AE3419" w:rsidRPr="00F32542">
        <w:rPr>
          <w:rFonts w:ascii="Arial" w:eastAsia="Times New Roman" w:hAnsi="Arial" w:cs="Arial"/>
          <w:bCs/>
          <w:sz w:val="28"/>
          <w:szCs w:val="28"/>
          <w:lang w:val="es-ES" w:eastAsia="es-ES"/>
        </w:rPr>
        <w:t xml:space="preserve">l </w:t>
      </w:r>
      <w:r w:rsidR="00F967FE" w:rsidRPr="00F32542">
        <w:rPr>
          <w:rFonts w:ascii="Arial" w:eastAsia="Times New Roman" w:hAnsi="Arial" w:cs="Arial"/>
          <w:bCs/>
          <w:sz w:val="28"/>
          <w:szCs w:val="28"/>
          <w:lang w:val="es-ES" w:eastAsia="es-ES"/>
        </w:rPr>
        <w:t xml:space="preserve">escrito de </w:t>
      </w:r>
      <w:r w:rsidR="00337E2D" w:rsidRPr="00F32542">
        <w:rPr>
          <w:rFonts w:ascii="Arial" w:eastAsia="Times New Roman" w:hAnsi="Arial" w:cs="Arial"/>
          <w:bCs/>
          <w:sz w:val="28"/>
          <w:szCs w:val="28"/>
          <w:lang w:val="es-ES" w:eastAsia="es-ES"/>
        </w:rPr>
        <w:t>tercería</w:t>
      </w:r>
      <w:r w:rsidR="00F967FE" w:rsidRPr="00F32542">
        <w:rPr>
          <w:rFonts w:ascii="Arial" w:eastAsia="Times New Roman" w:hAnsi="Arial" w:cs="Arial"/>
          <w:bCs/>
          <w:sz w:val="28"/>
          <w:szCs w:val="28"/>
          <w:lang w:val="es-ES" w:eastAsia="es-ES"/>
        </w:rPr>
        <w:t xml:space="preserve">, </w:t>
      </w:r>
      <w:r w:rsidR="0031222B" w:rsidRPr="00F32542">
        <w:rPr>
          <w:rFonts w:ascii="Arial" w:eastAsia="Times New Roman" w:hAnsi="Arial" w:cs="Arial"/>
          <w:bCs/>
          <w:sz w:val="28"/>
          <w:szCs w:val="28"/>
          <w:lang w:val="es-ES" w:eastAsia="es-ES"/>
        </w:rPr>
        <w:t xml:space="preserve">ello </w:t>
      </w:r>
      <w:r w:rsidR="00F967FE" w:rsidRPr="00F32542">
        <w:rPr>
          <w:rFonts w:ascii="Arial" w:eastAsia="Times New Roman" w:hAnsi="Arial" w:cs="Arial"/>
          <w:bCs/>
          <w:sz w:val="28"/>
          <w:szCs w:val="28"/>
          <w:lang w:val="es-ES" w:eastAsia="es-ES"/>
        </w:rPr>
        <w:t xml:space="preserve">es suficiente para </w:t>
      </w:r>
      <w:r w:rsidR="0031222B" w:rsidRPr="00F32542">
        <w:rPr>
          <w:rFonts w:ascii="Arial" w:eastAsia="Times New Roman" w:hAnsi="Arial" w:cs="Arial"/>
          <w:bCs/>
          <w:sz w:val="28"/>
          <w:szCs w:val="28"/>
          <w:lang w:val="es-ES" w:eastAsia="es-ES"/>
        </w:rPr>
        <w:t xml:space="preserve">acreditar </w:t>
      </w:r>
      <w:r w:rsidR="00F967FE" w:rsidRPr="00F32542">
        <w:rPr>
          <w:rFonts w:ascii="Arial" w:eastAsia="Times New Roman" w:hAnsi="Arial" w:cs="Arial"/>
          <w:bCs/>
          <w:sz w:val="28"/>
          <w:szCs w:val="28"/>
          <w:lang w:val="es-ES" w:eastAsia="es-ES"/>
        </w:rPr>
        <w:t xml:space="preserve">que </w:t>
      </w:r>
      <w:r w:rsidR="0031222B" w:rsidRPr="00F32542">
        <w:rPr>
          <w:rFonts w:ascii="Arial" w:eastAsia="Times New Roman" w:hAnsi="Arial" w:cs="Arial"/>
          <w:bCs/>
          <w:sz w:val="28"/>
          <w:szCs w:val="28"/>
          <w:lang w:val="es-ES" w:eastAsia="es-ES"/>
        </w:rPr>
        <w:t xml:space="preserve">su titular </w:t>
      </w:r>
      <w:r w:rsidR="00F967FE" w:rsidRPr="00F32542">
        <w:rPr>
          <w:rFonts w:ascii="Arial" w:eastAsia="Times New Roman" w:hAnsi="Arial" w:cs="Arial"/>
          <w:bCs/>
          <w:sz w:val="28"/>
          <w:szCs w:val="28"/>
          <w:lang w:val="es-ES" w:eastAsia="es-ES"/>
        </w:rPr>
        <w:t>es quien</w:t>
      </w:r>
      <w:r w:rsidR="0031222B" w:rsidRPr="00F32542">
        <w:rPr>
          <w:rFonts w:ascii="Arial" w:eastAsia="Times New Roman" w:hAnsi="Arial" w:cs="Arial"/>
          <w:bCs/>
          <w:sz w:val="28"/>
          <w:szCs w:val="28"/>
          <w:lang w:val="es-ES" w:eastAsia="es-ES"/>
        </w:rPr>
        <w:t xml:space="preserve"> se ostenta como parte tercera interesada, razón por la cual esa calidad debe serle recon</w:t>
      </w:r>
      <w:r w:rsidR="00B44B9A" w:rsidRPr="00F32542">
        <w:rPr>
          <w:rFonts w:ascii="Arial" w:eastAsia="Times New Roman" w:hAnsi="Arial" w:cs="Arial"/>
          <w:bCs/>
          <w:sz w:val="28"/>
          <w:szCs w:val="28"/>
          <w:lang w:val="es-ES" w:eastAsia="es-ES"/>
        </w:rPr>
        <w:t>o</w:t>
      </w:r>
      <w:r w:rsidR="0031222B" w:rsidRPr="00F32542">
        <w:rPr>
          <w:rFonts w:ascii="Arial" w:eastAsia="Times New Roman" w:hAnsi="Arial" w:cs="Arial"/>
          <w:bCs/>
          <w:sz w:val="28"/>
          <w:szCs w:val="28"/>
          <w:lang w:val="es-ES" w:eastAsia="es-ES"/>
        </w:rPr>
        <w:t>cida.</w:t>
      </w:r>
      <w:r w:rsidR="00F967FE" w:rsidRPr="00F32542">
        <w:rPr>
          <w:rFonts w:ascii="Arial" w:eastAsia="Times New Roman" w:hAnsi="Arial" w:cs="Arial"/>
          <w:bCs/>
          <w:sz w:val="28"/>
          <w:szCs w:val="28"/>
          <w:lang w:val="es-ES" w:eastAsia="es-ES"/>
        </w:rPr>
        <w:t xml:space="preserve"> </w:t>
      </w:r>
    </w:p>
    <w:p w14:paraId="672C9F12" w14:textId="77777777" w:rsidR="00142AAE" w:rsidRPr="00F32542" w:rsidRDefault="00142AAE" w:rsidP="003D29D2">
      <w:pPr>
        <w:spacing w:after="0" w:line="360" w:lineRule="auto"/>
        <w:jc w:val="both"/>
        <w:rPr>
          <w:rFonts w:ascii="Arial" w:hAnsi="Arial" w:cs="Arial"/>
          <w:bCs/>
          <w:sz w:val="28"/>
          <w:szCs w:val="28"/>
          <w:lang w:val="es-ES_tradnl"/>
        </w:rPr>
      </w:pPr>
    </w:p>
    <w:p w14:paraId="35DF6EB3" w14:textId="77777777" w:rsidR="00142AAE" w:rsidRPr="00F32542" w:rsidRDefault="00874767" w:rsidP="003D29D2">
      <w:pPr>
        <w:spacing w:after="0" w:line="360" w:lineRule="auto"/>
        <w:jc w:val="both"/>
        <w:rPr>
          <w:rFonts w:ascii="Arial" w:eastAsia="Calibri" w:hAnsi="Arial" w:cs="Arial"/>
          <w:sz w:val="28"/>
          <w:szCs w:val="28"/>
          <w:lang w:val="es-ES_tradnl"/>
        </w:rPr>
      </w:pPr>
      <w:r w:rsidRPr="00F32542">
        <w:rPr>
          <w:rFonts w:ascii="Arial" w:eastAsia="Calibri" w:hAnsi="Arial" w:cs="Arial"/>
          <w:b/>
          <w:sz w:val="28"/>
          <w:szCs w:val="28"/>
          <w:lang w:val="es-ES_tradnl"/>
        </w:rPr>
        <w:t>2</w:t>
      </w:r>
      <w:r w:rsidR="00142AAE" w:rsidRPr="00F32542">
        <w:rPr>
          <w:rFonts w:ascii="Arial" w:eastAsia="Calibri" w:hAnsi="Arial" w:cs="Arial"/>
          <w:b/>
          <w:sz w:val="28"/>
          <w:szCs w:val="28"/>
          <w:lang w:val="es-ES_tradnl"/>
        </w:rPr>
        <w:t>. Oportunidad.</w:t>
      </w:r>
      <w:r w:rsidR="00142AAE" w:rsidRPr="00F32542">
        <w:rPr>
          <w:rFonts w:ascii="Arial" w:eastAsia="Calibri" w:hAnsi="Arial" w:cs="Arial"/>
          <w:sz w:val="28"/>
          <w:szCs w:val="28"/>
          <w:lang w:val="es-ES_tradnl"/>
        </w:rPr>
        <w:t xml:space="preserve"> Los escritos </w:t>
      </w:r>
      <w:r w:rsidR="0092092D" w:rsidRPr="00F32542">
        <w:rPr>
          <w:rFonts w:ascii="Arial" w:eastAsia="Calibri" w:hAnsi="Arial" w:cs="Arial"/>
          <w:sz w:val="28"/>
          <w:szCs w:val="28"/>
          <w:lang w:val="es-ES_tradnl"/>
        </w:rPr>
        <w:t>de</w:t>
      </w:r>
      <w:r w:rsidR="00F967FE" w:rsidRPr="00F32542">
        <w:rPr>
          <w:rFonts w:ascii="Arial" w:eastAsia="Calibri" w:hAnsi="Arial" w:cs="Arial"/>
          <w:sz w:val="28"/>
          <w:szCs w:val="28"/>
          <w:lang w:val="es-ES_tradnl"/>
        </w:rPr>
        <w:t xml:space="preserve"> las </w:t>
      </w:r>
      <w:r w:rsidR="0092092D" w:rsidRPr="00F32542">
        <w:rPr>
          <w:rFonts w:ascii="Arial" w:eastAsia="Calibri" w:hAnsi="Arial" w:cs="Arial"/>
          <w:sz w:val="28"/>
          <w:szCs w:val="28"/>
          <w:lang w:val="es-ES_tradnl"/>
        </w:rPr>
        <w:t>partes</w:t>
      </w:r>
      <w:r w:rsidR="00F967FE" w:rsidRPr="00F32542">
        <w:rPr>
          <w:rFonts w:ascii="Arial" w:eastAsia="Calibri" w:hAnsi="Arial" w:cs="Arial"/>
          <w:sz w:val="28"/>
          <w:szCs w:val="28"/>
          <w:lang w:val="es-ES_tradnl"/>
        </w:rPr>
        <w:t xml:space="preserve"> terceras interesadas fueron presentados con oportunidad, tal y como se advierte </w:t>
      </w:r>
      <w:r w:rsidR="003C3B09" w:rsidRPr="00F32542">
        <w:rPr>
          <w:rFonts w:ascii="Arial" w:eastAsia="Calibri" w:hAnsi="Arial" w:cs="Arial"/>
          <w:sz w:val="28"/>
          <w:szCs w:val="28"/>
          <w:lang w:val="es-ES_tradnl"/>
        </w:rPr>
        <w:t>a continuación:</w:t>
      </w:r>
    </w:p>
    <w:p w14:paraId="57A697DA" w14:textId="77777777" w:rsidR="003C3B09" w:rsidRPr="00F32542" w:rsidRDefault="003C3B09" w:rsidP="003D29D2">
      <w:pPr>
        <w:spacing w:after="0" w:line="360" w:lineRule="auto"/>
        <w:jc w:val="both"/>
        <w:rPr>
          <w:rFonts w:ascii="Arial" w:eastAsia="Calibri" w:hAnsi="Arial" w:cs="Arial"/>
          <w:sz w:val="28"/>
          <w:szCs w:val="28"/>
          <w:lang w:val="es-ES_tradnl"/>
        </w:rPr>
      </w:pPr>
    </w:p>
    <w:tbl>
      <w:tblPr>
        <w:tblStyle w:val="Cuadrculadetablaclara1"/>
        <w:tblW w:w="0" w:type="auto"/>
        <w:jc w:val="center"/>
        <w:tblLook w:val="04A0" w:firstRow="1" w:lastRow="0" w:firstColumn="1" w:lastColumn="0" w:noHBand="0" w:noVBand="1"/>
      </w:tblPr>
      <w:tblGrid>
        <w:gridCol w:w="441"/>
        <w:gridCol w:w="1624"/>
        <w:gridCol w:w="2041"/>
        <w:gridCol w:w="2350"/>
        <w:gridCol w:w="1806"/>
      </w:tblGrid>
      <w:tr w:rsidR="003C3B09" w:rsidRPr="00F32542" w14:paraId="77D8F938" w14:textId="77777777" w:rsidTr="00286BB3">
        <w:trPr>
          <w:trHeight w:val="20"/>
          <w:tblHeader/>
          <w:jc w:val="center"/>
        </w:trPr>
        <w:tc>
          <w:tcPr>
            <w:tcW w:w="441" w:type="dxa"/>
            <w:shd w:val="clear" w:color="auto" w:fill="BFBFBF" w:themeFill="background1" w:themeFillShade="BF"/>
            <w:vAlign w:val="center"/>
            <w:hideMark/>
          </w:tcPr>
          <w:p w14:paraId="2D1C6355" w14:textId="77777777" w:rsidR="003C3B09" w:rsidRPr="00F32542" w:rsidRDefault="003C3B09" w:rsidP="00286BB3">
            <w:pPr>
              <w:spacing w:after="0" w:line="240" w:lineRule="auto"/>
              <w:jc w:val="center"/>
              <w:rPr>
                <w:rFonts w:ascii="Arial" w:eastAsia="Times New Roman" w:hAnsi="Arial" w:cs="Arial"/>
                <w:b/>
                <w:sz w:val="20"/>
                <w:szCs w:val="20"/>
                <w:lang w:val="es-ES_tradnl" w:eastAsia="es-MX"/>
              </w:rPr>
            </w:pPr>
            <w:proofErr w:type="spellStart"/>
            <w:r w:rsidRPr="00F32542">
              <w:rPr>
                <w:rFonts w:ascii="Arial" w:eastAsia="Times New Roman" w:hAnsi="Arial" w:cs="Arial"/>
                <w:b/>
                <w:sz w:val="20"/>
                <w:szCs w:val="20"/>
                <w:lang w:val="es-ES_tradnl" w:eastAsia="es-MX"/>
              </w:rPr>
              <w:t>N°</w:t>
            </w:r>
            <w:proofErr w:type="spellEnd"/>
          </w:p>
        </w:tc>
        <w:tc>
          <w:tcPr>
            <w:tcW w:w="1624" w:type="dxa"/>
            <w:shd w:val="clear" w:color="auto" w:fill="BFBFBF" w:themeFill="background1" w:themeFillShade="BF"/>
            <w:vAlign w:val="center"/>
            <w:hideMark/>
          </w:tcPr>
          <w:p w14:paraId="351B8541" w14:textId="77777777" w:rsidR="003C3B09" w:rsidRPr="00F32542" w:rsidRDefault="003C3B09" w:rsidP="00286BB3">
            <w:pPr>
              <w:spacing w:after="0" w:line="240" w:lineRule="auto"/>
              <w:jc w:val="center"/>
              <w:rPr>
                <w:rFonts w:ascii="Arial" w:eastAsia="Times New Roman" w:hAnsi="Arial" w:cs="Arial"/>
                <w:b/>
                <w:sz w:val="20"/>
                <w:szCs w:val="20"/>
                <w:lang w:val="es-ES_tradnl" w:eastAsia="es-MX"/>
              </w:rPr>
            </w:pPr>
            <w:r w:rsidRPr="00F32542">
              <w:rPr>
                <w:rFonts w:ascii="Arial" w:eastAsia="Times New Roman" w:hAnsi="Arial" w:cs="Arial"/>
                <w:b/>
                <w:sz w:val="20"/>
                <w:szCs w:val="20"/>
                <w:lang w:val="es-ES_tradnl" w:eastAsia="es-MX"/>
              </w:rPr>
              <w:t>NÚMERO DE EXPEDIENTE</w:t>
            </w:r>
          </w:p>
        </w:tc>
        <w:tc>
          <w:tcPr>
            <w:tcW w:w="2041" w:type="dxa"/>
            <w:shd w:val="clear" w:color="auto" w:fill="BFBFBF" w:themeFill="background1" w:themeFillShade="BF"/>
            <w:vAlign w:val="center"/>
            <w:hideMark/>
          </w:tcPr>
          <w:p w14:paraId="7BD3CC20" w14:textId="77777777" w:rsidR="003C3B09" w:rsidRPr="00F32542" w:rsidRDefault="003C3B09" w:rsidP="00286BB3">
            <w:pPr>
              <w:spacing w:after="0" w:line="240" w:lineRule="auto"/>
              <w:jc w:val="center"/>
              <w:rPr>
                <w:rFonts w:ascii="Arial" w:eastAsia="Times New Roman" w:hAnsi="Arial" w:cs="Arial"/>
                <w:b/>
                <w:sz w:val="20"/>
                <w:szCs w:val="20"/>
                <w:lang w:val="es-ES_tradnl" w:eastAsia="es-MX"/>
              </w:rPr>
            </w:pPr>
            <w:r w:rsidRPr="00F32542">
              <w:rPr>
                <w:rFonts w:ascii="Arial" w:eastAsia="Times New Roman" w:hAnsi="Arial" w:cs="Arial"/>
                <w:b/>
                <w:sz w:val="20"/>
                <w:szCs w:val="20"/>
                <w:lang w:val="es-ES_tradnl" w:eastAsia="es-MX"/>
              </w:rPr>
              <w:t>PUBLICITACIÓN</w:t>
            </w:r>
          </w:p>
        </w:tc>
        <w:tc>
          <w:tcPr>
            <w:tcW w:w="2350" w:type="dxa"/>
            <w:shd w:val="clear" w:color="auto" w:fill="BFBFBF" w:themeFill="background1" w:themeFillShade="BF"/>
            <w:vAlign w:val="center"/>
            <w:hideMark/>
          </w:tcPr>
          <w:p w14:paraId="074AECB4" w14:textId="77777777" w:rsidR="003C3B09" w:rsidRPr="00F32542" w:rsidRDefault="003C3B09" w:rsidP="00286BB3">
            <w:pPr>
              <w:spacing w:after="0" w:line="240" w:lineRule="auto"/>
              <w:jc w:val="center"/>
              <w:rPr>
                <w:rFonts w:ascii="Arial" w:eastAsia="Times New Roman" w:hAnsi="Arial" w:cs="Arial"/>
                <w:b/>
                <w:sz w:val="20"/>
                <w:szCs w:val="20"/>
                <w:lang w:val="es-ES_tradnl" w:eastAsia="es-MX"/>
              </w:rPr>
            </w:pPr>
            <w:r w:rsidRPr="00F32542">
              <w:rPr>
                <w:rFonts w:ascii="Arial" w:eastAsia="Times New Roman" w:hAnsi="Arial" w:cs="Arial"/>
                <w:b/>
                <w:sz w:val="20"/>
                <w:szCs w:val="20"/>
                <w:lang w:val="es-ES_tradnl" w:eastAsia="es-MX"/>
              </w:rPr>
              <w:t>PARTES TERCERAS INTERESADAS</w:t>
            </w:r>
          </w:p>
        </w:tc>
        <w:tc>
          <w:tcPr>
            <w:tcW w:w="0" w:type="auto"/>
            <w:shd w:val="clear" w:color="auto" w:fill="BFBFBF" w:themeFill="background1" w:themeFillShade="BF"/>
            <w:vAlign w:val="center"/>
            <w:hideMark/>
          </w:tcPr>
          <w:p w14:paraId="60675948" w14:textId="77777777" w:rsidR="003C3B09" w:rsidRPr="00F32542" w:rsidRDefault="003C3B09" w:rsidP="00286BB3">
            <w:pPr>
              <w:spacing w:after="0" w:line="240" w:lineRule="auto"/>
              <w:jc w:val="center"/>
              <w:rPr>
                <w:rFonts w:ascii="Arial" w:eastAsia="Times New Roman" w:hAnsi="Arial" w:cs="Arial"/>
                <w:b/>
                <w:sz w:val="20"/>
                <w:szCs w:val="20"/>
                <w:lang w:val="es-ES_tradnl" w:eastAsia="es-MX"/>
              </w:rPr>
            </w:pPr>
            <w:r w:rsidRPr="00F32542">
              <w:rPr>
                <w:rFonts w:ascii="Arial" w:eastAsia="Times New Roman" w:hAnsi="Arial" w:cs="Arial"/>
                <w:b/>
                <w:sz w:val="20"/>
                <w:szCs w:val="20"/>
                <w:lang w:val="es-ES_tradnl" w:eastAsia="es-MX"/>
              </w:rPr>
              <w:t>PRESENTACIÓN</w:t>
            </w:r>
          </w:p>
        </w:tc>
      </w:tr>
      <w:tr w:rsidR="003C3B09" w:rsidRPr="00F32542" w14:paraId="23A89501" w14:textId="77777777" w:rsidTr="00286BB3">
        <w:trPr>
          <w:trHeight w:val="728"/>
          <w:jc w:val="center"/>
        </w:trPr>
        <w:tc>
          <w:tcPr>
            <w:tcW w:w="441" w:type="dxa"/>
            <w:vAlign w:val="center"/>
          </w:tcPr>
          <w:p w14:paraId="59DDBFEB" w14:textId="77777777" w:rsidR="003C3B09" w:rsidRPr="00F32542" w:rsidRDefault="00286BB3"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1</w:t>
            </w:r>
          </w:p>
        </w:tc>
        <w:tc>
          <w:tcPr>
            <w:tcW w:w="1624" w:type="dxa"/>
            <w:vAlign w:val="center"/>
          </w:tcPr>
          <w:p w14:paraId="2B188DD6" w14:textId="77777777" w:rsidR="003C3B09" w:rsidRPr="00F32542" w:rsidRDefault="003C3B09" w:rsidP="00286BB3">
            <w:pPr>
              <w:spacing w:after="0" w:line="240" w:lineRule="auto"/>
              <w:jc w:val="center"/>
              <w:rPr>
                <w:rFonts w:ascii="Arial" w:eastAsia="Times New Roman" w:hAnsi="Arial" w:cs="Arial"/>
                <w:b/>
                <w:bCs/>
                <w:color w:val="000000"/>
                <w:sz w:val="20"/>
                <w:szCs w:val="20"/>
                <w:lang w:val="es-ES_tradnl" w:eastAsia="es-MX"/>
              </w:rPr>
            </w:pPr>
            <w:r w:rsidRPr="00F32542">
              <w:rPr>
                <w:rFonts w:ascii="Arial" w:eastAsia="Times New Roman" w:hAnsi="Arial" w:cs="Arial"/>
                <w:b/>
                <w:bCs/>
                <w:color w:val="000000"/>
                <w:sz w:val="20"/>
                <w:szCs w:val="20"/>
                <w:lang w:val="es-ES_tradnl" w:eastAsia="es-MX"/>
              </w:rPr>
              <w:t>TECDMX-JEL-206/2021</w:t>
            </w:r>
          </w:p>
        </w:tc>
        <w:tc>
          <w:tcPr>
            <w:tcW w:w="2041" w:type="dxa"/>
            <w:vAlign w:val="center"/>
          </w:tcPr>
          <w:p w14:paraId="6806210F" w14:textId="77777777" w:rsidR="003C3B09" w:rsidRPr="00F32542" w:rsidRDefault="003C3B09" w:rsidP="00286BB3">
            <w:pPr>
              <w:spacing w:after="0" w:line="240" w:lineRule="auto"/>
              <w:jc w:val="both"/>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De las 14:30 del 18 de junio a las 14:30 del 21 de junio.</w:t>
            </w:r>
          </w:p>
        </w:tc>
        <w:tc>
          <w:tcPr>
            <w:tcW w:w="2350" w:type="dxa"/>
            <w:vAlign w:val="center"/>
          </w:tcPr>
          <w:p w14:paraId="4E2F1FE1"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Frida Jimena Guillen Ortiz</w:t>
            </w:r>
          </w:p>
        </w:tc>
        <w:tc>
          <w:tcPr>
            <w:tcW w:w="0" w:type="auto"/>
            <w:vAlign w:val="center"/>
          </w:tcPr>
          <w:p w14:paraId="00E6D601"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20 de junio</w:t>
            </w:r>
          </w:p>
          <w:p w14:paraId="32ACA0FB"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19:32</w:t>
            </w:r>
          </w:p>
        </w:tc>
      </w:tr>
      <w:tr w:rsidR="003C3B09" w:rsidRPr="00F32542" w14:paraId="6D9BDDFC" w14:textId="77777777" w:rsidTr="00286BB3">
        <w:trPr>
          <w:trHeight w:val="412"/>
          <w:jc w:val="center"/>
        </w:trPr>
        <w:tc>
          <w:tcPr>
            <w:tcW w:w="441" w:type="dxa"/>
            <w:vMerge w:val="restart"/>
            <w:vAlign w:val="center"/>
          </w:tcPr>
          <w:p w14:paraId="156901D9" w14:textId="77777777" w:rsidR="003C3B09" w:rsidRPr="00F32542" w:rsidRDefault="00286BB3"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lastRenderedPageBreak/>
              <w:t>2</w:t>
            </w:r>
          </w:p>
        </w:tc>
        <w:tc>
          <w:tcPr>
            <w:tcW w:w="1624" w:type="dxa"/>
            <w:vMerge w:val="restart"/>
            <w:vAlign w:val="center"/>
          </w:tcPr>
          <w:p w14:paraId="78789FAF" w14:textId="77777777" w:rsidR="003C3B09" w:rsidRPr="00F32542" w:rsidRDefault="003C3B09" w:rsidP="00286BB3">
            <w:pPr>
              <w:spacing w:after="0" w:line="240" w:lineRule="auto"/>
              <w:jc w:val="center"/>
              <w:rPr>
                <w:rFonts w:ascii="Arial" w:eastAsia="Times New Roman" w:hAnsi="Arial" w:cs="Arial"/>
                <w:b/>
                <w:bCs/>
                <w:sz w:val="20"/>
                <w:szCs w:val="20"/>
                <w:lang w:val="es-ES_tradnl" w:eastAsia="es-MX"/>
              </w:rPr>
            </w:pPr>
            <w:r w:rsidRPr="00F32542">
              <w:rPr>
                <w:rFonts w:ascii="Arial" w:eastAsia="Times New Roman" w:hAnsi="Arial" w:cs="Arial"/>
                <w:b/>
                <w:bCs/>
                <w:color w:val="000000"/>
                <w:sz w:val="20"/>
                <w:szCs w:val="20"/>
                <w:lang w:val="es-ES_tradnl" w:eastAsia="es-MX"/>
              </w:rPr>
              <w:t>TECDMX-JLDC-089/2021</w:t>
            </w:r>
          </w:p>
        </w:tc>
        <w:tc>
          <w:tcPr>
            <w:tcW w:w="2041" w:type="dxa"/>
            <w:vMerge w:val="restart"/>
            <w:vAlign w:val="center"/>
          </w:tcPr>
          <w:p w14:paraId="4692E776" w14:textId="77777777" w:rsidR="003C3B09" w:rsidRPr="00F32542" w:rsidRDefault="003C3B09" w:rsidP="00286BB3">
            <w:pPr>
              <w:spacing w:after="0" w:line="240" w:lineRule="auto"/>
              <w:jc w:val="both"/>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De las 23:30 del 16 de junio a las 23:30 del 19 de junio.</w:t>
            </w:r>
          </w:p>
        </w:tc>
        <w:tc>
          <w:tcPr>
            <w:tcW w:w="2350" w:type="dxa"/>
            <w:vAlign w:val="center"/>
          </w:tcPr>
          <w:p w14:paraId="0CC664E0" w14:textId="77777777" w:rsidR="003C3B09" w:rsidRPr="00F32542" w:rsidRDefault="003C3B09" w:rsidP="00286BB3">
            <w:pPr>
              <w:spacing w:after="0" w:line="240" w:lineRule="auto"/>
              <w:ind w:right="51"/>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Víctor Hugo Lobo Román</w:t>
            </w:r>
          </w:p>
        </w:tc>
        <w:tc>
          <w:tcPr>
            <w:tcW w:w="0" w:type="auto"/>
            <w:vAlign w:val="center"/>
          </w:tcPr>
          <w:p w14:paraId="32189209"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 xml:space="preserve">19 de junio </w:t>
            </w:r>
          </w:p>
          <w:p w14:paraId="73A720A2"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21:33</w:t>
            </w:r>
          </w:p>
        </w:tc>
      </w:tr>
      <w:tr w:rsidR="003C3B09" w:rsidRPr="00F32542" w14:paraId="7D2E7B12" w14:textId="77777777" w:rsidTr="00286BB3">
        <w:trPr>
          <w:trHeight w:val="654"/>
          <w:jc w:val="center"/>
        </w:trPr>
        <w:tc>
          <w:tcPr>
            <w:tcW w:w="441" w:type="dxa"/>
            <w:vMerge/>
            <w:vAlign w:val="center"/>
          </w:tcPr>
          <w:p w14:paraId="0FA0058F"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p>
        </w:tc>
        <w:tc>
          <w:tcPr>
            <w:tcW w:w="1624" w:type="dxa"/>
            <w:vMerge/>
            <w:vAlign w:val="center"/>
          </w:tcPr>
          <w:p w14:paraId="0901FFEA" w14:textId="77777777" w:rsidR="003C3B09" w:rsidRPr="00F32542" w:rsidRDefault="003C3B09" w:rsidP="00286BB3">
            <w:pPr>
              <w:spacing w:after="0" w:line="240" w:lineRule="auto"/>
              <w:jc w:val="center"/>
              <w:rPr>
                <w:rFonts w:ascii="Arial" w:eastAsia="Times New Roman" w:hAnsi="Arial" w:cs="Arial"/>
                <w:b/>
                <w:bCs/>
                <w:color w:val="000000"/>
                <w:sz w:val="20"/>
                <w:szCs w:val="20"/>
                <w:lang w:val="es-ES_tradnl" w:eastAsia="es-MX"/>
              </w:rPr>
            </w:pPr>
          </w:p>
        </w:tc>
        <w:tc>
          <w:tcPr>
            <w:tcW w:w="2041" w:type="dxa"/>
            <w:vMerge/>
            <w:vAlign w:val="center"/>
          </w:tcPr>
          <w:p w14:paraId="2CC379FE" w14:textId="77777777" w:rsidR="003C3B09" w:rsidRPr="00F32542" w:rsidRDefault="003C3B09" w:rsidP="00286BB3">
            <w:pPr>
              <w:spacing w:after="0" w:line="240" w:lineRule="auto"/>
              <w:jc w:val="both"/>
              <w:rPr>
                <w:rFonts w:ascii="Arial" w:eastAsia="Times New Roman" w:hAnsi="Arial" w:cs="Arial"/>
                <w:sz w:val="20"/>
                <w:szCs w:val="20"/>
                <w:lang w:val="es-ES_tradnl" w:eastAsia="es-MX"/>
              </w:rPr>
            </w:pPr>
          </w:p>
        </w:tc>
        <w:tc>
          <w:tcPr>
            <w:tcW w:w="2350" w:type="dxa"/>
            <w:vAlign w:val="center"/>
          </w:tcPr>
          <w:p w14:paraId="622BD1C6" w14:textId="77777777" w:rsidR="003C3B09" w:rsidRPr="00F32542" w:rsidRDefault="003C3B09" w:rsidP="00286BB3">
            <w:pPr>
              <w:spacing w:after="0" w:line="240" w:lineRule="auto"/>
              <w:ind w:right="51"/>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 xml:space="preserve">Ricardo </w:t>
            </w:r>
            <w:proofErr w:type="spellStart"/>
            <w:r w:rsidRPr="00F32542">
              <w:rPr>
                <w:rFonts w:ascii="Arial" w:eastAsia="Times New Roman" w:hAnsi="Arial" w:cs="Arial"/>
                <w:sz w:val="20"/>
                <w:szCs w:val="20"/>
                <w:lang w:val="es-ES_tradnl" w:eastAsia="es-MX"/>
              </w:rPr>
              <w:t>Janecarlo</w:t>
            </w:r>
            <w:proofErr w:type="spellEnd"/>
            <w:r w:rsidRPr="00F32542">
              <w:rPr>
                <w:rFonts w:ascii="Arial" w:eastAsia="Times New Roman" w:hAnsi="Arial" w:cs="Arial"/>
                <w:sz w:val="20"/>
                <w:szCs w:val="20"/>
                <w:lang w:val="es-ES_tradnl" w:eastAsia="es-MX"/>
              </w:rPr>
              <w:t xml:space="preserve"> Lozano Reynoso</w:t>
            </w:r>
          </w:p>
        </w:tc>
        <w:tc>
          <w:tcPr>
            <w:tcW w:w="0" w:type="auto"/>
            <w:vAlign w:val="center"/>
          </w:tcPr>
          <w:p w14:paraId="461B843A"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 xml:space="preserve">19 de junio </w:t>
            </w:r>
          </w:p>
          <w:p w14:paraId="28AC831B"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21:47</w:t>
            </w:r>
          </w:p>
        </w:tc>
      </w:tr>
      <w:tr w:rsidR="003C3B09" w:rsidRPr="00F32542" w14:paraId="06F58BEB" w14:textId="77777777" w:rsidTr="00286BB3">
        <w:trPr>
          <w:trHeight w:val="412"/>
          <w:jc w:val="center"/>
        </w:trPr>
        <w:tc>
          <w:tcPr>
            <w:tcW w:w="441" w:type="dxa"/>
            <w:vMerge w:val="restart"/>
            <w:vAlign w:val="center"/>
          </w:tcPr>
          <w:p w14:paraId="7B3460B0" w14:textId="77777777" w:rsidR="003C3B09" w:rsidRPr="00F32542" w:rsidRDefault="00286BB3"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3</w:t>
            </w:r>
          </w:p>
        </w:tc>
        <w:tc>
          <w:tcPr>
            <w:tcW w:w="1624" w:type="dxa"/>
            <w:vMerge w:val="restart"/>
            <w:vAlign w:val="center"/>
          </w:tcPr>
          <w:p w14:paraId="236E4995" w14:textId="77777777" w:rsidR="003C3B09" w:rsidRPr="00F32542" w:rsidRDefault="003C3B09" w:rsidP="00286BB3">
            <w:pPr>
              <w:spacing w:after="0" w:line="240" w:lineRule="auto"/>
              <w:jc w:val="center"/>
              <w:rPr>
                <w:rFonts w:ascii="Arial" w:eastAsia="Times New Roman" w:hAnsi="Arial" w:cs="Arial"/>
                <w:b/>
                <w:bCs/>
                <w:color w:val="000000"/>
                <w:sz w:val="20"/>
                <w:szCs w:val="20"/>
                <w:lang w:val="es-ES_tradnl" w:eastAsia="es-MX"/>
              </w:rPr>
            </w:pPr>
            <w:r w:rsidRPr="00F32542">
              <w:rPr>
                <w:rFonts w:ascii="Arial" w:eastAsia="Times New Roman" w:hAnsi="Arial" w:cs="Arial"/>
                <w:b/>
                <w:bCs/>
                <w:color w:val="000000"/>
                <w:sz w:val="20"/>
                <w:szCs w:val="20"/>
                <w:lang w:val="es-ES_tradnl" w:eastAsia="es-MX"/>
              </w:rPr>
              <w:t>TECDMX-JLDC-090/2021</w:t>
            </w:r>
          </w:p>
        </w:tc>
        <w:tc>
          <w:tcPr>
            <w:tcW w:w="2041" w:type="dxa"/>
            <w:vMerge w:val="restart"/>
            <w:vAlign w:val="center"/>
          </w:tcPr>
          <w:p w14:paraId="5909A687" w14:textId="77777777" w:rsidR="003C3B09" w:rsidRPr="00F32542" w:rsidRDefault="003C3B09" w:rsidP="00286BB3">
            <w:pPr>
              <w:spacing w:after="0" w:line="240" w:lineRule="auto"/>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De las 23:30 del 16 de junio a las 23:30 del 19 de junio.</w:t>
            </w:r>
          </w:p>
        </w:tc>
        <w:tc>
          <w:tcPr>
            <w:tcW w:w="2350" w:type="dxa"/>
            <w:vAlign w:val="center"/>
          </w:tcPr>
          <w:p w14:paraId="62467B3B" w14:textId="77777777" w:rsidR="003C3B09" w:rsidRPr="00F32542" w:rsidRDefault="003C3B09" w:rsidP="00286BB3">
            <w:pPr>
              <w:spacing w:after="0" w:line="240" w:lineRule="auto"/>
              <w:ind w:right="51"/>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Mónica Fernández Cesar</w:t>
            </w:r>
          </w:p>
        </w:tc>
        <w:tc>
          <w:tcPr>
            <w:tcW w:w="0" w:type="auto"/>
            <w:vAlign w:val="center"/>
          </w:tcPr>
          <w:p w14:paraId="44F27FBE"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 xml:space="preserve">19 de junio </w:t>
            </w:r>
          </w:p>
          <w:p w14:paraId="261B78C9"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19:33</w:t>
            </w:r>
          </w:p>
        </w:tc>
      </w:tr>
      <w:tr w:rsidR="003C3B09" w:rsidRPr="00F32542" w14:paraId="03BE5E88" w14:textId="77777777" w:rsidTr="00286BB3">
        <w:trPr>
          <w:trHeight w:val="541"/>
          <w:jc w:val="center"/>
        </w:trPr>
        <w:tc>
          <w:tcPr>
            <w:tcW w:w="441" w:type="dxa"/>
            <w:vMerge/>
            <w:vAlign w:val="center"/>
          </w:tcPr>
          <w:p w14:paraId="15056222"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p>
        </w:tc>
        <w:tc>
          <w:tcPr>
            <w:tcW w:w="1624" w:type="dxa"/>
            <w:vMerge/>
            <w:vAlign w:val="center"/>
          </w:tcPr>
          <w:p w14:paraId="0A9268D4" w14:textId="77777777" w:rsidR="003C3B09" w:rsidRPr="00F32542" w:rsidRDefault="003C3B09" w:rsidP="00286BB3">
            <w:pPr>
              <w:spacing w:after="0" w:line="240" w:lineRule="auto"/>
              <w:jc w:val="center"/>
              <w:rPr>
                <w:rFonts w:ascii="Arial" w:eastAsia="Times New Roman" w:hAnsi="Arial" w:cs="Arial"/>
                <w:b/>
                <w:bCs/>
                <w:color w:val="000000"/>
                <w:sz w:val="20"/>
                <w:szCs w:val="20"/>
                <w:lang w:val="es-ES_tradnl" w:eastAsia="es-MX"/>
              </w:rPr>
            </w:pPr>
          </w:p>
        </w:tc>
        <w:tc>
          <w:tcPr>
            <w:tcW w:w="2041" w:type="dxa"/>
            <w:vMerge/>
            <w:vAlign w:val="center"/>
          </w:tcPr>
          <w:p w14:paraId="2DCC4284" w14:textId="77777777" w:rsidR="003C3B09" w:rsidRPr="00F32542" w:rsidRDefault="003C3B09" w:rsidP="00286BB3">
            <w:pPr>
              <w:spacing w:after="0" w:line="240" w:lineRule="auto"/>
              <w:rPr>
                <w:rFonts w:ascii="Arial" w:eastAsia="Times New Roman" w:hAnsi="Arial" w:cs="Arial"/>
                <w:sz w:val="20"/>
                <w:szCs w:val="20"/>
                <w:lang w:val="es-ES_tradnl" w:eastAsia="es-MX"/>
              </w:rPr>
            </w:pPr>
          </w:p>
        </w:tc>
        <w:tc>
          <w:tcPr>
            <w:tcW w:w="2350" w:type="dxa"/>
            <w:vAlign w:val="center"/>
          </w:tcPr>
          <w:p w14:paraId="10208FF5" w14:textId="77777777" w:rsidR="003C3B09" w:rsidRPr="00F32542" w:rsidRDefault="003C3B09" w:rsidP="003C3B09">
            <w:pPr>
              <w:spacing w:after="0" w:line="240" w:lineRule="auto"/>
              <w:ind w:right="51"/>
              <w:jc w:val="center"/>
              <w:rPr>
                <w:rFonts w:ascii="Arial" w:eastAsia="Times New Roman" w:hAnsi="Arial" w:cs="Arial"/>
                <w:sz w:val="20"/>
                <w:szCs w:val="20"/>
                <w:lang w:val="es-ES_tradnl" w:eastAsia="es-MX"/>
              </w:rPr>
            </w:pPr>
            <w:proofErr w:type="spellStart"/>
            <w:r w:rsidRPr="00F32542">
              <w:rPr>
                <w:rFonts w:ascii="Arial" w:eastAsia="Times New Roman" w:hAnsi="Arial" w:cs="Arial"/>
                <w:sz w:val="20"/>
                <w:szCs w:val="20"/>
                <w:lang w:val="es-ES_tradnl" w:eastAsia="es-MX"/>
              </w:rPr>
              <w:t>Jhonatan</w:t>
            </w:r>
            <w:proofErr w:type="spellEnd"/>
            <w:r w:rsidRPr="00F32542">
              <w:rPr>
                <w:rFonts w:ascii="Arial" w:eastAsia="Times New Roman" w:hAnsi="Arial" w:cs="Arial"/>
                <w:sz w:val="20"/>
                <w:szCs w:val="20"/>
                <w:lang w:val="es-ES_tradnl" w:eastAsia="es-MX"/>
              </w:rPr>
              <w:t xml:space="preserve"> Colmenares Rentería</w:t>
            </w:r>
          </w:p>
        </w:tc>
        <w:tc>
          <w:tcPr>
            <w:tcW w:w="0" w:type="auto"/>
            <w:vAlign w:val="center"/>
          </w:tcPr>
          <w:p w14:paraId="4C3F60DA"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 xml:space="preserve">19 de junio </w:t>
            </w:r>
          </w:p>
          <w:p w14:paraId="36736389"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19:45</w:t>
            </w:r>
          </w:p>
        </w:tc>
      </w:tr>
      <w:tr w:rsidR="003C3B09" w:rsidRPr="00F32542" w14:paraId="4B4EAD39" w14:textId="77777777" w:rsidTr="00286BB3">
        <w:trPr>
          <w:trHeight w:val="880"/>
          <w:jc w:val="center"/>
        </w:trPr>
        <w:tc>
          <w:tcPr>
            <w:tcW w:w="441" w:type="dxa"/>
            <w:vAlign w:val="center"/>
          </w:tcPr>
          <w:p w14:paraId="393D4021" w14:textId="77777777" w:rsidR="003C3B09" w:rsidRPr="00F32542" w:rsidRDefault="00286BB3"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4</w:t>
            </w:r>
          </w:p>
        </w:tc>
        <w:tc>
          <w:tcPr>
            <w:tcW w:w="1624" w:type="dxa"/>
            <w:vAlign w:val="center"/>
          </w:tcPr>
          <w:p w14:paraId="7DD1F8B8" w14:textId="77777777" w:rsidR="003C3B09" w:rsidRPr="00F32542" w:rsidRDefault="003C3B09" w:rsidP="00286BB3">
            <w:pPr>
              <w:spacing w:after="0" w:line="240" w:lineRule="auto"/>
              <w:jc w:val="center"/>
              <w:rPr>
                <w:rFonts w:ascii="Arial" w:eastAsia="Times New Roman" w:hAnsi="Arial" w:cs="Arial"/>
                <w:b/>
                <w:bCs/>
                <w:color w:val="000000"/>
                <w:sz w:val="20"/>
                <w:szCs w:val="20"/>
                <w:lang w:val="es-ES_tradnl" w:eastAsia="es-MX"/>
              </w:rPr>
            </w:pPr>
            <w:r w:rsidRPr="00F32542">
              <w:rPr>
                <w:rFonts w:ascii="Arial" w:eastAsia="Times New Roman" w:hAnsi="Arial" w:cs="Arial"/>
                <w:b/>
                <w:bCs/>
                <w:color w:val="000000"/>
                <w:sz w:val="20"/>
                <w:szCs w:val="20"/>
                <w:lang w:val="es-ES_tradnl" w:eastAsia="es-MX"/>
              </w:rPr>
              <w:t>TECDMX-JLDC-091/2021</w:t>
            </w:r>
          </w:p>
        </w:tc>
        <w:tc>
          <w:tcPr>
            <w:tcW w:w="2041" w:type="dxa"/>
            <w:vAlign w:val="center"/>
          </w:tcPr>
          <w:p w14:paraId="7B3F96AA" w14:textId="77777777" w:rsidR="003C3B09" w:rsidRPr="00F32542" w:rsidRDefault="003C3B09" w:rsidP="00286BB3">
            <w:pPr>
              <w:spacing w:after="0" w:line="240" w:lineRule="auto"/>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De las 23:30 del 16 de junio a las 23:30 del 19 de junio.</w:t>
            </w:r>
          </w:p>
        </w:tc>
        <w:tc>
          <w:tcPr>
            <w:tcW w:w="2350" w:type="dxa"/>
            <w:vAlign w:val="center"/>
          </w:tcPr>
          <w:p w14:paraId="5183E048" w14:textId="77777777" w:rsidR="003C3B09" w:rsidRPr="00F32542" w:rsidRDefault="003C3B09" w:rsidP="00286BB3">
            <w:pPr>
              <w:spacing w:after="0" w:line="240" w:lineRule="auto"/>
              <w:jc w:val="both"/>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 xml:space="preserve">Ricardo </w:t>
            </w:r>
            <w:proofErr w:type="spellStart"/>
            <w:r w:rsidRPr="00F32542">
              <w:rPr>
                <w:rFonts w:ascii="Arial" w:eastAsia="Times New Roman" w:hAnsi="Arial" w:cs="Arial"/>
                <w:sz w:val="20"/>
                <w:szCs w:val="20"/>
                <w:lang w:val="es-ES_tradnl" w:eastAsia="es-MX"/>
              </w:rPr>
              <w:t>Janecarlo</w:t>
            </w:r>
            <w:proofErr w:type="spellEnd"/>
            <w:r w:rsidRPr="00F32542">
              <w:rPr>
                <w:rFonts w:ascii="Arial" w:eastAsia="Times New Roman" w:hAnsi="Arial" w:cs="Arial"/>
                <w:sz w:val="20"/>
                <w:szCs w:val="20"/>
                <w:lang w:val="es-ES_tradnl" w:eastAsia="es-MX"/>
              </w:rPr>
              <w:t xml:space="preserve"> Lozano Reynoso.</w:t>
            </w:r>
          </w:p>
        </w:tc>
        <w:tc>
          <w:tcPr>
            <w:tcW w:w="0" w:type="auto"/>
            <w:vAlign w:val="center"/>
          </w:tcPr>
          <w:p w14:paraId="4B4012FB"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 xml:space="preserve">19 de junio </w:t>
            </w:r>
          </w:p>
          <w:p w14:paraId="74250571"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21:40</w:t>
            </w:r>
          </w:p>
        </w:tc>
      </w:tr>
      <w:tr w:rsidR="003C3B09" w:rsidRPr="00F32542" w14:paraId="3C50E314" w14:textId="77777777" w:rsidTr="00286BB3">
        <w:trPr>
          <w:trHeight w:val="412"/>
          <w:jc w:val="center"/>
        </w:trPr>
        <w:tc>
          <w:tcPr>
            <w:tcW w:w="441" w:type="dxa"/>
            <w:vAlign w:val="center"/>
          </w:tcPr>
          <w:p w14:paraId="24583036" w14:textId="77777777" w:rsidR="003C3B09" w:rsidRPr="00F32542" w:rsidRDefault="00286BB3"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5</w:t>
            </w:r>
          </w:p>
        </w:tc>
        <w:tc>
          <w:tcPr>
            <w:tcW w:w="1624" w:type="dxa"/>
            <w:vAlign w:val="center"/>
          </w:tcPr>
          <w:p w14:paraId="663E4C8D" w14:textId="77777777" w:rsidR="003C3B09" w:rsidRPr="00F32542" w:rsidRDefault="003C3B09" w:rsidP="00286BB3">
            <w:pPr>
              <w:spacing w:after="0" w:line="240" w:lineRule="auto"/>
              <w:jc w:val="center"/>
              <w:rPr>
                <w:rFonts w:ascii="Arial" w:eastAsia="Times New Roman" w:hAnsi="Arial" w:cs="Arial"/>
                <w:b/>
                <w:bCs/>
                <w:color w:val="000000"/>
                <w:sz w:val="20"/>
                <w:szCs w:val="20"/>
                <w:lang w:val="es-ES_tradnl" w:eastAsia="es-MX"/>
              </w:rPr>
            </w:pPr>
            <w:r w:rsidRPr="00F32542">
              <w:rPr>
                <w:rFonts w:ascii="Arial" w:eastAsia="Times New Roman" w:hAnsi="Arial" w:cs="Arial"/>
                <w:b/>
                <w:bCs/>
                <w:color w:val="000000"/>
                <w:sz w:val="20"/>
                <w:szCs w:val="20"/>
                <w:lang w:val="es-ES_tradnl" w:eastAsia="es-MX"/>
              </w:rPr>
              <w:t>TECDMX-JLDC-092/2021</w:t>
            </w:r>
          </w:p>
        </w:tc>
        <w:tc>
          <w:tcPr>
            <w:tcW w:w="2041" w:type="dxa"/>
            <w:vAlign w:val="center"/>
          </w:tcPr>
          <w:p w14:paraId="7F0B9B41" w14:textId="77777777" w:rsidR="003C3B09" w:rsidRPr="00F32542" w:rsidRDefault="003C3B09" w:rsidP="00286BB3">
            <w:pPr>
              <w:spacing w:after="0" w:line="240" w:lineRule="auto"/>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De las 23:30 del 16 de junio a las 23:30 del 19 de junio.</w:t>
            </w:r>
          </w:p>
        </w:tc>
        <w:tc>
          <w:tcPr>
            <w:tcW w:w="2350" w:type="dxa"/>
            <w:vAlign w:val="center"/>
          </w:tcPr>
          <w:p w14:paraId="7B500B3D" w14:textId="77777777" w:rsidR="003C3B09" w:rsidRPr="00F32542" w:rsidRDefault="003C3B09" w:rsidP="00286BB3">
            <w:pPr>
              <w:spacing w:after="0" w:line="240" w:lineRule="auto"/>
              <w:jc w:val="both"/>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 xml:space="preserve">Manuel </w:t>
            </w:r>
            <w:proofErr w:type="spellStart"/>
            <w:r w:rsidRPr="00F32542">
              <w:rPr>
                <w:rFonts w:ascii="Arial" w:eastAsia="Times New Roman" w:hAnsi="Arial" w:cs="Arial"/>
                <w:sz w:val="20"/>
                <w:szCs w:val="20"/>
                <w:lang w:val="es-ES_tradnl" w:eastAsia="es-MX"/>
              </w:rPr>
              <w:t>Talayero</w:t>
            </w:r>
            <w:proofErr w:type="spellEnd"/>
            <w:r w:rsidRPr="00F32542">
              <w:rPr>
                <w:rFonts w:ascii="Arial" w:eastAsia="Times New Roman" w:hAnsi="Arial" w:cs="Arial"/>
                <w:sz w:val="20"/>
                <w:szCs w:val="20"/>
                <w:lang w:val="es-ES_tradnl" w:eastAsia="es-MX"/>
              </w:rPr>
              <w:t xml:space="preserve"> Pariente </w:t>
            </w:r>
          </w:p>
        </w:tc>
        <w:tc>
          <w:tcPr>
            <w:tcW w:w="0" w:type="auto"/>
            <w:vAlign w:val="center"/>
          </w:tcPr>
          <w:p w14:paraId="48CC2277"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19 de junio</w:t>
            </w:r>
          </w:p>
          <w:p w14:paraId="5A52FA15"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20:40</w:t>
            </w:r>
          </w:p>
        </w:tc>
      </w:tr>
      <w:tr w:rsidR="003C3B09" w:rsidRPr="00F32542" w14:paraId="7525F4F5" w14:textId="77777777" w:rsidTr="00286BB3">
        <w:trPr>
          <w:trHeight w:val="412"/>
          <w:jc w:val="center"/>
        </w:trPr>
        <w:tc>
          <w:tcPr>
            <w:tcW w:w="441" w:type="dxa"/>
            <w:vAlign w:val="center"/>
          </w:tcPr>
          <w:p w14:paraId="06243BE1" w14:textId="77777777" w:rsidR="003C3B09" w:rsidRPr="00F32542" w:rsidRDefault="00286BB3"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6</w:t>
            </w:r>
          </w:p>
        </w:tc>
        <w:tc>
          <w:tcPr>
            <w:tcW w:w="1624" w:type="dxa"/>
            <w:vAlign w:val="center"/>
          </w:tcPr>
          <w:p w14:paraId="3719D066" w14:textId="77777777" w:rsidR="003C3B09" w:rsidRPr="00F32542" w:rsidRDefault="003C3B09" w:rsidP="00286BB3">
            <w:pPr>
              <w:spacing w:after="0" w:line="240" w:lineRule="auto"/>
              <w:jc w:val="center"/>
              <w:rPr>
                <w:rFonts w:ascii="Arial" w:eastAsia="Times New Roman" w:hAnsi="Arial" w:cs="Arial"/>
                <w:b/>
                <w:bCs/>
                <w:color w:val="000000"/>
                <w:sz w:val="20"/>
                <w:szCs w:val="20"/>
                <w:lang w:val="es-ES_tradnl" w:eastAsia="es-MX"/>
              </w:rPr>
            </w:pPr>
            <w:r w:rsidRPr="00F32542">
              <w:rPr>
                <w:rFonts w:ascii="Arial" w:eastAsia="Times New Roman" w:hAnsi="Arial" w:cs="Arial"/>
                <w:b/>
                <w:bCs/>
                <w:color w:val="000000"/>
                <w:sz w:val="20"/>
                <w:szCs w:val="20"/>
                <w:lang w:val="es-ES_tradnl" w:eastAsia="es-MX"/>
              </w:rPr>
              <w:t>TECDMX-JLDC-094/2021</w:t>
            </w:r>
          </w:p>
        </w:tc>
        <w:tc>
          <w:tcPr>
            <w:tcW w:w="2041" w:type="dxa"/>
            <w:vAlign w:val="center"/>
          </w:tcPr>
          <w:p w14:paraId="745CB297" w14:textId="77777777" w:rsidR="003C3B09" w:rsidRPr="00F32542" w:rsidRDefault="003C3B09" w:rsidP="00286BB3">
            <w:pPr>
              <w:spacing w:after="0" w:line="240" w:lineRule="auto"/>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De las 23:30 del 16 de junio a las 23:30 del 19 de junio.</w:t>
            </w:r>
          </w:p>
        </w:tc>
        <w:tc>
          <w:tcPr>
            <w:tcW w:w="2350" w:type="dxa"/>
            <w:vAlign w:val="center"/>
          </w:tcPr>
          <w:p w14:paraId="233C4D62" w14:textId="77777777" w:rsidR="003C3B09" w:rsidRPr="00F32542" w:rsidRDefault="003C3B09" w:rsidP="00286BB3">
            <w:pPr>
              <w:spacing w:after="0" w:line="240" w:lineRule="auto"/>
              <w:jc w:val="center"/>
              <w:rPr>
                <w:rFonts w:ascii="Arial" w:eastAsia="Times New Roman" w:hAnsi="Arial" w:cs="Arial"/>
                <w:b/>
                <w:sz w:val="20"/>
                <w:szCs w:val="20"/>
                <w:lang w:val="es-ES_tradnl" w:eastAsia="es-MX"/>
              </w:rPr>
            </w:pPr>
            <w:r w:rsidRPr="00F32542">
              <w:rPr>
                <w:rFonts w:ascii="Arial" w:eastAsia="Times New Roman" w:hAnsi="Arial" w:cs="Arial"/>
                <w:sz w:val="20"/>
                <w:szCs w:val="20"/>
                <w:lang w:val="es-ES_tradnl" w:eastAsia="es-MX"/>
              </w:rPr>
              <w:t xml:space="preserve">Manuel </w:t>
            </w:r>
            <w:proofErr w:type="spellStart"/>
            <w:r w:rsidRPr="00F32542">
              <w:rPr>
                <w:rFonts w:ascii="Arial" w:eastAsia="Times New Roman" w:hAnsi="Arial" w:cs="Arial"/>
                <w:sz w:val="20"/>
                <w:szCs w:val="20"/>
                <w:lang w:val="es-ES_tradnl" w:eastAsia="es-MX"/>
              </w:rPr>
              <w:t>Talayero</w:t>
            </w:r>
            <w:proofErr w:type="spellEnd"/>
            <w:r w:rsidRPr="00F32542">
              <w:rPr>
                <w:rFonts w:ascii="Arial" w:eastAsia="Times New Roman" w:hAnsi="Arial" w:cs="Arial"/>
                <w:sz w:val="20"/>
                <w:szCs w:val="20"/>
                <w:lang w:val="es-ES_tradnl" w:eastAsia="es-MX"/>
              </w:rPr>
              <w:t xml:space="preserve"> Pariente </w:t>
            </w:r>
          </w:p>
        </w:tc>
        <w:tc>
          <w:tcPr>
            <w:tcW w:w="0" w:type="auto"/>
            <w:vAlign w:val="center"/>
          </w:tcPr>
          <w:p w14:paraId="5B716C43"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19 de junio</w:t>
            </w:r>
          </w:p>
          <w:p w14:paraId="29532101"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20:37</w:t>
            </w:r>
          </w:p>
        </w:tc>
      </w:tr>
      <w:tr w:rsidR="003C3B09" w:rsidRPr="00F32542" w14:paraId="5C74B121" w14:textId="77777777" w:rsidTr="00286BB3">
        <w:trPr>
          <w:trHeight w:val="412"/>
          <w:jc w:val="center"/>
        </w:trPr>
        <w:tc>
          <w:tcPr>
            <w:tcW w:w="441" w:type="dxa"/>
            <w:vMerge w:val="restart"/>
            <w:vAlign w:val="center"/>
          </w:tcPr>
          <w:p w14:paraId="4C3353CA" w14:textId="77777777" w:rsidR="003C3B09" w:rsidRPr="00F32542" w:rsidRDefault="00286BB3"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7</w:t>
            </w:r>
          </w:p>
        </w:tc>
        <w:tc>
          <w:tcPr>
            <w:tcW w:w="1624" w:type="dxa"/>
            <w:vMerge w:val="restart"/>
            <w:vAlign w:val="center"/>
          </w:tcPr>
          <w:p w14:paraId="68223EBA" w14:textId="77777777" w:rsidR="003C3B09" w:rsidRPr="00F32542" w:rsidRDefault="003C3B09" w:rsidP="00286BB3">
            <w:pPr>
              <w:spacing w:after="0" w:line="240" w:lineRule="auto"/>
              <w:jc w:val="center"/>
              <w:rPr>
                <w:rFonts w:ascii="Arial" w:eastAsia="Times New Roman" w:hAnsi="Arial" w:cs="Arial"/>
                <w:b/>
                <w:bCs/>
                <w:color w:val="000000"/>
                <w:sz w:val="20"/>
                <w:szCs w:val="20"/>
                <w:lang w:val="es-ES_tradnl" w:eastAsia="es-MX"/>
              </w:rPr>
            </w:pPr>
            <w:r w:rsidRPr="00F32542">
              <w:rPr>
                <w:rFonts w:ascii="Arial" w:eastAsia="Times New Roman" w:hAnsi="Arial" w:cs="Arial"/>
                <w:b/>
                <w:bCs/>
                <w:color w:val="000000"/>
                <w:sz w:val="20"/>
                <w:szCs w:val="20"/>
                <w:lang w:val="es-ES_tradnl" w:eastAsia="es-MX"/>
              </w:rPr>
              <w:t>TECDMX-JLDC-097/2021</w:t>
            </w:r>
          </w:p>
        </w:tc>
        <w:tc>
          <w:tcPr>
            <w:tcW w:w="2041" w:type="dxa"/>
            <w:vMerge w:val="restart"/>
            <w:vAlign w:val="center"/>
          </w:tcPr>
          <w:p w14:paraId="04CD5751" w14:textId="77777777" w:rsidR="003C3B09" w:rsidRPr="00F32542" w:rsidRDefault="003C3B09" w:rsidP="00286BB3">
            <w:pPr>
              <w:spacing w:after="0" w:line="240" w:lineRule="auto"/>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De las 23:30 del 16 de junio a las 23:30 del 19 de junio.</w:t>
            </w:r>
          </w:p>
        </w:tc>
        <w:tc>
          <w:tcPr>
            <w:tcW w:w="2350" w:type="dxa"/>
            <w:vAlign w:val="center"/>
          </w:tcPr>
          <w:p w14:paraId="549B678F" w14:textId="77777777" w:rsidR="003C3B09" w:rsidRPr="00F32542" w:rsidRDefault="003C3B09" w:rsidP="00286BB3">
            <w:pPr>
              <w:spacing w:after="0" w:line="240" w:lineRule="auto"/>
              <w:ind w:right="51"/>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Víctor Hugo Lobo Román</w:t>
            </w:r>
          </w:p>
        </w:tc>
        <w:tc>
          <w:tcPr>
            <w:tcW w:w="0" w:type="auto"/>
            <w:vAlign w:val="center"/>
          </w:tcPr>
          <w:p w14:paraId="68E0CE6F"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19 de junio</w:t>
            </w:r>
          </w:p>
          <w:p w14:paraId="135C7156"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21:26</w:t>
            </w:r>
          </w:p>
        </w:tc>
      </w:tr>
      <w:tr w:rsidR="003C3B09" w:rsidRPr="00F32542" w14:paraId="3DFD4CBC" w14:textId="77777777" w:rsidTr="00286BB3">
        <w:trPr>
          <w:trHeight w:val="537"/>
          <w:jc w:val="center"/>
        </w:trPr>
        <w:tc>
          <w:tcPr>
            <w:tcW w:w="441" w:type="dxa"/>
            <w:vMerge/>
            <w:vAlign w:val="center"/>
          </w:tcPr>
          <w:p w14:paraId="03BC245F"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p>
        </w:tc>
        <w:tc>
          <w:tcPr>
            <w:tcW w:w="1624" w:type="dxa"/>
            <w:vMerge/>
            <w:vAlign w:val="center"/>
          </w:tcPr>
          <w:p w14:paraId="63CBFAC5" w14:textId="77777777" w:rsidR="003C3B09" w:rsidRPr="00F32542" w:rsidRDefault="003C3B09" w:rsidP="00286BB3">
            <w:pPr>
              <w:spacing w:after="0" w:line="240" w:lineRule="auto"/>
              <w:jc w:val="center"/>
              <w:rPr>
                <w:rFonts w:ascii="Arial" w:eastAsia="Times New Roman" w:hAnsi="Arial" w:cs="Arial"/>
                <w:b/>
                <w:bCs/>
                <w:color w:val="000000"/>
                <w:sz w:val="20"/>
                <w:szCs w:val="20"/>
                <w:lang w:val="es-ES_tradnl" w:eastAsia="es-MX"/>
              </w:rPr>
            </w:pPr>
          </w:p>
        </w:tc>
        <w:tc>
          <w:tcPr>
            <w:tcW w:w="2041" w:type="dxa"/>
            <w:vMerge/>
            <w:vAlign w:val="center"/>
          </w:tcPr>
          <w:p w14:paraId="2360427E" w14:textId="77777777" w:rsidR="003C3B09" w:rsidRPr="00F32542" w:rsidRDefault="003C3B09" w:rsidP="00286BB3">
            <w:pPr>
              <w:spacing w:after="0" w:line="240" w:lineRule="auto"/>
              <w:rPr>
                <w:rFonts w:ascii="Arial" w:eastAsia="Times New Roman" w:hAnsi="Arial" w:cs="Arial"/>
                <w:sz w:val="20"/>
                <w:szCs w:val="20"/>
                <w:lang w:val="es-ES_tradnl" w:eastAsia="es-MX"/>
              </w:rPr>
            </w:pPr>
          </w:p>
        </w:tc>
        <w:tc>
          <w:tcPr>
            <w:tcW w:w="2350" w:type="dxa"/>
            <w:vAlign w:val="center"/>
          </w:tcPr>
          <w:p w14:paraId="3EE396F8" w14:textId="77777777" w:rsidR="003C3B09" w:rsidRPr="00F32542" w:rsidRDefault="003C3B09" w:rsidP="00286BB3">
            <w:pPr>
              <w:spacing w:after="0" w:line="240" w:lineRule="auto"/>
              <w:ind w:right="51"/>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 xml:space="preserve">Ricardo </w:t>
            </w:r>
            <w:proofErr w:type="spellStart"/>
            <w:r w:rsidRPr="00F32542">
              <w:rPr>
                <w:rFonts w:ascii="Arial" w:eastAsia="Times New Roman" w:hAnsi="Arial" w:cs="Arial"/>
                <w:sz w:val="20"/>
                <w:szCs w:val="20"/>
                <w:lang w:val="es-ES_tradnl" w:eastAsia="es-MX"/>
              </w:rPr>
              <w:t>Janecarlo</w:t>
            </w:r>
            <w:proofErr w:type="spellEnd"/>
            <w:r w:rsidRPr="00F32542">
              <w:rPr>
                <w:rFonts w:ascii="Arial" w:eastAsia="Times New Roman" w:hAnsi="Arial" w:cs="Arial"/>
                <w:sz w:val="20"/>
                <w:szCs w:val="20"/>
                <w:lang w:val="es-ES_tradnl" w:eastAsia="es-MX"/>
              </w:rPr>
              <w:t xml:space="preserve"> Lozano Reynoso</w:t>
            </w:r>
          </w:p>
        </w:tc>
        <w:tc>
          <w:tcPr>
            <w:tcW w:w="0" w:type="auto"/>
            <w:vAlign w:val="center"/>
          </w:tcPr>
          <w:p w14:paraId="3C236E9A"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19 de junio</w:t>
            </w:r>
          </w:p>
          <w:p w14:paraId="3656E0DD"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21:38</w:t>
            </w:r>
          </w:p>
        </w:tc>
      </w:tr>
      <w:tr w:rsidR="003C3B09" w:rsidRPr="00F32542" w14:paraId="3C9B9BB8" w14:textId="77777777" w:rsidTr="00286BB3">
        <w:trPr>
          <w:trHeight w:val="412"/>
          <w:jc w:val="center"/>
        </w:trPr>
        <w:tc>
          <w:tcPr>
            <w:tcW w:w="441" w:type="dxa"/>
            <w:vAlign w:val="center"/>
          </w:tcPr>
          <w:p w14:paraId="3975A8F5" w14:textId="77777777" w:rsidR="003C3B09" w:rsidRPr="00F32542" w:rsidRDefault="00286BB3"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8</w:t>
            </w:r>
          </w:p>
        </w:tc>
        <w:tc>
          <w:tcPr>
            <w:tcW w:w="1624" w:type="dxa"/>
            <w:vAlign w:val="center"/>
          </w:tcPr>
          <w:p w14:paraId="71DF7E9E" w14:textId="77777777" w:rsidR="003C3B09" w:rsidRPr="00F32542" w:rsidRDefault="003C3B09" w:rsidP="00286BB3">
            <w:pPr>
              <w:spacing w:after="0" w:line="240" w:lineRule="auto"/>
              <w:jc w:val="center"/>
              <w:rPr>
                <w:rFonts w:ascii="Arial" w:eastAsia="Times New Roman" w:hAnsi="Arial" w:cs="Arial"/>
                <w:b/>
                <w:bCs/>
                <w:color w:val="000000"/>
                <w:sz w:val="20"/>
                <w:szCs w:val="20"/>
                <w:lang w:val="es-ES_tradnl" w:eastAsia="es-MX"/>
              </w:rPr>
            </w:pPr>
            <w:r w:rsidRPr="00F32542">
              <w:rPr>
                <w:rFonts w:ascii="Arial" w:eastAsia="Times New Roman" w:hAnsi="Arial" w:cs="Arial"/>
                <w:b/>
                <w:bCs/>
                <w:color w:val="000000"/>
                <w:sz w:val="20"/>
                <w:szCs w:val="20"/>
                <w:lang w:val="es-ES_tradnl" w:eastAsia="es-MX"/>
              </w:rPr>
              <w:t>TECDMX-JLDC-100/2021</w:t>
            </w:r>
          </w:p>
        </w:tc>
        <w:tc>
          <w:tcPr>
            <w:tcW w:w="2041" w:type="dxa"/>
            <w:vAlign w:val="center"/>
          </w:tcPr>
          <w:p w14:paraId="26095568" w14:textId="77777777" w:rsidR="003C3B09" w:rsidRPr="00F32542" w:rsidRDefault="003C3B09" w:rsidP="00286BB3">
            <w:pPr>
              <w:spacing w:after="0" w:line="240" w:lineRule="auto"/>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De las 23:30 del 17 de junio a las 23:30 del 20 de junio.</w:t>
            </w:r>
          </w:p>
        </w:tc>
        <w:tc>
          <w:tcPr>
            <w:tcW w:w="2350" w:type="dxa"/>
            <w:vAlign w:val="center"/>
          </w:tcPr>
          <w:p w14:paraId="4F1E40BC" w14:textId="77777777" w:rsidR="003C3B09" w:rsidRPr="00F32542" w:rsidRDefault="003C3B09" w:rsidP="00286BB3">
            <w:pPr>
              <w:spacing w:after="0" w:line="240" w:lineRule="auto"/>
              <w:jc w:val="center"/>
              <w:rPr>
                <w:rFonts w:ascii="Arial" w:eastAsia="Times New Roman" w:hAnsi="Arial" w:cs="Arial"/>
                <w:b/>
                <w:sz w:val="20"/>
                <w:szCs w:val="20"/>
                <w:lang w:val="es-ES_tradnl" w:eastAsia="es-MX"/>
              </w:rPr>
            </w:pPr>
            <w:r w:rsidRPr="00F32542">
              <w:rPr>
                <w:rFonts w:ascii="Arial" w:eastAsia="Times New Roman" w:hAnsi="Arial" w:cs="Arial"/>
                <w:sz w:val="20"/>
                <w:szCs w:val="20"/>
                <w:lang w:val="es-ES_tradnl" w:eastAsia="es-MX"/>
              </w:rPr>
              <w:t>Frida Jimena Guillen Ortiz</w:t>
            </w:r>
          </w:p>
        </w:tc>
        <w:tc>
          <w:tcPr>
            <w:tcW w:w="0" w:type="auto"/>
            <w:vAlign w:val="center"/>
          </w:tcPr>
          <w:p w14:paraId="56A650D9"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20 de junio</w:t>
            </w:r>
          </w:p>
          <w:p w14:paraId="45788BE5"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19:31</w:t>
            </w:r>
          </w:p>
        </w:tc>
      </w:tr>
      <w:tr w:rsidR="003C3B09" w:rsidRPr="00F32542" w14:paraId="277B93C0" w14:textId="77777777" w:rsidTr="00286BB3">
        <w:trPr>
          <w:trHeight w:val="994"/>
          <w:jc w:val="center"/>
        </w:trPr>
        <w:tc>
          <w:tcPr>
            <w:tcW w:w="441" w:type="dxa"/>
            <w:vAlign w:val="center"/>
          </w:tcPr>
          <w:p w14:paraId="38B1BF48" w14:textId="77777777" w:rsidR="003C3B09" w:rsidRPr="00F32542" w:rsidRDefault="00286BB3"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9</w:t>
            </w:r>
          </w:p>
        </w:tc>
        <w:tc>
          <w:tcPr>
            <w:tcW w:w="1624" w:type="dxa"/>
            <w:vAlign w:val="center"/>
          </w:tcPr>
          <w:p w14:paraId="1603F40B" w14:textId="77777777" w:rsidR="003C3B09" w:rsidRPr="00F32542" w:rsidRDefault="003C3B09" w:rsidP="00286BB3">
            <w:pPr>
              <w:spacing w:after="0" w:line="240" w:lineRule="auto"/>
              <w:jc w:val="center"/>
              <w:rPr>
                <w:rFonts w:ascii="Arial" w:eastAsia="Times New Roman" w:hAnsi="Arial" w:cs="Arial"/>
                <w:b/>
                <w:bCs/>
                <w:color w:val="000000"/>
                <w:sz w:val="20"/>
                <w:szCs w:val="20"/>
                <w:lang w:val="es-ES_tradnl" w:eastAsia="es-MX"/>
              </w:rPr>
            </w:pPr>
            <w:r w:rsidRPr="00F32542">
              <w:rPr>
                <w:rFonts w:ascii="Arial" w:eastAsia="Times New Roman" w:hAnsi="Arial" w:cs="Arial"/>
                <w:b/>
                <w:bCs/>
                <w:color w:val="000000"/>
                <w:sz w:val="20"/>
                <w:szCs w:val="20"/>
                <w:lang w:val="es-ES_tradnl" w:eastAsia="es-MX"/>
              </w:rPr>
              <w:t>TECDMX-JLDC-102/2021</w:t>
            </w:r>
          </w:p>
        </w:tc>
        <w:tc>
          <w:tcPr>
            <w:tcW w:w="2041" w:type="dxa"/>
            <w:vAlign w:val="center"/>
          </w:tcPr>
          <w:p w14:paraId="30B5F707" w14:textId="77777777" w:rsidR="003C3B09" w:rsidRPr="00F32542" w:rsidRDefault="003C3B09" w:rsidP="00286BB3">
            <w:pPr>
              <w:spacing w:after="0" w:line="240" w:lineRule="auto"/>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De las 15:30 del 18 de junio a las 15:30 del 21 de junio.</w:t>
            </w:r>
            <w:r w:rsidRPr="00F32542">
              <w:rPr>
                <w:rStyle w:val="Refdenotaalpie"/>
                <w:rFonts w:ascii="Arial" w:eastAsia="Times New Roman" w:hAnsi="Arial" w:cs="Arial"/>
                <w:sz w:val="20"/>
                <w:szCs w:val="20"/>
                <w:lang w:val="es-ES_tradnl" w:eastAsia="es-MX"/>
              </w:rPr>
              <w:footnoteReference w:id="9"/>
            </w:r>
          </w:p>
        </w:tc>
        <w:tc>
          <w:tcPr>
            <w:tcW w:w="2350" w:type="dxa"/>
            <w:vAlign w:val="center"/>
          </w:tcPr>
          <w:p w14:paraId="4FD2A7C0" w14:textId="77777777" w:rsidR="003C3B09" w:rsidRPr="00F32542" w:rsidRDefault="003C3B09" w:rsidP="00286BB3">
            <w:pPr>
              <w:spacing w:after="0" w:line="240" w:lineRule="auto"/>
              <w:jc w:val="center"/>
              <w:rPr>
                <w:rFonts w:ascii="Arial" w:eastAsia="Times New Roman" w:hAnsi="Arial" w:cs="Arial"/>
                <w:b/>
                <w:sz w:val="20"/>
                <w:szCs w:val="20"/>
                <w:lang w:val="es-ES_tradnl" w:eastAsia="es-MX"/>
              </w:rPr>
            </w:pPr>
            <w:r w:rsidRPr="00F32542">
              <w:rPr>
                <w:rFonts w:ascii="Arial" w:eastAsia="Times New Roman" w:hAnsi="Arial" w:cs="Arial"/>
                <w:sz w:val="20"/>
                <w:szCs w:val="20"/>
                <w:lang w:val="es-ES_tradnl" w:eastAsia="es-MX"/>
              </w:rPr>
              <w:t>Lucia Alejandra Puente García</w:t>
            </w:r>
          </w:p>
        </w:tc>
        <w:tc>
          <w:tcPr>
            <w:tcW w:w="0" w:type="auto"/>
            <w:vAlign w:val="center"/>
          </w:tcPr>
          <w:p w14:paraId="5F7A5347"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21 de junio</w:t>
            </w:r>
          </w:p>
          <w:p w14:paraId="72D9C586"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15:03</w:t>
            </w:r>
          </w:p>
        </w:tc>
      </w:tr>
      <w:tr w:rsidR="003C3B09" w:rsidRPr="00F32542" w14:paraId="6888CFB5" w14:textId="77777777" w:rsidTr="00286BB3">
        <w:trPr>
          <w:trHeight w:val="412"/>
          <w:jc w:val="center"/>
        </w:trPr>
        <w:tc>
          <w:tcPr>
            <w:tcW w:w="441" w:type="dxa"/>
            <w:vAlign w:val="center"/>
          </w:tcPr>
          <w:p w14:paraId="4AE00025"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1</w:t>
            </w:r>
            <w:r w:rsidR="00286BB3" w:rsidRPr="00F32542">
              <w:rPr>
                <w:rFonts w:ascii="Arial" w:eastAsia="Times New Roman" w:hAnsi="Arial" w:cs="Arial"/>
                <w:sz w:val="20"/>
                <w:szCs w:val="20"/>
                <w:lang w:val="es-ES_tradnl" w:eastAsia="es-MX"/>
              </w:rPr>
              <w:t>0</w:t>
            </w:r>
          </w:p>
        </w:tc>
        <w:tc>
          <w:tcPr>
            <w:tcW w:w="1624" w:type="dxa"/>
            <w:vAlign w:val="center"/>
          </w:tcPr>
          <w:p w14:paraId="0E726BA7" w14:textId="77777777" w:rsidR="003C3B09" w:rsidRPr="00F32542" w:rsidRDefault="003C3B09" w:rsidP="00286BB3">
            <w:pPr>
              <w:spacing w:after="0" w:line="240" w:lineRule="auto"/>
              <w:jc w:val="center"/>
              <w:rPr>
                <w:rFonts w:ascii="Arial" w:eastAsia="Times New Roman" w:hAnsi="Arial" w:cs="Arial"/>
                <w:b/>
                <w:bCs/>
                <w:color w:val="000000"/>
                <w:sz w:val="20"/>
                <w:szCs w:val="20"/>
                <w:lang w:val="es-ES_tradnl" w:eastAsia="es-MX"/>
              </w:rPr>
            </w:pPr>
            <w:r w:rsidRPr="00F32542">
              <w:rPr>
                <w:rFonts w:ascii="Arial" w:eastAsia="Times New Roman" w:hAnsi="Arial" w:cs="Arial"/>
                <w:b/>
                <w:bCs/>
                <w:color w:val="000000"/>
                <w:sz w:val="20"/>
                <w:szCs w:val="20"/>
                <w:lang w:val="es-ES_tradnl" w:eastAsia="es-MX"/>
              </w:rPr>
              <w:t>TECDMX-JLDC-103/2021</w:t>
            </w:r>
          </w:p>
        </w:tc>
        <w:tc>
          <w:tcPr>
            <w:tcW w:w="2041" w:type="dxa"/>
            <w:vAlign w:val="center"/>
          </w:tcPr>
          <w:p w14:paraId="5698A1D6" w14:textId="77777777" w:rsidR="003C3B09" w:rsidRPr="00F32542" w:rsidRDefault="003C3B09" w:rsidP="00286BB3">
            <w:pPr>
              <w:spacing w:after="0" w:line="240" w:lineRule="auto"/>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De las 15:30 del 18 de junio a las 15:30 del 21 de junio.</w:t>
            </w:r>
            <w:r w:rsidRPr="00F32542">
              <w:rPr>
                <w:rStyle w:val="Refdenotaalpie"/>
                <w:rFonts w:ascii="Arial" w:eastAsia="Times New Roman" w:hAnsi="Arial" w:cs="Arial"/>
                <w:sz w:val="20"/>
                <w:szCs w:val="20"/>
                <w:lang w:val="es-ES_tradnl" w:eastAsia="es-MX"/>
              </w:rPr>
              <w:footnoteReference w:id="10"/>
            </w:r>
          </w:p>
        </w:tc>
        <w:tc>
          <w:tcPr>
            <w:tcW w:w="2350" w:type="dxa"/>
            <w:vAlign w:val="center"/>
          </w:tcPr>
          <w:p w14:paraId="3885631D" w14:textId="77777777" w:rsidR="003C3B09" w:rsidRPr="00F32542" w:rsidRDefault="003C3B09" w:rsidP="00286BB3">
            <w:pPr>
              <w:spacing w:after="0" w:line="240" w:lineRule="auto"/>
              <w:jc w:val="center"/>
              <w:rPr>
                <w:rFonts w:ascii="Arial" w:eastAsia="Times New Roman" w:hAnsi="Arial" w:cs="Arial"/>
                <w:b/>
                <w:sz w:val="20"/>
                <w:szCs w:val="20"/>
                <w:lang w:val="es-ES_tradnl" w:eastAsia="es-MX"/>
              </w:rPr>
            </w:pPr>
            <w:r w:rsidRPr="00F32542">
              <w:rPr>
                <w:rFonts w:ascii="Arial" w:eastAsia="Times New Roman" w:hAnsi="Arial" w:cs="Arial"/>
                <w:sz w:val="20"/>
                <w:szCs w:val="20"/>
                <w:lang w:val="es-ES_tradnl" w:eastAsia="es-MX"/>
              </w:rPr>
              <w:t>Frida Jimena Guillen Ortiz</w:t>
            </w:r>
          </w:p>
        </w:tc>
        <w:tc>
          <w:tcPr>
            <w:tcW w:w="0" w:type="auto"/>
            <w:vAlign w:val="center"/>
          </w:tcPr>
          <w:p w14:paraId="7038173D"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 xml:space="preserve">20 de </w:t>
            </w:r>
            <w:r w:rsidR="00A9503D" w:rsidRPr="00F32542">
              <w:rPr>
                <w:rFonts w:ascii="Arial" w:eastAsia="Times New Roman" w:hAnsi="Arial" w:cs="Arial"/>
                <w:sz w:val="20"/>
                <w:szCs w:val="20"/>
                <w:lang w:val="es-ES_tradnl" w:eastAsia="es-MX"/>
              </w:rPr>
              <w:t>j</w:t>
            </w:r>
            <w:r w:rsidRPr="00F32542">
              <w:rPr>
                <w:rFonts w:ascii="Arial" w:eastAsia="Times New Roman" w:hAnsi="Arial" w:cs="Arial"/>
                <w:sz w:val="20"/>
                <w:szCs w:val="20"/>
                <w:lang w:val="es-ES_tradnl" w:eastAsia="es-MX"/>
              </w:rPr>
              <w:t>unio</w:t>
            </w:r>
          </w:p>
          <w:p w14:paraId="32E078D8"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19:45</w:t>
            </w:r>
          </w:p>
        </w:tc>
      </w:tr>
      <w:tr w:rsidR="003C3B09" w:rsidRPr="00F32542" w14:paraId="1B743D94" w14:textId="77777777" w:rsidTr="00286BB3">
        <w:trPr>
          <w:trHeight w:val="412"/>
          <w:jc w:val="center"/>
        </w:trPr>
        <w:tc>
          <w:tcPr>
            <w:tcW w:w="441" w:type="dxa"/>
            <w:vMerge w:val="restart"/>
            <w:vAlign w:val="center"/>
          </w:tcPr>
          <w:p w14:paraId="63953967"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1</w:t>
            </w:r>
            <w:r w:rsidR="00286BB3" w:rsidRPr="00F32542">
              <w:rPr>
                <w:rFonts w:ascii="Arial" w:eastAsia="Times New Roman" w:hAnsi="Arial" w:cs="Arial"/>
                <w:sz w:val="20"/>
                <w:szCs w:val="20"/>
                <w:lang w:val="es-ES_tradnl" w:eastAsia="es-MX"/>
              </w:rPr>
              <w:t>1</w:t>
            </w:r>
          </w:p>
        </w:tc>
        <w:tc>
          <w:tcPr>
            <w:tcW w:w="1624" w:type="dxa"/>
            <w:vMerge w:val="restart"/>
            <w:vAlign w:val="center"/>
          </w:tcPr>
          <w:p w14:paraId="6EC81EC6" w14:textId="77777777" w:rsidR="003C3B09" w:rsidRPr="00F32542" w:rsidRDefault="003C3B09" w:rsidP="00286BB3">
            <w:pPr>
              <w:spacing w:after="0" w:line="240" w:lineRule="auto"/>
              <w:jc w:val="center"/>
              <w:rPr>
                <w:rFonts w:ascii="Arial" w:eastAsia="Times New Roman" w:hAnsi="Arial" w:cs="Arial"/>
                <w:b/>
                <w:bCs/>
                <w:color w:val="000000"/>
                <w:sz w:val="20"/>
                <w:szCs w:val="20"/>
                <w:lang w:val="es-ES_tradnl" w:eastAsia="es-MX"/>
              </w:rPr>
            </w:pPr>
            <w:r w:rsidRPr="00F32542">
              <w:rPr>
                <w:rFonts w:ascii="Arial" w:eastAsia="Times New Roman" w:hAnsi="Arial" w:cs="Arial"/>
                <w:b/>
                <w:bCs/>
                <w:color w:val="000000"/>
                <w:sz w:val="20"/>
                <w:szCs w:val="20"/>
                <w:lang w:val="es-ES_tradnl" w:eastAsia="es-MX"/>
              </w:rPr>
              <w:t>TECDMX-JLDC-104/2021</w:t>
            </w:r>
          </w:p>
        </w:tc>
        <w:tc>
          <w:tcPr>
            <w:tcW w:w="2041" w:type="dxa"/>
            <w:vMerge w:val="restart"/>
            <w:vAlign w:val="center"/>
          </w:tcPr>
          <w:p w14:paraId="0E518386" w14:textId="77777777" w:rsidR="003C3B09" w:rsidRPr="00F32542" w:rsidRDefault="003C3B09" w:rsidP="00286BB3">
            <w:pPr>
              <w:spacing w:after="0" w:line="240" w:lineRule="auto"/>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De las 19:00 del 18 de junio a las 19:00 del 21 de junio.</w:t>
            </w:r>
          </w:p>
        </w:tc>
        <w:tc>
          <w:tcPr>
            <w:tcW w:w="2350" w:type="dxa"/>
            <w:vAlign w:val="center"/>
          </w:tcPr>
          <w:p w14:paraId="682F6D3D" w14:textId="77777777" w:rsidR="003C3B09" w:rsidRPr="00F32542" w:rsidRDefault="003C3B09" w:rsidP="00286BB3">
            <w:pPr>
              <w:spacing w:after="0" w:line="240" w:lineRule="auto"/>
              <w:ind w:right="51"/>
              <w:jc w:val="center"/>
              <w:rPr>
                <w:rFonts w:ascii="Arial" w:eastAsia="Times New Roman" w:hAnsi="Arial" w:cs="Arial"/>
                <w:b/>
                <w:sz w:val="20"/>
                <w:szCs w:val="20"/>
                <w:lang w:val="es-ES_tradnl" w:eastAsia="es-MX"/>
              </w:rPr>
            </w:pPr>
            <w:r w:rsidRPr="00F32542">
              <w:rPr>
                <w:rFonts w:ascii="Arial" w:eastAsia="Times New Roman" w:hAnsi="Arial" w:cs="Arial"/>
                <w:sz w:val="20"/>
                <w:szCs w:val="20"/>
                <w:lang w:val="es-ES_tradnl" w:eastAsia="es-MX"/>
              </w:rPr>
              <w:t>Víctor Hugo Lobo Román</w:t>
            </w:r>
          </w:p>
        </w:tc>
        <w:tc>
          <w:tcPr>
            <w:tcW w:w="0" w:type="auto"/>
            <w:vAlign w:val="center"/>
          </w:tcPr>
          <w:p w14:paraId="7E7EBAE3"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21 de junio</w:t>
            </w:r>
          </w:p>
          <w:p w14:paraId="5ED48EB9"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16:44</w:t>
            </w:r>
          </w:p>
        </w:tc>
      </w:tr>
      <w:tr w:rsidR="003C3B09" w:rsidRPr="00F32542" w14:paraId="3BE95452" w14:textId="77777777" w:rsidTr="00286BB3">
        <w:trPr>
          <w:trHeight w:val="412"/>
          <w:jc w:val="center"/>
        </w:trPr>
        <w:tc>
          <w:tcPr>
            <w:tcW w:w="441" w:type="dxa"/>
            <w:vMerge/>
            <w:vAlign w:val="center"/>
          </w:tcPr>
          <w:p w14:paraId="556B1F98"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p>
        </w:tc>
        <w:tc>
          <w:tcPr>
            <w:tcW w:w="1624" w:type="dxa"/>
            <w:vMerge/>
            <w:vAlign w:val="center"/>
          </w:tcPr>
          <w:p w14:paraId="09A7F957" w14:textId="77777777" w:rsidR="003C3B09" w:rsidRPr="00F32542" w:rsidRDefault="003C3B09" w:rsidP="00286BB3">
            <w:pPr>
              <w:spacing w:after="0" w:line="240" w:lineRule="auto"/>
              <w:jc w:val="center"/>
              <w:rPr>
                <w:rFonts w:ascii="Arial" w:eastAsia="Times New Roman" w:hAnsi="Arial" w:cs="Arial"/>
                <w:b/>
                <w:bCs/>
                <w:color w:val="000000"/>
                <w:sz w:val="20"/>
                <w:szCs w:val="20"/>
                <w:lang w:val="es-ES_tradnl" w:eastAsia="es-MX"/>
              </w:rPr>
            </w:pPr>
          </w:p>
        </w:tc>
        <w:tc>
          <w:tcPr>
            <w:tcW w:w="2041" w:type="dxa"/>
            <w:vMerge/>
            <w:vAlign w:val="center"/>
          </w:tcPr>
          <w:p w14:paraId="0C154065" w14:textId="77777777" w:rsidR="003C3B09" w:rsidRPr="00F32542" w:rsidRDefault="003C3B09" w:rsidP="00286BB3">
            <w:pPr>
              <w:spacing w:after="0" w:line="240" w:lineRule="auto"/>
              <w:rPr>
                <w:rFonts w:ascii="Arial" w:eastAsia="Times New Roman" w:hAnsi="Arial" w:cs="Arial"/>
                <w:sz w:val="20"/>
                <w:szCs w:val="20"/>
                <w:lang w:val="es-ES_tradnl" w:eastAsia="es-MX"/>
              </w:rPr>
            </w:pPr>
          </w:p>
        </w:tc>
        <w:tc>
          <w:tcPr>
            <w:tcW w:w="2350" w:type="dxa"/>
            <w:vAlign w:val="center"/>
          </w:tcPr>
          <w:p w14:paraId="2654289A" w14:textId="77777777" w:rsidR="003C3B09" w:rsidRPr="00F32542" w:rsidRDefault="003C3B09" w:rsidP="00286BB3">
            <w:pPr>
              <w:spacing w:after="0" w:line="240" w:lineRule="auto"/>
              <w:jc w:val="center"/>
              <w:rPr>
                <w:rFonts w:ascii="Arial" w:eastAsia="Times New Roman" w:hAnsi="Arial" w:cs="Arial"/>
                <w:b/>
                <w:sz w:val="20"/>
                <w:szCs w:val="20"/>
                <w:lang w:val="es-ES_tradnl" w:eastAsia="es-MX"/>
              </w:rPr>
            </w:pPr>
            <w:r w:rsidRPr="00F32542">
              <w:rPr>
                <w:rFonts w:ascii="Arial" w:eastAsia="Times New Roman" w:hAnsi="Arial" w:cs="Arial"/>
                <w:sz w:val="20"/>
                <w:szCs w:val="20"/>
                <w:lang w:val="es-ES_tradnl" w:eastAsia="es-MX"/>
              </w:rPr>
              <w:t xml:space="preserve">Ricardo </w:t>
            </w:r>
            <w:proofErr w:type="spellStart"/>
            <w:r w:rsidRPr="00F32542">
              <w:rPr>
                <w:rFonts w:ascii="Arial" w:eastAsia="Times New Roman" w:hAnsi="Arial" w:cs="Arial"/>
                <w:sz w:val="20"/>
                <w:szCs w:val="20"/>
                <w:lang w:val="es-ES_tradnl" w:eastAsia="es-MX"/>
              </w:rPr>
              <w:t>Janecarlo</w:t>
            </w:r>
            <w:proofErr w:type="spellEnd"/>
            <w:r w:rsidRPr="00F32542">
              <w:rPr>
                <w:rFonts w:ascii="Arial" w:eastAsia="Times New Roman" w:hAnsi="Arial" w:cs="Arial"/>
                <w:sz w:val="20"/>
                <w:szCs w:val="20"/>
                <w:lang w:val="es-ES_tradnl" w:eastAsia="es-MX"/>
              </w:rPr>
              <w:t xml:space="preserve"> Lozano Reynoso</w:t>
            </w:r>
          </w:p>
        </w:tc>
        <w:tc>
          <w:tcPr>
            <w:tcW w:w="0" w:type="auto"/>
            <w:vAlign w:val="center"/>
          </w:tcPr>
          <w:p w14:paraId="05A6617C"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21 de junio</w:t>
            </w:r>
          </w:p>
          <w:p w14:paraId="5AF674BD"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18:46</w:t>
            </w:r>
          </w:p>
        </w:tc>
      </w:tr>
      <w:tr w:rsidR="003C3B09" w:rsidRPr="00F32542" w14:paraId="7B299D29" w14:textId="77777777" w:rsidTr="00286BB3">
        <w:trPr>
          <w:trHeight w:val="412"/>
          <w:jc w:val="center"/>
        </w:trPr>
        <w:tc>
          <w:tcPr>
            <w:tcW w:w="441" w:type="dxa"/>
            <w:vMerge/>
            <w:vAlign w:val="center"/>
          </w:tcPr>
          <w:p w14:paraId="0154A995"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p>
        </w:tc>
        <w:tc>
          <w:tcPr>
            <w:tcW w:w="1624" w:type="dxa"/>
            <w:vMerge/>
            <w:vAlign w:val="center"/>
          </w:tcPr>
          <w:p w14:paraId="27FA59CD" w14:textId="77777777" w:rsidR="003C3B09" w:rsidRPr="00F32542" w:rsidRDefault="003C3B09" w:rsidP="00286BB3">
            <w:pPr>
              <w:spacing w:after="0" w:line="240" w:lineRule="auto"/>
              <w:jc w:val="center"/>
              <w:rPr>
                <w:rFonts w:ascii="Arial" w:eastAsia="Times New Roman" w:hAnsi="Arial" w:cs="Arial"/>
                <w:b/>
                <w:bCs/>
                <w:color w:val="000000"/>
                <w:sz w:val="20"/>
                <w:szCs w:val="20"/>
                <w:lang w:val="es-ES_tradnl" w:eastAsia="es-MX"/>
              </w:rPr>
            </w:pPr>
          </w:p>
        </w:tc>
        <w:tc>
          <w:tcPr>
            <w:tcW w:w="2041" w:type="dxa"/>
            <w:vMerge/>
            <w:vAlign w:val="center"/>
          </w:tcPr>
          <w:p w14:paraId="4A53C871" w14:textId="77777777" w:rsidR="003C3B09" w:rsidRPr="00F32542" w:rsidRDefault="003C3B09" w:rsidP="00286BB3">
            <w:pPr>
              <w:spacing w:after="0" w:line="240" w:lineRule="auto"/>
              <w:rPr>
                <w:rFonts w:ascii="Arial" w:eastAsia="Times New Roman" w:hAnsi="Arial" w:cs="Arial"/>
                <w:sz w:val="20"/>
                <w:szCs w:val="20"/>
                <w:lang w:val="es-ES_tradnl" w:eastAsia="es-MX"/>
              </w:rPr>
            </w:pPr>
          </w:p>
        </w:tc>
        <w:tc>
          <w:tcPr>
            <w:tcW w:w="2350" w:type="dxa"/>
            <w:vAlign w:val="center"/>
          </w:tcPr>
          <w:p w14:paraId="0B3D7A86" w14:textId="77777777" w:rsidR="003C3B09" w:rsidRPr="00F32542" w:rsidRDefault="003C3B09" w:rsidP="003C3B09">
            <w:pPr>
              <w:spacing w:after="0" w:line="240" w:lineRule="auto"/>
              <w:ind w:right="51"/>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 xml:space="preserve">PRD </w:t>
            </w:r>
          </w:p>
        </w:tc>
        <w:tc>
          <w:tcPr>
            <w:tcW w:w="0" w:type="auto"/>
            <w:vAlign w:val="center"/>
          </w:tcPr>
          <w:p w14:paraId="50920BD8"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21 de junio</w:t>
            </w:r>
          </w:p>
          <w:p w14:paraId="0DDD3AE8"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15:56</w:t>
            </w:r>
          </w:p>
        </w:tc>
      </w:tr>
      <w:tr w:rsidR="003C3B09" w:rsidRPr="00F32542" w14:paraId="721D8E4F" w14:textId="77777777" w:rsidTr="00286BB3">
        <w:trPr>
          <w:trHeight w:val="412"/>
          <w:jc w:val="center"/>
        </w:trPr>
        <w:tc>
          <w:tcPr>
            <w:tcW w:w="441" w:type="dxa"/>
            <w:vMerge w:val="restart"/>
            <w:vAlign w:val="center"/>
          </w:tcPr>
          <w:p w14:paraId="067F27A8" w14:textId="77777777" w:rsidR="003C3B09" w:rsidRPr="00F32542" w:rsidRDefault="00286BB3"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12</w:t>
            </w:r>
          </w:p>
        </w:tc>
        <w:tc>
          <w:tcPr>
            <w:tcW w:w="1624" w:type="dxa"/>
            <w:vMerge w:val="restart"/>
            <w:vAlign w:val="center"/>
          </w:tcPr>
          <w:p w14:paraId="572111F3" w14:textId="77777777" w:rsidR="003C3B09" w:rsidRPr="00F32542" w:rsidRDefault="003C3B09" w:rsidP="003C3B09">
            <w:pPr>
              <w:spacing w:after="0" w:line="240" w:lineRule="auto"/>
              <w:jc w:val="center"/>
              <w:rPr>
                <w:rFonts w:ascii="Arial" w:eastAsia="Times New Roman" w:hAnsi="Arial" w:cs="Arial"/>
                <w:b/>
                <w:bCs/>
                <w:color w:val="000000"/>
                <w:sz w:val="20"/>
                <w:szCs w:val="20"/>
                <w:lang w:val="es-ES_tradnl" w:eastAsia="es-MX"/>
              </w:rPr>
            </w:pPr>
            <w:r w:rsidRPr="00F32542">
              <w:rPr>
                <w:rFonts w:ascii="Arial" w:eastAsia="Times New Roman" w:hAnsi="Arial" w:cs="Arial"/>
                <w:b/>
                <w:bCs/>
                <w:color w:val="000000"/>
                <w:sz w:val="20"/>
                <w:szCs w:val="20"/>
                <w:lang w:val="es-ES_tradnl" w:eastAsia="es-MX"/>
              </w:rPr>
              <w:t>TECDMX-JLDC-108/2021</w:t>
            </w:r>
          </w:p>
        </w:tc>
        <w:tc>
          <w:tcPr>
            <w:tcW w:w="2041" w:type="dxa"/>
            <w:vMerge w:val="restart"/>
            <w:vAlign w:val="center"/>
          </w:tcPr>
          <w:p w14:paraId="2ABA80C7" w14:textId="77777777" w:rsidR="003C3B09" w:rsidRPr="00F32542" w:rsidRDefault="003C3B09" w:rsidP="00286BB3">
            <w:pPr>
              <w:spacing w:after="0" w:line="240" w:lineRule="auto"/>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De las 23:55 del 16 de junio a las 23:55 del 19 de junio.</w:t>
            </w:r>
          </w:p>
        </w:tc>
        <w:tc>
          <w:tcPr>
            <w:tcW w:w="2350" w:type="dxa"/>
            <w:vAlign w:val="center"/>
          </w:tcPr>
          <w:p w14:paraId="4FEB228A" w14:textId="77777777" w:rsidR="003C3B09" w:rsidRPr="00F32542" w:rsidRDefault="003C3B09" w:rsidP="00286BB3">
            <w:pPr>
              <w:spacing w:after="0" w:line="240" w:lineRule="auto"/>
              <w:ind w:right="51"/>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Víctor Hugo Lobo Román</w:t>
            </w:r>
          </w:p>
        </w:tc>
        <w:tc>
          <w:tcPr>
            <w:tcW w:w="0" w:type="auto"/>
            <w:vAlign w:val="center"/>
          </w:tcPr>
          <w:p w14:paraId="0A98F695"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19 de junio</w:t>
            </w:r>
          </w:p>
          <w:p w14:paraId="29385B91"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21:31</w:t>
            </w:r>
          </w:p>
        </w:tc>
      </w:tr>
      <w:tr w:rsidR="003C3B09" w:rsidRPr="00F32542" w14:paraId="19D3947A" w14:textId="77777777" w:rsidTr="00286BB3">
        <w:trPr>
          <w:trHeight w:val="412"/>
          <w:jc w:val="center"/>
        </w:trPr>
        <w:tc>
          <w:tcPr>
            <w:tcW w:w="441" w:type="dxa"/>
            <w:vMerge/>
            <w:vAlign w:val="center"/>
          </w:tcPr>
          <w:p w14:paraId="72E95539"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p>
        </w:tc>
        <w:tc>
          <w:tcPr>
            <w:tcW w:w="1624" w:type="dxa"/>
            <w:vMerge/>
            <w:vAlign w:val="center"/>
          </w:tcPr>
          <w:p w14:paraId="7C775487" w14:textId="77777777" w:rsidR="003C3B09" w:rsidRPr="00F32542" w:rsidRDefault="003C3B09" w:rsidP="00286BB3">
            <w:pPr>
              <w:spacing w:after="0" w:line="240" w:lineRule="auto"/>
              <w:jc w:val="center"/>
              <w:rPr>
                <w:rFonts w:ascii="Arial" w:eastAsia="Times New Roman" w:hAnsi="Arial" w:cs="Arial"/>
                <w:b/>
                <w:bCs/>
                <w:color w:val="000000"/>
                <w:sz w:val="20"/>
                <w:szCs w:val="20"/>
                <w:lang w:val="es-ES_tradnl" w:eastAsia="es-MX"/>
              </w:rPr>
            </w:pPr>
          </w:p>
        </w:tc>
        <w:tc>
          <w:tcPr>
            <w:tcW w:w="2041" w:type="dxa"/>
            <w:vMerge/>
            <w:vAlign w:val="center"/>
          </w:tcPr>
          <w:p w14:paraId="08F2C3BF" w14:textId="77777777" w:rsidR="003C3B09" w:rsidRPr="00F32542" w:rsidRDefault="003C3B09" w:rsidP="00286BB3">
            <w:pPr>
              <w:spacing w:after="0" w:line="240" w:lineRule="auto"/>
              <w:rPr>
                <w:rFonts w:ascii="Arial" w:eastAsia="Times New Roman" w:hAnsi="Arial" w:cs="Arial"/>
                <w:sz w:val="20"/>
                <w:szCs w:val="20"/>
                <w:lang w:val="es-ES_tradnl" w:eastAsia="es-MX"/>
              </w:rPr>
            </w:pPr>
          </w:p>
        </w:tc>
        <w:tc>
          <w:tcPr>
            <w:tcW w:w="2350" w:type="dxa"/>
            <w:vAlign w:val="center"/>
          </w:tcPr>
          <w:p w14:paraId="644C1DDF" w14:textId="77777777" w:rsidR="003C3B09" w:rsidRPr="00F32542" w:rsidRDefault="003C3B09" w:rsidP="00286BB3">
            <w:pPr>
              <w:spacing w:after="0" w:line="240" w:lineRule="auto"/>
              <w:jc w:val="center"/>
              <w:rPr>
                <w:rFonts w:ascii="Arial" w:eastAsia="Times New Roman" w:hAnsi="Arial" w:cs="Arial"/>
                <w:b/>
                <w:sz w:val="20"/>
                <w:szCs w:val="20"/>
                <w:lang w:val="es-ES_tradnl" w:eastAsia="es-MX"/>
              </w:rPr>
            </w:pPr>
            <w:r w:rsidRPr="00F32542">
              <w:rPr>
                <w:rFonts w:ascii="Arial" w:eastAsia="Times New Roman" w:hAnsi="Arial" w:cs="Arial"/>
                <w:sz w:val="20"/>
                <w:szCs w:val="20"/>
                <w:lang w:val="es-ES_tradnl" w:eastAsia="es-MX"/>
              </w:rPr>
              <w:t xml:space="preserve">Ricardo </w:t>
            </w:r>
            <w:proofErr w:type="spellStart"/>
            <w:r w:rsidRPr="00F32542">
              <w:rPr>
                <w:rFonts w:ascii="Arial" w:eastAsia="Times New Roman" w:hAnsi="Arial" w:cs="Arial"/>
                <w:sz w:val="20"/>
                <w:szCs w:val="20"/>
                <w:lang w:val="es-ES_tradnl" w:eastAsia="es-MX"/>
              </w:rPr>
              <w:t>Janecarlo</w:t>
            </w:r>
            <w:proofErr w:type="spellEnd"/>
            <w:r w:rsidRPr="00F32542">
              <w:rPr>
                <w:rFonts w:ascii="Arial" w:eastAsia="Times New Roman" w:hAnsi="Arial" w:cs="Arial"/>
                <w:sz w:val="20"/>
                <w:szCs w:val="20"/>
                <w:lang w:val="es-ES_tradnl" w:eastAsia="es-MX"/>
              </w:rPr>
              <w:t xml:space="preserve"> Lozano Reynoso</w:t>
            </w:r>
          </w:p>
        </w:tc>
        <w:tc>
          <w:tcPr>
            <w:tcW w:w="0" w:type="auto"/>
            <w:vAlign w:val="center"/>
          </w:tcPr>
          <w:p w14:paraId="5722E9A6"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19 de junio</w:t>
            </w:r>
          </w:p>
          <w:p w14:paraId="716A65E2"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21:36</w:t>
            </w:r>
          </w:p>
        </w:tc>
      </w:tr>
      <w:tr w:rsidR="003C3B09" w:rsidRPr="00F32542" w14:paraId="2509ECB4" w14:textId="77777777" w:rsidTr="00286BB3">
        <w:trPr>
          <w:trHeight w:val="412"/>
          <w:jc w:val="center"/>
        </w:trPr>
        <w:tc>
          <w:tcPr>
            <w:tcW w:w="441" w:type="dxa"/>
            <w:vAlign w:val="center"/>
          </w:tcPr>
          <w:p w14:paraId="64F3CC15"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1</w:t>
            </w:r>
            <w:r w:rsidR="00286BB3" w:rsidRPr="00F32542">
              <w:rPr>
                <w:rFonts w:ascii="Arial" w:eastAsia="Times New Roman" w:hAnsi="Arial" w:cs="Arial"/>
                <w:sz w:val="20"/>
                <w:szCs w:val="20"/>
                <w:lang w:val="es-ES_tradnl" w:eastAsia="es-MX"/>
              </w:rPr>
              <w:t>3</w:t>
            </w:r>
          </w:p>
        </w:tc>
        <w:tc>
          <w:tcPr>
            <w:tcW w:w="1624" w:type="dxa"/>
            <w:vAlign w:val="center"/>
          </w:tcPr>
          <w:p w14:paraId="77E93192" w14:textId="77777777" w:rsidR="003C3B09" w:rsidRPr="00F32542" w:rsidRDefault="003C3B09" w:rsidP="003C3B09">
            <w:pPr>
              <w:spacing w:after="0" w:line="240" w:lineRule="auto"/>
              <w:jc w:val="center"/>
              <w:rPr>
                <w:rFonts w:ascii="Arial" w:eastAsia="Times New Roman" w:hAnsi="Arial" w:cs="Arial"/>
                <w:b/>
                <w:bCs/>
                <w:color w:val="000000"/>
                <w:sz w:val="20"/>
                <w:szCs w:val="20"/>
                <w:lang w:val="es-ES_tradnl" w:eastAsia="es-MX"/>
              </w:rPr>
            </w:pPr>
            <w:r w:rsidRPr="00F32542">
              <w:rPr>
                <w:rFonts w:ascii="Arial" w:eastAsia="Times New Roman" w:hAnsi="Arial" w:cs="Arial"/>
                <w:b/>
                <w:bCs/>
                <w:color w:val="000000"/>
                <w:sz w:val="20"/>
                <w:szCs w:val="20"/>
                <w:lang w:val="es-ES_tradnl" w:eastAsia="es-MX"/>
              </w:rPr>
              <w:t>TECDMX-JLDC-109/2021</w:t>
            </w:r>
          </w:p>
        </w:tc>
        <w:tc>
          <w:tcPr>
            <w:tcW w:w="2041" w:type="dxa"/>
            <w:vAlign w:val="center"/>
          </w:tcPr>
          <w:p w14:paraId="481F961D" w14:textId="77777777" w:rsidR="003C3B09" w:rsidRPr="00F32542" w:rsidRDefault="003C3B09" w:rsidP="00286BB3">
            <w:pPr>
              <w:spacing w:after="0" w:line="240" w:lineRule="auto"/>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De las 23:50 del 16 de junio a las 23:50 del 19 de junio.</w:t>
            </w:r>
          </w:p>
        </w:tc>
        <w:tc>
          <w:tcPr>
            <w:tcW w:w="2350" w:type="dxa"/>
            <w:vAlign w:val="center"/>
          </w:tcPr>
          <w:p w14:paraId="7ECEBBE9" w14:textId="77777777" w:rsidR="003C3B09" w:rsidRPr="00F32542" w:rsidRDefault="003C3B09" w:rsidP="00286BB3">
            <w:pPr>
              <w:spacing w:after="0" w:line="240" w:lineRule="auto"/>
              <w:jc w:val="center"/>
              <w:rPr>
                <w:rFonts w:ascii="Arial" w:eastAsia="Times New Roman" w:hAnsi="Arial" w:cs="Arial"/>
                <w:bCs/>
                <w:sz w:val="20"/>
                <w:szCs w:val="20"/>
                <w:lang w:val="es-ES_tradnl" w:eastAsia="es-MX"/>
              </w:rPr>
            </w:pPr>
            <w:r w:rsidRPr="00F32542">
              <w:rPr>
                <w:rFonts w:ascii="Arial" w:eastAsia="Times New Roman" w:hAnsi="Arial" w:cs="Arial"/>
                <w:bCs/>
                <w:sz w:val="20"/>
                <w:szCs w:val="20"/>
                <w:lang w:val="es-ES_tradnl" w:eastAsia="es-MX"/>
              </w:rPr>
              <w:t>Lucia Alejandra Puente García</w:t>
            </w:r>
          </w:p>
        </w:tc>
        <w:tc>
          <w:tcPr>
            <w:tcW w:w="0" w:type="auto"/>
            <w:vAlign w:val="center"/>
          </w:tcPr>
          <w:p w14:paraId="5C0BD0A1"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19 de junio</w:t>
            </w:r>
          </w:p>
          <w:p w14:paraId="4C4F9B69"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21:50</w:t>
            </w:r>
          </w:p>
        </w:tc>
      </w:tr>
      <w:tr w:rsidR="003C3B09" w:rsidRPr="00F32542" w14:paraId="7EB84D27" w14:textId="77777777" w:rsidTr="00286BB3">
        <w:trPr>
          <w:trHeight w:val="412"/>
          <w:jc w:val="center"/>
        </w:trPr>
        <w:tc>
          <w:tcPr>
            <w:tcW w:w="441" w:type="dxa"/>
            <w:vAlign w:val="center"/>
          </w:tcPr>
          <w:p w14:paraId="08CA7BE7" w14:textId="77777777" w:rsidR="003C3B09" w:rsidRPr="00F32542" w:rsidRDefault="00286BB3"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lastRenderedPageBreak/>
              <w:t>14</w:t>
            </w:r>
          </w:p>
        </w:tc>
        <w:tc>
          <w:tcPr>
            <w:tcW w:w="1624" w:type="dxa"/>
            <w:vAlign w:val="center"/>
          </w:tcPr>
          <w:p w14:paraId="5AFFFD78" w14:textId="77777777" w:rsidR="003C3B09" w:rsidRPr="00F32542" w:rsidRDefault="003C3B09" w:rsidP="003C3B09">
            <w:pPr>
              <w:spacing w:after="0" w:line="240" w:lineRule="auto"/>
              <w:jc w:val="center"/>
              <w:rPr>
                <w:rFonts w:ascii="Arial" w:eastAsia="Times New Roman" w:hAnsi="Arial" w:cs="Arial"/>
                <w:b/>
                <w:bCs/>
                <w:color w:val="000000"/>
                <w:sz w:val="20"/>
                <w:szCs w:val="20"/>
                <w:lang w:val="es-ES_tradnl" w:eastAsia="es-MX"/>
              </w:rPr>
            </w:pPr>
            <w:r w:rsidRPr="00F32542">
              <w:rPr>
                <w:rFonts w:ascii="Arial" w:eastAsia="Times New Roman" w:hAnsi="Arial" w:cs="Arial"/>
                <w:b/>
                <w:bCs/>
                <w:color w:val="000000"/>
                <w:sz w:val="20"/>
                <w:szCs w:val="20"/>
                <w:lang w:val="es-ES_tradnl" w:eastAsia="es-MX"/>
              </w:rPr>
              <w:t>TECDMX-JLDC-110/2021</w:t>
            </w:r>
          </w:p>
        </w:tc>
        <w:tc>
          <w:tcPr>
            <w:tcW w:w="2041" w:type="dxa"/>
            <w:vAlign w:val="center"/>
          </w:tcPr>
          <w:p w14:paraId="29ABD969" w14:textId="77777777" w:rsidR="003C3B09" w:rsidRPr="00F32542" w:rsidRDefault="003C3B09" w:rsidP="00286BB3">
            <w:pPr>
              <w:spacing w:after="0" w:line="240" w:lineRule="auto"/>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De las 23:50 del 16 de junio a las 23:50 del 19 de junio.</w:t>
            </w:r>
          </w:p>
        </w:tc>
        <w:tc>
          <w:tcPr>
            <w:tcW w:w="2350" w:type="dxa"/>
            <w:vAlign w:val="center"/>
          </w:tcPr>
          <w:p w14:paraId="40C04B70" w14:textId="77777777" w:rsidR="003C3B09" w:rsidRPr="00F32542" w:rsidRDefault="003C3B09" w:rsidP="00286BB3">
            <w:pPr>
              <w:spacing w:after="0" w:line="240" w:lineRule="auto"/>
              <w:jc w:val="center"/>
              <w:rPr>
                <w:rFonts w:ascii="Arial" w:eastAsia="Times New Roman" w:hAnsi="Arial" w:cs="Arial"/>
                <w:b/>
                <w:sz w:val="20"/>
                <w:szCs w:val="20"/>
                <w:lang w:val="es-ES_tradnl" w:eastAsia="es-MX"/>
              </w:rPr>
            </w:pPr>
            <w:r w:rsidRPr="00F32542">
              <w:rPr>
                <w:rFonts w:ascii="Arial" w:eastAsia="Times New Roman" w:hAnsi="Arial" w:cs="Arial"/>
                <w:sz w:val="20"/>
                <w:szCs w:val="20"/>
                <w:lang w:val="es-ES_tradnl" w:eastAsia="es-MX"/>
              </w:rPr>
              <w:t>José Gonzalo Espina Miranda</w:t>
            </w:r>
            <w:r w:rsidRPr="00F32542">
              <w:rPr>
                <w:rStyle w:val="Refdenotaalpie"/>
                <w:rFonts w:ascii="Arial" w:eastAsia="Times New Roman" w:hAnsi="Arial" w:cs="Arial"/>
                <w:sz w:val="20"/>
                <w:szCs w:val="20"/>
                <w:lang w:val="es-ES_tradnl" w:eastAsia="es-MX"/>
              </w:rPr>
              <w:footnoteReference w:id="11"/>
            </w:r>
          </w:p>
        </w:tc>
        <w:tc>
          <w:tcPr>
            <w:tcW w:w="0" w:type="auto"/>
            <w:vAlign w:val="center"/>
          </w:tcPr>
          <w:p w14:paraId="2C1AEDAB"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19 de junio</w:t>
            </w:r>
          </w:p>
          <w:p w14:paraId="201C74C4" w14:textId="77777777" w:rsidR="003C3B09" w:rsidRPr="00F32542" w:rsidRDefault="003C3B09" w:rsidP="00286BB3">
            <w:pPr>
              <w:spacing w:after="0" w:line="240" w:lineRule="auto"/>
              <w:jc w:val="center"/>
              <w:rPr>
                <w:rFonts w:ascii="Arial" w:eastAsia="Times New Roman" w:hAnsi="Arial" w:cs="Arial"/>
                <w:sz w:val="20"/>
                <w:szCs w:val="20"/>
                <w:lang w:val="es-ES_tradnl" w:eastAsia="es-MX"/>
              </w:rPr>
            </w:pPr>
            <w:r w:rsidRPr="00F32542">
              <w:rPr>
                <w:rFonts w:ascii="Arial" w:eastAsia="Times New Roman" w:hAnsi="Arial" w:cs="Arial"/>
                <w:sz w:val="20"/>
                <w:szCs w:val="20"/>
                <w:lang w:val="es-ES_tradnl" w:eastAsia="es-MX"/>
              </w:rPr>
              <w:t>21:44</w:t>
            </w:r>
          </w:p>
        </w:tc>
      </w:tr>
    </w:tbl>
    <w:p w14:paraId="7F74DC15" w14:textId="77777777" w:rsidR="00142AAE" w:rsidRPr="00F32542" w:rsidRDefault="00142AAE" w:rsidP="00142AAE">
      <w:pPr>
        <w:spacing w:after="0" w:line="360" w:lineRule="auto"/>
        <w:jc w:val="both"/>
        <w:rPr>
          <w:rFonts w:ascii="Arial" w:eastAsia="Calibri" w:hAnsi="Arial" w:cs="Arial"/>
          <w:sz w:val="28"/>
          <w:szCs w:val="28"/>
          <w:lang w:val="es-ES_tradnl"/>
        </w:rPr>
      </w:pPr>
    </w:p>
    <w:p w14:paraId="412C08D7" w14:textId="77777777" w:rsidR="00142AAE" w:rsidRPr="00F32542" w:rsidRDefault="00142AAE" w:rsidP="00142AAE">
      <w:pPr>
        <w:spacing w:after="0" w:line="360" w:lineRule="auto"/>
        <w:ind w:right="51"/>
        <w:jc w:val="both"/>
        <w:rPr>
          <w:rFonts w:ascii="Arial" w:hAnsi="Arial" w:cs="Arial"/>
          <w:sz w:val="28"/>
          <w:szCs w:val="28"/>
          <w:lang w:val="es-ES_tradnl"/>
        </w:rPr>
      </w:pPr>
      <w:r w:rsidRPr="00F32542">
        <w:rPr>
          <w:rFonts w:ascii="Arial" w:hAnsi="Arial" w:cs="Arial"/>
          <w:b/>
          <w:sz w:val="28"/>
          <w:szCs w:val="28"/>
          <w:lang w:val="es-ES_tradnl"/>
        </w:rPr>
        <w:t>3. Legitimación y personería.</w:t>
      </w:r>
      <w:r w:rsidRPr="00F32542">
        <w:rPr>
          <w:rFonts w:ascii="Arial" w:hAnsi="Arial" w:cs="Arial"/>
          <w:sz w:val="28"/>
          <w:szCs w:val="28"/>
          <w:lang w:val="es-ES_tradnl"/>
        </w:rPr>
        <w:t xml:space="preserve"> Se tiene por reconocida la legitimación de</w:t>
      </w:r>
      <w:r w:rsidR="0092092D" w:rsidRPr="00F32542">
        <w:rPr>
          <w:rFonts w:ascii="Arial" w:hAnsi="Arial" w:cs="Arial"/>
          <w:sz w:val="28"/>
          <w:szCs w:val="28"/>
          <w:lang w:val="es-ES_tradnl"/>
        </w:rPr>
        <w:t xml:space="preserve"> las partes terceras interesadas </w:t>
      </w:r>
      <w:r w:rsidR="0092092D" w:rsidRPr="00F32542">
        <w:rPr>
          <w:rFonts w:ascii="Arial" w:eastAsia="Calibri" w:hAnsi="Arial" w:cs="Arial"/>
          <w:sz w:val="28"/>
          <w:szCs w:val="28"/>
          <w:lang w:val="es-ES_tradnl"/>
        </w:rPr>
        <w:t xml:space="preserve">referidas en la tabla </w:t>
      </w:r>
      <w:r w:rsidR="00286BB3" w:rsidRPr="00F32542">
        <w:rPr>
          <w:rFonts w:ascii="Arial" w:eastAsia="Calibri" w:hAnsi="Arial" w:cs="Arial"/>
          <w:sz w:val="28"/>
          <w:szCs w:val="28"/>
          <w:lang w:val="es-ES_tradnl"/>
        </w:rPr>
        <w:t>que antecede</w:t>
      </w:r>
      <w:r w:rsidRPr="00F32542">
        <w:rPr>
          <w:rFonts w:ascii="Arial" w:hAnsi="Arial" w:cs="Arial"/>
          <w:sz w:val="28"/>
          <w:szCs w:val="28"/>
          <w:lang w:val="es-ES_tradnl"/>
        </w:rPr>
        <w:t xml:space="preserve">, en virtud de que, </w:t>
      </w:r>
      <w:r w:rsidRPr="00F32542">
        <w:rPr>
          <w:rFonts w:ascii="Arial" w:eastAsia="Calibri" w:hAnsi="Arial" w:cs="Arial"/>
          <w:sz w:val="28"/>
          <w:szCs w:val="28"/>
          <w:lang w:val="es-ES_tradnl"/>
        </w:rPr>
        <w:t xml:space="preserve">comparecen en términos del artículo </w:t>
      </w:r>
      <w:r w:rsidR="00B44B9A" w:rsidRPr="00F32542">
        <w:rPr>
          <w:rFonts w:ascii="Arial" w:eastAsia="Calibri" w:hAnsi="Arial" w:cs="Arial"/>
          <w:sz w:val="28"/>
          <w:szCs w:val="28"/>
          <w:lang w:val="es-ES_tradnl"/>
        </w:rPr>
        <w:t>43, fracción III,</w:t>
      </w:r>
      <w:r w:rsidRPr="00F32542">
        <w:rPr>
          <w:rFonts w:ascii="Arial" w:eastAsia="Calibri" w:hAnsi="Arial" w:cs="Arial"/>
          <w:sz w:val="28"/>
          <w:szCs w:val="28"/>
          <w:lang w:val="es-ES_tradnl"/>
        </w:rPr>
        <w:t xml:space="preserve"> de la </w:t>
      </w:r>
      <w:r w:rsidRPr="00F32542">
        <w:rPr>
          <w:rFonts w:ascii="Arial" w:eastAsia="Calibri" w:hAnsi="Arial" w:cs="Arial"/>
          <w:i/>
          <w:sz w:val="28"/>
          <w:szCs w:val="28"/>
          <w:lang w:val="es-ES_tradnl"/>
        </w:rPr>
        <w:t>Ley Procesal</w:t>
      </w:r>
      <w:r w:rsidR="00B44B9A" w:rsidRPr="00F32542">
        <w:rPr>
          <w:rFonts w:ascii="Arial" w:eastAsia="Calibri" w:hAnsi="Arial" w:cs="Arial"/>
          <w:sz w:val="28"/>
          <w:szCs w:val="28"/>
          <w:lang w:val="es-ES_tradnl"/>
        </w:rPr>
        <w:t xml:space="preserve">, </w:t>
      </w:r>
      <w:r w:rsidR="00222E36" w:rsidRPr="00F32542">
        <w:rPr>
          <w:rFonts w:ascii="Arial" w:eastAsia="Calibri" w:hAnsi="Arial" w:cs="Arial"/>
          <w:sz w:val="28"/>
          <w:szCs w:val="28"/>
          <w:lang w:val="es-ES_tradnl"/>
        </w:rPr>
        <w:t xml:space="preserve">por su propio derecho y </w:t>
      </w:r>
      <w:r w:rsidR="00B44B9A" w:rsidRPr="00F32542">
        <w:rPr>
          <w:rFonts w:ascii="Arial" w:eastAsia="Calibri" w:hAnsi="Arial" w:cs="Arial"/>
          <w:sz w:val="28"/>
          <w:szCs w:val="28"/>
          <w:lang w:val="es-ES_tradnl"/>
        </w:rPr>
        <w:t>en su calidad de personas ciudadanas candidatas</w:t>
      </w:r>
      <w:r w:rsidR="00222E36" w:rsidRPr="00F32542">
        <w:rPr>
          <w:rFonts w:ascii="Arial" w:eastAsia="Calibri" w:hAnsi="Arial" w:cs="Arial"/>
          <w:sz w:val="28"/>
          <w:szCs w:val="28"/>
          <w:lang w:val="es-ES_tradnl"/>
        </w:rPr>
        <w:t xml:space="preserve"> y, r</w:t>
      </w:r>
      <w:r w:rsidR="0092092D" w:rsidRPr="00F32542">
        <w:rPr>
          <w:rFonts w:ascii="Arial" w:eastAsia="Calibri" w:hAnsi="Arial" w:cs="Arial"/>
          <w:sz w:val="28"/>
          <w:szCs w:val="28"/>
          <w:lang w:val="es-ES_tradnl"/>
        </w:rPr>
        <w:t>especto del PRD</w:t>
      </w:r>
      <w:r w:rsidRPr="00F32542">
        <w:rPr>
          <w:rFonts w:ascii="Arial" w:eastAsia="Calibri" w:hAnsi="Arial" w:cs="Arial"/>
          <w:i/>
          <w:iCs/>
          <w:sz w:val="28"/>
          <w:szCs w:val="28"/>
          <w:lang w:val="es-ES_tradnl"/>
        </w:rPr>
        <w:t>,</w:t>
      </w:r>
      <w:r w:rsidRPr="00F32542">
        <w:rPr>
          <w:rFonts w:ascii="Arial" w:eastAsia="Calibri" w:hAnsi="Arial" w:cs="Arial"/>
          <w:sz w:val="28"/>
          <w:szCs w:val="28"/>
          <w:lang w:val="es-ES_tradnl"/>
        </w:rPr>
        <w:t xml:space="preserve"> al</w:t>
      </w:r>
      <w:r w:rsidR="00222E36" w:rsidRPr="00F32542">
        <w:rPr>
          <w:rFonts w:ascii="Arial" w:eastAsia="Calibri" w:hAnsi="Arial" w:cs="Arial"/>
          <w:sz w:val="28"/>
          <w:szCs w:val="28"/>
          <w:lang w:val="es-ES_tradnl"/>
        </w:rPr>
        <w:t xml:space="preserve"> tratarse de un partido político que</w:t>
      </w:r>
      <w:r w:rsidRPr="00F32542">
        <w:rPr>
          <w:rFonts w:ascii="Arial" w:eastAsia="Calibri" w:hAnsi="Arial" w:cs="Arial"/>
          <w:sz w:val="28"/>
          <w:szCs w:val="28"/>
          <w:lang w:val="es-ES_tradnl"/>
        </w:rPr>
        <w:t xml:space="preserve"> comparece a través de su representante </w:t>
      </w:r>
      <w:r w:rsidR="0092092D" w:rsidRPr="00F32542">
        <w:rPr>
          <w:rFonts w:ascii="Arial" w:eastAsia="Calibri" w:hAnsi="Arial" w:cs="Arial"/>
          <w:sz w:val="28"/>
          <w:szCs w:val="28"/>
          <w:lang w:val="es-ES_tradnl"/>
        </w:rPr>
        <w:t>propietario ante el Consejo General del</w:t>
      </w:r>
      <w:r w:rsidR="00B44B9A" w:rsidRPr="00F32542">
        <w:rPr>
          <w:rFonts w:ascii="Arial" w:eastAsia="Calibri" w:hAnsi="Arial" w:cs="Arial"/>
          <w:sz w:val="28"/>
          <w:szCs w:val="28"/>
          <w:lang w:val="es-ES_tradnl"/>
        </w:rPr>
        <w:t xml:space="preserve"> </w:t>
      </w:r>
      <w:r w:rsidR="00B44B9A" w:rsidRPr="00F32542">
        <w:rPr>
          <w:rFonts w:ascii="Arial" w:eastAsia="Calibri" w:hAnsi="Arial" w:cs="Arial"/>
          <w:i/>
          <w:iCs/>
          <w:sz w:val="28"/>
          <w:szCs w:val="28"/>
          <w:lang w:val="es-ES_tradnl"/>
        </w:rPr>
        <w:t>IECM</w:t>
      </w:r>
      <w:r w:rsidRPr="00F32542">
        <w:rPr>
          <w:rFonts w:ascii="Arial" w:eastAsia="Calibri" w:hAnsi="Arial" w:cs="Arial"/>
          <w:iCs/>
          <w:sz w:val="28"/>
          <w:szCs w:val="28"/>
          <w:lang w:val="es-ES_tradnl"/>
        </w:rPr>
        <w:t>, p</w:t>
      </w:r>
      <w:r w:rsidRPr="00F32542">
        <w:rPr>
          <w:rFonts w:ascii="Arial" w:eastAsia="Times New Roman" w:hAnsi="Arial" w:cs="Arial"/>
          <w:iCs/>
          <w:sz w:val="28"/>
          <w:szCs w:val="28"/>
          <w:lang w:val="es-ES_tradnl" w:eastAsia="es-ES"/>
        </w:rPr>
        <w:t>ersonería</w:t>
      </w:r>
      <w:r w:rsidRPr="00F32542">
        <w:rPr>
          <w:rFonts w:ascii="Arial" w:eastAsia="Times New Roman" w:hAnsi="Arial" w:cs="Arial"/>
          <w:sz w:val="28"/>
          <w:szCs w:val="28"/>
          <w:lang w:val="es-ES_tradnl" w:eastAsia="es-ES"/>
        </w:rPr>
        <w:t xml:space="preserve"> que fue reconocida </w:t>
      </w:r>
      <w:r w:rsidRPr="00F32542">
        <w:rPr>
          <w:rFonts w:ascii="Arial" w:hAnsi="Arial" w:cs="Arial"/>
          <w:sz w:val="28"/>
          <w:szCs w:val="28"/>
          <w:lang w:val="es-ES_tradnl"/>
        </w:rPr>
        <w:t xml:space="preserve">por la </w:t>
      </w:r>
      <w:r w:rsidRPr="00F32542">
        <w:rPr>
          <w:rFonts w:ascii="Arial" w:hAnsi="Arial" w:cs="Arial"/>
          <w:i/>
          <w:sz w:val="28"/>
          <w:szCs w:val="28"/>
          <w:lang w:val="es-ES_tradnl"/>
        </w:rPr>
        <w:t>autoridad responsable</w:t>
      </w:r>
      <w:r w:rsidRPr="00F32542">
        <w:rPr>
          <w:rFonts w:ascii="Arial" w:hAnsi="Arial" w:cs="Arial"/>
          <w:sz w:val="28"/>
          <w:szCs w:val="28"/>
          <w:lang w:val="es-ES_tradnl"/>
        </w:rPr>
        <w:t xml:space="preserve"> en su informe circunstanciado, en términos de lo previsto en el artículo 78, fracción I, de la </w:t>
      </w:r>
      <w:r w:rsidRPr="00F32542">
        <w:rPr>
          <w:rFonts w:ascii="Arial" w:hAnsi="Arial" w:cs="Arial"/>
          <w:i/>
          <w:sz w:val="28"/>
          <w:szCs w:val="28"/>
          <w:lang w:val="es-ES_tradnl"/>
        </w:rPr>
        <w:t>Ley Procesal</w:t>
      </w:r>
      <w:r w:rsidRPr="00F32542">
        <w:rPr>
          <w:rFonts w:ascii="Arial" w:eastAsia="Times New Roman" w:hAnsi="Arial" w:cs="Arial"/>
          <w:sz w:val="28"/>
          <w:szCs w:val="28"/>
          <w:lang w:val="es-ES_tradnl" w:eastAsia="es-ES"/>
        </w:rPr>
        <w:t>.</w:t>
      </w:r>
    </w:p>
    <w:p w14:paraId="515BF9A5" w14:textId="77777777" w:rsidR="00142AAE" w:rsidRPr="00F32542" w:rsidRDefault="00142AAE" w:rsidP="00142AAE">
      <w:pPr>
        <w:spacing w:after="0" w:line="360" w:lineRule="auto"/>
        <w:jc w:val="both"/>
        <w:rPr>
          <w:rFonts w:ascii="Arial" w:eastAsia="Calibri" w:hAnsi="Arial" w:cs="Arial"/>
          <w:b/>
          <w:sz w:val="28"/>
          <w:szCs w:val="28"/>
          <w:lang w:val="es-ES_tradnl"/>
        </w:rPr>
      </w:pPr>
    </w:p>
    <w:p w14:paraId="50850B1A" w14:textId="77777777" w:rsidR="00142AAE" w:rsidRPr="00F32542" w:rsidRDefault="00142AAE" w:rsidP="00142AAE">
      <w:pPr>
        <w:spacing w:after="0" w:line="360" w:lineRule="auto"/>
        <w:ind w:right="51"/>
        <w:jc w:val="both"/>
        <w:rPr>
          <w:rFonts w:ascii="Arial" w:eastAsia="Calibri" w:hAnsi="Arial" w:cs="Arial"/>
          <w:i/>
          <w:sz w:val="28"/>
          <w:szCs w:val="28"/>
          <w:lang w:val="es-ES_tradnl"/>
        </w:rPr>
      </w:pPr>
      <w:r w:rsidRPr="00F32542">
        <w:rPr>
          <w:rFonts w:ascii="Arial" w:eastAsia="Calibri" w:hAnsi="Arial" w:cs="Arial"/>
          <w:b/>
          <w:sz w:val="28"/>
          <w:szCs w:val="28"/>
          <w:lang w:val="es-ES_tradnl"/>
        </w:rPr>
        <w:t>4. Interés jurídico.</w:t>
      </w:r>
      <w:r w:rsidRPr="00F32542">
        <w:rPr>
          <w:rFonts w:ascii="Arial" w:eastAsia="Calibri" w:hAnsi="Arial" w:cs="Arial"/>
          <w:sz w:val="28"/>
          <w:szCs w:val="28"/>
          <w:lang w:val="es-ES_tradnl"/>
        </w:rPr>
        <w:t xml:space="preserve"> De </w:t>
      </w:r>
      <w:r w:rsidRPr="00F32542">
        <w:rPr>
          <w:rFonts w:ascii="Arial" w:hAnsi="Arial" w:cs="Arial"/>
          <w:sz w:val="28"/>
          <w:szCs w:val="28"/>
          <w:lang w:val="es-ES_tradnl"/>
        </w:rPr>
        <w:t xml:space="preserve">conformidad con el artículo 43, primer párrafo, fracción III, de la </w:t>
      </w:r>
      <w:r w:rsidRPr="00F32542">
        <w:rPr>
          <w:rFonts w:ascii="Arial" w:hAnsi="Arial" w:cs="Arial"/>
          <w:i/>
          <w:sz w:val="28"/>
          <w:szCs w:val="28"/>
          <w:lang w:val="es-ES_tradnl"/>
        </w:rPr>
        <w:t>Ley Procesal,</w:t>
      </w:r>
      <w:r w:rsidRPr="00F32542">
        <w:rPr>
          <w:rFonts w:ascii="Arial" w:hAnsi="Arial" w:cs="Arial"/>
          <w:sz w:val="28"/>
          <w:szCs w:val="28"/>
          <w:lang w:val="es-ES_tradnl"/>
        </w:rPr>
        <w:t xml:space="preserve"> e</w:t>
      </w:r>
      <w:r w:rsidRPr="00F32542">
        <w:rPr>
          <w:rFonts w:ascii="Arial" w:eastAsia="Calibri" w:hAnsi="Arial" w:cs="Arial"/>
          <w:sz w:val="28"/>
          <w:szCs w:val="28"/>
          <w:lang w:val="es-ES_tradnl"/>
        </w:rPr>
        <w:t xml:space="preserve">ste requisito se colma </w:t>
      </w:r>
      <w:r w:rsidR="00222E36" w:rsidRPr="00F32542">
        <w:rPr>
          <w:rFonts w:ascii="Arial" w:eastAsia="Calibri" w:hAnsi="Arial" w:cs="Arial"/>
          <w:sz w:val="28"/>
          <w:szCs w:val="28"/>
          <w:lang w:val="es-ES_tradnl"/>
        </w:rPr>
        <w:t xml:space="preserve">al advertirse que quienes comparecen </w:t>
      </w:r>
      <w:r w:rsidRPr="00F32542">
        <w:rPr>
          <w:rFonts w:ascii="Arial" w:eastAsia="Calibri" w:hAnsi="Arial" w:cs="Arial"/>
          <w:bCs/>
          <w:sz w:val="28"/>
          <w:szCs w:val="28"/>
          <w:lang w:val="es-ES_tradnl"/>
        </w:rPr>
        <w:t>tienen interés en la causa,</w:t>
      </w:r>
      <w:r w:rsidRPr="00F32542">
        <w:rPr>
          <w:rFonts w:ascii="Arial" w:eastAsia="Calibri" w:hAnsi="Arial" w:cs="Arial"/>
          <w:sz w:val="28"/>
          <w:szCs w:val="28"/>
          <w:lang w:val="es-ES_tradnl"/>
        </w:rPr>
        <w:t xml:space="preserve"> derivado de </w:t>
      </w:r>
      <w:r w:rsidR="00222E36" w:rsidRPr="00F32542">
        <w:rPr>
          <w:rFonts w:ascii="Arial" w:eastAsia="Calibri" w:hAnsi="Arial" w:cs="Arial"/>
          <w:sz w:val="28"/>
          <w:szCs w:val="28"/>
          <w:lang w:val="es-ES_tradnl"/>
        </w:rPr>
        <w:t>que aducen contar con un</w:t>
      </w:r>
      <w:r w:rsidRPr="00F32542">
        <w:rPr>
          <w:rFonts w:ascii="Arial" w:eastAsia="Calibri" w:hAnsi="Arial" w:cs="Arial"/>
          <w:sz w:val="28"/>
          <w:szCs w:val="28"/>
          <w:lang w:val="es-ES_tradnl"/>
        </w:rPr>
        <w:t xml:space="preserve"> derecho incompatible al de l</w:t>
      </w:r>
      <w:r w:rsidR="00F16F55" w:rsidRPr="00F32542">
        <w:rPr>
          <w:rFonts w:ascii="Arial" w:eastAsia="Calibri" w:hAnsi="Arial" w:cs="Arial"/>
          <w:sz w:val="28"/>
          <w:szCs w:val="28"/>
          <w:lang w:val="es-ES_tradnl"/>
        </w:rPr>
        <w:t>as</w:t>
      </w:r>
      <w:r w:rsidRPr="00F32542">
        <w:rPr>
          <w:rFonts w:ascii="Arial" w:eastAsia="Calibri" w:hAnsi="Arial" w:cs="Arial"/>
          <w:sz w:val="28"/>
          <w:szCs w:val="28"/>
          <w:lang w:val="es-ES_tradnl"/>
        </w:rPr>
        <w:t xml:space="preserve"> </w:t>
      </w:r>
      <w:r w:rsidRPr="00F32542">
        <w:rPr>
          <w:rFonts w:ascii="Arial" w:eastAsia="Calibri" w:hAnsi="Arial" w:cs="Arial"/>
          <w:i/>
          <w:iCs/>
          <w:sz w:val="28"/>
          <w:szCs w:val="28"/>
          <w:lang w:val="es-ES_tradnl"/>
        </w:rPr>
        <w:t>part</w:t>
      </w:r>
      <w:r w:rsidR="00F16F55" w:rsidRPr="00F32542">
        <w:rPr>
          <w:rFonts w:ascii="Arial" w:eastAsia="Calibri" w:hAnsi="Arial" w:cs="Arial"/>
          <w:i/>
          <w:iCs/>
          <w:sz w:val="28"/>
          <w:szCs w:val="28"/>
          <w:lang w:val="es-ES_tradnl"/>
        </w:rPr>
        <w:t>es</w:t>
      </w:r>
      <w:r w:rsidRPr="00F32542">
        <w:rPr>
          <w:rFonts w:ascii="Arial" w:eastAsia="Calibri" w:hAnsi="Arial" w:cs="Arial"/>
          <w:i/>
          <w:iCs/>
          <w:sz w:val="28"/>
          <w:szCs w:val="28"/>
          <w:lang w:val="es-ES_tradnl"/>
        </w:rPr>
        <w:t xml:space="preserve"> </w:t>
      </w:r>
      <w:r w:rsidRPr="00F32542">
        <w:rPr>
          <w:rFonts w:ascii="Arial" w:eastAsia="Calibri" w:hAnsi="Arial" w:cs="Arial"/>
          <w:i/>
          <w:sz w:val="28"/>
          <w:szCs w:val="28"/>
          <w:lang w:val="es-ES_tradnl"/>
        </w:rPr>
        <w:t>actor</w:t>
      </w:r>
      <w:r w:rsidR="00F16F55" w:rsidRPr="00F32542">
        <w:rPr>
          <w:rFonts w:ascii="Arial" w:eastAsia="Calibri" w:hAnsi="Arial" w:cs="Arial"/>
          <w:i/>
          <w:sz w:val="28"/>
          <w:szCs w:val="28"/>
          <w:lang w:val="es-ES_tradnl"/>
        </w:rPr>
        <w:t>a</w:t>
      </w:r>
      <w:r w:rsidRPr="00F32542">
        <w:rPr>
          <w:rFonts w:ascii="Arial" w:eastAsia="Calibri" w:hAnsi="Arial" w:cs="Arial"/>
          <w:i/>
          <w:sz w:val="28"/>
          <w:szCs w:val="28"/>
          <w:lang w:val="es-ES_tradnl"/>
        </w:rPr>
        <w:t>s</w:t>
      </w:r>
      <w:r w:rsidR="00222E36" w:rsidRPr="00F32542">
        <w:rPr>
          <w:rFonts w:ascii="Arial" w:eastAsia="Calibri" w:hAnsi="Arial" w:cs="Arial"/>
          <w:iCs/>
          <w:sz w:val="28"/>
          <w:szCs w:val="28"/>
          <w:lang w:val="es-ES_tradnl"/>
        </w:rPr>
        <w:t xml:space="preserve"> y de que</w:t>
      </w:r>
      <w:r w:rsidR="00222E36" w:rsidRPr="00F32542">
        <w:rPr>
          <w:rFonts w:ascii="Arial" w:hAnsi="Arial" w:cs="Arial"/>
          <w:sz w:val="28"/>
          <w:szCs w:val="28"/>
          <w:lang w:val="es-ES_tradnl"/>
        </w:rPr>
        <w:t xml:space="preserve"> </w:t>
      </w:r>
      <w:r w:rsidRPr="00F32542">
        <w:rPr>
          <w:rFonts w:ascii="Arial" w:hAnsi="Arial" w:cs="Arial"/>
          <w:sz w:val="28"/>
          <w:szCs w:val="28"/>
          <w:lang w:val="es-ES_tradnl"/>
        </w:rPr>
        <w:t>pretenden prevalezca</w:t>
      </w:r>
      <w:r w:rsidR="007B14CB" w:rsidRPr="00F32542">
        <w:rPr>
          <w:rFonts w:ascii="Arial" w:hAnsi="Arial" w:cs="Arial"/>
          <w:sz w:val="28"/>
          <w:szCs w:val="28"/>
          <w:lang w:val="es-ES_tradnl"/>
        </w:rPr>
        <w:t xml:space="preserve"> lo aprobado en el </w:t>
      </w:r>
      <w:r w:rsidR="00222E36" w:rsidRPr="00F32542">
        <w:rPr>
          <w:rFonts w:ascii="Arial" w:hAnsi="Arial" w:cs="Arial"/>
          <w:i/>
          <w:iCs/>
          <w:sz w:val="28"/>
          <w:szCs w:val="28"/>
          <w:lang w:val="es-ES_tradnl"/>
        </w:rPr>
        <w:t>a</w:t>
      </w:r>
      <w:r w:rsidR="007B14CB" w:rsidRPr="00F32542">
        <w:rPr>
          <w:rFonts w:ascii="Arial" w:hAnsi="Arial" w:cs="Arial"/>
          <w:i/>
          <w:iCs/>
          <w:sz w:val="28"/>
          <w:szCs w:val="28"/>
          <w:lang w:val="es-ES_tradnl"/>
        </w:rPr>
        <w:t>cuerdo impugnado</w:t>
      </w:r>
      <w:r w:rsidRPr="00F32542">
        <w:rPr>
          <w:rFonts w:ascii="Arial" w:hAnsi="Arial" w:cs="Arial"/>
          <w:sz w:val="28"/>
          <w:szCs w:val="28"/>
          <w:lang w:val="es-ES_tradnl"/>
        </w:rPr>
        <w:t>.</w:t>
      </w:r>
    </w:p>
    <w:p w14:paraId="1B07CE52" w14:textId="77777777" w:rsidR="00142AAE" w:rsidRPr="00F32542" w:rsidRDefault="00142AAE" w:rsidP="00142AAE">
      <w:pPr>
        <w:pStyle w:val="Textoindependiente"/>
        <w:spacing w:line="360" w:lineRule="auto"/>
        <w:rPr>
          <w:rFonts w:cs="Arial"/>
          <w:szCs w:val="28"/>
        </w:rPr>
      </w:pPr>
    </w:p>
    <w:p w14:paraId="1582EC85" w14:textId="77777777" w:rsidR="00286BB3" w:rsidRPr="00F32542" w:rsidRDefault="00BF19FC" w:rsidP="00286BB3">
      <w:pPr>
        <w:spacing w:after="0" w:line="360" w:lineRule="auto"/>
        <w:ind w:right="51"/>
        <w:jc w:val="both"/>
        <w:rPr>
          <w:rFonts w:ascii="Arial" w:hAnsi="Arial" w:cs="Arial"/>
          <w:b/>
          <w:sz w:val="28"/>
          <w:szCs w:val="28"/>
        </w:rPr>
      </w:pPr>
      <w:r w:rsidRPr="00F32542">
        <w:rPr>
          <w:rFonts w:ascii="Arial" w:hAnsi="Arial" w:cs="Arial"/>
          <w:b/>
          <w:sz w:val="28"/>
          <w:szCs w:val="28"/>
        </w:rPr>
        <w:t xml:space="preserve">CUARTA. </w:t>
      </w:r>
      <w:r w:rsidR="00286BB3" w:rsidRPr="00F32542">
        <w:rPr>
          <w:rFonts w:ascii="Arial" w:hAnsi="Arial" w:cs="Arial"/>
          <w:b/>
          <w:sz w:val="28"/>
          <w:szCs w:val="28"/>
        </w:rPr>
        <w:t>Causales de improcedencia</w:t>
      </w:r>
    </w:p>
    <w:p w14:paraId="5AB85DCA" w14:textId="77777777" w:rsidR="00286BB3" w:rsidRPr="00F32542" w:rsidRDefault="00286BB3" w:rsidP="00286BB3">
      <w:pPr>
        <w:spacing w:after="0" w:line="360" w:lineRule="auto"/>
        <w:ind w:right="51"/>
        <w:jc w:val="both"/>
        <w:rPr>
          <w:rFonts w:ascii="Arial" w:hAnsi="Arial" w:cs="Arial"/>
          <w:sz w:val="28"/>
          <w:szCs w:val="28"/>
        </w:rPr>
      </w:pPr>
    </w:p>
    <w:p w14:paraId="6DF3066A" w14:textId="77777777" w:rsidR="00286BB3" w:rsidRPr="00F32542" w:rsidRDefault="00286BB3" w:rsidP="00286BB3">
      <w:pPr>
        <w:spacing w:after="0" w:line="360" w:lineRule="auto"/>
        <w:ind w:right="51"/>
        <w:jc w:val="both"/>
        <w:rPr>
          <w:rFonts w:ascii="Arial" w:eastAsia="Times New Roman" w:hAnsi="Arial" w:cs="Arial"/>
          <w:sz w:val="28"/>
          <w:szCs w:val="28"/>
          <w:lang w:val="es-ES" w:eastAsia="es-MX"/>
        </w:rPr>
      </w:pPr>
      <w:r w:rsidRPr="00F32542">
        <w:rPr>
          <w:rFonts w:ascii="Arial" w:eastAsia="Times New Roman" w:hAnsi="Arial" w:cs="Arial"/>
          <w:sz w:val="28"/>
          <w:szCs w:val="28"/>
          <w:lang w:val="es-ES" w:eastAsia="es-MX"/>
        </w:rPr>
        <w:t xml:space="preserve">Por ser su examen preferente y de orden público, se analizará en primer lugar si son procedentes los presentes juicios, pues de configurarse alguna de las causas legales de improcedencia, resultaría necesario decretar el desechamiento de plano de las </w:t>
      </w:r>
      <w:r w:rsidRPr="00F32542">
        <w:rPr>
          <w:rFonts w:ascii="Arial" w:eastAsia="Times New Roman" w:hAnsi="Arial" w:cs="Arial"/>
          <w:sz w:val="28"/>
          <w:szCs w:val="28"/>
          <w:lang w:val="es-ES" w:eastAsia="es-MX"/>
        </w:rPr>
        <w:lastRenderedPageBreak/>
        <w:t>demandas o el sobreseimiento de los juicios, por existir un obstáculo que impediría la válida constitución del proceso y, con ello, la posibilidad de pronunciamiento de este órgano jurisdiccional sobre la controversia planteada.</w:t>
      </w:r>
    </w:p>
    <w:p w14:paraId="1F4A1043" w14:textId="77777777" w:rsidR="00286BB3" w:rsidRPr="00F32542" w:rsidRDefault="00286BB3" w:rsidP="00286BB3">
      <w:pPr>
        <w:spacing w:after="0" w:line="360" w:lineRule="auto"/>
        <w:jc w:val="both"/>
        <w:rPr>
          <w:rFonts w:ascii="Arial" w:hAnsi="Arial" w:cs="Arial"/>
          <w:b/>
          <w:sz w:val="28"/>
          <w:szCs w:val="28"/>
          <w:lang w:eastAsia="es-MX"/>
        </w:rPr>
      </w:pPr>
    </w:p>
    <w:p w14:paraId="775EA8A3" w14:textId="77777777" w:rsidR="00286BB3" w:rsidRPr="00F32542" w:rsidRDefault="00286BB3" w:rsidP="00286BB3">
      <w:pPr>
        <w:spacing w:after="0" w:line="360" w:lineRule="auto"/>
        <w:ind w:right="51"/>
        <w:jc w:val="both"/>
        <w:rPr>
          <w:rFonts w:ascii="Arial" w:eastAsia="Times New Roman" w:hAnsi="Arial" w:cs="Arial"/>
          <w:sz w:val="28"/>
          <w:szCs w:val="28"/>
          <w:lang w:val="es-ES" w:eastAsia="es-MX"/>
        </w:rPr>
      </w:pPr>
      <w:r w:rsidRPr="00F32542">
        <w:rPr>
          <w:rFonts w:ascii="Arial" w:eastAsia="Times New Roman" w:hAnsi="Arial" w:cs="Arial"/>
          <w:sz w:val="28"/>
          <w:szCs w:val="28"/>
          <w:lang w:val="es-ES" w:eastAsia="es-MX"/>
        </w:rPr>
        <w:t xml:space="preserve">En virtud de que la prosecución de un juicio es una cuestión de orden público, cuyo trámite está contenido en la ley, resulta imperativo que este </w:t>
      </w:r>
      <w:r w:rsidRPr="00F32542">
        <w:rPr>
          <w:rFonts w:ascii="Arial" w:eastAsia="Times New Roman" w:hAnsi="Arial" w:cs="Arial"/>
          <w:i/>
          <w:sz w:val="28"/>
          <w:szCs w:val="28"/>
          <w:lang w:val="es-ES" w:eastAsia="es-MX"/>
        </w:rPr>
        <w:t>Tribunal Electoral</w:t>
      </w:r>
      <w:r w:rsidRPr="00F32542">
        <w:rPr>
          <w:rFonts w:ascii="Arial" w:eastAsia="Times New Roman" w:hAnsi="Arial" w:cs="Arial"/>
          <w:sz w:val="28"/>
          <w:szCs w:val="28"/>
          <w:lang w:val="es-ES" w:eastAsia="es-MX"/>
        </w:rPr>
        <w:t xml:space="preserve"> analice los supuestos de procedencia de los medios de impugnación en que se actúa, a efecto de determinar si es pertinente examinar el fondo de la inconformidad que se plantea. </w:t>
      </w:r>
    </w:p>
    <w:p w14:paraId="05786E4E" w14:textId="77777777" w:rsidR="00286BB3" w:rsidRPr="00F32542" w:rsidRDefault="00286BB3" w:rsidP="00286BB3">
      <w:pPr>
        <w:spacing w:after="0" w:line="360" w:lineRule="auto"/>
        <w:ind w:right="51"/>
        <w:jc w:val="both"/>
        <w:rPr>
          <w:rFonts w:ascii="Arial" w:eastAsia="Times New Roman" w:hAnsi="Arial" w:cs="Arial"/>
          <w:sz w:val="28"/>
          <w:szCs w:val="28"/>
          <w:lang w:val="es-ES" w:eastAsia="es-MX"/>
        </w:rPr>
      </w:pPr>
    </w:p>
    <w:p w14:paraId="782C47D3" w14:textId="77777777" w:rsidR="00286BB3" w:rsidRPr="00F32542" w:rsidRDefault="00286BB3" w:rsidP="00286BB3">
      <w:pPr>
        <w:spacing w:after="0" w:line="360" w:lineRule="auto"/>
        <w:ind w:right="51"/>
        <w:jc w:val="both"/>
        <w:rPr>
          <w:rFonts w:ascii="Arial" w:eastAsia="Times New Roman" w:hAnsi="Arial" w:cs="Arial"/>
          <w:sz w:val="28"/>
          <w:szCs w:val="28"/>
          <w:lang w:val="es-ES" w:eastAsia="es-MX"/>
        </w:rPr>
      </w:pPr>
      <w:r w:rsidRPr="00F32542">
        <w:rPr>
          <w:rFonts w:ascii="Arial" w:eastAsia="Times New Roman" w:hAnsi="Arial" w:cs="Arial"/>
          <w:sz w:val="28"/>
          <w:szCs w:val="28"/>
          <w:lang w:val="es-ES" w:eastAsia="es-MX"/>
        </w:rPr>
        <w:t>Sirve de apoyo la jurisprudencia</w:t>
      </w:r>
      <w:r w:rsidRPr="00F32542">
        <w:rPr>
          <w:rFonts w:ascii="Arial" w:eastAsia="Times New Roman" w:hAnsi="Arial" w:cs="Arial"/>
          <w:b/>
          <w:sz w:val="28"/>
          <w:szCs w:val="28"/>
          <w:lang w:val="es-ES" w:eastAsia="es-MX"/>
        </w:rPr>
        <w:t xml:space="preserve"> TEDF1EL J001/1999</w:t>
      </w:r>
      <w:r w:rsidRPr="00F32542">
        <w:rPr>
          <w:rFonts w:ascii="Arial" w:eastAsia="Times New Roman" w:hAnsi="Arial" w:cs="Arial"/>
          <w:sz w:val="28"/>
          <w:szCs w:val="28"/>
          <w:lang w:val="es-ES" w:eastAsia="es-MX"/>
        </w:rPr>
        <w:t xml:space="preserve"> aprobada por este </w:t>
      </w:r>
      <w:r w:rsidRPr="00F32542">
        <w:rPr>
          <w:rFonts w:ascii="Arial" w:eastAsia="Times New Roman" w:hAnsi="Arial" w:cs="Arial"/>
          <w:i/>
          <w:sz w:val="28"/>
          <w:szCs w:val="28"/>
          <w:lang w:val="es-ES" w:eastAsia="es-MX"/>
        </w:rPr>
        <w:t>Tribunal Electoral</w:t>
      </w:r>
      <w:r w:rsidRPr="00F32542">
        <w:rPr>
          <w:rFonts w:ascii="Arial" w:eastAsia="Times New Roman" w:hAnsi="Arial" w:cs="Arial"/>
          <w:sz w:val="28"/>
          <w:szCs w:val="28"/>
          <w:lang w:val="es-ES" w:eastAsia="es-MX"/>
        </w:rPr>
        <w:t>, de rubro: “</w:t>
      </w:r>
      <w:r w:rsidRPr="00F32542">
        <w:rPr>
          <w:rFonts w:ascii="Arial" w:eastAsia="Times New Roman" w:hAnsi="Arial" w:cs="Arial"/>
          <w:b/>
          <w:i/>
          <w:sz w:val="28"/>
          <w:szCs w:val="28"/>
          <w:lang w:val="es-ES" w:eastAsia="es-MX"/>
        </w:rPr>
        <w:t>IMPROCEDENCIA, CAUSALES DE. SU ESTUDIO ES PREFERENTE Y DE OFICIO EN LOS MEDIOS DE IMPUGNACIÓN PREVISTOS POR EL CÓDIGO ELECTORAL DEL DISTRITO FEDERAL</w:t>
      </w:r>
      <w:r w:rsidRPr="00F32542">
        <w:rPr>
          <w:rFonts w:ascii="Arial" w:eastAsia="Times New Roman" w:hAnsi="Arial" w:cs="Arial"/>
          <w:sz w:val="28"/>
          <w:szCs w:val="28"/>
          <w:lang w:val="es-ES" w:eastAsia="es-MX"/>
        </w:rPr>
        <w:t>”</w:t>
      </w:r>
      <w:r w:rsidRPr="00F32542">
        <w:rPr>
          <w:rFonts w:ascii="Arial" w:eastAsia="Times New Roman" w:hAnsi="Arial" w:cs="Arial"/>
          <w:sz w:val="28"/>
          <w:szCs w:val="28"/>
          <w:vertAlign w:val="superscript"/>
          <w:lang w:val="es-ES" w:eastAsia="es-MX"/>
        </w:rPr>
        <w:footnoteReference w:id="12"/>
      </w:r>
      <w:r w:rsidRPr="00F32542">
        <w:rPr>
          <w:rFonts w:ascii="Arial" w:eastAsia="Times New Roman" w:hAnsi="Arial" w:cs="Arial"/>
          <w:sz w:val="28"/>
          <w:szCs w:val="28"/>
          <w:lang w:val="es-ES" w:eastAsia="es-MX"/>
        </w:rPr>
        <w:t>.</w:t>
      </w:r>
    </w:p>
    <w:p w14:paraId="55CC7146" w14:textId="77777777" w:rsidR="00286BB3" w:rsidRPr="00F32542" w:rsidRDefault="00286BB3" w:rsidP="00286BB3">
      <w:pPr>
        <w:spacing w:after="0" w:line="360" w:lineRule="auto"/>
        <w:ind w:right="51"/>
        <w:jc w:val="both"/>
        <w:rPr>
          <w:rFonts w:ascii="Arial" w:eastAsia="Times New Roman" w:hAnsi="Arial" w:cs="Arial"/>
          <w:sz w:val="28"/>
          <w:szCs w:val="28"/>
          <w:lang w:val="es-ES" w:eastAsia="es-MX"/>
        </w:rPr>
      </w:pPr>
    </w:p>
    <w:p w14:paraId="1F225B94" w14:textId="77777777" w:rsidR="00286BB3" w:rsidRPr="00F32542" w:rsidRDefault="00286BB3" w:rsidP="00286BB3">
      <w:pPr>
        <w:spacing w:after="0" w:line="360" w:lineRule="auto"/>
        <w:jc w:val="both"/>
        <w:rPr>
          <w:rFonts w:ascii="Arial" w:hAnsi="Arial" w:cs="Arial"/>
          <w:sz w:val="28"/>
          <w:szCs w:val="28"/>
          <w:lang w:eastAsia="es-MX"/>
        </w:rPr>
      </w:pPr>
      <w:r w:rsidRPr="00F32542">
        <w:rPr>
          <w:rFonts w:ascii="Arial" w:hAnsi="Arial" w:cs="Arial"/>
          <w:sz w:val="28"/>
          <w:szCs w:val="28"/>
          <w:lang w:val="es-ES_tradnl" w:eastAsia="es-MX"/>
        </w:rPr>
        <w:t xml:space="preserve">En atención a ello, este </w:t>
      </w:r>
      <w:r w:rsidRPr="00F32542">
        <w:rPr>
          <w:rFonts w:ascii="Arial" w:hAnsi="Arial" w:cs="Arial"/>
          <w:i/>
          <w:sz w:val="28"/>
          <w:szCs w:val="28"/>
          <w:lang w:val="es-ES_tradnl" w:eastAsia="es-MX"/>
        </w:rPr>
        <w:t>Tribunal Electoral</w:t>
      </w:r>
      <w:r w:rsidRPr="00F32542">
        <w:rPr>
          <w:rFonts w:ascii="Arial" w:hAnsi="Arial" w:cs="Arial"/>
          <w:sz w:val="28"/>
          <w:szCs w:val="28"/>
          <w:lang w:val="es-ES_tradnl" w:eastAsia="es-MX"/>
        </w:rPr>
        <w:t xml:space="preserve"> realizará el estudio de las causales de improcedencia hechas valer por la </w:t>
      </w:r>
      <w:r w:rsidRPr="00F32542">
        <w:rPr>
          <w:rFonts w:ascii="Arial" w:hAnsi="Arial" w:cs="Arial"/>
          <w:i/>
          <w:sz w:val="28"/>
          <w:szCs w:val="28"/>
          <w:lang w:val="es-ES_tradnl" w:eastAsia="es-MX"/>
        </w:rPr>
        <w:t>autoridad responsable</w:t>
      </w:r>
      <w:r w:rsidRPr="00F32542">
        <w:rPr>
          <w:rFonts w:ascii="Arial" w:hAnsi="Arial" w:cs="Arial"/>
          <w:sz w:val="28"/>
          <w:szCs w:val="28"/>
          <w:lang w:val="es-ES_tradnl" w:eastAsia="es-MX"/>
        </w:rPr>
        <w:t>, en sus informes circunstanciados, rendidos respecto a cada juicio, así como por las partes terceras interesadas en sus respectivos escritos de comparecencia.</w:t>
      </w:r>
    </w:p>
    <w:p w14:paraId="04200BBE" w14:textId="77777777" w:rsidR="00C279D9" w:rsidRPr="00F32542" w:rsidRDefault="00C279D9" w:rsidP="00286BB3">
      <w:pPr>
        <w:spacing w:after="0" w:line="360" w:lineRule="auto"/>
        <w:ind w:right="51"/>
        <w:jc w:val="both"/>
        <w:rPr>
          <w:rFonts w:ascii="Arial" w:eastAsia="Times New Roman" w:hAnsi="Arial" w:cs="Arial"/>
          <w:sz w:val="28"/>
          <w:szCs w:val="28"/>
          <w:lang w:val="es-ES" w:eastAsia="es-MX"/>
        </w:rPr>
      </w:pPr>
    </w:p>
    <w:p w14:paraId="5C6F3CBB" w14:textId="77777777" w:rsidR="00C279D9" w:rsidRPr="00F32542" w:rsidRDefault="00C279D9" w:rsidP="00286BB3">
      <w:pPr>
        <w:spacing w:after="0" w:line="360" w:lineRule="auto"/>
        <w:ind w:right="51"/>
        <w:jc w:val="both"/>
        <w:rPr>
          <w:rFonts w:ascii="Arial" w:eastAsia="Times New Roman" w:hAnsi="Arial" w:cs="Arial"/>
          <w:sz w:val="28"/>
          <w:szCs w:val="28"/>
          <w:lang w:val="es-ES" w:eastAsia="es-MX"/>
        </w:rPr>
      </w:pPr>
    </w:p>
    <w:p w14:paraId="3279C16E" w14:textId="77777777" w:rsidR="00C279D9" w:rsidRPr="00F32542" w:rsidRDefault="00C279D9" w:rsidP="00286BB3">
      <w:pPr>
        <w:spacing w:after="0" w:line="360" w:lineRule="auto"/>
        <w:ind w:right="51"/>
        <w:jc w:val="both"/>
        <w:rPr>
          <w:rFonts w:ascii="Arial" w:eastAsia="Times New Roman" w:hAnsi="Arial" w:cs="Arial"/>
          <w:sz w:val="28"/>
          <w:szCs w:val="28"/>
          <w:lang w:val="es-ES" w:eastAsia="es-MX"/>
        </w:rPr>
      </w:pPr>
    </w:p>
    <w:p w14:paraId="03FE573B" w14:textId="77777777" w:rsidR="00C279D9" w:rsidRPr="00F32542" w:rsidRDefault="00C279D9" w:rsidP="00286BB3">
      <w:pPr>
        <w:spacing w:after="0" w:line="360" w:lineRule="auto"/>
        <w:ind w:right="51"/>
        <w:jc w:val="both"/>
        <w:rPr>
          <w:rFonts w:ascii="Arial" w:eastAsia="Times New Roman" w:hAnsi="Arial" w:cs="Arial"/>
          <w:sz w:val="28"/>
          <w:szCs w:val="28"/>
          <w:lang w:val="es-ES" w:eastAsia="es-MX"/>
        </w:rPr>
      </w:pPr>
    </w:p>
    <w:p w14:paraId="4F6523BC" w14:textId="77777777" w:rsidR="00C279D9" w:rsidRPr="00F32542" w:rsidRDefault="00C279D9" w:rsidP="00286BB3">
      <w:pPr>
        <w:spacing w:after="0" w:line="360" w:lineRule="auto"/>
        <w:ind w:right="51"/>
        <w:jc w:val="both"/>
        <w:rPr>
          <w:rFonts w:ascii="Arial" w:eastAsia="Times New Roman" w:hAnsi="Arial" w:cs="Arial"/>
          <w:sz w:val="28"/>
          <w:szCs w:val="28"/>
          <w:lang w:val="es-ES" w:eastAsia="es-MX"/>
        </w:rPr>
      </w:pPr>
    </w:p>
    <w:p w14:paraId="7618D110" w14:textId="77777777" w:rsidR="00286BB3" w:rsidRPr="00F32542" w:rsidRDefault="00286BB3" w:rsidP="00286BB3">
      <w:pPr>
        <w:pStyle w:val="Ttulo"/>
        <w:spacing w:line="360" w:lineRule="auto"/>
        <w:contextualSpacing w:val="0"/>
        <w:jc w:val="both"/>
        <w:outlineLvl w:val="0"/>
        <w:rPr>
          <w:rFonts w:ascii="Arial" w:eastAsia="Times New Roman" w:hAnsi="Arial" w:cs="Arial"/>
          <w:sz w:val="28"/>
          <w:szCs w:val="28"/>
          <w:lang w:eastAsia="es-MX"/>
        </w:rPr>
      </w:pPr>
      <w:bookmarkStart w:id="20" w:name="_Toc77856958"/>
      <w:bookmarkStart w:id="21" w:name="_Toc77982025"/>
      <w:bookmarkStart w:id="22" w:name="_Toc77983185"/>
      <w:r w:rsidRPr="00F32542">
        <w:rPr>
          <w:rFonts w:ascii="Arial" w:eastAsia="Times New Roman" w:hAnsi="Arial" w:cs="Arial"/>
          <w:b/>
          <w:bCs/>
          <w:sz w:val="28"/>
          <w:szCs w:val="28"/>
          <w:lang w:val="es-ES_tradnl" w:eastAsia="es-MX"/>
        </w:rPr>
        <w:lastRenderedPageBreak/>
        <w:t>1. Aspecto preliminar.</w:t>
      </w:r>
      <w:bookmarkEnd w:id="20"/>
      <w:bookmarkEnd w:id="21"/>
      <w:bookmarkEnd w:id="22"/>
    </w:p>
    <w:p w14:paraId="311956FD" w14:textId="77777777" w:rsidR="00286BB3" w:rsidRPr="00F32542" w:rsidRDefault="00286BB3" w:rsidP="00286BB3">
      <w:pPr>
        <w:spacing w:after="0" w:line="360" w:lineRule="auto"/>
        <w:ind w:right="51"/>
        <w:jc w:val="both"/>
        <w:rPr>
          <w:rFonts w:ascii="Arial" w:eastAsia="Times New Roman" w:hAnsi="Arial" w:cs="Arial"/>
          <w:sz w:val="28"/>
          <w:szCs w:val="28"/>
          <w:lang w:eastAsia="es-MX"/>
        </w:rPr>
      </w:pPr>
    </w:p>
    <w:p w14:paraId="342AEB46" w14:textId="77777777" w:rsidR="00286BB3" w:rsidRPr="00F32542" w:rsidRDefault="00286BB3" w:rsidP="00286BB3">
      <w:pPr>
        <w:spacing w:after="0" w:line="360" w:lineRule="auto"/>
        <w:ind w:right="51"/>
        <w:jc w:val="both"/>
        <w:rPr>
          <w:rFonts w:ascii="Arial" w:eastAsia="Times New Roman" w:hAnsi="Arial" w:cs="Arial"/>
          <w:sz w:val="28"/>
          <w:szCs w:val="28"/>
          <w:lang w:val="es-ES" w:eastAsia="es-MX"/>
        </w:rPr>
      </w:pPr>
      <w:r w:rsidRPr="00F32542">
        <w:rPr>
          <w:rFonts w:ascii="Arial" w:eastAsia="Times New Roman" w:hAnsi="Arial" w:cs="Arial"/>
          <w:sz w:val="28"/>
          <w:szCs w:val="28"/>
          <w:lang w:val="es-ES" w:eastAsia="es-MX"/>
        </w:rPr>
        <w:t xml:space="preserve">Es preciso invocar el marco normativo y la interpretación que del mismo tiene este </w:t>
      </w:r>
      <w:r w:rsidRPr="00F32542">
        <w:rPr>
          <w:rFonts w:ascii="Arial" w:eastAsia="Times New Roman" w:hAnsi="Arial" w:cs="Arial"/>
          <w:i/>
          <w:sz w:val="28"/>
          <w:szCs w:val="28"/>
          <w:lang w:val="es-ES" w:eastAsia="es-MX"/>
        </w:rPr>
        <w:t>Tribunal Electoral</w:t>
      </w:r>
      <w:r w:rsidRPr="00F32542">
        <w:rPr>
          <w:rFonts w:ascii="Arial" w:eastAsia="Times New Roman" w:hAnsi="Arial" w:cs="Arial"/>
          <w:sz w:val="28"/>
          <w:szCs w:val="28"/>
          <w:lang w:val="es-ES" w:eastAsia="es-MX"/>
        </w:rPr>
        <w:t>, a efecto de aclarar los elementos que deben reunirse para decretar la improcedencia de un juicio.</w:t>
      </w:r>
    </w:p>
    <w:p w14:paraId="6D909B38" w14:textId="77777777" w:rsidR="00286BB3" w:rsidRPr="00F32542" w:rsidRDefault="00286BB3" w:rsidP="00286BB3">
      <w:pPr>
        <w:spacing w:after="0" w:line="360" w:lineRule="auto"/>
        <w:ind w:right="51"/>
        <w:jc w:val="both"/>
        <w:rPr>
          <w:rFonts w:ascii="Arial" w:eastAsia="Times New Roman" w:hAnsi="Arial" w:cs="Arial"/>
          <w:sz w:val="28"/>
          <w:szCs w:val="28"/>
          <w:lang w:eastAsia="es-MX"/>
        </w:rPr>
      </w:pPr>
    </w:p>
    <w:p w14:paraId="5F9F956C" w14:textId="77777777" w:rsidR="00286BB3" w:rsidRPr="00F32542" w:rsidRDefault="00286BB3" w:rsidP="00286BB3">
      <w:pPr>
        <w:spacing w:after="0" w:line="360" w:lineRule="auto"/>
        <w:ind w:right="51"/>
        <w:jc w:val="both"/>
        <w:rPr>
          <w:rFonts w:ascii="Arial" w:eastAsia="Times New Roman" w:hAnsi="Arial" w:cs="Arial"/>
          <w:sz w:val="28"/>
          <w:szCs w:val="28"/>
          <w:lang w:eastAsia="es-MX"/>
        </w:rPr>
      </w:pPr>
      <w:r w:rsidRPr="00F32542">
        <w:rPr>
          <w:rFonts w:ascii="Arial" w:eastAsia="Times New Roman" w:hAnsi="Arial" w:cs="Arial"/>
          <w:sz w:val="28"/>
          <w:szCs w:val="28"/>
          <w:lang w:eastAsia="es-MX"/>
        </w:rPr>
        <w:t xml:space="preserve">Debe considerarse que los </w:t>
      </w:r>
      <w:r w:rsidRPr="00F32542">
        <w:rPr>
          <w:rFonts w:ascii="Arial" w:eastAsia="Times New Roman" w:hAnsi="Arial" w:cs="Arial"/>
          <w:sz w:val="28"/>
          <w:szCs w:val="28"/>
          <w:lang w:val="es-ES" w:eastAsia="es-MX"/>
        </w:rPr>
        <w:t xml:space="preserve">presupuestos de admisión establecidos en la </w:t>
      </w:r>
      <w:r w:rsidRPr="00F32542">
        <w:rPr>
          <w:rFonts w:ascii="Arial" w:eastAsia="Times New Roman" w:hAnsi="Arial" w:cs="Arial"/>
          <w:i/>
          <w:sz w:val="28"/>
          <w:szCs w:val="28"/>
          <w:lang w:val="es-ES" w:eastAsia="es-MX"/>
        </w:rPr>
        <w:t>Ley Procesal</w:t>
      </w:r>
      <w:r w:rsidRPr="00F32542">
        <w:rPr>
          <w:rFonts w:ascii="Arial" w:eastAsia="Times New Roman" w:hAnsi="Arial" w:cs="Arial"/>
          <w:sz w:val="28"/>
          <w:szCs w:val="28"/>
          <w:lang w:val="es-ES" w:eastAsia="es-MX"/>
        </w:rPr>
        <w:t xml:space="preserve"> no son </w:t>
      </w:r>
      <w:proofErr w:type="gramStart"/>
      <w:r w:rsidRPr="00F32542">
        <w:rPr>
          <w:rFonts w:ascii="Arial" w:eastAsia="Times New Roman" w:hAnsi="Arial" w:cs="Arial"/>
          <w:sz w:val="28"/>
          <w:szCs w:val="28"/>
          <w:lang w:val="es-ES" w:eastAsia="es-MX"/>
        </w:rPr>
        <w:t>simples formalidades tendentes a mermar</w:t>
      </w:r>
      <w:proofErr w:type="gramEnd"/>
      <w:r w:rsidRPr="00F32542">
        <w:rPr>
          <w:rFonts w:ascii="Arial" w:eastAsia="Times New Roman" w:hAnsi="Arial" w:cs="Arial"/>
          <w:sz w:val="28"/>
          <w:szCs w:val="28"/>
          <w:lang w:val="es-ES" w:eastAsia="es-MX"/>
        </w:rPr>
        <w:t xml:space="preserve"> el derecho de acceso a la justicia o impedir la emisión de una sentencia en la que se haga un pronunciamiento sobre el fondo de la cuestión planteada.</w:t>
      </w:r>
    </w:p>
    <w:p w14:paraId="08344799" w14:textId="77777777" w:rsidR="00286BB3" w:rsidRPr="00F32542" w:rsidRDefault="00286BB3" w:rsidP="00286BB3">
      <w:pPr>
        <w:spacing w:after="0" w:line="360" w:lineRule="auto"/>
        <w:ind w:right="51"/>
        <w:jc w:val="both"/>
        <w:rPr>
          <w:rFonts w:ascii="Arial" w:eastAsia="Times New Roman" w:hAnsi="Arial" w:cs="Arial"/>
          <w:sz w:val="28"/>
          <w:szCs w:val="28"/>
          <w:lang w:eastAsia="es-MX"/>
        </w:rPr>
      </w:pPr>
    </w:p>
    <w:p w14:paraId="58AB799E" w14:textId="77777777" w:rsidR="00286BB3" w:rsidRPr="00F32542" w:rsidRDefault="00286BB3" w:rsidP="00286BB3">
      <w:pPr>
        <w:spacing w:after="0" w:line="360" w:lineRule="auto"/>
        <w:ind w:right="51"/>
        <w:jc w:val="both"/>
        <w:rPr>
          <w:rFonts w:ascii="Arial" w:eastAsia="Times New Roman" w:hAnsi="Arial" w:cs="Arial"/>
          <w:sz w:val="28"/>
          <w:szCs w:val="28"/>
          <w:lang w:eastAsia="es-MX"/>
        </w:rPr>
      </w:pPr>
      <w:r w:rsidRPr="00F32542">
        <w:rPr>
          <w:rFonts w:ascii="Arial" w:eastAsia="Times New Roman" w:hAnsi="Arial" w:cs="Arial"/>
          <w:sz w:val="28"/>
          <w:szCs w:val="28"/>
          <w:lang w:val="es-ES" w:eastAsia="es-MX"/>
        </w:rPr>
        <w:t xml:space="preserve">En realidad, son condiciones necesarias para la adecuada y funcional administración de justicia que corresponde a este </w:t>
      </w:r>
      <w:r w:rsidRPr="00F32542">
        <w:rPr>
          <w:rFonts w:ascii="Arial" w:eastAsia="Times New Roman" w:hAnsi="Arial" w:cs="Arial"/>
          <w:i/>
          <w:sz w:val="28"/>
          <w:szCs w:val="28"/>
          <w:lang w:val="es-ES" w:eastAsia="es-MX"/>
        </w:rPr>
        <w:t>Tribunal Electoral</w:t>
      </w:r>
      <w:r w:rsidRPr="00F32542">
        <w:rPr>
          <w:rFonts w:ascii="Arial" w:eastAsia="Times New Roman" w:hAnsi="Arial" w:cs="Arial"/>
          <w:sz w:val="28"/>
          <w:szCs w:val="28"/>
          <w:lang w:val="es-ES" w:eastAsia="es-MX"/>
        </w:rPr>
        <w:t xml:space="preserve"> y, por consiguiente, la efectiva protección de los derechos de las personas.</w:t>
      </w:r>
    </w:p>
    <w:p w14:paraId="456595B7" w14:textId="77777777" w:rsidR="00286BB3" w:rsidRPr="00F32542" w:rsidRDefault="00286BB3" w:rsidP="00286BB3">
      <w:pPr>
        <w:spacing w:after="0" w:line="360" w:lineRule="auto"/>
        <w:ind w:right="51"/>
        <w:jc w:val="both"/>
        <w:rPr>
          <w:rFonts w:ascii="Arial" w:eastAsia="Times New Roman" w:hAnsi="Arial" w:cs="Arial"/>
          <w:sz w:val="28"/>
          <w:szCs w:val="28"/>
          <w:lang w:eastAsia="es-MX"/>
        </w:rPr>
      </w:pPr>
    </w:p>
    <w:p w14:paraId="652D55DC" w14:textId="77777777" w:rsidR="00286BB3" w:rsidRPr="00F32542" w:rsidRDefault="00286BB3" w:rsidP="00286BB3">
      <w:pPr>
        <w:spacing w:after="0" w:line="360" w:lineRule="auto"/>
        <w:ind w:right="51"/>
        <w:jc w:val="both"/>
        <w:rPr>
          <w:rFonts w:ascii="Arial" w:eastAsia="Times New Roman" w:hAnsi="Arial" w:cs="Arial"/>
          <w:sz w:val="28"/>
          <w:szCs w:val="28"/>
          <w:lang w:eastAsia="es-MX"/>
        </w:rPr>
      </w:pPr>
      <w:r w:rsidRPr="00F32542">
        <w:rPr>
          <w:rFonts w:ascii="Arial" w:eastAsia="Times New Roman" w:hAnsi="Arial" w:cs="Arial"/>
          <w:sz w:val="28"/>
          <w:szCs w:val="28"/>
          <w:lang w:val="es-ES" w:eastAsia="es-MX"/>
        </w:rPr>
        <w:t xml:space="preserve">Por esa razón, tratándose de la admisión de un medio de impugnación, este </w:t>
      </w:r>
      <w:r w:rsidRPr="00F32542">
        <w:rPr>
          <w:rFonts w:ascii="Arial" w:eastAsia="Times New Roman" w:hAnsi="Arial" w:cs="Arial"/>
          <w:iCs/>
          <w:sz w:val="28"/>
          <w:szCs w:val="28"/>
          <w:lang w:val="es-ES" w:eastAsia="es-MX"/>
        </w:rPr>
        <w:t>órgano jurisdiccional</w:t>
      </w:r>
      <w:r w:rsidRPr="00F32542">
        <w:rPr>
          <w:rFonts w:ascii="Arial" w:eastAsia="Times New Roman" w:hAnsi="Arial" w:cs="Arial"/>
          <w:sz w:val="28"/>
          <w:szCs w:val="28"/>
          <w:lang w:val="es-ES" w:eastAsia="es-MX"/>
        </w:rPr>
        <w:t xml:space="preserve"> debe conducirse, procurando el pleno ejercicio de los principios de acceso a la justicia y tutela efectiva, que se derivan del artículo 17 de la </w:t>
      </w:r>
      <w:r w:rsidRPr="00F32542">
        <w:rPr>
          <w:rFonts w:ascii="Arial" w:eastAsia="Times New Roman" w:hAnsi="Arial" w:cs="Arial"/>
          <w:i/>
          <w:sz w:val="28"/>
          <w:szCs w:val="28"/>
          <w:lang w:val="es-ES" w:eastAsia="es-MX"/>
        </w:rPr>
        <w:t>Constitución Federal</w:t>
      </w:r>
      <w:r w:rsidRPr="00F32542">
        <w:rPr>
          <w:rFonts w:ascii="Arial" w:eastAsia="Times New Roman" w:hAnsi="Arial" w:cs="Arial"/>
          <w:sz w:val="28"/>
          <w:szCs w:val="28"/>
          <w:lang w:val="es-ES" w:eastAsia="es-MX"/>
        </w:rPr>
        <w:t>.</w:t>
      </w:r>
    </w:p>
    <w:p w14:paraId="1743C499" w14:textId="77777777" w:rsidR="00286BB3" w:rsidRPr="00F32542" w:rsidRDefault="00286BB3" w:rsidP="00286BB3">
      <w:pPr>
        <w:spacing w:after="0" w:line="360" w:lineRule="auto"/>
        <w:ind w:right="51"/>
        <w:jc w:val="both"/>
        <w:rPr>
          <w:rFonts w:ascii="Arial" w:eastAsia="Times New Roman" w:hAnsi="Arial" w:cs="Arial"/>
          <w:sz w:val="28"/>
          <w:szCs w:val="28"/>
          <w:lang w:eastAsia="es-MX"/>
        </w:rPr>
      </w:pPr>
    </w:p>
    <w:p w14:paraId="1DD9D5BC" w14:textId="77777777" w:rsidR="00286BB3" w:rsidRPr="00F32542" w:rsidRDefault="00286BB3" w:rsidP="00286BB3">
      <w:pPr>
        <w:spacing w:after="0" w:line="360" w:lineRule="auto"/>
        <w:ind w:right="51"/>
        <w:jc w:val="both"/>
        <w:rPr>
          <w:rFonts w:ascii="Arial" w:eastAsia="Times New Roman" w:hAnsi="Arial" w:cs="Arial"/>
          <w:sz w:val="28"/>
          <w:szCs w:val="28"/>
          <w:lang w:eastAsia="es-MX"/>
        </w:rPr>
      </w:pPr>
      <w:r w:rsidRPr="00F32542">
        <w:rPr>
          <w:rFonts w:ascii="Arial" w:eastAsia="Times New Roman" w:hAnsi="Arial" w:cs="Arial"/>
          <w:sz w:val="28"/>
          <w:szCs w:val="28"/>
          <w:lang w:val="es-ES" w:eastAsia="es-MX"/>
        </w:rPr>
        <w:t>En el entendido de que la valoración de los presupuestos procesales debe ser objetiva, evitando interpretaciones formalistas y desproporcionadas que restrinjan sin justificación, el acceso a la jurisdicción.</w:t>
      </w:r>
    </w:p>
    <w:p w14:paraId="48E950F5" w14:textId="77777777" w:rsidR="00286BB3" w:rsidRPr="00F32542" w:rsidRDefault="00286BB3" w:rsidP="00286BB3">
      <w:pPr>
        <w:spacing w:after="0" w:line="360" w:lineRule="auto"/>
        <w:ind w:right="51"/>
        <w:jc w:val="both"/>
        <w:rPr>
          <w:rFonts w:ascii="Arial" w:eastAsia="Times New Roman" w:hAnsi="Arial" w:cs="Arial"/>
          <w:sz w:val="28"/>
          <w:szCs w:val="28"/>
          <w:lang w:eastAsia="es-MX"/>
        </w:rPr>
      </w:pPr>
    </w:p>
    <w:p w14:paraId="39D3A1AB" w14:textId="77777777" w:rsidR="00286BB3" w:rsidRPr="00F32542" w:rsidRDefault="00286BB3" w:rsidP="00286BB3">
      <w:pPr>
        <w:spacing w:after="0" w:line="360" w:lineRule="auto"/>
        <w:ind w:right="51"/>
        <w:jc w:val="both"/>
        <w:rPr>
          <w:rFonts w:ascii="Arial" w:eastAsia="Times New Roman" w:hAnsi="Arial" w:cs="Arial"/>
          <w:sz w:val="28"/>
          <w:szCs w:val="28"/>
          <w:lang w:eastAsia="es-MX"/>
        </w:rPr>
      </w:pPr>
      <w:r w:rsidRPr="00F32542">
        <w:rPr>
          <w:rFonts w:ascii="Arial" w:eastAsia="Times New Roman" w:hAnsi="Arial" w:cs="Arial"/>
          <w:sz w:val="28"/>
          <w:szCs w:val="28"/>
          <w:lang w:val="es-ES" w:eastAsia="es-MX"/>
        </w:rPr>
        <w:t>Los Tribunales Colegiados de Circuito han sostenido que siendo cierto</w:t>
      </w:r>
      <w:r w:rsidRPr="00F32542">
        <w:rPr>
          <w:rFonts w:ascii="Arial" w:eastAsia="Times New Roman" w:hAnsi="Arial" w:cs="Arial"/>
          <w:sz w:val="28"/>
          <w:szCs w:val="28"/>
          <w:lang w:eastAsia="es-MX"/>
        </w:rPr>
        <w:t xml:space="preserve"> que toda persona tiene derecho a que se le administre justicia </w:t>
      </w:r>
      <w:r w:rsidRPr="00F32542">
        <w:rPr>
          <w:rFonts w:ascii="Arial" w:eastAsia="Times New Roman" w:hAnsi="Arial" w:cs="Arial"/>
          <w:sz w:val="28"/>
          <w:szCs w:val="28"/>
          <w:lang w:eastAsia="es-MX"/>
        </w:rPr>
        <w:lastRenderedPageBreak/>
        <w:t>por las autoridades respectivas, no lo es menos que el acceso a la tutela jurisdiccional se supedita al cumplimiento de los presupuestos formales y materiales de procedencia para la acción respectiva, lo cual además de representar una exigencia legal, brinda certeza jurídica a las partes en un proceso.</w:t>
      </w:r>
    </w:p>
    <w:p w14:paraId="06EDEEB9" w14:textId="77777777" w:rsidR="00286BB3" w:rsidRPr="00F32542" w:rsidRDefault="00286BB3" w:rsidP="00286BB3">
      <w:pPr>
        <w:spacing w:after="0" w:line="360" w:lineRule="auto"/>
        <w:ind w:right="51"/>
        <w:jc w:val="both"/>
        <w:rPr>
          <w:rFonts w:ascii="Arial" w:eastAsia="Times New Roman" w:hAnsi="Arial" w:cs="Arial"/>
          <w:sz w:val="28"/>
          <w:szCs w:val="28"/>
          <w:lang w:eastAsia="es-MX"/>
        </w:rPr>
      </w:pPr>
    </w:p>
    <w:p w14:paraId="70EBDB43" w14:textId="77777777" w:rsidR="00286BB3" w:rsidRPr="00F32542" w:rsidRDefault="00286BB3" w:rsidP="00286BB3">
      <w:pPr>
        <w:spacing w:after="0" w:line="360" w:lineRule="auto"/>
        <w:ind w:right="51"/>
        <w:jc w:val="both"/>
        <w:rPr>
          <w:rFonts w:ascii="Arial" w:eastAsia="Times New Roman" w:hAnsi="Arial" w:cs="Arial"/>
          <w:sz w:val="28"/>
          <w:szCs w:val="28"/>
          <w:lang w:eastAsia="es-MX"/>
        </w:rPr>
      </w:pPr>
      <w:r w:rsidRPr="00F32542">
        <w:rPr>
          <w:rFonts w:ascii="Arial" w:eastAsia="Times New Roman" w:hAnsi="Arial" w:cs="Arial"/>
          <w:sz w:val="28"/>
          <w:szCs w:val="28"/>
          <w:lang w:eastAsia="es-MX"/>
        </w:rPr>
        <w:t>Siguiendo esas pautas</w:t>
      </w:r>
      <w:r w:rsidRPr="00F32542">
        <w:rPr>
          <w:rFonts w:ascii="Arial" w:eastAsia="Times New Roman" w:hAnsi="Arial" w:cs="Arial"/>
          <w:i/>
          <w:iCs/>
          <w:sz w:val="28"/>
          <w:szCs w:val="28"/>
          <w:lang w:eastAsia="es-MX"/>
        </w:rPr>
        <w:t xml:space="preserve">, </w:t>
      </w:r>
      <w:r w:rsidRPr="00F32542">
        <w:rPr>
          <w:rFonts w:ascii="Arial" w:eastAsia="Times New Roman" w:hAnsi="Arial" w:cs="Arial"/>
          <w:sz w:val="28"/>
          <w:szCs w:val="28"/>
          <w:lang w:eastAsia="es-MX"/>
        </w:rPr>
        <w:t xml:space="preserve">el Estado puede y debe establecer presupuestos y criterios de improcedencia de los medios de defensa, los cuales no pueden desconocerse ni omitirse, ni siquiera a propósito de una interpretación </w:t>
      </w:r>
      <w:proofErr w:type="gramStart"/>
      <w:r w:rsidRPr="00F32542">
        <w:rPr>
          <w:rFonts w:ascii="Arial" w:eastAsia="Times New Roman" w:hAnsi="Arial" w:cs="Arial"/>
          <w:sz w:val="28"/>
          <w:szCs w:val="28"/>
          <w:lang w:eastAsia="es-MX"/>
        </w:rPr>
        <w:t>pro persona</w:t>
      </w:r>
      <w:proofErr w:type="gramEnd"/>
      <w:r w:rsidRPr="00F32542">
        <w:rPr>
          <w:rFonts w:ascii="Arial" w:eastAsia="Times New Roman" w:hAnsi="Arial" w:cs="Arial"/>
          <w:sz w:val="28"/>
          <w:szCs w:val="28"/>
          <w:lang w:eastAsia="es-MX"/>
        </w:rPr>
        <w:t>.</w:t>
      </w:r>
    </w:p>
    <w:p w14:paraId="2347920D" w14:textId="77777777" w:rsidR="00286BB3" w:rsidRPr="00F32542" w:rsidRDefault="00286BB3" w:rsidP="00286BB3">
      <w:pPr>
        <w:spacing w:after="0" w:line="360" w:lineRule="auto"/>
        <w:ind w:right="51"/>
        <w:jc w:val="both"/>
        <w:rPr>
          <w:rFonts w:ascii="Arial" w:eastAsia="Times New Roman" w:hAnsi="Arial" w:cs="Arial"/>
          <w:sz w:val="28"/>
          <w:szCs w:val="28"/>
          <w:lang w:eastAsia="es-MX"/>
        </w:rPr>
      </w:pPr>
    </w:p>
    <w:p w14:paraId="0BBAC82E" w14:textId="77777777" w:rsidR="00286BB3" w:rsidRPr="00F32542" w:rsidRDefault="00286BB3" w:rsidP="00286BB3">
      <w:pPr>
        <w:spacing w:after="0" w:line="360" w:lineRule="auto"/>
        <w:ind w:right="51"/>
        <w:jc w:val="both"/>
        <w:rPr>
          <w:rFonts w:ascii="Arial" w:eastAsia="Times New Roman" w:hAnsi="Arial" w:cs="Arial"/>
          <w:b/>
          <w:bCs/>
          <w:iCs/>
          <w:sz w:val="28"/>
          <w:szCs w:val="28"/>
          <w:lang w:eastAsia="es-MX"/>
        </w:rPr>
      </w:pPr>
      <w:r w:rsidRPr="00F32542">
        <w:rPr>
          <w:rFonts w:ascii="Arial" w:eastAsia="Times New Roman" w:hAnsi="Arial" w:cs="Arial"/>
          <w:iCs/>
          <w:sz w:val="28"/>
          <w:szCs w:val="28"/>
          <w:lang w:eastAsia="es-MX"/>
        </w:rPr>
        <w:t xml:space="preserve">Sirven de apoyo a lo anterior, la jurisprudencia de los Tribunales Colegiados identificada con la clave </w:t>
      </w:r>
      <w:r w:rsidRPr="00F32542">
        <w:rPr>
          <w:rFonts w:ascii="Arial" w:eastAsia="Times New Roman" w:hAnsi="Arial" w:cs="Arial"/>
          <w:b/>
          <w:iCs/>
          <w:sz w:val="28"/>
          <w:szCs w:val="28"/>
          <w:lang w:eastAsia="es-MX"/>
        </w:rPr>
        <w:t>VI.3o.A. J/2</w:t>
      </w:r>
      <w:r w:rsidRPr="00F32542">
        <w:rPr>
          <w:rStyle w:val="Refdenotaalpie"/>
          <w:rFonts w:ascii="Arial" w:eastAsia="Times New Roman" w:hAnsi="Arial" w:cs="Arial"/>
          <w:b/>
          <w:iCs/>
          <w:sz w:val="28"/>
          <w:szCs w:val="28"/>
          <w:lang w:eastAsia="es-MX"/>
        </w:rPr>
        <w:footnoteReference w:id="13"/>
      </w:r>
      <w:r w:rsidRPr="00F32542">
        <w:rPr>
          <w:rFonts w:ascii="Arial" w:eastAsia="Times New Roman" w:hAnsi="Arial" w:cs="Arial"/>
          <w:iCs/>
          <w:sz w:val="28"/>
          <w:szCs w:val="28"/>
          <w:lang w:eastAsia="es-MX"/>
        </w:rPr>
        <w:t xml:space="preserve"> de rubro: “</w:t>
      </w:r>
      <w:r w:rsidRPr="00F32542">
        <w:rPr>
          <w:rFonts w:ascii="Arial" w:eastAsia="Times New Roman" w:hAnsi="Arial" w:cs="Arial"/>
          <w:b/>
          <w:bCs/>
          <w:i/>
          <w:iCs/>
          <w:sz w:val="28"/>
          <w:szCs w:val="28"/>
          <w:lang w:eastAsia="es-MX"/>
        </w:rPr>
        <w:t>PRINCIPIO PRO HOMINE Y CONTROL DE CONVENCIONALIDAD. SU APLICACIÓN NO IMPLICA EL DESCONOCIMIENTO DE LOS PRESUPUESTOS FORMALES Y MATERIALES DE ADMISIBILIDAD Y PROCEDENCIA DE LAS ACCIONES</w:t>
      </w:r>
      <w:r w:rsidRPr="00F32542">
        <w:rPr>
          <w:rFonts w:ascii="Arial" w:eastAsia="Times New Roman" w:hAnsi="Arial" w:cs="Arial"/>
          <w:b/>
          <w:bCs/>
          <w:iCs/>
          <w:sz w:val="28"/>
          <w:szCs w:val="28"/>
          <w:lang w:eastAsia="es-MX"/>
        </w:rPr>
        <w:t>”.</w:t>
      </w:r>
    </w:p>
    <w:p w14:paraId="179E3CD1" w14:textId="77777777" w:rsidR="00286BB3" w:rsidRPr="00F32542" w:rsidRDefault="00286BB3" w:rsidP="00286BB3">
      <w:pPr>
        <w:spacing w:after="0" w:line="360" w:lineRule="auto"/>
        <w:ind w:right="51"/>
        <w:jc w:val="both"/>
        <w:rPr>
          <w:rFonts w:ascii="Arial" w:eastAsia="Times New Roman" w:hAnsi="Arial" w:cs="Arial"/>
          <w:b/>
          <w:bCs/>
          <w:iCs/>
          <w:sz w:val="28"/>
          <w:szCs w:val="28"/>
          <w:lang w:eastAsia="es-MX"/>
        </w:rPr>
      </w:pPr>
    </w:p>
    <w:p w14:paraId="2C8FE8EE" w14:textId="77777777" w:rsidR="00286BB3" w:rsidRPr="00F32542" w:rsidRDefault="00286BB3" w:rsidP="00286BB3">
      <w:pPr>
        <w:spacing w:after="0" w:line="360" w:lineRule="auto"/>
        <w:ind w:right="51"/>
        <w:jc w:val="both"/>
        <w:rPr>
          <w:rFonts w:ascii="Arial" w:eastAsia="Times New Roman" w:hAnsi="Arial" w:cs="Arial"/>
          <w:sz w:val="28"/>
          <w:szCs w:val="28"/>
          <w:lang w:eastAsia="es-MX"/>
        </w:rPr>
      </w:pPr>
      <w:r w:rsidRPr="00F32542">
        <w:rPr>
          <w:rFonts w:ascii="Arial" w:eastAsia="Times New Roman" w:hAnsi="Arial" w:cs="Arial"/>
          <w:bCs/>
          <w:iCs/>
          <w:sz w:val="28"/>
          <w:szCs w:val="28"/>
          <w:lang w:eastAsia="es-MX"/>
        </w:rPr>
        <w:t xml:space="preserve">Así como la diversa </w:t>
      </w:r>
      <w:r w:rsidRPr="00F32542">
        <w:rPr>
          <w:rFonts w:ascii="Arial" w:eastAsia="Times New Roman" w:hAnsi="Arial" w:cs="Arial"/>
          <w:b/>
          <w:bCs/>
          <w:iCs/>
          <w:sz w:val="28"/>
          <w:szCs w:val="28"/>
          <w:lang w:eastAsia="es-MX"/>
        </w:rPr>
        <w:t>XI.1o.A.T. J/1</w:t>
      </w:r>
      <w:r w:rsidRPr="00F32542">
        <w:rPr>
          <w:rFonts w:ascii="Arial" w:eastAsia="Times New Roman" w:hAnsi="Arial" w:cs="Arial"/>
          <w:b/>
          <w:bCs/>
          <w:iCs/>
          <w:sz w:val="28"/>
          <w:szCs w:val="28"/>
          <w:vertAlign w:val="superscript"/>
          <w:lang w:eastAsia="es-MX"/>
        </w:rPr>
        <w:footnoteReference w:id="14"/>
      </w:r>
      <w:r w:rsidRPr="00F32542">
        <w:rPr>
          <w:rFonts w:ascii="Arial" w:eastAsia="Times New Roman" w:hAnsi="Arial" w:cs="Arial"/>
          <w:b/>
          <w:bCs/>
          <w:iCs/>
          <w:sz w:val="28"/>
          <w:szCs w:val="28"/>
          <w:lang w:eastAsia="es-MX"/>
        </w:rPr>
        <w:t>,</w:t>
      </w:r>
      <w:r w:rsidRPr="00F32542">
        <w:rPr>
          <w:rFonts w:ascii="Arial" w:eastAsia="Times New Roman" w:hAnsi="Arial" w:cs="Arial"/>
          <w:bCs/>
          <w:iCs/>
          <w:sz w:val="28"/>
          <w:szCs w:val="28"/>
          <w:lang w:eastAsia="es-MX"/>
        </w:rPr>
        <w:t xml:space="preserve"> de rubro: “</w:t>
      </w:r>
      <w:r w:rsidRPr="00F32542">
        <w:rPr>
          <w:rFonts w:ascii="Arial" w:eastAsia="Times New Roman" w:hAnsi="Arial" w:cs="Arial"/>
          <w:b/>
          <w:bCs/>
          <w:i/>
          <w:iCs/>
          <w:sz w:val="28"/>
          <w:szCs w:val="28"/>
          <w:lang w:eastAsia="es-MX"/>
        </w:rPr>
        <w:t>ACCESO A LA JUSTICIA. ES UN DERECHO LIMITADO, POR LO QUE PARA SU EJERCICIO ES NECESARIO CUMPLIR CON LOS PRESUPUESTOS FORMALES Y MATERIALES DE ADMISIBILIDAD Y PROCEDENCIA, ASÍ COMO DE OPORTUNIDAD PARA LA PRESENTACIÓN DE LA DEMANDA DE AMPARO</w:t>
      </w:r>
      <w:r w:rsidRPr="00F32542">
        <w:rPr>
          <w:rFonts w:ascii="Arial" w:eastAsia="Times New Roman" w:hAnsi="Arial" w:cs="Arial"/>
          <w:iCs/>
          <w:sz w:val="28"/>
          <w:szCs w:val="28"/>
          <w:lang w:eastAsia="es-MX"/>
        </w:rPr>
        <w:t>”.</w:t>
      </w:r>
    </w:p>
    <w:p w14:paraId="27E7C57C" w14:textId="77777777" w:rsidR="00286BB3" w:rsidRPr="00F32542" w:rsidRDefault="00286BB3" w:rsidP="00286BB3">
      <w:pPr>
        <w:spacing w:after="0" w:line="360" w:lineRule="auto"/>
        <w:jc w:val="both"/>
        <w:rPr>
          <w:rFonts w:ascii="Arial" w:hAnsi="Arial" w:cs="Arial"/>
          <w:sz w:val="28"/>
          <w:szCs w:val="28"/>
          <w:lang w:eastAsia="es-MX"/>
        </w:rPr>
      </w:pPr>
    </w:p>
    <w:p w14:paraId="018FE36B" w14:textId="77777777" w:rsidR="00286BB3" w:rsidRPr="00F32542" w:rsidRDefault="00286BB3" w:rsidP="00286BB3">
      <w:pPr>
        <w:pStyle w:val="Ttulo"/>
        <w:spacing w:line="360" w:lineRule="auto"/>
        <w:contextualSpacing w:val="0"/>
        <w:jc w:val="both"/>
        <w:outlineLvl w:val="0"/>
        <w:rPr>
          <w:rFonts w:ascii="Arial" w:eastAsia="Times New Roman" w:hAnsi="Arial" w:cs="Arial"/>
          <w:b/>
          <w:bCs/>
          <w:sz w:val="28"/>
          <w:szCs w:val="28"/>
          <w:lang w:val="es-ES_tradnl" w:eastAsia="es-MX"/>
        </w:rPr>
      </w:pPr>
      <w:bookmarkStart w:id="23" w:name="_Toc77856959"/>
      <w:bookmarkStart w:id="24" w:name="_Toc77982026"/>
      <w:bookmarkStart w:id="25" w:name="_Toc77983186"/>
      <w:r w:rsidRPr="00F32542">
        <w:rPr>
          <w:rFonts w:ascii="Arial" w:eastAsia="Times New Roman" w:hAnsi="Arial" w:cs="Arial"/>
          <w:b/>
          <w:bCs/>
          <w:sz w:val="28"/>
          <w:szCs w:val="28"/>
          <w:lang w:val="es-ES_tradnl" w:eastAsia="es-MX"/>
        </w:rPr>
        <w:t xml:space="preserve">2. </w:t>
      </w:r>
      <w:r w:rsidR="00222E36" w:rsidRPr="00F32542">
        <w:rPr>
          <w:rFonts w:ascii="Arial" w:eastAsia="Times New Roman" w:hAnsi="Arial" w:cs="Arial"/>
          <w:b/>
          <w:bCs/>
          <w:sz w:val="28"/>
          <w:szCs w:val="28"/>
          <w:lang w:val="es-ES_tradnl" w:eastAsia="es-MX"/>
        </w:rPr>
        <w:t>Estudio de las causales</w:t>
      </w:r>
      <w:r w:rsidRPr="00F32542">
        <w:rPr>
          <w:rFonts w:ascii="Arial" w:eastAsia="Times New Roman" w:hAnsi="Arial" w:cs="Arial"/>
          <w:b/>
          <w:bCs/>
          <w:sz w:val="28"/>
          <w:szCs w:val="28"/>
          <w:lang w:val="es-ES_tradnl" w:eastAsia="es-MX"/>
        </w:rPr>
        <w:t>.</w:t>
      </w:r>
      <w:bookmarkEnd w:id="23"/>
      <w:bookmarkEnd w:id="24"/>
      <w:bookmarkEnd w:id="25"/>
    </w:p>
    <w:p w14:paraId="08142A49" w14:textId="77777777" w:rsidR="00286BB3" w:rsidRPr="00F32542" w:rsidRDefault="00286BB3" w:rsidP="00286BB3">
      <w:pPr>
        <w:spacing w:after="0" w:line="360" w:lineRule="auto"/>
        <w:ind w:right="51"/>
        <w:jc w:val="both"/>
        <w:rPr>
          <w:rFonts w:ascii="Arial" w:eastAsia="Times New Roman" w:hAnsi="Arial" w:cs="Arial"/>
          <w:sz w:val="28"/>
          <w:szCs w:val="28"/>
          <w:lang w:eastAsia="es-MX"/>
        </w:rPr>
      </w:pPr>
    </w:p>
    <w:p w14:paraId="08A6DEA8" w14:textId="77777777" w:rsidR="00286BB3" w:rsidRPr="00F32542" w:rsidRDefault="00286BB3" w:rsidP="00286BB3">
      <w:pPr>
        <w:spacing w:after="0" w:line="360" w:lineRule="auto"/>
        <w:ind w:right="51"/>
        <w:jc w:val="both"/>
        <w:rPr>
          <w:rFonts w:ascii="Arial" w:eastAsia="Times New Roman" w:hAnsi="Arial" w:cs="Arial"/>
          <w:sz w:val="28"/>
          <w:szCs w:val="28"/>
          <w:lang w:eastAsia="es-MX"/>
        </w:rPr>
      </w:pPr>
      <w:r w:rsidRPr="00F32542">
        <w:rPr>
          <w:rFonts w:ascii="Arial" w:eastAsia="Times New Roman" w:hAnsi="Arial" w:cs="Arial"/>
          <w:sz w:val="28"/>
          <w:szCs w:val="28"/>
          <w:lang w:eastAsia="es-MX"/>
        </w:rPr>
        <w:t>A continuación, se precisan las causas de improcedencia hechas valer en cada expediente, señalando en cada caso quién las manifestó:</w:t>
      </w:r>
    </w:p>
    <w:p w14:paraId="04B8917D" w14:textId="77777777" w:rsidR="00286BB3" w:rsidRPr="00F32542" w:rsidRDefault="00286BB3" w:rsidP="00286BB3">
      <w:pPr>
        <w:spacing w:after="0" w:line="360" w:lineRule="auto"/>
        <w:ind w:right="51"/>
        <w:jc w:val="both"/>
        <w:rPr>
          <w:rFonts w:ascii="Arial" w:eastAsia="Times New Roman" w:hAnsi="Arial" w:cs="Arial"/>
          <w:sz w:val="28"/>
          <w:szCs w:val="28"/>
          <w:lang w:eastAsia="es-MX"/>
        </w:rPr>
      </w:pPr>
    </w:p>
    <w:tbl>
      <w:tblPr>
        <w:tblStyle w:val="Tablaconcuadrcula"/>
        <w:tblW w:w="0" w:type="auto"/>
        <w:jc w:val="center"/>
        <w:tblLook w:val="04A0" w:firstRow="1" w:lastRow="0" w:firstColumn="1" w:lastColumn="0" w:noHBand="0" w:noVBand="1"/>
      </w:tblPr>
      <w:tblGrid>
        <w:gridCol w:w="769"/>
        <w:gridCol w:w="1607"/>
        <w:gridCol w:w="2442"/>
        <w:gridCol w:w="3444"/>
      </w:tblGrid>
      <w:tr w:rsidR="00286BB3" w:rsidRPr="00F32542" w14:paraId="64B60834" w14:textId="77777777" w:rsidTr="00187024">
        <w:trPr>
          <w:tblHeader/>
          <w:jc w:val="center"/>
        </w:trPr>
        <w:tc>
          <w:tcPr>
            <w:tcW w:w="769" w:type="dxa"/>
            <w:shd w:val="clear" w:color="auto" w:fill="BFBFBF" w:themeFill="background1" w:themeFillShade="BF"/>
            <w:vAlign w:val="center"/>
          </w:tcPr>
          <w:p w14:paraId="37B217F4" w14:textId="77777777" w:rsidR="00286BB3" w:rsidRPr="00F32542" w:rsidRDefault="00286BB3" w:rsidP="00286BB3">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No.</w:t>
            </w:r>
          </w:p>
        </w:tc>
        <w:tc>
          <w:tcPr>
            <w:tcW w:w="1607" w:type="dxa"/>
            <w:shd w:val="clear" w:color="auto" w:fill="BFBFBF" w:themeFill="background1" w:themeFillShade="BF"/>
            <w:vAlign w:val="center"/>
          </w:tcPr>
          <w:p w14:paraId="464DBBED" w14:textId="77777777" w:rsidR="00286BB3" w:rsidRPr="00F32542" w:rsidRDefault="00286BB3" w:rsidP="00286BB3">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Expediente</w:t>
            </w:r>
          </w:p>
        </w:tc>
        <w:tc>
          <w:tcPr>
            <w:tcW w:w="2442" w:type="dxa"/>
            <w:shd w:val="clear" w:color="auto" w:fill="BFBFBF" w:themeFill="background1" w:themeFillShade="BF"/>
            <w:vAlign w:val="center"/>
          </w:tcPr>
          <w:p w14:paraId="2F2F51CF" w14:textId="77777777" w:rsidR="00286BB3" w:rsidRPr="00F32542" w:rsidRDefault="00286BB3" w:rsidP="00286BB3">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Parte que hace valer la causal de improcedencia</w:t>
            </w:r>
          </w:p>
        </w:tc>
        <w:tc>
          <w:tcPr>
            <w:tcW w:w="3444" w:type="dxa"/>
            <w:shd w:val="clear" w:color="auto" w:fill="BFBFBF" w:themeFill="background1" w:themeFillShade="BF"/>
            <w:vAlign w:val="center"/>
          </w:tcPr>
          <w:p w14:paraId="45623C74" w14:textId="77777777" w:rsidR="00286BB3" w:rsidRPr="00F32542" w:rsidRDefault="00286BB3" w:rsidP="00286BB3">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Causal de Improcedencia</w:t>
            </w:r>
          </w:p>
        </w:tc>
      </w:tr>
      <w:tr w:rsidR="00BF19FC" w:rsidRPr="00F32542" w14:paraId="488D54F7" w14:textId="77777777" w:rsidTr="00BF19FC">
        <w:trPr>
          <w:jc w:val="center"/>
        </w:trPr>
        <w:tc>
          <w:tcPr>
            <w:tcW w:w="769" w:type="dxa"/>
            <w:vAlign w:val="center"/>
          </w:tcPr>
          <w:p w14:paraId="36659978"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1</w:t>
            </w:r>
          </w:p>
        </w:tc>
        <w:tc>
          <w:tcPr>
            <w:tcW w:w="1607" w:type="dxa"/>
            <w:vAlign w:val="center"/>
          </w:tcPr>
          <w:p w14:paraId="72BD5D9E"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TECDMX-</w:t>
            </w:r>
            <w:r w:rsidRPr="00F32542">
              <w:rPr>
                <w:rFonts w:ascii="Arial" w:eastAsia="Times New Roman" w:hAnsi="Arial" w:cs="Arial"/>
                <w:b/>
                <w:bCs/>
                <w:sz w:val="20"/>
                <w:szCs w:val="20"/>
                <w:lang w:eastAsia="es-MX"/>
              </w:rPr>
              <w:t>JEL-204/2021</w:t>
            </w:r>
          </w:p>
        </w:tc>
        <w:tc>
          <w:tcPr>
            <w:tcW w:w="2442" w:type="dxa"/>
            <w:vAlign w:val="center"/>
          </w:tcPr>
          <w:p w14:paraId="65BD6C1C"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No se hizo valer</w:t>
            </w:r>
          </w:p>
        </w:tc>
        <w:tc>
          <w:tcPr>
            <w:tcW w:w="3444" w:type="dxa"/>
            <w:vAlign w:val="center"/>
          </w:tcPr>
          <w:p w14:paraId="2EE955CD"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N/A</w:t>
            </w:r>
          </w:p>
        </w:tc>
      </w:tr>
      <w:tr w:rsidR="00BF19FC" w:rsidRPr="00F32542" w14:paraId="0F969CF6" w14:textId="77777777" w:rsidTr="00BF19FC">
        <w:trPr>
          <w:jc w:val="center"/>
        </w:trPr>
        <w:tc>
          <w:tcPr>
            <w:tcW w:w="769" w:type="dxa"/>
            <w:vAlign w:val="center"/>
          </w:tcPr>
          <w:p w14:paraId="71016A1C"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2</w:t>
            </w:r>
          </w:p>
        </w:tc>
        <w:tc>
          <w:tcPr>
            <w:tcW w:w="1607" w:type="dxa"/>
            <w:vAlign w:val="center"/>
          </w:tcPr>
          <w:p w14:paraId="5E50A0F7"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TECDMX-</w:t>
            </w:r>
            <w:r w:rsidRPr="00F32542">
              <w:rPr>
                <w:rFonts w:ascii="Arial" w:eastAsia="Times New Roman" w:hAnsi="Arial" w:cs="Arial"/>
                <w:b/>
                <w:bCs/>
                <w:sz w:val="20"/>
                <w:szCs w:val="20"/>
                <w:lang w:eastAsia="es-MX"/>
              </w:rPr>
              <w:t>JEL-205/2021</w:t>
            </w:r>
          </w:p>
        </w:tc>
        <w:tc>
          <w:tcPr>
            <w:tcW w:w="2442" w:type="dxa"/>
            <w:vAlign w:val="center"/>
          </w:tcPr>
          <w:p w14:paraId="563C1A0B"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No se hizo valer</w:t>
            </w:r>
          </w:p>
        </w:tc>
        <w:tc>
          <w:tcPr>
            <w:tcW w:w="3444" w:type="dxa"/>
            <w:vAlign w:val="center"/>
          </w:tcPr>
          <w:p w14:paraId="5ABFEA91"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N/A</w:t>
            </w:r>
          </w:p>
        </w:tc>
      </w:tr>
      <w:tr w:rsidR="00BF19FC" w:rsidRPr="00F32542" w14:paraId="49D8000E" w14:textId="77777777" w:rsidTr="00BF19FC">
        <w:trPr>
          <w:jc w:val="center"/>
        </w:trPr>
        <w:tc>
          <w:tcPr>
            <w:tcW w:w="769" w:type="dxa"/>
            <w:vAlign w:val="center"/>
          </w:tcPr>
          <w:p w14:paraId="20104C81"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3</w:t>
            </w:r>
          </w:p>
        </w:tc>
        <w:tc>
          <w:tcPr>
            <w:tcW w:w="1607" w:type="dxa"/>
            <w:vAlign w:val="center"/>
          </w:tcPr>
          <w:p w14:paraId="2C53C11D"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TECDMX-</w:t>
            </w:r>
            <w:r w:rsidRPr="00F32542">
              <w:rPr>
                <w:rFonts w:ascii="Arial" w:eastAsia="Times New Roman" w:hAnsi="Arial" w:cs="Arial"/>
                <w:b/>
                <w:bCs/>
                <w:sz w:val="20"/>
                <w:szCs w:val="20"/>
                <w:lang w:eastAsia="es-MX"/>
              </w:rPr>
              <w:t>JEL-206/2021</w:t>
            </w:r>
          </w:p>
        </w:tc>
        <w:tc>
          <w:tcPr>
            <w:tcW w:w="2442" w:type="dxa"/>
            <w:vAlign w:val="center"/>
          </w:tcPr>
          <w:p w14:paraId="24243D9E"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Parte Tercera Interesada</w:t>
            </w:r>
          </w:p>
          <w:p w14:paraId="1D5CA633"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Frida Jimena Guillen Ortiz</w:t>
            </w:r>
          </w:p>
        </w:tc>
        <w:tc>
          <w:tcPr>
            <w:tcW w:w="3444" w:type="dxa"/>
            <w:vAlign w:val="center"/>
          </w:tcPr>
          <w:p w14:paraId="0660B72A" w14:textId="77777777" w:rsidR="00BF19FC" w:rsidRPr="00F32542" w:rsidRDefault="00BF19FC" w:rsidP="00BF19FC">
            <w:pPr>
              <w:spacing w:after="0" w:line="240" w:lineRule="auto"/>
              <w:ind w:right="51"/>
              <w:jc w:val="both"/>
              <w:rPr>
                <w:rFonts w:ascii="Arial" w:eastAsia="Times New Roman" w:hAnsi="Arial" w:cs="Arial"/>
                <w:sz w:val="20"/>
                <w:szCs w:val="20"/>
                <w:lang w:eastAsia="es-MX"/>
              </w:rPr>
            </w:pPr>
            <w:r w:rsidRPr="00F32542">
              <w:rPr>
                <w:rFonts w:ascii="Arial" w:eastAsia="Times New Roman" w:hAnsi="Arial" w:cs="Arial"/>
                <w:sz w:val="20"/>
                <w:szCs w:val="20"/>
                <w:lang w:eastAsia="es-MX"/>
              </w:rPr>
              <w:t xml:space="preserve">La demanda debe desecharse al ser </w:t>
            </w:r>
            <w:r w:rsidRPr="00F32542">
              <w:rPr>
                <w:rFonts w:ascii="Arial" w:eastAsia="Times New Roman" w:hAnsi="Arial" w:cs="Arial"/>
                <w:b/>
                <w:sz w:val="20"/>
                <w:szCs w:val="20"/>
                <w:lang w:eastAsia="es-MX"/>
              </w:rPr>
              <w:t>extemporánea</w:t>
            </w:r>
            <w:r w:rsidRPr="00F32542">
              <w:rPr>
                <w:rFonts w:ascii="Arial" w:eastAsia="Times New Roman" w:hAnsi="Arial" w:cs="Arial"/>
                <w:sz w:val="20"/>
                <w:szCs w:val="20"/>
                <w:lang w:eastAsia="es-MX"/>
              </w:rPr>
              <w:t xml:space="preserve"> respecto a la impugnación de los Lineamientos para la asignación de diputaciones por el principio de representación proporcional –aprobados en diciembre del año pasado–, así como el registro de las listas de candidaturas respectivas –lo cual aconteció el tres abril–.</w:t>
            </w:r>
          </w:p>
          <w:p w14:paraId="475F886B" w14:textId="77777777" w:rsidR="00BF19FC" w:rsidRPr="00F32542" w:rsidRDefault="00BF19FC" w:rsidP="00BF19FC">
            <w:pPr>
              <w:spacing w:after="0" w:line="240" w:lineRule="auto"/>
              <w:ind w:right="51"/>
              <w:jc w:val="both"/>
              <w:rPr>
                <w:rFonts w:ascii="Arial" w:eastAsia="Times New Roman" w:hAnsi="Arial" w:cs="Arial"/>
                <w:sz w:val="20"/>
                <w:szCs w:val="20"/>
                <w:lang w:eastAsia="es-MX"/>
              </w:rPr>
            </w:pPr>
          </w:p>
          <w:p w14:paraId="3701599F" w14:textId="77777777" w:rsidR="00BF19FC" w:rsidRPr="00F32542" w:rsidRDefault="00BF19FC" w:rsidP="00BF19FC">
            <w:pPr>
              <w:spacing w:after="0" w:line="240" w:lineRule="auto"/>
              <w:ind w:right="51"/>
              <w:jc w:val="both"/>
              <w:rPr>
                <w:rFonts w:ascii="Arial" w:eastAsia="Times New Roman" w:hAnsi="Arial" w:cs="Arial"/>
                <w:sz w:val="20"/>
                <w:szCs w:val="20"/>
                <w:lang w:eastAsia="es-MX"/>
              </w:rPr>
            </w:pPr>
            <w:r w:rsidRPr="00F32542">
              <w:rPr>
                <w:rFonts w:ascii="Arial" w:eastAsia="Times New Roman" w:hAnsi="Arial" w:cs="Arial"/>
                <w:sz w:val="20"/>
                <w:szCs w:val="20"/>
                <w:lang w:eastAsia="es-MX"/>
              </w:rPr>
              <w:t xml:space="preserve">Por otra parte, se actualiza la eficacia refleja de la </w:t>
            </w:r>
            <w:r w:rsidRPr="00F32542">
              <w:rPr>
                <w:rFonts w:ascii="Arial" w:eastAsia="Times New Roman" w:hAnsi="Arial" w:cs="Arial"/>
                <w:b/>
                <w:sz w:val="20"/>
                <w:szCs w:val="20"/>
                <w:lang w:eastAsia="es-MX"/>
              </w:rPr>
              <w:t>cosa juzgada</w:t>
            </w:r>
            <w:r w:rsidRPr="00F32542">
              <w:rPr>
                <w:rFonts w:ascii="Arial" w:eastAsia="Times New Roman" w:hAnsi="Arial" w:cs="Arial"/>
                <w:sz w:val="20"/>
                <w:szCs w:val="20"/>
                <w:lang w:eastAsia="es-MX"/>
              </w:rPr>
              <w:t xml:space="preserve"> ya que en el diverso juicio TECDMX-JEL-416/2020 y acumulados el Tribunal Electoral se pronunció sobre la facultad reglamentaria del </w:t>
            </w:r>
            <w:r w:rsidRPr="00F32542">
              <w:rPr>
                <w:rFonts w:ascii="Arial" w:eastAsia="Times New Roman" w:hAnsi="Arial" w:cs="Arial"/>
                <w:i/>
                <w:sz w:val="20"/>
                <w:szCs w:val="20"/>
                <w:lang w:eastAsia="es-MX"/>
              </w:rPr>
              <w:t>IECM</w:t>
            </w:r>
            <w:r w:rsidRPr="00F32542">
              <w:rPr>
                <w:rFonts w:ascii="Arial" w:eastAsia="Times New Roman" w:hAnsi="Arial" w:cs="Arial"/>
                <w:sz w:val="20"/>
                <w:szCs w:val="20"/>
                <w:lang w:eastAsia="es-MX"/>
              </w:rPr>
              <w:t xml:space="preserve"> por cuanto hace, entre otras cuestiones, a la figura de diputación migrante, paridad de género y representación proporcional previstas en los citados Lineamientos.</w:t>
            </w:r>
          </w:p>
        </w:tc>
      </w:tr>
      <w:tr w:rsidR="00BF19FC" w:rsidRPr="00F32542" w14:paraId="0B9CFCCD" w14:textId="77777777" w:rsidTr="00BF19FC">
        <w:trPr>
          <w:jc w:val="center"/>
        </w:trPr>
        <w:tc>
          <w:tcPr>
            <w:tcW w:w="769" w:type="dxa"/>
            <w:vAlign w:val="center"/>
          </w:tcPr>
          <w:p w14:paraId="7E86E403"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4</w:t>
            </w:r>
          </w:p>
        </w:tc>
        <w:tc>
          <w:tcPr>
            <w:tcW w:w="1607" w:type="dxa"/>
            <w:vAlign w:val="center"/>
          </w:tcPr>
          <w:p w14:paraId="17E63982"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TECDMX-</w:t>
            </w:r>
            <w:r w:rsidRPr="00F32542">
              <w:rPr>
                <w:rFonts w:ascii="Arial" w:eastAsia="Times New Roman" w:hAnsi="Arial" w:cs="Arial"/>
                <w:b/>
                <w:bCs/>
                <w:sz w:val="20"/>
                <w:szCs w:val="20"/>
                <w:lang w:eastAsia="es-MX"/>
              </w:rPr>
              <w:t>JLDC-088/2021</w:t>
            </w:r>
          </w:p>
        </w:tc>
        <w:tc>
          <w:tcPr>
            <w:tcW w:w="2442" w:type="dxa"/>
            <w:vAlign w:val="center"/>
          </w:tcPr>
          <w:p w14:paraId="7638F1C9"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No se hizo valer</w:t>
            </w:r>
          </w:p>
        </w:tc>
        <w:tc>
          <w:tcPr>
            <w:tcW w:w="3444" w:type="dxa"/>
            <w:vAlign w:val="center"/>
          </w:tcPr>
          <w:p w14:paraId="01A0A9C1"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N/A</w:t>
            </w:r>
          </w:p>
        </w:tc>
      </w:tr>
      <w:tr w:rsidR="00BF19FC" w:rsidRPr="00F32542" w14:paraId="33727197" w14:textId="77777777" w:rsidTr="00BF19FC">
        <w:trPr>
          <w:jc w:val="center"/>
        </w:trPr>
        <w:tc>
          <w:tcPr>
            <w:tcW w:w="769" w:type="dxa"/>
            <w:vAlign w:val="center"/>
          </w:tcPr>
          <w:p w14:paraId="209AF3FB"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5</w:t>
            </w:r>
          </w:p>
        </w:tc>
        <w:tc>
          <w:tcPr>
            <w:tcW w:w="1607" w:type="dxa"/>
            <w:vAlign w:val="center"/>
          </w:tcPr>
          <w:p w14:paraId="738EA94D"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TECDMX-</w:t>
            </w:r>
            <w:r w:rsidRPr="00F32542">
              <w:rPr>
                <w:rFonts w:ascii="Arial" w:eastAsia="Times New Roman" w:hAnsi="Arial" w:cs="Arial"/>
                <w:b/>
                <w:bCs/>
                <w:sz w:val="20"/>
                <w:szCs w:val="20"/>
                <w:lang w:eastAsia="es-MX"/>
              </w:rPr>
              <w:t>JLDC-089/2021</w:t>
            </w:r>
          </w:p>
        </w:tc>
        <w:tc>
          <w:tcPr>
            <w:tcW w:w="2442" w:type="dxa"/>
            <w:vAlign w:val="center"/>
          </w:tcPr>
          <w:p w14:paraId="4301F19C"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No se hizo valer</w:t>
            </w:r>
          </w:p>
        </w:tc>
        <w:tc>
          <w:tcPr>
            <w:tcW w:w="3444" w:type="dxa"/>
            <w:vAlign w:val="center"/>
          </w:tcPr>
          <w:p w14:paraId="3C9ECEDB"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N/A</w:t>
            </w:r>
          </w:p>
        </w:tc>
      </w:tr>
      <w:tr w:rsidR="00BF19FC" w:rsidRPr="00F32542" w14:paraId="6F8E2FF1" w14:textId="77777777" w:rsidTr="00BF19FC">
        <w:trPr>
          <w:jc w:val="center"/>
        </w:trPr>
        <w:tc>
          <w:tcPr>
            <w:tcW w:w="769" w:type="dxa"/>
            <w:vAlign w:val="center"/>
          </w:tcPr>
          <w:p w14:paraId="487C7304"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6</w:t>
            </w:r>
          </w:p>
        </w:tc>
        <w:tc>
          <w:tcPr>
            <w:tcW w:w="1607" w:type="dxa"/>
            <w:vAlign w:val="center"/>
          </w:tcPr>
          <w:p w14:paraId="69552D07"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TECDMX-</w:t>
            </w:r>
            <w:r w:rsidRPr="00F32542">
              <w:rPr>
                <w:rFonts w:ascii="Arial" w:eastAsia="Times New Roman" w:hAnsi="Arial" w:cs="Arial"/>
                <w:b/>
                <w:bCs/>
                <w:sz w:val="20"/>
                <w:szCs w:val="20"/>
                <w:lang w:eastAsia="es-MX"/>
              </w:rPr>
              <w:t>JLDC-090/2021</w:t>
            </w:r>
          </w:p>
        </w:tc>
        <w:tc>
          <w:tcPr>
            <w:tcW w:w="2442" w:type="dxa"/>
            <w:vAlign w:val="center"/>
          </w:tcPr>
          <w:p w14:paraId="03AD57D0"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Partes terceras interesadas:</w:t>
            </w:r>
          </w:p>
          <w:p w14:paraId="2C0E7A1D"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p>
          <w:p w14:paraId="426F832D"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 xml:space="preserve">Mónica Fernández Cesar y </w:t>
            </w:r>
            <w:proofErr w:type="spellStart"/>
            <w:r w:rsidRPr="00F32542">
              <w:rPr>
                <w:rFonts w:ascii="Arial" w:eastAsia="Times New Roman" w:hAnsi="Arial" w:cs="Arial"/>
                <w:sz w:val="20"/>
                <w:szCs w:val="20"/>
                <w:lang w:eastAsia="es-MX"/>
              </w:rPr>
              <w:t>Jhonatan</w:t>
            </w:r>
            <w:proofErr w:type="spellEnd"/>
            <w:r w:rsidRPr="00F32542">
              <w:rPr>
                <w:rFonts w:ascii="Arial" w:eastAsia="Times New Roman" w:hAnsi="Arial" w:cs="Arial"/>
                <w:sz w:val="20"/>
                <w:szCs w:val="20"/>
                <w:lang w:eastAsia="es-MX"/>
              </w:rPr>
              <w:t xml:space="preserve"> Colmenares Rentería</w:t>
            </w:r>
          </w:p>
          <w:p w14:paraId="4B082A9E" w14:textId="77777777" w:rsidR="00BF19FC" w:rsidRPr="00F32542" w:rsidRDefault="00BF19FC" w:rsidP="00BF19FC">
            <w:pPr>
              <w:spacing w:after="0" w:line="240" w:lineRule="auto"/>
              <w:ind w:right="51"/>
              <w:jc w:val="both"/>
              <w:rPr>
                <w:rFonts w:ascii="Arial" w:eastAsia="Times New Roman" w:hAnsi="Arial" w:cs="Arial"/>
                <w:sz w:val="20"/>
                <w:szCs w:val="20"/>
                <w:lang w:eastAsia="es-MX"/>
              </w:rPr>
            </w:pPr>
            <w:r w:rsidRPr="00F32542">
              <w:rPr>
                <w:rFonts w:ascii="Arial" w:eastAsia="Times New Roman" w:hAnsi="Arial" w:cs="Arial"/>
                <w:sz w:val="20"/>
                <w:szCs w:val="20"/>
                <w:lang w:eastAsia="es-MX"/>
              </w:rPr>
              <w:t xml:space="preserve">(NOTA: El escrito de él no está </w:t>
            </w:r>
            <w:proofErr w:type="gramStart"/>
            <w:r w:rsidRPr="00F32542">
              <w:rPr>
                <w:rFonts w:ascii="Arial" w:eastAsia="Times New Roman" w:hAnsi="Arial" w:cs="Arial"/>
                <w:sz w:val="20"/>
                <w:szCs w:val="20"/>
                <w:lang w:eastAsia="es-MX"/>
              </w:rPr>
              <w:t>firmado</w:t>
            </w:r>
            <w:proofErr w:type="gramEnd"/>
            <w:r w:rsidRPr="00F32542">
              <w:rPr>
                <w:rFonts w:ascii="Arial" w:eastAsia="Times New Roman" w:hAnsi="Arial" w:cs="Arial"/>
                <w:sz w:val="20"/>
                <w:szCs w:val="20"/>
                <w:lang w:eastAsia="es-MX"/>
              </w:rPr>
              <w:t xml:space="preserve"> pero adjuntó copia de su INE)</w:t>
            </w:r>
          </w:p>
          <w:p w14:paraId="1357BE00"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p>
        </w:tc>
        <w:tc>
          <w:tcPr>
            <w:tcW w:w="3444" w:type="dxa"/>
            <w:vAlign w:val="center"/>
          </w:tcPr>
          <w:p w14:paraId="2820CE3C" w14:textId="77777777" w:rsidR="00BF19FC" w:rsidRPr="00F32542" w:rsidRDefault="00BF19FC" w:rsidP="00BF19FC">
            <w:pPr>
              <w:spacing w:after="0" w:line="240" w:lineRule="auto"/>
              <w:ind w:right="51"/>
              <w:jc w:val="both"/>
              <w:rPr>
                <w:rFonts w:ascii="Arial" w:eastAsia="Times New Roman" w:hAnsi="Arial" w:cs="Arial"/>
                <w:sz w:val="20"/>
                <w:szCs w:val="20"/>
                <w:lang w:eastAsia="es-MX"/>
              </w:rPr>
            </w:pPr>
            <w:r w:rsidRPr="00F32542">
              <w:rPr>
                <w:rFonts w:ascii="Arial" w:eastAsia="Times New Roman" w:hAnsi="Arial" w:cs="Arial"/>
                <w:sz w:val="20"/>
                <w:szCs w:val="20"/>
                <w:lang w:eastAsia="es-MX"/>
              </w:rPr>
              <w:t xml:space="preserve">a) Se actualiza la causal de improcedencia prevista en el artículo </w:t>
            </w:r>
            <w:r w:rsidRPr="00F32542">
              <w:rPr>
                <w:rFonts w:ascii="Arial" w:eastAsia="Times New Roman" w:hAnsi="Arial" w:cs="Arial"/>
                <w:b/>
                <w:sz w:val="20"/>
                <w:szCs w:val="20"/>
                <w:lang w:eastAsia="es-MX"/>
              </w:rPr>
              <w:t>49, fracción I</w:t>
            </w:r>
            <w:r w:rsidRPr="00F32542">
              <w:rPr>
                <w:rFonts w:ascii="Arial" w:eastAsia="Times New Roman" w:hAnsi="Arial" w:cs="Arial"/>
                <w:sz w:val="20"/>
                <w:szCs w:val="20"/>
                <w:lang w:eastAsia="es-MX"/>
              </w:rPr>
              <w:t xml:space="preserve"> de la </w:t>
            </w:r>
            <w:r w:rsidRPr="00F32542">
              <w:rPr>
                <w:rFonts w:ascii="Arial" w:eastAsia="Times New Roman" w:hAnsi="Arial" w:cs="Arial"/>
                <w:i/>
                <w:sz w:val="20"/>
                <w:szCs w:val="20"/>
                <w:lang w:eastAsia="es-MX"/>
              </w:rPr>
              <w:t xml:space="preserve">Ley Procesal, </w:t>
            </w:r>
            <w:r w:rsidRPr="00F32542">
              <w:rPr>
                <w:rFonts w:ascii="Arial" w:eastAsia="Times New Roman" w:hAnsi="Arial" w:cs="Arial"/>
                <w:sz w:val="20"/>
                <w:szCs w:val="20"/>
                <w:lang w:eastAsia="es-MX"/>
              </w:rPr>
              <w:t xml:space="preserve">toda vez que el acto no le causa perjuicio al </w:t>
            </w:r>
            <w:r w:rsidRPr="00F32542">
              <w:rPr>
                <w:rFonts w:ascii="Arial" w:eastAsia="Times New Roman" w:hAnsi="Arial" w:cs="Arial"/>
                <w:b/>
                <w:sz w:val="20"/>
                <w:szCs w:val="20"/>
                <w:lang w:eastAsia="es-MX"/>
              </w:rPr>
              <w:t>interés jurídico</w:t>
            </w:r>
            <w:r w:rsidRPr="00F32542">
              <w:rPr>
                <w:rFonts w:ascii="Arial" w:eastAsia="Times New Roman" w:hAnsi="Arial" w:cs="Arial"/>
                <w:sz w:val="20"/>
                <w:szCs w:val="20"/>
                <w:lang w:eastAsia="es-MX"/>
              </w:rPr>
              <w:t xml:space="preserve"> de la parte actora.</w:t>
            </w:r>
          </w:p>
          <w:p w14:paraId="0D948B2C" w14:textId="77777777" w:rsidR="00BF19FC" w:rsidRPr="00F32542" w:rsidRDefault="00BF19FC" w:rsidP="00BF19FC">
            <w:pPr>
              <w:spacing w:after="0" w:line="240" w:lineRule="auto"/>
              <w:ind w:right="51"/>
              <w:jc w:val="both"/>
              <w:rPr>
                <w:rFonts w:ascii="Arial" w:eastAsia="Times New Roman" w:hAnsi="Arial" w:cs="Arial"/>
                <w:sz w:val="20"/>
                <w:szCs w:val="20"/>
                <w:lang w:eastAsia="es-MX"/>
              </w:rPr>
            </w:pPr>
          </w:p>
          <w:p w14:paraId="16ABD361" w14:textId="77777777" w:rsidR="00BF19FC" w:rsidRPr="00F32542" w:rsidRDefault="00BF19FC" w:rsidP="00BF19FC">
            <w:pPr>
              <w:spacing w:after="0" w:line="240" w:lineRule="auto"/>
              <w:ind w:right="51"/>
              <w:jc w:val="both"/>
              <w:rPr>
                <w:rFonts w:ascii="Arial" w:eastAsia="Times New Roman" w:hAnsi="Arial" w:cs="Arial"/>
                <w:sz w:val="20"/>
                <w:szCs w:val="20"/>
                <w:lang w:eastAsia="es-MX"/>
              </w:rPr>
            </w:pPr>
            <w:r w:rsidRPr="00F32542">
              <w:rPr>
                <w:rFonts w:ascii="Arial" w:eastAsia="Times New Roman" w:hAnsi="Arial" w:cs="Arial"/>
                <w:sz w:val="20"/>
                <w:szCs w:val="20"/>
                <w:lang w:eastAsia="es-MX"/>
              </w:rPr>
              <w:t xml:space="preserve">Ello, porque la interpretación del principio de paridad de género en la integración del Congreso de la </w:t>
            </w:r>
            <w:r w:rsidRPr="00F32542">
              <w:rPr>
                <w:rFonts w:ascii="Arial" w:eastAsia="Times New Roman" w:hAnsi="Arial" w:cs="Arial"/>
                <w:sz w:val="20"/>
                <w:szCs w:val="20"/>
                <w:lang w:eastAsia="es-MX"/>
              </w:rPr>
              <w:lastRenderedPageBreak/>
              <w:t xml:space="preserve">Ciudad de México no limita a que sea 33 hombres y 33 mujeres, si no que no exista una minoría de mujeres. Es decir, </w:t>
            </w:r>
            <w:r w:rsidRPr="00F32542">
              <w:rPr>
                <w:rFonts w:ascii="Arial" w:eastAsia="Times New Roman" w:hAnsi="Arial" w:cs="Arial"/>
                <w:b/>
                <w:bCs/>
                <w:sz w:val="20"/>
                <w:szCs w:val="20"/>
                <w:lang w:eastAsia="es-MX"/>
              </w:rPr>
              <w:t>el actor no tiene interés en la causa porque se vulneraría en lo general del derecho de las mujeres</w:t>
            </w:r>
            <w:r w:rsidRPr="00F32542">
              <w:rPr>
                <w:rFonts w:ascii="Arial" w:eastAsia="Times New Roman" w:hAnsi="Arial" w:cs="Arial"/>
                <w:sz w:val="20"/>
                <w:szCs w:val="20"/>
                <w:lang w:eastAsia="es-MX"/>
              </w:rPr>
              <w:t xml:space="preserve"> para conformar el Congreso.</w:t>
            </w:r>
          </w:p>
          <w:p w14:paraId="58D8F326" w14:textId="77777777" w:rsidR="00BF19FC" w:rsidRPr="00F32542" w:rsidRDefault="00BF19FC" w:rsidP="00BF19FC">
            <w:pPr>
              <w:spacing w:after="0" w:line="240" w:lineRule="auto"/>
              <w:ind w:right="51"/>
              <w:jc w:val="both"/>
              <w:rPr>
                <w:rFonts w:ascii="Arial" w:eastAsia="Times New Roman" w:hAnsi="Arial" w:cs="Arial"/>
                <w:sz w:val="20"/>
                <w:szCs w:val="20"/>
                <w:lang w:eastAsia="es-MX"/>
              </w:rPr>
            </w:pPr>
            <w:r w:rsidRPr="00F32542">
              <w:rPr>
                <w:rFonts w:ascii="Arial" w:eastAsia="Times New Roman" w:hAnsi="Arial" w:cs="Arial"/>
                <w:sz w:val="20"/>
                <w:szCs w:val="20"/>
                <w:lang w:eastAsia="es-MX"/>
              </w:rPr>
              <w:t>b) Se actualiza la causal de improcedencia prevista en el artículo 49</w:t>
            </w:r>
            <w:r w:rsidRPr="00F32542">
              <w:rPr>
                <w:rFonts w:ascii="Arial" w:eastAsia="Times New Roman" w:hAnsi="Arial" w:cs="Arial"/>
                <w:b/>
                <w:sz w:val="20"/>
                <w:szCs w:val="20"/>
                <w:lang w:eastAsia="es-MX"/>
              </w:rPr>
              <w:t>, fracción II</w:t>
            </w:r>
            <w:r w:rsidRPr="00F32542">
              <w:rPr>
                <w:rFonts w:ascii="Arial" w:eastAsia="Times New Roman" w:hAnsi="Arial" w:cs="Arial"/>
                <w:sz w:val="20"/>
                <w:szCs w:val="20"/>
                <w:lang w:eastAsia="es-MX"/>
              </w:rPr>
              <w:t xml:space="preserve"> de la </w:t>
            </w:r>
            <w:r w:rsidRPr="00F32542">
              <w:rPr>
                <w:rFonts w:ascii="Arial" w:eastAsia="Times New Roman" w:hAnsi="Arial" w:cs="Arial"/>
                <w:i/>
                <w:sz w:val="20"/>
                <w:szCs w:val="20"/>
                <w:lang w:eastAsia="es-MX"/>
              </w:rPr>
              <w:t xml:space="preserve">Ley Procesal, </w:t>
            </w:r>
            <w:r w:rsidRPr="00F32542">
              <w:rPr>
                <w:rFonts w:ascii="Arial" w:eastAsia="Times New Roman" w:hAnsi="Arial" w:cs="Arial"/>
                <w:sz w:val="20"/>
                <w:szCs w:val="20"/>
                <w:lang w:eastAsia="es-MX"/>
              </w:rPr>
              <w:t>toda vez que se impugna un acto que se ha consumado de modo irreparable.</w:t>
            </w:r>
          </w:p>
          <w:p w14:paraId="15F4DA84" w14:textId="77777777" w:rsidR="00BF19FC" w:rsidRPr="00F32542" w:rsidRDefault="00BF19FC" w:rsidP="00BF19FC">
            <w:pPr>
              <w:spacing w:after="0" w:line="240" w:lineRule="auto"/>
              <w:ind w:right="51"/>
              <w:jc w:val="both"/>
              <w:rPr>
                <w:rFonts w:ascii="Arial" w:eastAsia="Times New Roman" w:hAnsi="Arial" w:cs="Arial"/>
                <w:sz w:val="20"/>
                <w:szCs w:val="20"/>
                <w:lang w:eastAsia="es-MX"/>
              </w:rPr>
            </w:pPr>
          </w:p>
          <w:p w14:paraId="6D6FA808" w14:textId="77777777" w:rsidR="00BF19FC" w:rsidRPr="00F32542" w:rsidRDefault="00BF19FC" w:rsidP="00BF19FC">
            <w:pPr>
              <w:spacing w:after="0" w:line="240" w:lineRule="auto"/>
              <w:ind w:right="51"/>
              <w:jc w:val="both"/>
              <w:rPr>
                <w:rFonts w:ascii="Arial" w:eastAsia="Times New Roman" w:hAnsi="Arial" w:cs="Arial"/>
                <w:sz w:val="20"/>
                <w:szCs w:val="20"/>
                <w:lang w:eastAsia="es-MX"/>
              </w:rPr>
            </w:pPr>
            <w:r w:rsidRPr="00F32542">
              <w:rPr>
                <w:rFonts w:ascii="Arial" w:eastAsia="Times New Roman" w:hAnsi="Arial" w:cs="Arial"/>
                <w:sz w:val="20"/>
                <w:szCs w:val="20"/>
                <w:lang w:eastAsia="es-MX"/>
              </w:rPr>
              <w:t xml:space="preserve">Ello, porque la parte actora combate la asignación de diputaciones del Congreso de la Ciudad de México aduciendo que debía operar en su favor una </w:t>
            </w:r>
            <w:r w:rsidRPr="00F32542">
              <w:rPr>
                <w:rFonts w:ascii="Arial" w:eastAsia="Times New Roman" w:hAnsi="Arial" w:cs="Arial"/>
                <w:b/>
                <w:bCs/>
                <w:sz w:val="20"/>
                <w:szCs w:val="20"/>
                <w:lang w:eastAsia="es-MX"/>
              </w:rPr>
              <w:t xml:space="preserve">acción afirmativa al ser una persona que se </w:t>
            </w:r>
            <w:proofErr w:type="spellStart"/>
            <w:r w:rsidRPr="00F32542">
              <w:rPr>
                <w:rFonts w:ascii="Arial" w:eastAsia="Times New Roman" w:hAnsi="Arial" w:cs="Arial"/>
                <w:b/>
                <w:bCs/>
                <w:sz w:val="20"/>
                <w:szCs w:val="20"/>
                <w:lang w:eastAsia="es-MX"/>
              </w:rPr>
              <w:t>autoadscribe</w:t>
            </w:r>
            <w:proofErr w:type="spellEnd"/>
            <w:r w:rsidRPr="00F32542">
              <w:rPr>
                <w:rFonts w:ascii="Arial" w:eastAsia="Times New Roman" w:hAnsi="Arial" w:cs="Arial"/>
                <w:b/>
                <w:bCs/>
                <w:sz w:val="20"/>
                <w:szCs w:val="20"/>
                <w:lang w:eastAsia="es-MX"/>
              </w:rPr>
              <w:t xml:space="preserve"> como originaria de un pueblo indígena</w:t>
            </w:r>
            <w:r w:rsidRPr="00F32542">
              <w:rPr>
                <w:rFonts w:ascii="Arial" w:eastAsia="Times New Roman" w:hAnsi="Arial" w:cs="Arial"/>
                <w:sz w:val="20"/>
                <w:szCs w:val="20"/>
                <w:lang w:eastAsia="es-MX"/>
              </w:rPr>
              <w:t>. Situación que no fue manifestada al momento de registrar su candidatura.</w:t>
            </w:r>
          </w:p>
        </w:tc>
      </w:tr>
      <w:tr w:rsidR="00BF19FC" w:rsidRPr="00F32542" w14:paraId="6C3BEB28" w14:textId="77777777" w:rsidTr="00BF19FC">
        <w:trPr>
          <w:jc w:val="center"/>
        </w:trPr>
        <w:tc>
          <w:tcPr>
            <w:tcW w:w="769" w:type="dxa"/>
            <w:vAlign w:val="center"/>
          </w:tcPr>
          <w:p w14:paraId="3CD22643"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lastRenderedPageBreak/>
              <w:t>7</w:t>
            </w:r>
          </w:p>
        </w:tc>
        <w:tc>
          <w:tcPr>
            <w:tcW w:w="1607" w:type="dxa"/>
            <w:vAlign w:val="center"/>
          </w:tcPr>
          <w:p w14:paraId="6512BFF7"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TECDMX-</w:t>
            </w:r>
            <w:r w:rsidRPr="00F32542">
              <w:rPr>
                <w:rFonts w:ascii="Arial" w:eastAsia="Times New Roman" w:hAnsi="Arial" w:cs="Arial"/>
                <w:b/>
                <w:bCs/>
                <w:sz w:val="20"/>
                <w:szCs w:val="20"/>
                <w:lang w:eastAsia="es-MX"/>
              </w:rPr>
              <w:t>JLDC-091/2021</w:t>
            </w:r>
          </w:p>
        </w:tc>
        <w:tc>
          <w:tcPr>
            <w:tcW w:w="2442" w:type="dxa"/>
            <w:vAlign w:val="center"/>
          </w:tcPr>
          <w:p w14:paraId="1B5B4897"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Parte tercera interesada:</w:t>
            </w:r>
          </w:p>
          <w:p w14:paraId="17FC84E0"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proofErr w:type="spellStart"/>
            <w:r w:rsidRPr="00F32542">
              <w:rPr>
                <w:rFonts w:ascii="Arial" w:eastAsia="Times New Roman" w:hAnsi="Arial" w:cs="Arial"/>
                <w:sz w:val="20"/>
                <w:szCs w:val="20"/>
                <w:lang w:eastAsia="es-MX"/>
              </w:rPr>
              <w:t>Janecarlo</w:t>
            </w:r>
            <w:proofErr w:type="spellEnd"/>
            <w:r w:rsidRPr="00F32542">
              <w:rPr>
                <w:rFonts w:ascii="Arial" w:eastAsia="Times New Roman" w:hAnsi="Arial" w:cs="Arial"/>
                <w:sz w:val="20"/>
                <w:szCs w:val="20"/>
                <w:lang w:eastAsia="es-MX"/>
              </w:rPr>
              <w:t xml:space="preserve"> Lozano Reynoso</w:t>
            </w:r>
          </w:p>
        </w:tc>
        <w:tc>
          <w:tcPr>
            <w:tcW w:w="3444" w:type="dxa"/>
            <w:vAlign w:val="center"/>
          </w:tcPr>
          <w:p w14:paraId="4D824BCF" w14:textId="77777777" w:rsidR="00BF19FC" w:rsidRPr="00F32542" w:rsidRDefault="00BF19FC" w:rsidP="00BF19FC">
            <w:pPr>
              <w:spacing w:after="0" w:line="240" w:lineRule="auto"/>
              <w:ind w:right="51"/>
              <w:jc w:val="both"/>
              <w:rPr>
                <w:rFonts w:ascii="Arial" w:eastAsia="Times New Roman" w:hAnsi="Arial" w:cs="Arial"/>
                <w:sz w:val="20"/>
                <w:szCs w:val="20"/>
                <w:lang w:eastAsia="es-MX"/>
              </w:rPr>
            </w:pPr>
            <w:r w:rsidRPr="00F32542">
              <w:rPr>
                <w:rFonts w:ascii="Arial" w:eastAsia="Times New Roman" w:hAnsi="Arial" w:cs="Arial"/>
                <w:sz w:val="20"/>
                <w:szCs w:val="20"/>
                <w:lang w:eastAsia="es-MX"/>
              </w:rPr>
              <w:t>Señala que la impugnación del “</w:t>
            </w:r>
            <w:r w:rsidRPr="00F32542">
              <w:rPr>
                <w:rFonts w:ascii="Arial" w:eastAsia="Times New Roman" w:hAnsi="Arial" w:cs="Arial"/>
                <w:i/>
                <w:sz w:val="20"/>
                <w:szCs w:val="20"/>
                <w:lang w:eastAsia="es-MX"/>
              </w:rPr>
              <w:t>Acuerdo de asignación de diputaciones por representación proporcional</w:t>
            </w:r>
            <w:r w:rsidRPr="00F32542">
              <w:rPr>
                <w:rFonts w:ascii="Arial" w:eastAsia="Times New Roman" w:hAnsi="Arial" w:cs="Arial"/>
                <w:sz w:val="20"/>
                <w:szCs w:val="20"/>
                <w:lang w:eastAsia="es-MX"/>
              </w:rPr>
              <w:t xml:space="preserve">” es improcedente con base en la tesis </w:t>
            </w:r>
            <w:r w:rsidRPr="00F32542">
              <w:rPr>
                <w:rFonts w:ascii="Arial" w:eastAsia="Times New Roman" w:hAnsi="Arial" w:cs="Arial"/>
                <w:b/>
                <w:sz w:val="20"/>
                <w:szCs w:val="20"/>
                <w:lang w:eastAsia="es-MX"/>
              </w:rPr>
              <w:t>VI/98,</w:t>
            </w:r>
            <w:r w:rsidRPr="00F32542">
              <w:rPr>
                <w:rFonts w:ascii="Arial" w:eastAsia="Times New Roman" w:hAnsi="Arial" w:cs="Arial"/>
                <w:sz w:val="20"/>
                <w:szCs w:val="20"/>
                <w:lang w:eastAsia="es-MX"/>
              </w:rPr>
              <w:t xml:space="preserve"> de rubro: “</w:t>
            </w:r>
            <w:r w:rsidRPr="00F32542">
              <w:rPr>
                <w:rFonts w:ascii="Arial" w:eastAsia="Times New Roman" w:hAnsi="Arial" w:cs="Arial"/>
                <w:i/>
                <w:sz w:val="20"/>
                <w:szCs w:val="20"/>
                <w:lang w:eastAsia="es-MX"/>
              </w:rPr>
              <w:t>CONSENTIMIENTO COMO CAUSA DE IMPROCEDENCIA. NO SE ACTUALIZA POR FALTA DE IMPUGNACIÓN DE ACTOS ANTERIORES APOYADOS EN LOS MISMOS</w:t>
            </w:r>
            <w:r w:rsidRPr="00F32542">
              <w:rPr>
                <w:rFonts w:ascii="Arial" w:eastAsia="Times New Roman" w:hAnsi="Arial" w:cs="Arial"/>
                <w:sz w:val="20"/>
                <w:szCs w:val="20"/>
                <w:lang w:eastAsia="es-MX"/>
              </w:rPr>
              <w:t>”.</w:t>
            </w:r>
          </w:p>
          <w:p w14:paraId="1AA31426" w14:textId="77777777" w:rsidR="00BF19FC" w:rsidRPr="00F32542" w:rsidRDefault="00BF19FC" w:rsidP="00BF19FC">
            <w:pPr>
              <w:spacing w:after="0" w:line="240" w:lineRule="auto"/>
              <w:ind w:right="51"/>
              <w:jc w:val="both"/>
              <w:rPr>
                <w:rFonts w:ascii="Arial" w:eastAsia="Times New Roman" w:hAnsi="Arial" w:cs="Arial"/>
                <w:sz w:val="20"/>
                <w:szCs w:val="20"/>
                <w:lang w:eastAsia="es-MX"/>
              </w:rPr>
            </w:pPr>
          </w:p>
          <w:p w14:paraId="7D48C85F" w14:textId="77777777" w:rsidR="00BF19FC" w:rsidRPr="00F32542" w:rsidRDefault="00BF19FC" w:rsidP="00BF19FC">
            <w:pPr>
              <w:spacing w:after="0" w:line="240" w:lineRule="auto"/>
              <w:ind w:right="51"/>
              <w:jc w:val="both"/>
              <w:rPr>
                <w:rFonts w:ascii="Arial" w:eastAsia="Times New Roman" w:hAnsi="Arial" w:cs="Arial"/>
                <w:sz w:val="20"/>
                <w:szCs w:val="20"/>
                <w:lang w:eastAsia="es-MX"/>
              </w:rPr>
            </w:pPr>
            <w:r w:rsidRPr="00F32542">
              <w:rPr>
                <w:rFonts w:ascii="Arial" w:eastAsia="Times New Roman" w:hAnsi="Arial" w:cs="Arial"/>
                <w:sz w:val="20"/>
                <w:szCs w:val="20"/>
                <w:lang w:eastAsia="es-MX"/>
              </w:rPr>
              <w:t xml:space="preserve">Ello, porque la actora debió inconformarse en el momento procesal oportuno respecto a la posición que le otorgó el </w:t>
            </w:r>
            <w:r w:rsidRPr="00F32542">
              <w:rPr>
                <w:rFonts w:ascii="Arial" w:eastAsia="Times New Roman" w:hAnsi="Arial" w:cs="Arial"/>
                <w:i/>
                <w:sz w:val="20"/>
                <w:szCs w:val="20"/>
                <w:lang w:eastAsia="es-MX"/>
              </w:rPr>
              <w:t>PRD</w:t>
            </w:r>
            <w:r w:rsidRPr="00F32542">
              <w:rPr>
                <w:rFonts w:ascii="Arial" w:eastAsia="Times New Roman" w:hAnsi="Arial" w:cs="Arial"/>
                <w:sz w:val="20"/>
                <w:szCs w:val="20"/>
                <w:lang w:eastAsia="es-MX"/>
              </w:rPr>
              <w:t xml:space="preserve"> en la lista, y no hasta la asignación de diputaciones.</w:t>
            </w:r>
          </w:p>
        </w:tc>
      </w:tr>
      <w:tr w:rsidR="00BF19FC" w:rsidRPr="00F32542" w14:paraId="3693B5AD" w14:textId="77777777" w:rsidTr="00BF19FC">
        <w:trPr>
          <w:jc w:val="center"/>
        </w:trPr>
        <w:tc>
          <w:tcPr>
            <w:tcW w:w="769" w:type="dxa"/>
            <w:vAlign w:val="center"/>
          </w:tcPr>
          <w:p w14:paraId="51B9471B"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8</w:t>
            </w:r>
          </w:p>
        </w:tc>
        <w:tc>
          <w:tcPr>
            <w:tcW w:w="1607" w:type="dxa"/>
            <w:vAlign w:val="center"/>
          </w:tcPr>
          <w:p w14:paraId="4BE9AE1A"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TECDMX-</w:t>
            </w:r>
            <w:r w:rsidRPr="00F32542">
              <w:rPr>
                <w:rFonts w:ascii="Arial" w:eastAsia="Times New Roman" w:hAnsi="Arial" w:cs="Arial"/>
                <w:b/>
                <w:bCs/>
                <w:sz w:val="20"/>
                <w:szCs w:val="20"/>
                <w:lang w:eastAsia="es-MX"/>
              </w:rPr>
              <w:t>JLDC-092/2021</w:t>
            </w:r>
          </w:p>
        </w:tc>
        <w:tc>
          <w:tcPr>
            <w:tcW w:w="2442" w:type="dxa"/>
            <w:vAlign w:val="center"/>
          </w:tcPr>
          <w:p w14:paraId="5EC8E65F"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Parte tercera interesada:</w:t>
            </w:r>
          </w:p>
          <w:p w14:paraId="5C3ABCED"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sz w:val="20"/>
                <w:szCs w:val="20"/>
                <w:lang w:eastAsia="es-MX"/>
              </w:rPr>
              <w:t xml:space="preserve">Manuel </w:t>
            </w:r>
            <w:proofErr w:type="spellStart"/>
            <w:r w:rsidRPr="00F32542">
              <w:rPr>
                <w:rFonts w:ascii="Arial" w:eastAsia="Times New Roman" w:hAnsi="Arial" w:cs="Arial"/>
                <w:sz w:val="20"/>
                <w:szCs w:val="20"/>
                <w:lang w:eastAsia="es-MX"/>
              </w:rPr>
              <w:t>Talayero</w:t>
            </w:r>
            <w:proofErr w:type="spellEnd"/>
            <w:r w:rsidRPr="00F32542">
              <w:rPr>
                <w:rFonts w:ascii="Arial" w:eastAsia="Times New Roman" w:hAnsi="Arial" w:cs="Arial"/>
                <w:sz w:val="20"/>
                <w:szCs w:val="20"/>
                <w:lang w:eastAsia="es-MX"/>
              </w:rPr>
              <w:t xml:space="preserve"> Pariente</w:t>
            </w:r>
          </w:p>
        </w:tc>
        <w:tc>
          <w:tcPr>
            <w:tcW w:w="3444" w:type="dxa"/>
            <w:vAlign w:val="center"/>
          </w:tcPr>
          <w:p w14:paraId="546EB7F3" w14:textId="77777777" w:rsidR="00BF19FC" w:rsidRPr="00F32542" w:rsidRDefault="00BF19FC" w:rsidP="00BF19FC">
            <w:pPr>
              <w:spacing w:after="0" w:line="240" w:lineRule="auto"/>
              <w:ind w:right="51"/>
              <w:jc w:val="both"/>
              <w:rPr>
                <w:rFonts w:ascii="Arial" w:eastAsia="Times New Roman" w:hAnsi="Arial" w:cs="Arial"/>
                <w:sz w:val="20"/>
                <w:szCs w:val="20"/>
                <w:lang w:eastAsia="es-MX"/>
              </w:rPr>
            </w:pPr>
            <w:r w:rsidRPr="00F32542">
              <w:rPr>
                <w:rFonts w:ascii="Arial" w:eastAsia="Times New Roman" w:hAnsi="Arial" w:cs="Arial"/>
                <w:sz w:val="20"/>
                <w:szCs w:val="20"/>
                <w:lang w:eastAsia="es-MX"/>
              </w:rPr>
              <w:t xml:space="preserve">Solicita el desechamiento del asunto ya que, a su consideración el juicio de la ciudadanía </w:t>
            </w:r>
            <w:r w:rsidRPr="00F32542">
              <w:rPr>
                <w:rFonts w:ascii="Arial" w:eastAsia="Times New Roman" w:hAnsi="Arial" w:cs="Arial"/>
                <w:b/>
                <w:bCs/>
                <w:sz w:val="20"/>
                <w:szCs w:val="20"/>
                <w:lang w:eastAsia="es-MX"/>
              </w:rPr>
              <w:t>no es la vía idónea</w:t>
            </w:r>
            <w:r w:rsidRPr="00F32542">
              <w:rPr>
                <w:rFonts w:ascii="Arial" w:eastAsia="Times New Roman" w:hAnsi="Arial" w:cs="Arial"/>
                <w:sz w:val="20"/>
                <w:szCs w:val="20"/>
                <w:lang w:eastAsia="es-MX"/>
              </w:rPr>
              <w:t xml:space="preserve"> para impugnar el “</w:t>
            </w:r>
            <w:r w:rsidRPr="00F32542">
              <w:rPr>
                <w:rFonts w:ascii="Arial" w:eastAsia="Times New Roman" w:hAnsi="Arial" w:cs="Arial"/>
                <w:i/>
                <w:sz w:val="20"/>
                <w:szCs w:val="20"/>
                <w:lang w:eastAsia="es-MX"/>
              </w:rPr>
              <w:t>Acuerdo de asignación de diputaciones por representación proporcional</w:t>
            </w:r>
            <w:r w:rsidRPr="00F32542">
              <w:rPr>
                <w:rFonts w:ascii="Arial" w:eastAsia="Times New Roman" w:hAnsi="Arial" w:cs="Arial"/>
                <w:sz w:val="20"/>
                <w:szCs w:val="20"/>
                <w:lang w:eastAsia="es-MX"/>
              </w:rPr>
              <w:t xml:space="preserve">”, aunado a que resulta </w:t>
            </w:r>
            <w:r w:rsidRPr="00F32542">
              <w:rPr>
                <w:rFonts w:ascii="Arial" w:eastAsia="Times New Roman" w:hAnsi="Arial" w:cs="Arial"/>
                <w:b/>
                <w:sz w:val="20"/>
                <w:szCs w:val="20"/>
                <w:lang w:eastAsia="es-MX"/>
              </w:rPr>
              <w:t>extemporáneo</w:t>
            </w:r>
            <w:r w:rsidRPr="00F32542">
              <w:rPr>
                <w:rFonts w:ascii="Arial" w:eastAsia="Times New Roman" w:hAnsi="Arial" w:cs="Arial"/>
                <w:sz w:val="20"/>
                <w:szCs w:val="20"/>
                <w:lang w:eastAsia="es-MX"/>
              </w:rPr>
              <w:t xml:space="preserve"> el mismo, ya que la actora no presentó la impugnación a los cuatro días de la emisión del acuerdo, lo que constituye un </w:t>
            </w:r>
            <w:r w:rsidRPr="00F32542">
              <w:rPr>
                <w:rFonts w:ascii="Arial" w:eastAsia="Times New Roman" w:hAnsi="Arial" w:cs="Arial"/>
                <w:b/>
                <w:sz w:val="20"/>
                <w:szCs w:val="20"/>
                <w:lang w:eastAsia="es-MX"/>
              </w:rPr>
              <w:t>acto consentido</w:t>
            </w:r>
            <w:r w:rsidRPr="00F32542">
              <w:rPr>
                <w:rFonts w:ascii="Arial" w:eastAsia="Times New Roman" w:hAnsi="Arial" w:cs="Arial"/>
                <w:sz w:val="20"/>
                <w:szCs w:val="20"/>
                <w:lang w:eastAsia="es-MX"/>
              </w:rPr>
              <w:t>.</w:t>
            </w:r>
          </w:p>
        </w:tc>
      </w:tr>
      <w:tr w:rsidR="00BF19FC" w:rsidRPr="00F32542" w14:paraId="468CFD91" w14:textId="77777777" w:rsidTr="00BF19FC">
        <w:trPr>
          <w:jc w:val="center"/>
        </w:trPr>
        <w:tc>
          <w:tcPr>
            <w:tcW w:w="769" w:type="dxa"/>
            <w:vAlign w:val="center"/>
          </w:tcPr>
          <w:p w14:paraId="5BAD83DD"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9</w:t>
            </w:r>
          </w:p>
        </w:tc>
        <w:tc>
          <w:tcPr>
            <w:tcW w:w="1607" w:type="dxa"/>
            <w:vAlign w:val="center"/>
          </w:tcPr>
          <w:p w14:paraId="2AA8A335"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TECDMX-</w:t>
            </w:r>
            <w:r w:rsidRPr="00F32542">
              <w:rPr>
                <w:rFonts w:ascii="Arial" w:eastAsia="Times New Roman" w:hAnsi="Arial" w:cs="Arial"/>
                <w:b/>
                <w:bCs/>
                <w:sz w:val="20"/>
                <w:szCs w:val="20"/>
                <w:lang w:eastAsia="es-MX"/>
              </w:rPr>
              <w:t>JLDC-093/2021</w:t>
            </w:r>
          </w:p>
        </w:tc>
        <w:tc>
          <w:tcPr>
            <w:tcW w:w="2442" w:type="dxa"/>
            <w:vAlign w:val="center"/>
          </w:tcPr>
          <w:p w14:paraId="2289EDA4"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No se hizo valer</w:t>
            </w:r>
          </w:p>
        </w:tc>
        <w:tc>
          <w:tcPr>
            <w:tcW w:w="3444" w:type="dxa"/>
            <w:vAlign w:val="center"/>
          </w:tcPr>
          <w:p w14:paraId="206E67B3"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N/A</w:t>
            </w:r>
          </w:p>
        </w:tc>
      </w:tr>
      <w:tr w:rsidR="00BF19FC" w:rsidRPr="00F32542" w14:paraId="3FE146B6" w14:textId="77777777" w:rsidTr="00BF19FC">
        <w:trPr>
          <w:jc w:val="center"/>
        </w:trPr>
        <w:tc>
          <w:tcPr>
            <w:tcW w:w="769" w:type="dxa"/>
            <w:vAlign w:val="center"/>
          </w:tcPr>
          <w:p w14:paraId="29E87EB7"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lastRenderedPageBreak/>
              <w:t>10</w:t>
            </w:r>
          </w:p>
        </w:tc>
        <w:tc>
          <w:tcPr>
            <w:tcW w:w="1607" w:type="dxa"/>
            <w:vAlign w:val="center"/>
          </w:tcPr>
          <w:p w14:paraId="5752008E"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bookmarkStart w:id="26" w:name="_Hlk78495016"/>
            <w:r w:rsidRPr="00F32542">
              <w:rPr>
                <w:rFonts w:ascii="Arial" w:eastAsia="Times New Roman" w:hAnsi="Arial" w:cs="Arial"/>
                <w:b/>
                <w:sz w:val="20"/>
                <w:szCs w:val="20"/>
                <w:lang w:eastAsia="es-MX"/>
              </w:rPr>
              <w:t>TECDMX-</w:t>
            </w:r>
            <w:r w:rsidRPr="00F32542">
              <w:rPr>
                <w:rFonts w:ascii="Arial" w:eastAsia="Times New Roman" w:hAnsi="Arial" w:cs="Arial"/>
                <w:b/>
                <w:bCs/>
                <w:sz w:val="20"/>
                <w:szCs w:val="20"/>
                <w:lang w:eastAsia="es-MX"/>
              </w:rPr>
              <w:t>JLDC-094/2021</w:t>
            </w:r>
            <w:bookmarkEnd w:id="26"/>
          </w:p>
        </w:tc>
        <w:tc>
          <w:tcPr>
            <w:tcW w:w="2442" w:type="dxa"/>
            <w:vAlign w:val="center"/>
          </w:tcPr>
          <w:p w14:paraId="7FEC2BC3"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Parte tercera interesada</w:t>
            </w:r>
          </w:p>
          <w:p w14:paraId="2257D26D"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 xml:space="preserve">Manuel </w:t>
            </w:r>
            <w:proofErr w:type="spellStart"/>
            <w:r w:rsidRPr="00F32542">
              <w:rPr>
                <w:rFonts w:ascii="Arial" w:eastAsia="Times New Roman" w:hAnsi="Arial" w:cs="Arial"/>
                <w:sz w:val="20"/>
                <w:szCs w:val="20"/>
                <w:lang w:eastAsia="es-MX"/>
              </w:rPr>
              <w:t>Talayero</w:t>
            </w:r>
            <w:proofErr w:type="spellEnd"/>
            <w:r w:rsidRPr="00F32542">
              <w:rPr>
                <w:rFonts w:ascii="Arial" w:eastAsia="Times New Roman" w:hAnsi="Arial" w:cs="Arial"/>
                <w:sz w:val="20"/>
                <w:szCs w:val="20"/>
                <w:lang w:eastAsia="es-MX"/>
              </w:rPr>
              <w:t xml:space="preserve"> Pariente</w:t>
            </w:r>
          </w:p>
        </w:tc>
        <w:tc>
          <w:tcPr>
            <w:tcW w:w="3444" w:type="dxa"/>
            <w:vAlign w:val="center"/>
          </w:tcPr>
          <w:p w14:paraId="1E30595F" w14:textId="77777777" w:rsidR="00BF19FC" w:rsidRPr="00F32542" w:rsidRDefault="00BF19FC" w:rsidP="00BF19FC">
            <w:pPr>
              <w:spacing w:after="0" w:line="240" w:lineRule="auto"/>
              <w:ind w:right="51"/>
              <w:jc w:val="both"/>
              <w:rPr>
                <w:rFonts w:ascii="Arial" w:eastAsia="Times New Roman" w:hAnsi="Arial" w:cs="Arial"/>
                <w:sz w:val="20"/>
                <w:szCs w:val="20"/>
                <w:lang w:eastAsia="es-MX"/>
              </w:rPr>
            </w:pPr>
            <w:r w:rsidRPr="00F32542">
              <w:rPr>
                <w:rFonts w:ascii="Arial" w:eastAsia="Times New Roman" w:hAnsi="Arial" w:cs="Arial"/>
                <w:sz w:val="20"/>
                <w:szCs w:val="20"/>
                <w:lang w:eastAsia="es-MX"/>
              </w:rPr>
              <w:t xml:space="preserve">Solicita el desechamiento del juicio ya que, a su consideración el juicio de la ciudadanía </w:t>
            </w:r>
            <w:r w:rsidRPr="00F32542">
              <w:rPr>
                <w:rFonts w:ascii="Arial" w:eastAsia="Times New Roman" w:hAnsi="Arial" w:cs="Arial"/>
                <w:b/>
                <w:bCs/>
                <w:sz w:val="20"/>
                <w:szCs w:val="20"/>
                <w:lang w:eastAsia="es-MX"/>
              </w:rPr>
              <w:t>no es la vía idónea</w:t>
            </w:r>
            <w:r w:rsidRPr="00F32542">
              <w:rPr>
                <w:rFonts w:ascii="Arial" w:eastAsia="Times New Roman" w:hAnsi="Arial" w:cs="Arial"/>
                <w:sz w:val="20"/>
                <w:szCs w:val="20"/>
                <w:lang w:eastAsia="es-MX"/>
              </w:rPr>
              <w:t xml:space="preserve"> para impugnar el Acuerdo de asignación de diputaciones, la </w:t>
            </w:r>
            <w:r w:rsidRPr="00F32542">
              <w:rPr>
                <w:rFonts w:ascii="Arial" w:eastAsia="Times New Roman" w:hAnsi="Arial" w:cs="Arial"/>
                <w:b/>
                <w:bCs/>
                <w:sz w:val="20"/>
                <w:szCs w:val="20"/>
                <w:lang w:eastAsia="es-MX"/>
              </w:rPr>
              <w:t>falta de legitimidad</w:t>
            </w:r>
            <w:r w:rsidRPr="00F32542">
              <w:rPr>
                <w:rFonts w:ascii="Arial" w:eastAsia="Times New Roman" w:hAnsi="Arial" w:cs="Arial"/>
                <w:sz w:val="20"/>
                <w:szCs w:val="20"/>
                <w:lang w:eastAsia="es-MX"/>
              </w:rPr>
              <w:t xml:space="preserve"> para impugnar aunado a que la demanda es </w:t>
            </w:r>
            <w:r w:rsidRPr="00F32542">
              <w:rPr>
                <w:rFonts w:ascii="Arial" w:eastAsia="Times New Roman" w:hAnsi="Arial" w:cs="Arial"/>
                <w:b/>
                <w:bCs/>
                <w:sz w:val="20"/>
                <w:szCs w:val="20"/>
                <w:lang w:eastAsia="es-MX"/>
              </w:rPr>
              <w:t>frívola</w:t>
            </w:r>
            <w:r w:rsidRPr="00F32542">
              <w:rPr>
                <w:rFonts w:ascii="Arial" w:eastAsia="Times New Roman" w:hAnsi="Arial" w:cs="Arial"/>
                <w:sz w:val="20"/>
                <w:szCs w:val="20"/>
                <w:lang w:eastAsia="es-MX"/>
              </w:rPr>
              <w:t xml:space="preserve">, </w:t>
            </w:r>
            <w:proofErr w:type="gramStart"/>
            <w:r w:rsidRPr="00F32542">
              <w:rPr>
                <w:rFonts w:ascii="Arial" w:eastAsia="Times New Roman" w:hAnsi="Arial" w:cs="Arial"/>
                <w:sz w:val="20"/>
                <w:szCs w:val="20"/>
                <w:lang w:eastAsia="es-MX"/>
              </w:rPr>
              <w:t>de acuerdo al</w:t>
            </w:r>
            <w:proofErr w:type="gramEnd"/>
            <w:r w:rsidRPr="00F32542">
              <w:rPr>
                <w:rFonts w:ascii="Arial" w:eastAsia="Times New Roman" w:hAnsi="Arial" w:cs="Arial"/>
                <w:sz w:val="20"/>
                <w:szCs w:val="20"/>
                <w:lang w:eastAsia="es-MX"/>
              </w:rPr>
              <w:t xml:space="preserve"> segundo punto petitorio.</w:t>
            </w:r>
          </w:p>
        </w:tc>
      </w:tr>
      <w:tr w:rsidR="00BF19FC" w:rsidRPr="00F32542" w14:paraId="11B8A214" w14:textId="77777777" w:rsidTr="00BF19FC">
        <w:trPr>
          <w:jc w:val="center"/>
        </w:trPr>
        <w:tc>
          <w:tcPr>
            <w:tcW w:w="769" w:type="dxa"/>
            <w:vAlign w:val="center"/>
          </w:tcPr>
          <w:p w14:paraId="40628C9C"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11</w:t>
            </w:r>
          </w:p>
        </w:tc>
        <w:tc>
          <w:tcPr>
            <w:tcW w:w="1607" w:type="dxa"/>
            <w:vAlign w:val="center"/>
          </w:tcPr>
          <w:p w14:paraId="1FB90402"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TECDMX-</w:t>
            </w:r>
            <w:r w:rsidRPr="00F32542">
              <w:rPr>
                <w:rFonts w:ascii="Arial" w:eastAsia="Times New Roman" w:hAnsi="Arial" w:cs="Arial"/>
                <w:b/>
                <w:bCs/>
                <w:sz w:val="20"/>
                <w:szCs w:val="20"/>
                <w:lang w:eastAsia="es-MX"/>
              </w:rPr>
              <w:t>JLDC-095/2021</w:t>
            </w:r>
          </w:p>
        </w:tc>
        <w:tc>
          <w:tcPr>
            <w:tcW w:w="2442" w:type="dxa"/>
            <w:vAlign w:val="center"/>
          </w:tcPr>
          <w:p w14:paraId="17DB7135"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No se hizo valer</w:t>
            </w:r>
          </w:p>
        </w:tc>
        <w:tc>
          <w:tcPr>
            <w:tcW w:w="3444" w:type="dxa"/>
            <w:vAlign w:val="center"/>
          </w:tcPr>
          <w:p w14:paraId="5892C5BC"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N/A</w:t>
            </w:r>
          </w:p>
        </w:tc>
      </w:tr>
      <w:tr w:rsidR="00BF19FC" w:rsidRPr="00F32542" w14:paraId="29A026CA" w14:textId="77777777" w:rsidTr="00BF19FC">
        <w:trPr>
          <w:jc w:val="center"/>
        </w:trPr>
        <w:tc>
          <w:tcPr>
            <w:tcW w:w="769" w:type="dxa"/>
            <w:vAlign w:val="center"/>
          </w:tcPr>
          <w:p w14:paraId="732E9881"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12</w:t>
            </w:r>
          </w:p>
        </w:tc>
        <w:tc>
          <w:tcPr>
            <w:tcW w:w="1607" w:type="dxa"/>
            <w:vAlign w:val="center"/>
          </w:tcPr>
          <w:p w14:paraId="5D9D7264"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TECDMX-</w:t>
            </w:r>
            <w:r w:rsidRPr="00F32542">
              <w:rPr>
                <w:rFonts w:ascii="Arial" w:eastAsia="Times New Roman" w:hAnsi="Arial" w:cs="Arial"/>
                <w:b/>
                <w:bCs/>
                <w:sz w:val="20"/>
                <w:szCs w:val="20"/>
                <w:lang w:eastAsia="es-MX"/>
              </w:rPr>
              <w:t>JLDC-096/2021</w:t>
            </w:r>
          </w:p>
        </w:tc>
        <w:tc>
          <w:tcPr>
            <w:tcW w:w="2442" w:type="dxa"/>
            <w:vAlign w:val="center"/>
          </w:tcPr>
          <w:p w14:paraId="7C3A44F6"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No se hizo valer</w:t>
            </w:r>
          </w:p>
        </w:tc>
        <w:tc>
          <w:tcPr>
            <w:tcW w:w="3444" w:type="dxa"/>
            <w:vAlign w:val="center"/>
          </w:tcPr>
          <w:p w14:paraId="62747B04"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N/A</w:t>
            </w:r>
          </w:p>
        </w:tc>
      </w:tr>
      <w:tr w:rsidR="00BF19FC" w:rsidRPr="00F32542" w14:paraId="37EEBC5F" w14:textId="77777777" w:rsidTr="00BF19FC">
        <w:trPr>
          <w:jc w:val="center"/>
        </w:trPr>
        <w:tc>
          <w:tcPr>
            <w:tcW w:w="769" w:type="dxa"/>
            <w:vAlign w:val="center"/>
          </w:tcPr>
          <w:p w14:paraId="7FFCE128"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13</w:t>
            </w:r>
          </w:p>
        </w:tc>
        <w:tc>
          <w:tcPr>
            <w:tcW w:w="1607" w:type="dxa"/>
            <w:vAlign w:val="center"/>
          </w:tcPr>
          <w:p w14:paraId="2356AA34"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TECDMX-</w:t>
            </w:r>
            <w:r w:rsidRPr="00F32542">
              <w:rPr>
                <w:rFonts w:ascii="Arial" w:eastAsia="Times New Roman" w:hAnsi="Arial" w:cs="Arial"/>
                <w:b/>
                <w:bCs/>
                <w:sz w:val="20"/>
                <w:szCs w:val="20"/>
                <w:lang w:eastAsia="es-MX"/>
              </w:rPr>
              <w:t>JLDC-097/2021</w:t>
            </w:r>
          </w:p>
        </w:tc>
        <w:tc>
          <w:tcPr>
            <w:tcW w:w="2442" w:type="dxa"/>
            <w:vAlign w:val="center"/>
          </w:tcPr>
          <w:p w14:paraId="4ECC4B4E"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Partes Terceras Interesadas</w:t>
            </w:r>
          </w:p>
          <w:p w14:paraId="0E71D4F1"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Víctor Hugo Lobo Román</w:t>
            </w:r>
          </w:p>
          <w:p w14:paraId="4002E0B7"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proofErr w:type="spellStart"/>
            <w:r w:rsidRPr="00F32542">
              <w:rPr>
                <w:rFonts w:ascii="Arial" w:eastAsia="Times New Roman" w:hAnsi="Arial" w:cs="Arial"/>
                <w:sz w:val="20"/>
                <w:szCs w:val="20"/>
                <w:lang w:eastAsia="es-MX"/>
              </w:rPr>
              <w:t>Janecarlo</w:t>
            </w:r>
            <w:proofErr w:type="spellEnd"/>
            <w:r w:rsidRPr="00F32542">
              <w:rPr>
                <w:rFonts w:ascii="Arial" w:eastAsia="Times New Roman" w:hAnsi="Arial" w:cs="Arial"/>
                <w:sz w:val="20"/>
                <w:szCs w:val="20"/>
                <w:lang w:eastAsia="es-MX"/>
              </w:rPr>
              <w:t xml:space="preserve"> Lozano Reynoso</w:t>
            </w:r>
          </w:p>
        </w:tc>
        <w:tc>
          <w:tcPr>
            <w:tcW w:w="3444" w:type="dxa"/>
            <w:vAlign w:val="center"/>
          </w:tcPr>
          <w:p w14:paraId="4973AB0A" w14:textId="77777777" w:rsidR="00BF19FC" w:rsidRPr="00F32542" w:rsidRDefault="00BF19FC" w:rsidP="00BF19FC">
            <w:pPr>
              <w:spacing w:after="0" w:line="240" w:lineRule="auto"/>
              <w:ind w:right="51"/>
              <w:jc w:val="both"/>
              <w:rPr>
                <w:rFonts w:ascii="Arial" w:eastAsia="Times New Roman" w:hAnsi="Arial" w:cs="Arial"/>
                <w:b/>
                <w:bCs/>
                <w:sz w:val="20"/>
                <w:szCs w:val="20"/>
                <w:lang w:eastAsia="es-MX"/>
              </w:rPr>
            </w:pPr>
            <w:r w:rsidRPr="00F32542">
              <w:rPr>
                <w:rFonts w:ascii="Arial" w:eastAsia="Times New Roman" w:hAnsi="Arial" w:cs="Arial"/>
                <w:sz w:val="20"/>
                <w:szCs w:val="20"/>
                <w:lang w:eastAsia="es-MX"/>
              </w:rPr>
              <w:t xml:space="preserve">Argumentan que la parte actora </w:t>
            </w:r>
            <w:r w:rsidRPr="00F32542">
              <w:rPr>
                <w:rFonts w:ascii="Arial" w:eastAsia="Times New Roman" w:hAnsi="Arial" w:cs="Arial"/>
                <w:b/>
                <w:sz w:val="20"/>
                <w:szCs w:val="20"/>
                <w:lang w:eastAsia="es-MX"/>
              </w:rPr>
              <w:t>carece de interés jurídico</w:t>
            </w:r>
            <w:r w:rsidRPr="00F32542">
              <w:rPr>
                <w:rFonts w:ascii="Arial" w:eastAsia="Times New Roman" w:hAnsi="Arial" w:cs="Arial"/>
                <w:sz w:val="20"/>
                <w:szCs w:val="20"/>
                <w:lang w:eastAsia="es-MX"/>
              </w:rPr>
              <w:t xml:space="preserve"> para interponer el juicio. Ello porque alega presuntas violaciones “</w:t>
            </w:r>
            <w:r w:rsidRPr="00F32542">
              <w:rPr>
                <w:rFonts w:ascii="Arial" w:eastAsia="Times New Roman" w:hAnsi="Arial" w:cs="Arial"/>
                <w:b/>
                <w:bCs/>
                <w:i/>
                <w:iCs/>
                <w:sz w:val="20"/>
                <w:szCs w:val="20"/>
                <w:lang w:eastAsia="es-MX"/>
              </w:rPr>
              <w:t>en representación</w:t>
            </w:r>
            <w:r w:rsidRPr="00F32542">
              <w:rPr>
                <w:rFonts w:ascii="Arial" w:eastAsia="Times New Roman" w:hAnsi="Arial" w:cs="Arial"/>
                <w:i/>
                <w:iCs/>
                <w:sz w:val="20"/>
                <w:szCs w:val="20"/>
                <w:lang w:eastAsia="es-MX"/>
              </w:rPr>
              <w:t xml:space="preserve"> de un grupo que se encuentra en desventaja</w:t>
            </w:r>
            <w:r w:rsidRPr="00F32542">
              <w:rPr>
                <w:rFonts w:ascii="Arial" w:eastAsia="Times New Roman" w:hAnsi="Arial" w:cs="Arial"/>
                <w:sz w:val="20"/>
                <w:szCs w:val="20"/>
                <w:lang w:eastAsia="es-MX"/>
              </w:rPr>
              <w:t xml:space="preserve">”, a saber, las </w:t>
            </w:r>
            <w:r w:rsidRPr="00F32542">
              <w:rPr>
                <w:rFonts w:ascii="Arial" w:eastAsia="Times New Roman" w:hAnsi="Arial" w:cs="Arial"/>
                <w:b/>
                <w:bCs/>
                <w:sz w:val="20"/>
                <w:szCs w:val="20"/>
                <w:lang w:eastAsia="es-MX"/>
              </w:rPr>
              <w:t>mujeres</w:t>
            </w:r>
            <w:r w:rsidRPr="00F32542">
              <w:rPr>
                <w:rFonts w:ascii="Arial" w:eastAsia="Times New Roman" w:hAnsi="Arial" w:cs="Arial"/>
                <w:sz w:val="20"/>
                <w:szCs w:val="20"/>
                <w:lang w:eastAsia="es-MX"/>
              </w:rPr>
              <w:t xml:space="preserve">, siendo que </w:t>
            </w:r>
            <w:r w:rsidRPr="00F32542">
              <w:rPr>
                <w:rFonts w:ascii="Arial" w:eastAsia="Times New Roman" w:hAnsi="Arial" w:cs="Arial"/>
                <w:b/>
                <w:bCs/>
                <w:sz w:val="20"/>
                <w:szCs w:val="20"/>
                <w:lang w:eastAsia="es-MX"/>
              </w:rPr>
              <w:t>él no pertenece a dicho grupo.</w:t>
            </w:r>
          </w:p>
          <w:p w14:paraId="7575814F" w14:textId="77777777" w:rsidR="00BF19FC" w:rsidRPr="00F32542" w:rsidRDefault="00BF19FC" w:rsidP="00BF19FC">
            <w:pPr>
              <w:spacing w:after="0" w:line="240" w:lineRule="auto"/>
              <w:ind w:right="51"/>
              <w:jc w:val="both"/>
              <w:rPr>
                <w:rFonts w:ascii="Arial" w:eastAsia="Times New Roman" w:hAnsi="Arial" w:cs="Arial"/>
                <w:sz w:val="20"/>
                <w:szCs w:val="20"/>
                <w:lang w:eastAsia="es-MX"/>
              </w:rPr>
            </w:pPr>
            <w:r w:rsidRPr="00F32542">
              <w:rPr>
                <w:rFonts w:ascii="Arial" w:eastAsia="Times New Roman" w:hAnsi="Arial" w:cs="Arial"/>
                <w:sz w:val="20"/>
                <w:szCs w:val="20"/>
                <w:lang w:eastAsia="es-MX"/>
              </w:rPr>
              <w:t>Asimismo, señalan que la impugnación del Acuerdo de asignación de diputaciones por representación proporcional es improcedente con base en la tesis VI/98 de rubro: “</w:t>
            </w:r>
            <w:r w:rsidRPr="00F32542">
              <w:rPr>
                <w:rFonts w:ascii="Arial" w:eastAsia="Times New Roman" w:hAnsi="Arial" w:cs="Arial"/>
                <w:i/>
                <w:sz w:val="20"/>
                <w:szCs w:val="20"/>
                <w:lang w:eastAsia="es-MX"/>
              </w:rPr>
              <w:t>CONSENTIMIENTO COMO CAUSA DE IMPROCEDENCIA. NO SE ACTUALIZA POR FALTA DE IMPUGNACIÓN DE ACTOS ANTERIORES APOYADOS EN LOS MISMOS</w:t>
            </w:r>
            <w:r w:rsidRPr="00F32542">
              <w:rPr>
                <w:rFonts w:ascii="Arial" w:eastAsia="Times New Roman" w:hAnsi="Arial" w:cs="Arial"/>
                <w:sz w:val="20"/>
                <w:szCs w:val="20"/>
                <w:lang w:eastAsia="es-MX"/>
              </w:rPr>
              <w:t xml:space="preserve">”. Ello, porque el actor se inconforma a partir del registro de las listas del </w:t>
            </w:r>
            <w:r w:rsidRPr="00F32542">
              <w:rPr>
                <w:rFonts w:ascii="Arial" w:eastAsia="Times New Roman" w:hAnsi="Arial" w:cs="Arial"/>
                <w:i/>
                <w:sz w:val="20"/>
                <w:szCs w:val="20"/>
                <w:lang w:eastAsia="es-MX"/>
              </w:rPr>
              <w:t>PRD</w:t>
            </w:r>
            <w:r w:rsidRPr="00F32542">
              <w:rPr>
                <w:rFonts w:ascii="Arial" w:eastAsia="Times New Roman" w:hAnsi="Arial" w:cs="Arial"/>
                <w:sz w:val="20"/>
                <w:szCs w:val="20"/>
                <w:lang w:eastAsia="es-MX"/>
              </w:rPr>
              <w:t xml:space="preserve"> lo cual adquirió definitividad.</w:t>
            </w:r>
          </w:p>
        </w:tc>
      </w:tr>
      <w:tr w:rsidR="00BF19FC" w:rsidRPr="00F32542" w14:paraId="549BAE49" w14:textId="77777777" w:rsidTr="00BF19FC">
        <w:trPr>
          <w:jc w:val="center"/>
        </w:trPr>
        <w:tc>
          <w:tcPr>
            <w:tcW w:w="769" w:type="dxa"/>
            <w:vAlign w:val="center"/>
          </w:tcPr>
          <w:p w14:paraId="5CBD47F9"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14</w:t>
            </w:r>
          </w:p>
        </w:tc>
        <w:tc>
          <w:tcPr>
            <w:tcW w:w="1607" w:type="dxa"/>
            <w:vAlign w:val="center"/>
          </w:tcPr>
          <w:p w14:paraId="647F15E3"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TECDMX-</w:t>
            </w:r>
            <w:r w:rsidRPr="00F32542">
              <w:rPr>
                <w:rFonts w:ascii="Arial" w:eastAsia="Times New Roman" w:hAnsi="Arial" w:cs="Arial"/>
                <w:b/>
                <w:bCs/>
                <w:sz w:val="20"/>
                <w:szCs w:val="20"/>
                <w:lang w:eastAsia="es-MX"/>
              </w:rPr>
              <w:t>JLDC-099/2021</w:t>
            </w:r>
          </w:p>
        </w:tc>
        <w:tc>
          <w:tcPr>
            <w:tcW w:w="2442" w:type="dxa"/>
            <w:vAlign w:val="center"/>
          </w:tcPr>
          <w:p w14:paraId="7A779E05"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No se hizo valer</w:t>
            </w:r>
          </w:p>
        </w:tc>
        <w:tc>
          <w:tcPr>
            <w:tcW w:w="3444" w:type="dxa"/>
            <w:vAlign w:val="center"/>
          </w:tcPr>
          <w:p w14:paraId="59F62FFC"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N/A</w:t>
            </w:r>
          </w:p>
        </w:tc>
      </w:tr>
      <w:tr w:rsidR="00BF19FC" w:rsidRPr="00F32542" w14:paraId="338E200D" w14:textId="77777777" w:rsidTr="00BF19FC">
        <w:trPr>
          <w:jc w:val="center"/>
        </w:trPr>
        <w:tc>
          <w:tcPr>
            <w:tcW w:w="769" w:type="dxa"/>
            <w:vAlign w:val="center"/>
          </w:tcPr>
          <w:p w14:paraId="737A1B41"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15</w:t>
            </w:r>
          </w:p>
        </w:tc>
        <w:tc>
          <w:tcPr>
            <w:tcW w:w="1607" w:type="dxa"/>
            <w:vAlign w:val="center"/>
          </w:tcPr>
          <w:p w14:paraId="2E748CAB"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bookmarkStart w:id="27" w:name="_Hlk78483406"/>
            <w:r w:rsidRPr="00F32542">
              <w:rPr>
                <w:rFonts w:ascii="Arial" w:eastAsia="Times New Roman" w:hAnsi="Arial" w:cs="Arial"/>
                <w:b/>
                <w:sz w:val="20"/>
                <w:szCs w:val="20"/>
                <w:lang w:eastAsia="es-MX"/>
              </w:rPr>
              <w:t>TECDMX-</w:t>
            </w:r>
            <w:r w:rsidRPr="00F32542">
              <w:rPr>
                <w:rFonts w:ascii="Arial" w:eastAsia="Times New Roman" w:hAnsi="Arial" w:cs="Arial"/>
                <w:b/>
                <w:bCs/>
                <w:sz w:val="20"/>
                <w:szCs w:val="20"/>
                <w:lang w:eastAsia="es-MX"/>
              </w:rPr>
              <w:t>JLDC-100/2021</w:t>
            </w:r>
            <w:bookmarkEnd w:id="27"/>
          </w:p>
        </w:tc>
        <w:tc>
          <w:tcPr>
            <w:tcW w:w="2442" w:type="dxa"/>
            <w:vAlign w:val="center"/>
          </w:tcPr>
          <w:p w14:paraId="48453FEE"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Partes terceras interesadas</w:t>
            </w:r>
          </w:p>
          <w:p w14:paraId="23B27610"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Frida Jimena Guillen Ortiz</w:t>
            </w:r>
          </w:p>
        </w:tc>
        <w:tc>
          <w:tcPr>
            <w:tcW w:w="3444" w:type="dxa"/>
            <w:vAlign w:val="center"/>
          </w:tcPr>
          <w:p w14:paraId="10680D2C" w14:textId="77777777" w:rsidR="00BF19FC" w:rsidRPr="00F32542" w:rsidRDefault="00BF19FC" w:rsidP="00BF19FC">
            <w:pPr>
              <w:spacing w:after="0" w:line="240" w:lineRule="auto"/>
              <w:ind w:right="51"/>
              <w:jc w:val="both"/>
              <w:rPr>
                <w:rFonts w:ascii="Arial" w:eastAsia="Times New Roman" w:hAnsi="Arial" w:cs="Arial"/>
                <w:sz w:val="20"/>
                <w:szCs w:val="20"/>
                <w:lang w:eastAsia="es-MX"/>
              </w:rPr>
            </w:pPr>
            <w:r w:rsidRPr="00F32542">
              <w:rPr>
                <w:rFonts w:ascii="Arial" w:eastAsia="Times New Roman" w:hAnsi="Arial" w:cs="Arial"/>
                <w:sz w:val="20"/>
                <w:szCs w:val="20"/>
                <w:lang w:eastAsia="es-MX"/>
              </w:rPr>
              <w:t xml:space="preserve">La demanda debe desecharse al ser </w:t>
            </w:r>
            <w:r w:rsidRPr="00F32542">
              <w:rPr>
                <w:rFonts w:ascii="Arial" w:eastAsia="Times New Roman" w:hAnsi="Arial" w:cs="Arial"/>
                <w:b/>
                <w:sz w:val="20"/>
                <w:szCs w:val="20"/>
                <w:lang w:eastAsia="es-MX"/>
              </w:rPr>
              <w:t>extemporánea</w:t>
            </w:r>
            <w:r w:rsidRPr="00F32542">
              <w:rPr>
                <w:rFonts w:ascii="Arial" w:eastAsia="Times New Roman" w:hAnsi="Arial" w:cs="Arial"/>
                <w:sz w:val="20"/>
                <w:szCs w:val="20"/>
                <w:lang w:eastAsia="es-MX"/>
              </w:rPr>
              <w:t xml:space="preserve"> respecto a la impugnación de los Lineamientos para la asignación de diputaciones por el principio de representación proporcional –aprobados en diciembre del año pasado–, así como el registro de las listas de candidaturas respectivas –lo cual aconteció el tres abril–.</w:t>
            </w:r>
          </w:p>
          <w:p w14:paraId="02CDFDCC" w14:textId="77777777" w:rsidR="00BF19FC" w:rsidRPr="00F32542" w:rsidRDefault="00BF19FC" w:rsidP="00BF19FC">
            <w:pPr>
              <w:spacing w:after="0" w:line="240" w:lineRule="auto"/>
              <w:ind w:right="51"/>
              <w:jc w:val="both"/>
              <w:rPr>
                <w:rFonts w:ascii="Arial" w:eastAsia="Times New Roman" w:hAnsi="Arial" w:cs="Arial"/>
                <w:sz w:val="20"/>
                <w:szCs w:val="20"/>
                <w:lang w:eastAsia="es-MX"/>
              </w:rPr>
            </w:pPr>
            <w:r w:rsidRPr="00F32542">
              <w:rPr>
                <w:rFonts w:ascii="Arial" w:eastAsia="Times New Roman" w:hAnsi="Arial" w:cs="Arial"/>
                <w:sz w:val="20"/>
                <w:szCs w:val="20"/>
                <w:lang w:eastAsia="es-MX"/>
              </w:rPr>
              <w:t xml:space="preserve">Por otra parte, se actualiza la eficacia refleja de la </w:t>
            </w:r>
            <w:r w:rsidRPr="00F32542">
              <w:rPr>
                <w:rFonts w:ascii="Arial" w:eastAsia="Times New Roman" w:hAnsi="Arial" w:cs="Arial"/>
                <w:b/>
                <w:sz w:val="20"/>
                <w:szCs w:val="20"/>
                <w:lang w:eastAsia="es-MX"/>
              </w:rPr>
              <w:t>cosa juzgada</w:t>
            </w:r>
            <w:r w:rsidRPr="00F32542">
              <w:rPr>
                <w:rFonts w:ascii="Arial" w:eastAsia="Times New Roman" w:hAnsi="Arial" w:cs="Arial"/>
                <w:sz w:val="20"/>
                <w:szCs w:val="20"/>
                <w:lang w:eastAsia="es-MX"/>
              </w:rPr>
              <w:t xml:space="preserve"> ya que en el diverso juicio TECDMX-JEL-416/2020 y acumulados el Tribunal Electoral se pronunció sobre la facultad reglamentaria del </w:t>
            </w:r>
            <w:r w:rsidRPr="00F32542">
              <w:rPr>
                <w:rFonts w:ascii="Arial" w:eastAsia="Times New Roman" w:hAnsi="Arial" w:cs="Arial"/>
                <w:i/>
                <w:sz w:val="20"/>
                <w:szCs w:val="20"/>
                <w:lang w:eastAsia="es-MX"/>
              </w:rPr>
              <w:t>IECM</w:t>
            </w:r>
            <w:r w:rsidRPr="00F32542">
              <w:rPr>
                <w:rFonts w:ascii="Arial" w:eastAsia="Times New Roman" w:hAnsi="Arial" w:cs="Arial"/>
                <w:sz w:val="20"/>
                <w:szCs w:val="20"/>
                <w:lang w:eastAsia="es-MX"/>
              </w:rPr>
              <w:t xml:space="preserve"> por cuanto </w:t>
            </w:r>
            <w:r w:rsidRPr="00F32542">
              <w:rPr>
                <w:rFonts w:ascii="Arial" w:eastAsia="Times New Roman" w:hAnsi="Arial" w:cs="Arial"/>
                <w:sz w:val="20"/>
                <w:szCs w:val="20"/>
                <w:lang w:eastAsia="es-MX"/>
              </w:rPr>
              <w:lastRenderedPageBreak/>
              <w:t>hace, entre otras cuestiones, a la figura de diputación migrante, paridad de género y representación proporcional previstas en los citados Lineamientos.</w:t>
            </w:r>
          </w:p>
        </w:tc>
      </w:tr>
      <w:tr w:rsidR="00BF19FC" w:rsidRPr="00F32542" w14:paraId="35B98C0E" w14:textId="77777777" w:rsidTr="00BF19FC">
        <w:trPr>
          <w:jc w:val="center"/>
        </w:trPr>
        <w:tc>
          <w:tcPr>
            <w:tcW w:w="769" w:type="dxa"/>
            <w:vAlign w:val="center"/>
          </w:tcPr>
          <w:p w14:paraId="6E705B41"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lastRenderedPageBreak/>
              <w:t>16</w:t>
            </w:r>
          </w:p>
        </w:tc>
        <w:tc>
          <w:tcPr>
            <w:tcW w:w="1607" w:type="dxa"/>
            <w:vAlign w:val="center"/>
          </w:tcPr>
          <w:p w14:paraId="6769B6DC"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TECDMX-</w:t>
            </w:r>
            <w:r w:rsidRPr="00F32542">
              <w:rPr>
                <w:rFonts w:ascii="Arial" w:eastAsia="Times New Roman" w:hAnsi="Arial" w:cs="Arial"/>
                <w:b/>
                <w:bCs/>
                <w:sz w:val="20"/>
                <w:szCs w:val="20"/>
                <w:lang w:eastAsia="es-MX"/>
              </w:rPr>
              <w:t>JLDC-101/2021</w:t>
            </w:r>
          </w:p>
        </w:tc>
        <w:tc>
          <w:tcPr>
            <w:tcW w:w="2442" w:type="dxa"/>
            <w:vAlign w:val="center"/>
          </w:tcPr>
          <w:p w14:paraId="5D9905A3"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No se hizo valer</w:t>
            </w:r>
          </w:p>
        </w:tc>
        <w:tc>
          <w:tcPr>
            <w:tcW w:w="3444" w:type="dxa"/>
            <w:vAlign w:val="center"/>
          </w:tcPr>
          <w:p w14:paraId="527A37BF"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N/A</w:t>
            </w:r>
          </w:p>
        </w:tc>
      </w:tr>
      <w:tr w:rsidR="00BF19FC" w:rsidRPr="00F32542" w14:paraId="17473308" w14:textId="77777777" w:rsidTr="00BF19FC">
        <w:trPr>
          <w:jc w:val="center"/>
        </w:trPr>
        <w:tc>
          <w:tcPr>
            <w:tcW w:w="769" w:type="dxa"/>
            <w:vAlign w:val="center"/>
          </w:tcPr>
          <w:p w14:paraId="2A3EBD9E"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17</w:t>
            </w:r>
          </w:p>
        </w:tc>
        <w:tc>
          <w:tcPr>
            <w:tcW w:w="1607" w:type="dxa"/>
            <w:vAlign w:val="center"/>
          </w:tcPr>
          <w:p w14:paraId="43FD29A5"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TECDMX-</w:t>
            </w:r>
            <w:r w:rsidRPr="00F32542">
              <w:rPr>
                <w:rFonts w:ascii="Arial" w:eastAsia="Times New Roman" w:hAnsi="Arial" w:cs="Arial"/>
                <w:b/>
                <w:bCs/>
                <w:sz w:val="20"/>
                <w:szCs w:val="20"/>
                <w:lang w:eastAsia="es-MX"/>
              </w:rPr>
              <w:t>JLDC-102/2021</w:t>
            </w:r>
          </w:p>
        </w:tc>
        <w:tc>
          <w:tcPr>
            <w:tcW w:w="2442" w:type="dxa"/>
            <w:vAlign w:val="center"/>
          </w:tcPr>
          <w:p w14:paraId="62337136"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Parte tercera interesada</w:t>
            </w:r>
          </w:p>
          <w:p w14:paraId="6A8B0F63"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Lucia Alejandra Puente García</w:t>
            </w:r>
          </w:p>
        </w:tc>
        <w:tc>
          <w:tcPr>
            <w:tcW w:w="3444" w:type="dxa"/>
            <w:vAlign w:val="center"/>
          </w:tcPr>
          <w:p w14:paraId="73DA42F2" w14:textId="77777777" w:rsidR="00BF19FC" w:rsidRPr="00F32542" w:rsidRDefault="00BF19FC" w:rsidP="00BF19FC">
            <w:pPr>
              <w:spacing w:after="0" w:line="240" w:lineRule="auto"/>
              <w:ind w:right="51"/>
              <w:jc w:val="both"/>
              <w:rPr>
                <w:rFonts w:ascii="Arial" w:eastAsia="Times New Roman" w:hAnsi="Arial" w:cs="Arial"/>
                <w:sz w:val="20"/>
                <w:szCs w:val="20"/>
                <w:lang w:eastAsia="es-MX"/>
              </w:rPr>
            </w:pPr>
            <w:r w:rsidRPr="00F32542">
              <w:rPr>
                <w:rFonts w:ascii="Arial" w:eastAsia="Times New Roman" w:hAnsi="Arial" w:cs="Arial"/>
                <w:sz w:val="20"/>
                <w:szCs w:val="20"/>
                <w:lang w:eastAsia="es-MX"/>
              </w:rPr>
              <w:t xml:space="preserve">Señala que la demanda es extemporánea ya que el actor controvierte los </w:t>
            </w:r>
            <w:r w:rsidRPr="00F32542">
              <w:rPr>
                <w:rFonts w:ascii="Arial" w:eastAsia="Times New Roman" w:hAnsi="Arial" w:cs="Arial"/>
                <w:i/>
                <w:sz w:val="20"/>
                <w:szCs w:val="20"/>
                <w:lang w:eastAsia="es-MX"/>
              </w:rPr>
              <w:t>Lineamientos para la asignación de diputaciones por el principio de representación proporcional</w:t>
            </w:r>
            <w:r w:rsidRPr="00F32542">
              <w:rPr>
                <w:rFonts w:ascii="Arial" w:eastAsia="Times New Roman" w:hAnsi="Arial" w:cs="Arial"/>
                <w:sz w:val="20"/>
                <w:szCs w:val="20"/>
                <w:lang w:eastAsia="es-MX"/>
              </w:rPr>
              <w:t>, los cuales fueron aprobados desde diciembre del año pasado y al no hacerlo en su oportunidad se tienen por consentidos los actos.</w:t>
            </w:r>
          </w:p>
        </w:tc>
      </w:tr>
      <w:tr w:rsidR="00BF19FC" w:rsidRPr="00F32542" w14:paraId="3DD4A7FF" w14:textId="77777777" w:rsidTr="00BF19FC">
        <w:trPr>
          <w:jc w:val="center"/>
        </w:trPr>
        <w:tc>
          <w:tcPr>
            <w:tcW w:w="769" w:type="dxa"/>
            <w:vAlign w:val="center"/>
          </w:tcPr>
          <w:p w14:paraId="217D69CA"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18</w:t>
            </w:r>
          </w:p>
        </w:tc>
        <w:tc>
          <w:tcPr>
            <w:tcW w:w="1607" w:type="dxa"/>
            <w:vAlign w:val="center"/>
          </w:tcPr>
          <w:p w14:paraId="6350207B"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TECDMX-</w:t>
            </w:r>
            <w:r w:rsidRPr="00F32542">
              <w:rPr>
                <w:rFonts w:ascii="Arial" w:eastAsia="Times New Roman" w:hAnsi="Arial" w:cs="Arial"/>
                <w:b/>
                <w:bCs/>
                <w:sz w:val="20"/>
                <w:szCs w:val="20"/>
                <w:lang w:eastAsia="es-MX"/>
              </w:rPr>
              <w:t>JLDC-103/2021</w:t>
            </w:r>
          </w:p>
        </w:tc>
        <w:tc>
          <w:tcPr>
            <w:tcW w:w="2442" w:type="dxa"/>
            <w:vAlign w:val="center"/>
          </w:tcPr>
          <w:p w14:paraId="13FAEE12"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No se hizo valer</w:t>
            </w:r>
          </w:p>
        </w:tc>
        <w:tc>
          <w:tcPr>
            <w:tcW w:w="3444" w:type="dxa"/>
            <w:vAlign w:val="center"/>
          </w:tcPr>
          <w:p w14:paraId="1C8BE4C9"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N/A</w:t>
            </w:r>
          </w:p>
        </w:tc>
      </w:tr>
      <w:tr w:rsidR="00BF19FC" w:rsidRPr="00F32542" w14:paraId="4753F5EB" w14:textId="77777777" w:rsidTr="00BF19FC">
        <w:trPr>
          <w:jc w:val="center"/>
        </w:trPr>
        <w:tc>
          <w:tcPr>
            <w:tcW w:w="769" w:type="dxa"/>
            <w:vAlign w:val="center"/>
          </w:tcPr>
          <w:p w14:paraId="223DA539"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19</w:t>
            </w:r>
          </w:p>
        </w:tc>
        <w:tc>
          <w:tcPr>
            <w:tcW w:w="1607" w:type="dxa"/>
            <w:vAlign w:val="center"/>
          </w:tcPr>
          <w:p w14:paraId="31F84F67"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bookmarkStart w:id="28" w:name="_Hlk78493797"/>
            <w:r w:rsidRPr="00F32542">
              <w:rPr>
                <w:rFonts w:ascii="Arial" w:eastAsia="Times New Roman" w:hAnsi="Arial" w:cs="Arial"/>
                <w:b/>
                <w:sz w:val="20"/>
                <w:szCs w:val="20"/>
                <w:lang w:eastAsia="es-MX"/>
              </w:rPr>
              <w:t>TECDMX-</w:t>
            </w:r>
            <w:r w:rsidRPr="00F32542">
              <w:rPr>
                <w:rFonts w:ascii="Arial" w:eastAsia="Times New Roman" w:hAnsi="Arial" w:cs="Arial"/>
                <w:b/>
                <w:bCs/>
                <w:sz w:val="20"/>
                <w:szCs w:val="20"/>
                <w:lang w:eastAsia="es-MX"/>
              </w:rPr>
              <w:t>JLDC-104/2021</w:t>
            </w:r>
            <w:bookmarkEnd w:id="28"/>
          </w:p>
        </w:tc>
        <w:tc>
          <w:tcPr>
            <w:tcW w:w="2442" w:type="dxa"/>
            <w:vAlign w:val="center"/>
          </w:tcPr>
          <w:p w14:paraId="1E0AF823"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Partes terceras interesadas</w:t>
            </w:r>
          </w:p>
          <w:p w14:paraId="25DE28C3"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Víctor Hugo Lobo Román</w:t>
            </w:r>
          </w:p>
          <w:p w14:paraId="56CE96B5"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Pablo Cesar Lezama Barreda, en representación del PRD</w:t>
            </w:r>
          </w:p>
          <w:p w14:paraId="4E787DBD"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proofErr w:type="spellStart"/>
            <w:r w:rsidRPr="00F32542">
              <w:rPr>
                <w:rFonts w:ascii="Arial" w:eastAsia="Times New Roman" w:hAnsi="Arial" w:cs="Arial"/>
                <w:sz w:val="20"/>
                <w:szCs w:val="20"/>
                <w:lang w:eastAsia="es-MX"/>
              </w:rPr>
              <w:t>Janecarlo</w:t>
            </w:r>
            <w:proofErr w:type="spellEnd"/>
            <w:r w:rsidRPr="00F32542">
              <w:rPr>
                <w:rFonts w:ascii="Arial" w:eastAsia="Times New Roman" w:hAnsi="Arial" w:cs="Arial"/>
                <w:sz w:val="20"/>
                <w:szCs w:val="20"/>
                <w:lang w:eastAsia="es-MX"/>
              </w:rPr>
              <w:t xml:space="preserve"> Lozano Reynoso</w:t>
            </w:r>
          </w:p>
        </w:tc>
        <w:tc>
          <w:tcPr>
            <w:tcW w:w="3444" w:type="dxa"/>
            <w:shd w:val="clear" w:color="auto" w:fill="auto"/>
            <w:vAlign w:val="center"/>
          </w:tcPr>
          <w:p w14:paraId="7F7C8948" w14:textId="77777777" w:rsidR="00BF19FC" w:rsidRPr="00F32542" w:rsidRDefault="00BF19FC" w:rsidP="00BF19FC">
            <w:pPr>
              <w:spacing w:after="0" w:line="240" w:lineRule="auto"/>
              <w:ind w:right="51"/>
              <w:jc w:val="both"/>
              <w:rPr>
                <w:rFonts w:ascii="Arial" w:eastAsia="Times New Roman" w:hAnsi="Arial" w:cs="Arial"/>
                <w:sz w:val="20"/>
                <w:szCs w:val="20"/>
                <w:lang w:val="es-ES_tradnl" w:eastAsia="es-MX"/>
              </w:rPr>
            </w:pPr>
            <w:r w:rsidRPr="00F32542">
              <w:rPr>
                <w:rFonts w:ascii="Arial" w:eastAsia="Times New Roman" w:hAnsi="Arial" w:cs="Arial"/>
                <w:sz w:val="20"/>
                <w:szCs w:val="20"/>
                <w:lang w:eastAsia="es-MX"/>
              </w:rPr>
              <w:t xml:space="preserve">Se actualiza la causal de improcedencia prevista en el artículo </w:t>
            </w:r>
            <w:r w:rsidRPr="00F32542">
              <w:rPr>
                <w:rFonts w:ascii="Arial" w:eastAsia="Times New Roman" w:hAnsi="Arial" w:cs="Arial"/>
                <w:b/>
                <w:sz w:val="20"/>
                <w:szCs w:val="20"/>
                <w:lang w:eastAsia="es-MX"/>
              </w:rPr>
              <w:t>49, fracción IV</w:t>
            </w:r>
            <w:r w:rsidRPr="00F32542">
              <w:rPr>
                <w:rFonts w:ascii="Arial" w:eastAsia="Times New Roman" w:hAnsi="Arial" w:cs="Arial"/>
                <w:sz w:val="20"/>
                <w:szCs w:val="20"/>
                <w:lang w:eastAsia="es-MX"/>
              </w:rPr>
              <w:t xml:space="preserve"> de la </w:t>
            </w:r>
            <w:r w:rsidRPr="00F32542">
              <w:rPr>
                <w:rFonts w:ascii="Arial" w:eastAsia="Times New Roman" w:hAnsi="Arial" w:cs="Arial"/>
                <w:i/>
                <w:sz w:val="20"/>
                <w:szCs w:val="20"/>
                <w:lang w:eastAsia="es-MX"/>
              </w:rPr>
              <w:t xml:space="preserve">Ley Procesal, </w:t>
            </w:r>
            <w:r w:rsidRPr="00F32542">
              <w:rPr>
                <w:rFonts w:ascii="Arial" w:eastAsia="Times New Roman" w:hAnsi="Arial" w:cs="Arial"/>
                <w:sz w:val="20"/>
                <w:szCs w:val="20"/>
                <w:lang w:eastAsia="es-MX"/>
              </w:rPr>
              <w:t>toda vez que la impugnación fue presentada</w:t>
            </w:r>
            <w:r w:rsidRPr="00F32542">
              <w:rPr>
                <w:rFonts w:ascii="Arial" w:eastAsia="Times New Roman" w:hAnsi="Arial" w:cs="Arial"/>
                <w:sz w:val="20"/>
                <w:szCs w:val="20"/>
                <w:lang w:val="es-ES_tradnl" w:eastAsia="es-MX"/>
              </w:rPr>
              <w:t xml:space="preserve"> de manera </w:t>
            </w:r>
            <w:r w:rsidRPr="00F32542">
              <w:rPr>
                <w:rFonts w:ascii="Arial" w:eastAsia="Times New Roman" w:hAnsi="Arial" w:cs="Arial"/>
                <w:b/>
                <w:sz w:val="20"/>
                <w:szCs w:val="20"/>
                <w:lang w:val="es-ES_tradnl" w:eastAsia="es-MX"/>
              </w:rPr>
              <w:t>extemporánea</w:t>
            </w:r>
            <w:r w:rsidRPr="00F32542">
              <w:rPr>
                <w:rFonts w:ascii="Arial" w:eastAsia="Times New Roman" w:hAnsi="Arial" w:cs="Arial"/>
                <w:sz w:val="20"/>
                <w:szCs w:val="20"/>
                <w:lang w:val="es-ES_tradnl" w:eastAsia="es-MX"/>
              </w:rPr>
              <w:t xml:space="preserve">. Ello porque el </w:t>
            </w:r>
            <w:r w:rsidRPr="00F32542">
              <w:rPr>
                <w:rFonts w:ascii="Arial" w:eastAsia="Times New Roman" w:hAnsi="Arial" w:cs="Arial"/>
                <w:sz w:val="20"/>
                <w:szCs w:val="20"/>
                <w:lang w:eastAsia="es-MX"/>
              </w:rPr>
              <w:t>“</w:t>
            </w:r>
            <w:r w:rsidRPr="00F32542">
              <w:rPr>
                <w:rFonts w:ascii="Arial" w:eastAsia="Times New Roman" w:hAnsi="Arial" w:cs="Arial"/>
                <w:i/>
                <w:sz w:val="20"/>
                <w:szCs w:val="20"/>
                <w:lang w:eastAsia="es-MX"/>
              </w:rPr>
              <w:t>Acuerdo de asignación de diputaciones por representación proporcional</w:t>
            </w:r>
            <w:r w:rsidRPr="00F32542">
              <w:rPr>
                <w:rFonts w:ascii="Arial" w:eastAsia="Times New Roman" w:hAnsi="Arial" w:cs="Arial"/>
                <w:sz w:val="20"/>
                <w:szCs w:val="20"/>
                <w:lang w:eastAsia="es-MX"/>
              </w:rPr>
              <w:t>”, fue aprobado el doce de junio y la demanda se presentó el diecisiete, es decir, fuera del plazo de cuatro días.</w:t>
            </w:r>
          </w:p>
          <w:p w14:paraId="67AB9640" w14:textId="77777777" w:rsidR="00BF19FC" w:rsidRPr="00F32542" w:rsidRDefault="00BF19FC" w:rsidP="00BF19FC">
            <w:pPr>
              <w:spacing w:after="0" w:line="240" w:lineRule="auto"/>
              <w:ind w:right="51"/>
              <w:jc w:val="both"/>
              <w:rPr>
                <w:rFonts w:ascii="Arial" w:eastAsia="Times New Roman" w:hAnsi="Arial" w:cs="Arial"/>
                <w:sz w:val="20"/>
                <w:szCs w:val="20"/>
                <w:lang w:val="es-ES_tradnl" w:eastAsia="es-MX"/>
              </w:rPr>
            </w:pPr>
          </w:p>
          <w:p w14:paraId="3CB00245" w14:textId="77777777" w:rsidR="00BF19FC" w:rsidRPr="00F32542" w:rsidRDefault="00BF19FC" w:rsidP="00BF19FC">
            <w:pPr>
              <w:spacing w:after="0" w:line="240" w:lineRule="auto"/>
              <w:ind w:right="51"/>
              <w:jc w:val="both"/>
              <w:rPr>
                <w:rFonts w:ascii="Arial" w:eastAsia="Times New Roman" w:hAnsi="Arial" w:cs="Arial"/>
                <w:sz w:val="20"/>
                <w:szCs w:val="20"/>
                <w:lang w:val="es-ES_tradnl" w:eastAsia="es-MX"/>
              </w:rPr>
            </w:pPr>
            <w:r w:rsidRPr="00F32542">
              <w:rPr>
                <w:rFonts w:ascii="Arial" w:eastAsia="Times New Roman" w:hAnsi="Arial" w:cs="Arial"/>
                <w:bCs/>
                <w:sz w:val="20"/>
                <w:szCs w:val="20"/>
                <w:lang w:val="es-ES_tradnl" w:eastAsia="es-MX"/>
              </w:rPr>
              <w:t xml:space="preserve">Falta de legitimación por </w:t>
            </w:r>
            <w:r w:rsidRPr="00F32542">
              <w:rPr>
                <w:rFonts w:ascii="Arial" w:eastAsia="Times New Roman" w:hAnsi="Arial" w:cs="Arial"/>
                <w:b/>
                <w:bCs/>
                <w:sz w:val="20"/>
                <w:szCs w:val="20"/>
                <w:lang w:val="es-ES_tradnl" w:eastAsia="es-MX"/>
              </w:rPr>
              <w:t>Litisconsorcio activo</w:t>
            </w:r>
            <w:r w:rsidRPr="00F32542">
              <w:rPr>
                <w:rFonts w:ascii="Arial" w:eastAsia="Times New Roman" w:hAnsi="Arial" w:cs="Arial"/>
                <w:sz w:val="20"/>
                <w:szCs w:val="20"/>
                <w:lang w:val="es-ES_tradnl" w:eastAsia="es-MX"/>
              </w:rPr>
              <w:t xml:space="preserve"> de las partes actoras al ser fórmula de candidatos, ambos debían firmar la demanda.</w:t>
            </w:r>
          </w:p>
        </w:tc>
      </w:tr>
      <w:tr w:rsidR="00BF19FC" w:rsidRPr="00F32542" w14:paraId="464B9E81" w14:textId="77777777" w:rsidTr="00BF19FC">
        <w:trPr>
          <w:jc w:val="center"/>
        </w:trPr>
        <w:tc>
          <w:tcPr>
            <w:tcW w:w="769" w:type="dxa"/>
            <w:shd w:val="clear" w:color="auto" w:fill="auto"/>
            <w:vAlign w:val="center"/>
          </w:tcPr>
          <w:p w14:paraId="7B0E24F0"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20</w:t>
            </w:r>
          </w:p>
        </w:tc>
        <w:tc>
          <w:tcPr>
            <w:tcW w:w="1607" w:type="dxa"/>
            <w:shd w:val="clear" w:color="auto" w:fill="auto"/>
            <w:vAlign w:val="center"/>
          </w:tcPr>
          <w:p w14:paraId="68AC12F5"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TECDMX-</w:t>
            </w:r>
            <w:r w:rsidRPr="00F32542">
              <w:rPr>
                <w:rFonts w:ascii="Arial" w:eastAsia="Times New Roman" w:hAnsi="Arial" w:cs="Arial"/>
                <w:b/>
                <w:bCs/>
                <w:sz w:val="20"/>
                <w:szCs w:val="20"/>
                <w:lang w:eastAsia="es-MX"/>
              </w:rPr>
              <w:t>JLDC-108/2021</w:t>
            </w:r>
          </w:p>
        </w:tc>
        <w:tc>
          <w:tcPr>
            <w:tcW w:w="2442" w:type="dxa"/>
            <w:shd w:val="clear" w:color="auto" w:fill="auto"/>
            <w:vAlign w:val="center"/>
          </w:tcPr>
          <w:p w14:paraId="2C601FF1"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Parte tercera interesada</w:t>
            </w:r>
          </w:p>
          <w:p w14:paraId="7EB61958"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 xml:space="preserve">Víctor Hugo Lobo </w:t>
            </w:r>
            <w:proofErr w:type="spellStart"/>
            <w:r w:rsidRPr="00F32542">
              <w:rPr>
                <w:rFonts w:ascii="Arial" w:eastAsia="Times New Roman" w:hAnsi="Arial" w:cs="Arial"/>
                <w:sz w:val="20"/>
                <w:szCs w:val="20"/>
                <w:lang w:eastAsia="es-MX"/>
              </w:rPr>
              <w:t>Roman</w:t>
            </w:r>
            <w:proofErr w:type="spellEnd"/>
          </w:p>
          <w:p w14:paraId="2AF73909"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 xml:space="preserve">Ricardo </w:t>
            </w:r>
            <w:proofErr w:type="spellStart"/>
            <w:r w:rsidRPr="00F32542">
              <w:rPr>
                <w:rFonts w:ascii="Arial" w:eastAsia="Times New Roman" w:hAnsi="Arial" w:cs="Arial"/>
                <w:sz w:val="20"/>
                <w:szCs w:val="20"/>
                <w:lang w:eastAsia="es-MX"/>
              </w:rPr>
              <w:t>Janecarlo</w:t>
            </w:r>
            <w:proofErr w:type="spellEnd"/>
            <w:r w:rsidRPr="00F32542">
              <w:rPr>
                <w:rFonts w:ascii="Arial" w:eastAsia="Times New Roman" w:hAnsi="Arial" w:cs="Arial"/>
                <w:sz w:val="20"/>
                <w:szCs w:val="20"/>
                <w:lang w:eastAsia="es-MX"/>
              </w:rPr>
              <w:t xml:space="preserve"> Lozano Reynoso </w:t>
            </w:r>
          </w:p>
        </w:tc>
        <w:tc>
          <w:tcPr>
            <w:tcW w:w="3444" w:type="dxa"/>
            <w:shd w:val="clear" w:color="auto" w:fill="auto"/>
            <w:vAlign w:val="center"/>
          </w:tcPr>
          <w:p w14:paraId="6953CFAE" w14:textId="77777777" w:rsidR="00BF19FC" w:rsidRPr="00F32542" w:rsidRDefault="00BF19FC" w:rsidP="00BF19FC">
            <w:pPr>
              <w:spacing w:after="0" w:line="240" w:lineRule="auto"/>
              <w:ind w:right="51"/>
              <w:jc w:val="both"/>
              <w:rPr>
                <w:rFonts w:ascii="Arial" w:eastAsia="Times New Roman" w:hAnsi="Arial" w:cs="Arial"/>
                <w:sz w:val="20"/>
                <w:szCs w:val="20"/>
                <w:lang w:eastAsia="es-MX"/>
              </w:rPr>
            </w:pPr>
            <w:r w:rsidRPr="00F32542">
              <w:rPr>
                <w:rFonts w:ascii="Arial" w:eastAsia="Times New Roman" w:hAnsi="Arial" w:cs="Arial"/>
                <w:sz w:val="20"/>
                <w:szCs w:val="20"/>
                <w:lang w:eastAsia="es-MX"/>
              </w:rPr>
              <w:t>Señalan que la impugnación del Acuerdo de asignación de diputaciones por representación proporcional es improcedente con base en la tesis VI/98 de rubro: “</w:t>
            </w:r>
            <w:r w:rsidRPr="00F32542">
              <w:rPr>
                <w:rFonts w:ascii="Arial" w:eastAsia="Times New Roman" w:hAnsi="Arial" w:cs="Arial"/>
                <w:i/>
                <w:sz w:val="20"/>
                <w:szCs w:val="20"/>
                <w:lang w:eastAsia="es-MX"/>
              </w:rPr>
              <w:t>CONSENTIMIENTO COMO CAUSA DE IMPROCEDENCIA. NO SE ACTUALIZA POR FALTA DE IMPUGNACIÓN DE ACTOS ANTERIORES APOYADOS EN LOS MISMOS</w:t>
            </w:r>
            <w:r w:rsidRPr="00F32542">
              <w:rPr>
                <w:rFonts w:ascii="Arial" w:eastAsia="Times New Roman" w:hAnsi="Arial" w:cs="Arial"/>
                <w:sz w:val="20"/>
                <w:szCs w:val="20"/>
                <w:lang w:eastAsia="es-MX"/>
              </w:rPr>
              <w:t xml:space="preserve">”. Ello, porque el actor se inconforma a partir del registro de las listas del </w:t>
            </w:r>
            <w:r w:rsidRPr="00F32542">
              <w:rPr>
                <w:rFonts w:ascii="Arial" w:eastAsia="Times New Roman" w:hAnsi="Arial" w:cs="Arial"/>
                <w:i/>
                <w:sz w:val="20"/>
                <w:szCs w:val="20"/>
                <w:lang w:eastAsia="es-MX"/>
              </w:rPr>
              <w:t>PRD</w:t>
            </w:r>
            <w:r w:rsidRPr="00F32542">
              <w:rPr>
                <w:rFonts w:ascii="Arial" w:eastAsia="Times New Roman" w:hAnsi="Arial" w:cs="Arial"/>
                <w:sz w:val="20"/>
                <w:szCs w:val="20"/>
                <w:lang w:eastAsia="es-MX"/>
              </w:rPr>
              <w:t xml:space="preserve"> lo cual adquirió definitividad.</w:t>
            </w:r>
          </w:p>
          <w:p w14:paraId="4F533601" w14:textId="77777777" w:rsidR="00BF19FC" w:rsidRPr="00F32542" w:rsidRDefault="00BF19FC" w:rsidP="00BF19FC">
            <w:pPr>
              <w:spacing w:after="0" w:line="240" w:lineRule="auto"/>
              <w:ind w:right="51"/>
              <w:jc w:val="both"/>
              <w:rPr>
                <w:rFonts w:ascii="Arial" w:eastAsia="Times New Roman" w:hAnsi="Arial" w:cs="Arial"/>
                <w:sz w:val="20"/>
                <w:szCs w:val="20"/>
                <w:lang w:eastAsia="es-MX"/>
              </w:rPr>
            </w:pPr>
          </w:p>
        </w:tc>
      </w:tr>
      <w:tr w:rsidR="00BF19FC" w:rsidRPr="00F32542" w14:paraId="567CA6C5" w14:textId="77777777" w:rsidTr="00BF19FC">
        <w:trPr>
          <w:jc w:val="center"/>
        </w:trPr>
        <w:tc>
          <w:tcPr>
            <w:tcW w:w="769" w:type="dxa"/>
            <w:shd w:val="clear" w:color="auto" w:fill="auto"/>
            <w:vAlign w:val="center"/>
          </w:tcPr>
          <w:p w14:paraId="5E0C820B"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21</w:t>
            </w:r>
          </w:p>
        </w:tc>
        <w:tc>
          <w:tcPr>
            <w:tcW w:w="1607" w:type="dxa"/>
            <w:shd w:val="clear" w:color="auto" w:fill="auto"/>
            <w:vAlign w:val="center"/>
          </w:tcPr>
          <w:p w14:paraId="20E5CF44"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TECDMX-</w:t>
            </w:r>
            <w:r w:rsidRPr="00F32542">
              <w:rPr>
                <w:rFonts w:ascii="Arial" w:eastAsia="Times New Roman" w:hAnsi="Arial" w:cs="Arial"/>
                <w:b/>
                <w:bCs/>
                <w:sz w:val="20"/>
                <w:szCs w:val="20"/>
                <w:lang w:eastAsia="es-MX"/>
              </w:rPr>
              <w:t>JLDC-109/2021</w:t>
            </w:r>
          </w:p>
        </w:tc>
        <w:tc>
          <w:tcPr>
            <w:tcW w:w="2442" w:type="dxa"/>
            <w:shd w:val="clear" w:color="auto" w:fill="auto"/>
            <w:vAlign w:val="center"/>
          </w:tcPr>
          <w:p w14:paraId="2B4D336E"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Autoridad responsable</w:t>
            </w:r>
          </w:p>
        </w:tc>
        <w:tc>
          <w:tcPr>
            <w:tcW w:w="3444" w:type="dxa"/>
            <w:shd w:val="clear" w:color="auto" w:fill="auto"/>
            <w:vAlign w:val="center"/>
          </w:tcPr>
          <w:p w14:paraId="4BBAC0A0" w14:textId="77777777" w:rsidR="00BF19FC" w:rsidRPr="00F32542" w:rsidRDefault="00BF19FC" w:rsidP="00BF19FC">
            <w:pPr>
              <w:spacing w:after="0" w:line="240" w:lineRule="auto"/>
              <w:ind w:right="51"/>
              <w:jc w:val="both"/>
              <w:rPr>
                <w:rFonts w:ascii="Arial" w:eastAsia="Times New Roman" w:hAnsi="Arial" w:cs="Arial"/>
                <w:sz w:val="20"/>
                <w:szCs w:val="20"/>
                <w:lang w:val="es-ES_tradnl" w:eastAsia="es-MX"/>
              </w:rPr>
            </w:pPr>
            <w:r w:rsidRPr="00F32542">
              <w:rPr>
                <w:rFonts w:ascii="Arial" w:eastAsia="Times New Roman" w:hAnsi="Arial" w:cs="Arial"/>
                <w:sz w:val="20"/>
                <w:szCs w:val="20"/>
                <w:lang w:eastAsia="es-MX"/>
              </w:rPr>
              <w:t xml:space="preserve">Se actualiza la causal de improcedencia prevista en el artículo </w:t>
            </w:r>
            <w:r w:rsidRPr="00F32542">
              <w:rPr>
                <w:rFonts w:ascii="Arial" w:eastAsia="Times New Roman" w:hAnsi="Arial" w:cs="Arial"/>
                <w:b/>
                <w:sz w:val="20"/>
                <w:szCs w:val="20"/>
                <w:lang w:eastAsia="es-MX"/>
              </w:rPr>
              <w:t>49, fracción IV</w:t>
            </w:r>
            <w:r w:rsidRPr="00F32542">
              <w:rPr>
                <w:rFonts w:ascii="Arial" w:eastAsia="Times New Roman" w:hAnsi="Arial" w:cs="Arial"/>
                <w:sz w:val="20"/>
                <w:szCs w:val="20"/>
                <w:lang w:eastAsia="es-MX"/>
              </w:rPr>
              <w:t xml:space="preserve"> de la </w:t>
            </w:r>
            <w:r w:rsidRPr="00F32542">
              <w:rPr>
                <w:rFonts w:ascii="Arial" w:eastAsia="Times New Roman" w:hAnsi="Arial" w:cs="Arial"/>
                <w:i/>
                <w:sz w:val="20"/>
                <w:szCs w:val="20"/>
                <w:lang w:eastAsia="es-MX"/>
              </w:rPr>
              <w:t xml:space="preserve">Ley Procesal, </w:t>
            </w:r>
            <w:r w:rsidRPr="00F32542">
              <w:rPr>
                <w:rFonts w:ascii="Arial" w:eastAsia="Times New Roman" w:hAnsi="Arial" w:cs="Arial"/>
                <w:sz w:val="20"/>
                <w:szCs w:val="20"/>
                <w:lang w:eastAsia="es-MX"/>
              </w:rPr>
              <w:t xml:space="preserve">toda vez que la </w:t>
            </w:r>
            <w:r w:rsidRPr="00F32542">
              <w:rPr>
                <w:rFonts w:ascii="Arial" w:eastAsia="Times New Roman" w:hAnsi="Arial" w:cs="Arial"/>
                <w:sz w:val="20"/>
                <w:szCs w:val="20"/>
                <w:lang w:eastAsia="es-MX"/>
              </w:rPr>
              <w:lastRenderedPageBreak/>
              <w:t>impugnación fue presentada</w:t>
            </w:r>
            <w:r w:rsidRPr="00F32542">
              <w:rPr>
                <w:rFonts w:ascii="Arial" w:eastAsia="Times New Roman" w:hAnsi="Arial" w:cs="Arial"/>
                <w:sz w:val="20"/>
                <w:szCs w:val="20"/>
                <w:lang w:val="es-ES_tradnl" w:eastAsia="es-MX"/>
              </w:rPr>
              <w:t xml:space="preserve"> de manera </w:t>
            </w:r>
            <w:r w:rsidRPr="00F32542">
              <w:rPr>
                <w:rFonts w:ascii="Arial" w:eastAsia="Times New Roman" w:hAnsi="Arial" w:cs="Arial"/>
                <w:b/>
                <w:sz w:val="20"/>
                <w:szCs w:val="20"/>
                <w:lang w:val="es-ES_tradnl" w:eastAsia="es-MX"/>
              </w:rPr>
              <w:t>extemporánea</w:t>
            </w:r>
            <w:r w:rsidRPr="00F32542">
              <w:rPr>
                <w:rFonts w:ascii="Arial" w:eastAsia="Times New Roman" w:hAnsi="Arial" w:cs="Arial"/>
                <w:sz w:val="20"/>
                <w:szCs w:val="20"/>
                <w:lang w:val="es-ES_tradnl" w:eastAsia="es-MX"/>
              </w:rPr>
              <w:t xml:space="preserve">. Ello porque aunque el acto impugnado es el  </w:t>
            </w:r>
            <w:r w:rsidRPr="00F32542">
              <w:rPr>
                <w:rFonts w:ascii="Arial" w:eastAsia="Times New Roman" w:hAnsi="Arial" w:cs="Arial"/>
                <w:sz w:val="20"/>
                <w:szCs w:val="20"/>
                <w:lang w:eastAsia="es-MX"/>
              </w:rPr>
              <w:t>“</w:t>
            </w:r>
            <w:r w:rsidRPr="00F32542">
              <w:rPr>
                <w:rFonts w:ascii="Arial" w:eastAsia="Times New Roman" w:hAnsi="Arial" w:cs="Arial"/>
                <w:i/>
                <w:sz w:val="20"/>
                <w:szCs w:val="20"/>
                <w:lang w:eastAsia="es-MX"/>
              </w:rPr>
              <w:t>Acuerdo de asignación de diputaciones por representación proporcional</w:t>
            </w:r>
            <w:r w:rsidRPr="00F32542">
              <w:rPr>
                <w:rFonts w:ascii="Arial" w:eastAsia="Times New Roman" w:hAnsi="Arial" w:cs="Arial"/>
                <w:sz w:val="20"/>
                <w:szCs w:val="20"/>
                <w:lang w:eastAsia="es-MX"/>
              </w:rPr>
              <w:t xml:space="preserve">”, (aprobado el doce de junio), de una lectura integral de la demanda, se advierte que en realidad se controvierte la Lista “A”, aprobada mediante el Acuerdo por el que se aprueban los Lineamientos para la asignación de Diputaciones y Concejalías </w:t>
            </w:r>
            <w:r w:rsidRPr="00F32542">
              <w:rPr>
                <w:rFonts w:ascii="Arial" w:eastAsia="Times New Roman" w:hAnsi="Arial" w:cs="Arial"/>
                <w:i/>
                <w:sz w:val="20"/>
                <w:szCs w:val="20"/>
                <w:lang w:eastAsia="es-MX"/>
              </w:rPr>
              <w:t>por el principio de representación proporcional</w:t>
            </w:r>
            <w:r w:rsidRPr="00F32542">
              <w:rPr>
                <w:rFonts w:ascii="Arial" w:eastAsia="Times New Roman" w:hAnsi="Arial" w:cs="Arial"/>
                <w:sz w:val="20"/>
                <w:szCs w:val="20"/>
                <w:lang w:eastAsia="es-MX"/>
              </w:rPr>
              <w:t>, los cuales fueron aprobados desde diciembre del año pasado, por lo que el plazo para impugnarlos corrió del diez al trece de diciembre, por lo que al haberse presentado el dieciséis de junio, por lo que queda plenamente acreditada la extemporaneidad.</w:t>
            </w:r>
          </w:p>
        </w:tc>
      </w:tr>
      <w:tr w:rsidR="00BF19FC" w:rsidRPr="00F32542" w14:paraId="307FEE31" w14:textId="77777777" w:rsidTr="00BF19FC">
        <w:trPr>
          <w:jc w:val="center"/>
        </w:trPr>
        <w:tc>
          <w:tcPr>
            <w:tcW w:w="769" w:type="dxa"/>
            <w:vAlign w:val="center"/>
          </w:tcPr>
          <w:p w14:paraId="0716BBF2"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lastRenderedPageBreak/>
              <w:t>22</w:t>
            </w:r>
          </w:p>
        </w:tc>
        <w:tc>
          <w:tcPr>
            <w:tcW w:w="1607" w:type="dxa"/>
            <w:vAlign w:val="center"/>
          </w:tcPr>
          <w:p w14:paraId="0E34E75E" w14:textId="77777777" w:rsidR="00BF19FC" w:rsidRPr="00F32542" w:rsidRDefault="00BF19FC" w:rsidP="00BF19FC">
            <w:pPr>
              <w:spacing w:after="0" w:line="240" w:lineRule="auto"/>
              <w:ind w:right="51"/>
              <w:jc w:val="center"/>
              <w:rPr>
                <w:rFonts w:ascii="Arial" w:eastAsia="Times New Roman" w:hAnsi="Arial" w:cs="Arial"/>
                <w:b/>
                <w:sz w:val="20"/>
                <w:szCs w:val="20"/>
                <w:lang w:eastAsia="es-MX"/>
              </w:rPr>
            </w:pPr>
            <w:r w:rsidRPr="00F32542">
              <w:rPr>
                <w:rFonts w:ascii="Arial" w:eastAsia="Times New Roman" w:hAnsi="Arial" w:cs="Arial"/>
                <w:b/>
                <w:sz w:val="20"/>
                <w:szCs w:val="20"/>
                <w:lang w:eastAsia="es-MX"/>
              </w:rPr>
              <w:t>TECDMX-</w:t>
            </w:r>
            <w:r w:rsidRPr="00F32542">
              <w:rPr>
                <w:rFonts w:ascii="Arial" w:eastAsia="Times New Roman" w:hAnsi="Arial" w:cs="Arial"/>
                <w:b/>
                <w:bCs/>
                <w:sz w:val="20"/>
                <w:szCs w:val="20"/>
                <w:lang w:eastAsia="es-MX"/>
              </w:rPr>
              <w:t>JLDC-110/2021</w:t>
            </w:r>
          </w:p>
        </w:tc>
        <w:tc>
          <w:tcPr>
            <w:tcW w:w="2442" w:type="dxa"/>
            <w:vAlign w:val="center"/>
          </w:tcPr>
          <w:p w14:paraId="1E9CBA52"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No se hizo valer</w:t>
            </w:r>
          </w:p>
        </w:tc>
        <w:tc>
          <w:tcPr>
            <w:tcW w:w="3444" w:type="dxa"/>
            <w:vAlign w:val="center"/>
          </w:tcPr>
          <w:p w14:paraId="7DA4A5F7" w14:textId="77777777" w:rsidR="00BF19FC" w:rsidRPr="00F32542" w:rsidRDefault="00BF19FC" w:rsidP="00BF19FC">
            <w:pPr>
              <w:spacing w:after="0" w:line="240" w:lineRule="auto"/>
              <w:ind w:right="51"/>
              <w:jc w:val="center"/>
              <w:rPr>
                <w:rFonts w:ascii="Arial" w:eastAsia="Times New Roman" w:hAnsi="Arial" w:cs="Arial"/>
                <w:sz w:val="20"/>
                <w:szCs w:val="20"/>
                <w:lang w:eastAsia="es-MX"/>
              </w:rPr>
            </w:pPr>
            <w:r w:rsidRPr="00F32542">
              <w:rPr>
                <w:rFonts w:ascii="Arial" w:eastAsia="Times New Roman" w:hAnsi="Arial" w:cs="Arial"/>
                <w:sz w:val="20"/>
                <w:szCs w:val="20"/>
                <w:lang w:eastAsia="es-MX"/>
              </w:rPr>
              <w:t>N/A</w:t>
            </w:r>
          </w:p>
        </w:tc>
      </w:tr>
    </w:tbl>
    <w:p w14:paraId="36E19236" w14:textId="77777777" w:rsidR="00286BB3" w:rsidRPr="00F32542" w:rsidRDefault="00286BB3" w:rsidP="00286BB3">
      <w:pPr>
        <w:spacing w:after="0" w:line="360" w:lineRule="auto"/>
        <w:ind w:right="51"/>
        <w:jc w:val="both"/>
        <w:rPr>
          <w:rFonts w:ascii="Arial" w:eastAsia="Times New Roman" w:hAnsi="Arial" w:cs="Arial"/>
          <w:sz w:val="28"/>
          <w:szCs w:val="28"/>
          <w:lang w:eastAsia="es-MX"/>
        </w:rPr>
      </w:pPr>
    </w:p>
    <w:p w14:paraId="06B2F53E" w14:textId="77777777" w:rsidR="00286BB3" w:rsidRPr="00F32542" w:rsidRDefault="00286BB3" w:rsidP="00286BB3">
      <w:pPr>
        <w:spacing w:after="0" w:line="360" w:lineRule="auto"/>
        <w:jc w:val="both"/>
        <w:rPr>
          <w:rFonts w:ascii="Arial" w:hAnsi="Arial" w:cs="Arial"/>
          <w:sz w:val="28"/>
          <w:szCs w:val="28"/>
          <w:lang w:eastAsia="es-MX"/>
        </w:rPr>
      </w:pPr>
      <w:r w:rsidRPr="00F32542">
        <w:rPr>
          <w:rFonts w:ascii="Arial" w:hAnsi="Arial" w:cs="Arial"/>
          <w:sz w:val="28"/>
          <w:szCs w:val="28"/>
          <w:lang w:eastAsia="es-MX"/>
        </w:rPr>
        <w:t xml:space="preserve">Como se observa en las casuales hechas valer corresponden a las fracciones I, II, III, IV, V y X del artículo 49 de la </w:t>
      </w:r>
      <w:r w:rsidRPr="00F32542">
        <w:rPr>
          <w:rFonts w:ascii="Arial" w:hAnsi="Arial" w:cs="Arial"/>
          <w:i/>
          <w:sz w:val="28"/>
          <w:szCs w:val="28"/>
          <w:lang w:eastAsia="es-MX"/>
        </w:rPr>
        <w:t>Ley Procesal</w:t>
      </w:r>
      <w:r w:rsidRPr="00F32542">
        <w:rPr>
          <w:rFonts w:ascii="Arial" w:hAnsi="Arial" w:cs="Arial"/>
          <w:sz w:val="28"/>
          <w:szCs w:val="28"/>
          <w:lang w:eastAsia="es-MX"/>
        </w:rPr>
        <w:t>, que para mayor claridad se transcribe a continuación:</w:t>
      </w:r>
    </w:p>
    <w:p w14:paraId="1A76F3EA" w14:textId="77777777" w:rsidR="00286BB3" w:rsidRPr="00F32542" w:rsidRDefault="00286BB3" w:rsidP="00286BB3">
      <w:pPr>
        <w:spacing w:after="0" w:line="360" w:lineRule="auto"/>
        <w:jc w:val="both"/>
        <w:rPr>
          <w:rFonts w:ascii="Arial" w:hAnsi="Arial" w:cs="Arial"/>
          <w:sz w:val="28"/>
          <w:szCs w:val="28"/>
          <w:lang w:eastAsia="es-MX"/>
        </w:rPr>
      </w:pPr>
    </w:p>
    <w:p w14:paraId="607807CF" w14:textId="77777777" w:rsidR="00286BB3" w:rsidRPr="00F32542" w:rsidRDefault="003D29D2" w:rsidP="00286BB3">
      <w:pPr>
        <w:spacing w:after="0" w:line="240" w:lineRule="auto"/>
        <w:ind w:left="567" w:right="567"/>
        <w:jc w:val="both"/>
        <w:rPr>
          <w:rFonts w:ascii="Arial" w:hAnsi="Arial" w:cs="Arial"/>
          <w:bCs/>
          <w:i/>
          <w:sz w:val="24"/>
          <w:szCs w:val="24"/>
          <w:lang w:eastAsia="es-MX"/>
        </w:rPr>
      </w:pPr>
      <w:r w:rsidRPr="00F32542">
        <w:rPr>
          <w:rFonts w:ascii="Arial" w:hAnsi="Arial" w:cs="Arial"/>
          <w:iCs/>
          <w:sz w:val="24"/>
          <w:szCs w:val="24"/>
          <w:lang w:eastAsia="es-MX"/>
        </w:rPr>
        <w:t>“</w:t>
      </w:r>
      <w:r w:rsidR="00286BB3" w:rsidRPr="00F32542">
        <w:rPr>
          <w:rFonts w:ascii="Arial" w:hAnsi="Arial" w:cs="Arial"/>
          <w:b/>
          <w:bCs/>
          <w:i/>
          <w:sz w:val="24"/>
          <w:szCs w:val="24"/>
          <w:lang w:eastAsia="es-MX"/>
        </w:rPr>
        <w:t>Artículo 49.</w:t>
      </w:r>
      <w:r w:rsidR="00286BB3" w:rsidRPr="00F32542">
        <w:rPr>
          <w:rFonts w:ascii="Arial" w:hAnsi="Arial" w:cs="Arial"/>
          <w:bCs/>
          <w:i/>
          <w:sz w:val="24"/>
          <w:szCs w:val="24"/>
          <w:lang w:eastAsia="es-MX"/>
        </w:rPr>
        <w:t xml:space="preserve"> Los medios de impugnación previstos en este ordenamiento serán improcedentes y, por tanto, se decretará el desechamiento de plano de la demanda, cuando:</w:t>
      </w:r>
    </w:p>
    <w:p w14:paraId="77D08C0D" w14:textId="77777777" w:rsidR="00286BB3" w:rsidRPr="00F32542" w:rsidRDefault="00286BB3" w:rsidP="00286BB3">
      <w:pPr>
        <w:spacing w:after="0" w:line="240" w:lineRule="auto"/>
        <w:ind w:left="567" w:right="567"/>
        <w:jc w:val="both"/>
        <w:rPr>
          <w:rFonts w:ascii="Arial" w:hAnsi="Arial" w:cs="Arial"/>
          <w:bCs/>
          <w:i/>
          <w:sz w:val="24"/>
          <w:szCs w:val="24"/>
          <w:lang w:eastAsia="es-MX"/>
        </w:rPr>
      </w:pPr>
    </w:p>
    <w:p w14:paraId="1699D898" w14:textId="77777777" w:rsidR="00286BB3" w:rsidRPr="00F32542" w:rsidRDefault="00286BB3" w:rsidP="00286BB3">
      <w:pPr>
        <w:spacing w:after="0" w:line="240" w:lineRule="auto"/>
        <w:ind w:left="567" w:right="567"/>
        <w:jc w:val="both"/>
        <w:rPr>
          <w:rFonts w:ascii="Arial" w:hAnsi="Arial" w:cs="Arial"/>
          <w:bCs/>
          <w:i/>
          <w:sz w:val="24"/>
          <w:szCs w:val="24"/>
          <w:lang w:eastAsia="es-MX"/>
        </w:rPr>
      </w:pPr>
      <w:r w:rsidRPr="00F32542">
        <w:rPr>
          <w:rFonts w:ascii="Arial" w:hAnsi="Arial" w:cs="Arial"/>
          <w:bCs/>
          <w:i/>
          <w:sz w:val="24"/>
          <w:szCs w:val="24"/>
          <w:lang w:eastAsia="es-MX"/>
        </w:rPr>
        <w:t xml:space="preserve">I. Se pretenda impugnar actos o resoluciones que no afecten el </w:t>
      </w:r>
      <w:r w:rsidRPr="00F32542">
        <w:rPr>
          <w:rFonts w:ascii="Arial" w:hAnsi="Arial" w:cs="Arial"/>
          <w:b/>
          <w:bCs/>
          <w:i/>
          <w:sz w:val="24"/>
          <w:szCs w:val="24"/>
          <w:lang w:eastAsia="es-MX"/>
        </w:rPr>
        <w:t>interés jurídico</w:t>
      </w:r>
      <w:r w:rsidRPr="00F32542">
        <w:rPr>
          <w:rFonts w:ascii="Arial" w:hAnsi="Arial" w:cs="Arial"/>
          <w:bCs/>
          <w:i/>
          <w:sz w:val="24"/>
          <w:szCs w:val="24"/>
          <w:lang w:eastAsia="es-MX"/>
        </w:rPr>
        <w:t xml:space="preserve"> del actor y cuando se interpongan ante autoridad u órgano distinto del responsable;</w:t>
      </w:r>
    </w:p>
    <w:p w14:paraId="2716FB17" w14:textId="77777777" w:rsidR="003D29D2" w:rsidRPr="00F32542" w:rsidRDefault="003D29D2" w:rsidP="00286BB3">
      <w:pPr>
        <w:spacing w:after="0" w:line="240" w:lineRule="auto"/>
        <w:ind w:left="567" w:right="567"/>
        <w:jc w:val="both"/>
        <w:rPr>
          <w:rFonts w:ascii="Arial" w:hAnsi="Arial" w:cs="Arial"/>
          <w:bCs/>
          <w:i/>
          <w:sz w:val="24"/>
          <w:szCs w:val="24"/>
          <w:lang w:eastAsia="es-MX"/>
        </w:rPr>
      </w:pPr>
    </w:p>
    <w:p w14:paraId="37AB59DA" w14:textId="77777777" w:rsidR="00286BB3" w:rsidRPr="00F32542" w:rsidRDefault="00286BB3" w:rsidP="00286BB3">
      <w:pPr>
        <w:spacing w:after="0" w:line="240" w:lineRule="auto"/>
        <w:ind w:left="567" w:right="567"/>
        <w:jc w:val="both"/>
        <w:rPr>
          <w:rFonts w:ascii="Arial" w:hAnsi="Arial" w:cs="Arial"/>
          <w:bCs/>
          <w:i/>
          <w:sz w:val="24"/>
          <w:szCs w:val="24"/>
          <w:lang w:eastAsia="es-MX"/>
        </w:rPr>
      </w:pPr>
      <w:r w:rsidRPr="00F32542">
        <w:rPr>
          <w:rFonts w:ascii="Arial" w:hAnsi="Arial" w:cs="Arial"/>
          <w:bCs/>
          <w:i/>
          <w:sz w:val="24"/>
          <w:szCs w:val="24"/>
          <w:lang w:eastAsia="es-MX"/>
        </w:rPr>
        <w:t xml:space="preserve">II. Se pretenda impugnar </w:t>
      </w:r>
      <w:r w:rsidRPr="00F32542">
        <w:rPr>
          <w:rFonts w:ascii="Arial" w:hAnsi="Arial" w:cs="Arial"/>
          <w:b/>
          <w:bCs/>
          <w:i/>
          <w:sz w:val="24"/>
          <w:szCs w:val="24"/>
          <w:lang w:eastAsia="es-MX"/>
        </w:rPr>
        <w:t>actos o resoluciones que se hayan consumado de un modo irreparable</w:t>
      </w:r>
      <w:r w:rsidRPr="00F32542">
        <w:rPr>
          <w:rFonts w:ascii="Arial" w:hAnsi="Arial" w:cs="Arial"/>
          <w:bCs/>
          <w:i/>
          <w:sz w:val="24"/>
          <w:szCs w:val="24"/>
          <w:lang w:eastAsia="es-MX"/>
        </w:rPr>
        <w:t>;</w:t>
      </w:r>
    </w:p>
    <w:p w14:paraId="43A2D863" w14:textId="77777777" w:rsidR="003D29D2" w:rsidRPr="00F32542" w:rsidRDefault="003D29D2" w:rsidP="00286BB3">
      <w:pPr>
        <w:spacing w:after="0" w:line="240" w:lineRule="auto"/>
        <w:ind w:left="567" w:right="567"/>
        <w:jc w:val="both"/>
        <w:rPr>
          <w:rFonts w:ascii="Arial" w:hAnsi="Arial" w:cs="Arial"/>
          <w:bCs/>
          <w:i/>
          <w:sz w:val="24"/>
          <w:szCs w:val="24"/>
          <w:lang w:eastAsia="es-MX"/>
        </w:rPr>
      </w:pPr>
    </w:p>
    <w:p w14:paraId="59541FC9" w14:textId="77777777" w:rsidR="00286BB3" w:rsidRPr="00F32542" w:rsidRDefault="00286BB3" w:rsidP="00286BB3">
      <w:pPr>
        <w:spacing w:after="0" w:line="240" w:lineRule="auto"/>
        <w:ind w:left="567" w:right="567"/>
        <w:jc w:val="both"/>
        <w:rPr>
          <w:rFonts w:ascii="Arial" w:hAnsi="Arial" w:cs="Arial"/>
          <w:bCs/>
          <w:i/>
          <w:sz w:val="24"/>
          <w:szCs w:val="24"/>
          <w:lang w:eastAsia="es-MX"/>
        </w:rPr>
      </w:pPr>
      <w:r w:rsidRPr="00F32542">
        <w:rPr>
          <w:rFonts w:ascii="Arial" w:hAnsi="Arial" w:cs="Arial"/>
          <w:bCs/>
          <w:i/>
          <w:sz w:val="24"/>
          <w:szCs w:val="24"/>
          <w:lang w:eastAsia="es-MX"/>
        </w:rPr>
        <w:t xml:space="preserve">III. Se pretenda impugnar </w:t>
      </w:r>
      <w:r w:rsidRPr="00F32542">
        <w:rPr>
          <w:rFonts w:ascii="Arial" w:hAnsi="Arial" w:cs="Arial"/>
          <w:b/>
          <w:bCs/>
          <w:i/>
          <w:sz w:val="24"/>
          <w:szCs w:val="24"/>
          <w:lang w:eastAsia="es-MX"/>
        </w:rPr>
        <w:t>actos o resoluciones que se hubiesen consentido expresamente</w:t>
      </w:r>
      <w:r w:rsidRPr="00F32542">
        <w:rPr>
          <w:rFonts w:ascii="Arial" w:hAnsi="Arial" w:cs="Arial"/>
          <w:bCs/>
          <w:i/>
          <w:sz w:val="24"/>
          <w:szCs w:val="24"/>
          <w:lang w:eastAsia="es-MX"/>
        </w:rPr>
        <w:t>, entendiéndose por éstos, las manifestaciones de voluntad que entrañen ese consentimiento;</w:t>
      </w:r>
    </w:p>
    <w:p w14:paraId="0B544959" w14:textId="77777777" w:rsidR="003D29D2" w:rsidRPr="00F32542" w:rsidRDefault="003D29D2" w:rsidP="00286BB3">
      <w:pPr>
        <w:spacing w:after="0" w:line="240" w:lineRule="auto"/>
        <w:ind w:left="567" w:right="567"/>
        <w:jc w:val="both"/>
        <w:rPr>
          <w:rFonts w:ascii="Arial" w:hAnsi="Arial" w:cs="Arial"/>
          <w:bCs/>
          <w:i/>
          <w:sz w:val="24"/>
          <w:szCs w:val="24"/>
          <w:lang w:eastAsia="es-MX"/>
        </w:rPr>
      </w:pPr>
    </w:p>
    <w:p w14:paraId="3B8EA151" w14:textId="77777777" w:rsidR="00286BB3" w:rsidRPr="00F32542" w:rsidRDefault="00286BB3" w:rsidP="00286BB3">
      <w:pPr>
        <w:spacing w:after="0" w:line="240" w:lineRule="auto"/>
        <w:ind w:left="567" w:right="567"/>
        <w:jc w:val="both"/>
        <w:rPr>
          <w:rFonts w:ascii="Arial" w:hAnsi="Arial" w:cs="Arial"/>
          <w:bCs/>
          <w:i/>
          <w:sz w:val="24"/>
          <w:szCs w:val="24"/>
          <w:lang w:eastAsia="es-MX"/>
        </w:rPr>
      </w:pPr>
      <w:r w:rsidRPr="00F32542">
        <w:rPr>
          <w:rFonts w:ascii="Arial" w:hAnsi="Arial" w:cs="Arial"/>
          <w:bCs/>
          <w:i/>
          <w:sz w:val="24"/>
          <w:szCs w:val="24"/>
          <w:lang w:eastAsia="es-MX"/>
        </w:rPr>
        <w:t xml:space="preserve">IV. Se presenten </w:t>
      </w:r>
      <w:r w:rsidRPr="00F32542">
        <w:rPr>
          <w:rFonts w:ascii="Arial" w:hAnsi="Arial" w:cs="Arial"/>
          <w:b/>
          <w:bCs/>
          <w:i/>
          <w:sz w:val="24"/>
          <w:szCs w:val="24"/>
          <w:lang w:eastAsia="es-MX"/>
        </w:rPr>
        <w:t>fuera de los plazos</w:t>
      </w:r>
      <w:r w:rsidRPr="00F32542">
        <w:rPr>
          <w:rFonts w:ascii="Arial" w:hAnsi="Arial" w:cs="Arial"/>
          <w:bCs/>
          <w:i/>
          <w:sz w:val="24"/>
          <w:szCs w:val="24"/>
          <w:lang w:eastAsia="es-MX"/>
        </w:rPr>
        <w:t xml:space="preserve"> señalados en esta Ley;</w:t>
      </w:r>
    </w:p>
    <w:p w14:paraId="69CF6CED" w14:textId="77777777" w:rsidR="003D29D2" w:rsidRPr="00F32542" w:rsidRDefault="003D29D2" w:rsidP="00286BB3">
      <w:pPr>
        <w:spacing w:after="0" w:line="240" w:lineRule="auto"/>
        <w:ind w:left="567" w:right="567"/>
        <w:jc w:val="both"/>
        <w:rPr>
          <w:rFonts w:ascii="Arial" w:hAnsi="Arial" w:cs="Arial"/>
          <w:bCs/>
          <w:i/>
          <w:sz w:val="24"/>
          <w:szCs w:val="24"/>
          <w:lang w:eastAsia="es-MX"/>
        </w:rPr>
      </w:pPr>
    </w:p>
    <w:p w14:paraId="5592AB65" w14:textId="77777777" w:rsidR="00286BB3" w:rsidRPr="00F32542" w:rsidRDefault="00286BB3" w:rsidP="00286BB3">
      <w:pPr>
        <w:spacing w:after="0" w:line="240" w:lineRule="auto"/>
        <w:ind w:left="567" w:right="567"/>
        <w:jc w:val="both"/>
        <w:rPr>
          <w:rFonts w:ascii="Arial" w:hAnsi="Arial" w:cs="Arial"/>
          <w:bCs/>
          <w:i/>
          <w:sz w:val="24"/>
          <w:szCs w:val="24"/>
          <w:lang w:eastAsia="es-MX"/>
        </w:rPr>
      </w:pPr>
      <w:r w:rsidRPr="00F32542">
        <w:rPr>
          <w:rFonts w:ascii="Arial" w:hAnsi="Arial" w:cs="Arial"/>
          <w:bCs/>
          <w:i/>
          <w:sz w:val="24"/>
          <w:szCs w:val="24"/>
          <w:lang w:eastAsia="es-MX"/>
        </w:rPr>
        <w:t xml:space="preserve">V. La parte promovente </w:t>
      </w:r>
      <w:r w:rsidRPr="00F32542">
        <w:rPr>
          <w:rFonts w:ascii="Arial" w:hAnsi="Arial" w:cs="Arial"/>
          <w:b/>
          <w:bCs/>
          <w:i/>
          <w:sz w:val="24"/>
          <w:szCs w:val="24"/>
          <w:lang w:eastAsia="es-MX"/>
        </w:rPr>
        <w:t>carezca de legitimación</w:t>
      </w:r>
      <w:r w:rsidRPr="00F32542">
        <w:rPr>
          <w:rFonts w:ascii="Arial" w:hAnsi="Arial" w:cs="Arial"/>
          <w:bCs/>
          <w:i/>
          <w:sz w:val="24"/>
          <w:szCs w:val="24"/>
          <w:lang w:eastAsia="es-MX"/>
        </w:rPr>
        <w:t xml:space="preserve"> en los términos del presente ordenamiento;</w:t>
      </w:r>
    </w:p>
    <w:p w14:paraId="76C61FB9" w14:textId="77777777" w:rsidR="003D29D2" w:rsidRPr="00F32542" w:rsidRDefault="003D29D2" w:rsidP="00286BB3">
      <w:pPr>
        <w:spacing w:after="0" w:line="240" w:lineRule="auto"/>
        <w:ind w:left="567" w:right="567"/>
        <w:jc w:val="both"/>
        <w:rPr>
          <w:rFonts w:ascii="Arial" w:hAnsi="Arial" w:cs="Arial"/>
          <w:bCs/>
          <w:i/>
          <w:sz w:val="24"/>
          <w:szCs w:val="24"/>
          <w:lang w:eastAsia="es-MX"/>
        </w:rPr>
      </w:pPr>
    </w:p>
    <w:p w14:paraId="29BBFAD6" w14:textId="77777777" w:rsidR="00286BB3" w:rsidRPr="00F32542" w:rsidRDefault="00286BB3" w:rsidP="00286BB3">
      <w:pPr>
        <w:spacing w:after="0" w:line="240" w:lineRule="auto"/>
        <w:ind w:left="567" w:right="567"/>
        <w:jc w:val="both"/>
        <w:rPr>
          <w:rFonts w:ascii="Arial" w:hAnsi="Arial" w:cs="Arial"/>
          <w:bCs/>
          <w:i/>
          <w:sz w:val="24"/>
          <w:szCs w:val="24"/>
          <w:lang w:eastAsia="es-MX"/>
        </w:rPr>
      </w:pPr>
      <w:r w:rsidRPr="00F32542">
        <w:rPr>
          <w:rFonts w:ascii="Arial" w:hAnsi="Arial" w:cs="Arial"/>
          <w:bCs/>
          <w:i/>
          <w:sz w:val="24"/>
          <w:szCs w:val="24"/>
          <w:lang w:eastAsia="es-MX"/>
        </w:rPr>
        <w:t>…</w:t>
      </w:r>
    </w:p>
    <w:p w14:paraId="2B92BCAF" w14:textId="77777777" w:rsidR="003D29D2" w:rsidRPr="00F32542" w:rsidRDefault="003D29D2" w:rsidP="00286BB3">
      <w:pPr>
        <w:spacing w:after="0" w:line="240" w:lineRule="auto"/>
        <w:ind w:left="567" w:right="567"/>
        <w:jc w:val="both"/>
        <w:rPr>
          <w:rFonts w:ascii="Arial" w:hAnsi="Arial" w:cs="Arial"/>
          <w:bCs/>
          <w:i/>
          <w:sz w:val="24"/>
          <w:szCs w:val="24"/>
          <w:lang w:eastAsia="es-MX"/>
        </w:rPr>
      </w:pPr>
    </w:p>
    <w:p w14:paraId="375D505A" w14:textId="77777777" w:rsidR="00286BB3" w:rsidRPr="00F32542" w:rsidRDefault="00286BB3" w:rsidP="00286BB3">
      <w:pPr>
        <w:spacing w:after="0" w:line="240" w:lineRule="auto"/>
        <w:ind w:left="567" w:right="567"/>
        <w:jc w:val="both"/>
        <w:rPr>
          <w:rFonts w:ascii="Arial" w:hAnsi="Arial" w:cs="Arial"/>
          <w:bCs/>
          <w:iCs/>
          <w:sz w:val="24"/>
          <w:szCs w:val="24"/>
          <w:lang w:eastAsia="es-MX"/>
        </w:rPr>
      </w:pPr>
      <w:r w:rsidRPr="00F32542">
        <w:rPr>
          <w:rFonts w:ascii="Arial" w:hAnsi="Arial" w:cs="Arial"/>
          <w:bCs/>
          <w:i/>
          <w:sz w:val="24"/>
          <w:szCs w:val="24"/>
          <w:lang w:eastAsia="es-MX"/>
        </w:rPr>
        <w:t xml:space="preserve">X. Exista la excepción procesal de la </w:t>
      </w:r>
      <w:r w:rsidRPr="00F32542">
        <w:rPr>
          <w:rFonts w:ascii="Arial" w:hAnsi="Arial" w:cs="Arial"/>
          <w:b/>
          <w:bCs/>
          <w:i/>
          <w:sz w:val="24"/>
          <w:szCs w:val="24"/>
          <w:lang w:eastAsia="es-MX"/>
        </w:rPr>
        <w:t>cosa juzgada</w:t>
      </w:r>
      <w:r w:rsidRPr="00F32542">
        <w:rPr>
          <w:rFonts w:ascii="Arial" w:hAnsi="Arial" w:cs="Arial"/>
          <w:bCs/>
          <w:i/>
          <w:sz w:val="24"/>
          <w:szCs w:val="24"/>
          <w:lang w:eastAsia="es-MX"/>
        </w:rPr>
        <w:t>, así como su eficacia refleja</w:t>
      </w:r>
      <w:r w:rsidR="003D29D2" w:rsidRPr="00F32542">
        <w:rPr>
          <w:rFonts w:ascii="Arial" w:hAnsi="Arial" w:cs="Arial"/>
          <w:bCs/>
          <w:iCs/>
          <w:sz w:val="24"/>
          <w:szCs w:val="24"/>
          <w:lang w:eastAsia="es-MX"/>
        </w:rPr>
        <w:t>”.</w:t>
      </w:r>
    </w:p>
    <w:p w14:paraId="11E0712D" w14:textId="77777777" w:rsidR="00286BB3" w:rsidRPr="00F32542" w:rsidRDefault="00286BB3" w:rsidP="003D29D2">
      <w:pPr>
        <w:spacing w:after="0" w:line="360" w:lineRule="auto"/>
        <w:ind w:left="567" w:right="567"/>
        <w:jc w:val="both"/>
        <w:rPr>
          <w:rFonts w:ascii="Arial" w:hAnsi="Arial" w:cs="Arial"/>
          <w:i/>
          <w:sz w:val="28"/>
          <w:szCs w:val="28"/>
          <w:lang w:eastAsia="es-MX"/>
        </w:rPr>
      </w:pPr>
    </w:p>
    <w:p w14:paraId="6A629513" w14:textId="77777777" w:rsidR="00286BB3" w:rsidRPr="00F32542" w:rsidRDefault="00286BB3" w:rsidP="003D29D2">
      <w:pPr>
        <w:spacing w:after="0" w:line="360" w:lineRule="auto"/>
        <w:jc w:val="both"/>
        <w:rPr>
          <w:rFonts w:ascii="Arial" w:hAnsi="Arial" w:cs="Arial"/>
          <w:sz w:val="28"/>
          <w:szCs w:val="28"/>
          <w:lang w:eastAsia="es-MX"/>
        </w:rPr>
      </w:pPr>
      <w:r w:rsidRPr="00F32542">
        <w:rPr>
          <w:rFonts w:ascii="Arial" w:hAnsi="Arial" w:cs="Arial"/>
          <w:sz w:val="28"/>
          <w:szCs w:val="28"/>
          <w:lang w:eastAsia="es-MX"/>
        </w:rPr>
        <w:t xml:space="preserve">Precisado lo anterior se procede a estudiar las mismas, bajo el siguiente orden: primero se analizarán las causales de extemporaneidad, actos consentidos y cosa juzgada. </w:t>
      </w:r>
    </w:p>
    <w:p w14:paraId="62FDEFEA" w14:textId="77777777" w:rsidR="00286BB3" w:rsidRPr="00F32542" w:rsidRDefault="00286BB3" w:rsidP="003D29D2">
      <w:pPr>
        <w:spacing w:after="0" w:line="360" w:lineRule="auto"/>
        <w:jc w:val="both"/>
        <w:rPr>
          <w:rFonts w:ascii="Arial" w:hAnsi="Arial" w:cs="Arial"/>
          <w:sz w:val="28"/>
          <w:szCs w:val="28"/>
          <w:lang w:eastAsia="es-MX"/>
        </w:rPr>
      </w:pPr>
    </w:p>
    <w:p w14:paraId="42E9C112" w14:textId="77777777" w:rsidR="00286BB3" w:rsidRPr="00F32542" w:rsidRDefault="00286BB3" w:rsidP="003D29D2">
      <w:pPr>
        <w:spacing w:after="0" w:line="360" w:lineRule="auto"/>
        <w:jc w:val="both"/>
        <w:rPr>
          <w:rFonts w:ascii="Arial" w:hAnsi="Arial" w:cs="Arial"/>
          <w:sz w:val="28"/>
          <w:szCs w:val="28"/>
          <w:lang w:eastAsia="es-MX"/>
        </w:rPr>
      </w:pPr>
      <w:r w:rsidRPr="00F32542">
        <w:rPr>
          <w:rFonts w:ascii="Arial" w:hAnsi="Arial" w:cs="Arial"/>
          <w:sz w:val="28"/>
          <w:szCs w:val="28"/>
          <w:lang w:eastAsia="es-MX"/>
        </w:rPr>
        <w:t xml:space="preserve">Ello, porque las partes terceras interesadas aducen que se actualizan tales causales a partir de la emisión previa de los </w:t>
      </w:r>
      <w:r w:rsidRPr="00F32542">
        <w:rPr>
          <w:rFonts w:ascii="Arial" w:hAnsi="Arial" w:cs="Arial"/>
          <w:b/>
          <w:i/>
          <w:sz w:val="28"/>
          <w:szCs w:val="28"/>
          <w:lang w:eastAsia="es-MX"/>
        </w:rPr>
        <w:t>Lineamientos de integración</w:t>
      </w:r>
      <w:r w:rsidRPr="00F32542">
        <w:rPr>
          <w:rFonts w:ascii="Arial" w:hAnsi="Arial" w:cs="Arial"/>
          <w:sz w:val="28"/>
          <w:szCs w:val="28"/>
          <w:lang w:eastAsia="es-MX"/>
        </w:rPr>
        <w:t xml:space="preserve">, así como de los </w:t>
      </w:r>
      <w:r w:rsidRPr="00F32542">
        <w:rPr>
          <w:rFonts w:ascii="Arial" w:hAnsi="Arial" w:cs="Arial"/>
          <w:b/>
          <w:i/>
          <w:sz w:val="28"/>
          <w:szCs w:val="28"/>
          <w:lang w:eastAsia="es-MX"/>
        </w:rPr>
        <w:t>Acuerdos de registro de candidaturas</w:t>
      </w:r>
      <w:r w:rsidRPr="00F32542">
        <w:rPr>
          <w:rFonts w:ascii="Arial" w:hAnsi="Arial" w:cs="Arial"/>
          <w:sz w:val="28"/>
          <w:szCs w:val="28"/>
          <w:lang w:eastAsia="es-MX"/>
        </w:rPr>
        <w:t xml:space="preserve">. </w:t>
      </w:r>
    </w:p>
    <w:p w14:paraId="1CA099F2" w14:textId="77777777" w:rsidR="00286BB3" w:rsidRPr="00F32542" w:rsidRDefault="00286BB3" w:rsidP="003D29D2">
      <w:pPr>
        <w:spacing w:after="0" w:line="360" w:lineRule="auto"/>
        <w:jc w:val="both"/>
        <w:rPr>
          <w:rFonts w:ascii="Arial" w:hAnsi="Arial" w:cs="Arial"/>
          <w:sz w:val="28"/>
          <w:szCs w:val="28"/>
          <w:lang w:eastAsia="es-MX"/>
        </w:rPr>
      </w:pPr>
    </w:p>
    <w:p w14:paraId="583E9A8D" w14:textId="77777777" w:rsidR="00286BB3" w:rsidRPr="00F32542" w:rsidRDefault="00286BB3" w:rsidP="003D29D2">
      <w:pPr>
        <w:spacing w:after="0" w:line="360" w:lineRule="auto"/>
        <w:jc w:val="both"/>
        <w:rPr>
          <w:rFonts w:ascii="Arial" w:hAnsi="Arial" w:cs="Arial"/>
          <w:sz w:val="28"/>
          <w:szCs w:val="28"/>
          <w:lang w:eastAsia="es-MX"/>
        </w:rPr>
      </w:pPr>
      <w:r w:rsidRPr="00F32542">
        <w:rPr>
          <w:rFonts w:ascii="Arial" w:hAnsi="Arial" w:cs="Arial"/>
          <w:sz w:val="28"/>
          <w:szCs w:val="28"/>
          <w:lang w:eastAsia="es-MX"/>
        </w:rPr>
        <w:t>Posteriormente, se analizarán conjuntamente los casos en que se aduce la falta de legitimación y/o de interés jurídico de los promoventes.</w:t>
      </w:r>
    </w:p>
    <w:p w14:paraId="74BBF18E" w14:textId="77777777" w:rsidR="00286BB3" w:rsidRPr="00F32542" w:rsidRDefault="00286BB3" w:rsidP="003D29D2">
      <w:pPr>
        <w:spacing w:after="0" w:line="360" w:lineRule="auto"/>
        <w:jc w:val="both"/>
        <w:rPr>
          <w:rFonts w:ascii="Arial" w:hAnsi="Arial" w:cs="Arial"/>
          <w:sz w:val="28"/>
          <w:szCs w:val="28"/>
          <w:lang w:eastAsia="es-MX"/>
        </w:rPr>
      </w:pPr>
    </w:p>
    <w:p w14:paraId="692EC8B9" w14:textId="77777777" w:rsidR="00286BB3" w:rsidRPr="00F32542" w:rsidRDefault="00286BB3" w:rsidP="003D29D2">
      <w:pPr>
        <w:spacing w:after="0" w:line="360" w:lineRule="auto"/>
        <w:jc w:val="both"/>
        <w:rPr>
          <w:rFonts w:ascii="Arial" w:hAnsi="Arial" w:cs="Arial"/>
          <w:sz w:val="28"/>
          <w:szCs w:val="28"/>
          <w:lang w:eastAsia="es-MX"/>
        </w:rPr>
      </w:pPr>
      <w:r w:rsidRPr="00F32542">
        <w:rPr>
          <w:rFonts w:ascii="Arial" w:hAnsi="Arial" w:cs="Arial"/>
          <w:sz w:val="28"/>
          <w:szCs w:val="28"/>
          <w:lang w:eastAsia="es-MX"/>
        </w:rPr>
        <w:t>Finalmente se analizará lo aducido sobre la presunta la frivolidad de las demandas.</w:t>
      </w:r>
    </w:p>
    <w:p w14:paraId="42D75007" w14:textId="77777777" w:rsidR="00286BB3" w:rsidRPr="00F32542" w:rsidRDefault="00286BB3" w:rsidP="003D29D2">
      <w:pPr>
        <w:spacing w:after="0" w:line="360" w:lineRule="auto"/>
        <w:jc w:val="both"/>
        <w:rPr>
          <w:rFonts w:ascii="Arial" w:hAnsi="Arial" w:cs="Arial"/>
          <w:sz w:val="28"/>
          <w:szCs w:val="28"/>
          <w:lang w:eastAsia="es-MX"/>
        </w:rPr>
      </w:pPr>
    </w:p>
    <w:p w14:paraId="5925E8D2" w14:textId="77777777" w:rsidR="00286BB3" w:rsidRPr="00F32542" w:rsidRDefault="00286BB3" w:rsidP="003D29D2">
      <w:pPr>
        <w:pStyle w:val="Prrafodelista"/>
        <w:numPr>
          <w:ilvl w:val="0"/>
          <w:numId w:val="1"/>
        </w:numPr>
        <w:spacing w:line="360" w:lineRule="auto"/>
        <w:rPr>
          <w:rFonts w:ascii="Arial" w:hAnsi="Arial" w:cs="Arial"/>
          <w:b/>
          <w:szCs w:val="28"/>
          <w:lang w:eastAsia="es-MX"/>
        </w:rPr>
      </w:pPr>
      <w:r w:rsidRPr="00F32542">
        <w:rPr>
          <w:rFonts w:ascii="Arial" w:hAnsi="Arial" w:cs="Arial"/>
          <w:b/>
          <w:szCs w:val="28"/>
          <w:lang w:eastAsia="es-MX"/>
        </w:rPr>
        <w:t>Extemporaneidad de las demandas, actos consumados, consentidos y/o cosa juzgada.</w:t>
      </w:r>
    </w:p>
    <w:p w14:paraId="1E6196AF" w14:textId="77777777" w:rsidR="00286BB3" w:rsidRPr="00F32542" w:rsidRDefault="00286BB3" w:rsidP="003D29D2">
      <w:pPr>
        <w:spacing w:after="0" w:line="360" w:lineRule="auto"/>
        <w:jc w:val="both"/>
        <w:rPr>
          <w:rFonts w:ascii="Arial" w:hAnsi="Arial" w:cs="Arial"/>
          <w:sz w:val="28"/>
          <w:szCs w:val="28"/>
          <w:lang w:eastAsia="es-MX"/>
        </w:rPr>
      </w:pPr>
    </w:p>
    <w:p w14:paraId="20DE7B9D" w14:textId="77777777" w:rsidR="00286BB3" w:rsidRPr="00F32542" w:rsidRDefault="00286BB3" w:rsidP="003D29D2">
      <w:pPr>
        <w:spacing w:after="0" w:line="360" w:lineRule="auto"/>
        <w:jc w:val="both"/>
        <w:rPr>
          <w:rFonts w:ascii="Arial" w:hAnsi="Arial" w:cs="Arial"/>
          <w:bCs/>
          <w:sz w:val="28"/>
          <w:szCs w:val="28"/>
          <w:lang w:eastAsia="es-MX"/>
        </w:rPr>
      </w:pPr>
      <w:r w:rsidRPr="00F32542">
        <w:rPr>
          <w:rFonts w:ascii="Arial" w:hAnsi="Arial" w:cs="Arial"/>
          <w:sz w:val="28"/>
          <w:szCs w:val="28"/>
          <w:lang w:eastAsia="es-MX"/>
        </w:rPr>
        <w:t xml:space="preserve">En los juicios </w:t>
      </w:r>
      <w:r w:rsidRPr="00F32542">
        <w:rPr>
          <w:rFonts w:ascii="Arial" w:hAnsi="Arial" w:cs="Arial"/>
          <w:bCs/>
          <w:sz w:val="28"/>
          <w:szCs w:val="28"/>
          <w:lang w:eastAsia="es-MX"/>
        </w:rPr>
        <w:t>donde, conforme al cuadro anterior, la autoridad responsable o las partes terceras interesadas aducen</w:t>
      </w:r>
      <w:r w:rsidRPr="00F32542">
        <w:rPr>
          <w:rFonts w:ascii="Arial" w:hAnsi="Arial" w:cs="Arial"/>
          <w:sz w:val="28"/>
          <w:szCs w:val="28"/>
          <w:lang w:eastAsia="es-MX"/>
        </w:rPr>
        <w:t xml:space="preserve"> la extemporaneidad de las demandas, </w:t>
      </w:r>
      <w:proofErr w:type="gramStart"/>
      <w:r w:rsidRPr="00F32542">
        <w:rPr>
          <w:rFonts w:ascii="Arial" w:hAnsi="Arial" w:cs="Arial"/>
          <w:sz w:val="28"/>
          <w:szCs w:val="28"/>
          <w:lang w:eastAsia="es-MX"/>
        </w:rPr>
        <w:t xml:space="preserve">en razón </w:t>
      </w:r>
      <w:r w:rsidR="00875398" w:rsidRPr="00F32542">
        <w:rPr>
          <w:rFonts w:ascii="Arial" w:hAnsi="Arial" w:cs="Arial"/>
          <w:sz w:val="28"/>
          <w:szCs w:val="28"/>
          <w:lang w:eastAsia="es-MX"/>
        </w:rPr>
        <w:t>de</w:t>
      </w:r>
      <w:proofErr w:type="gramEnd"/>
      <w:r w:rsidRPr="00F32542">
        <w:rPr>
          <w:rFonts w:ascii="Arial" w:hAnsi="Arial" w:cs="Arial"/>
          <w:sz w:val="28"/>
          <w:szCs w:val="28"/>
          <w:lang w:eastAsia="es-MX"/>
        </w:rPr>
        <w:t xml:space="preserve"> que fueron presentadas </w:t>
      </w:r>
      <w:r w:rsidRPr="00F32542">
        <w:rPr>
          <w:rFonts w:ascii="Arial" w:hAnsi="Arial" w:cs="Arial"/>
          <w:b/>
          <w:sz w:val="28"/>
          <w:szCs w:val="28"/>
          <w:lang w:eastAsia="es-MX"/>
        </w:rPr>
        <w:t>fuera del plazo legal</w:t>
      </w:r>
      <w:r w:rsidRPr="00F32542">
        <w:rPr>
          <w:rFonts w:ascii="Arial" w:hAnsi="Arial" w:cs="Arial"/>
          <w:bCs/>
          <w:sz w:val="28"/>
          <w:szCs w:val="28"/>
          <w:lang w:eastAsia="es-MX"/>
        </w:rPr>
        <w:t>, partiendo de que en realidad</w:t>
      </w:r>
      <w:r w:rsidRPr="00F32542">
        <w:rPr>
          <w:rFonts w:ascii="Arial" w:hAnsi="Arial" w:cs="Arial"/>
          <w:sz w:val="28"/>
          <w:szCs w:val="28"/>
          <w:lang w:eastAsia="es-MX"/>
        </w:rPr>
        <w:t xml:space="preserve"> impugnan los </w:t>
      </w:r>
      <w:r w:rsidRPr="00F32542">
        <w:rPr>
          <w:rFonts w:ascii="Arial" w:hAnsi="Arial" w:cs="Arial"/>
          <w:i/>
          <w:sz w:val="28"/>
          <w:szCs w:val="28"/>
          <w:lang w:eastAsia="es-MX"/>
        </w:rPr>
        <w:t>Lineamientos para la asignación</w:t>
      </w:r>
      <w:r w:rsidRPr="00F32542">
        <w:rPr>
          <w:rFonts w:ascii="Arial" w:hAnsi="Arial" w:cs="Arial"/>
          <w:sz w:val="28"/>
          <w:szCs w:val="28"/>
          <w:lang w:eastAsia="es-MX"/>
        </w:rPr>
        <w:t xml:space="preserve">, emitidos por el </w:t>
      </w:r>
      <w:r w:rsidRPr="00F32542">
        <w:rPr>
          <w:rFonts w:ascii="Arial" w:hAnsi="Arial" w:cs="Arial"/>
          <w:sz w:val="28"/>
          <w:szCs w:val="28"/>
          <w:lang w:eastAsia="es-MX"/>
        </w:rPr>
        <w:lastRenderedPageBreak/>
        <w:t xml:space="preserve">Consejo General del </w:t>
      </w:r>
      <w:r w:rsidRPr="00F32542">
        <w:rPr>
          <w:rFonts w:ascii="Arial" w:hAnsi="Arial" w:cs="Arial"/>
          <w:i/>
          <w:iCs/>
          <w:sz w:val="28"/>
          <w:szCs w:val="28"/>
          <w:lang w:eastAsia="es-MX"/>
        </w:rPr>
        <w:t>IECM</w:t>
      </w:r>
      <w:r w:rsidRPr="00F32542">
        <w:rPr>
          <w:rFonts w:ascii="Arial" w:hAnsi="Arial" w:cs="Arial"/>
          <w:sz w:val="28"/>
          <w:szCs w:val="28"/>
          <w:lang w:eastAsia="es-MX"/>
        </w:rPr>
        <w:t>, desde diciembre del año pasado</w:t>
      </w:r>
      <w:r w:rsidRPr="00F32542">
        <w:rPr>
          <w:rFonts w:ascii="Arial" w:hAnsi="Arial" w:cs="Arial"/>
          <w:bCs/>
          <w:sz w:val="28"/>
          <w:szCs w:val="28"/>
          <w:lang w:eastAsia="es-MX"/>
        </w:rPr>
        <w:t>, el planteamiento resulta infundado en atención a lo siguiente.</w:t>
      </w:r>
    </w:p>
    <w:p w14:paraId="1238E6D1" w14:textId="77777777" w:rsidR="00286BB3" w:rsidRPr="00F32542" w:rsidRDefault="00286BB3" w:rsidP="003D29D2">
      <w:pPr>
        <w:spacing w:after="0" w:line="360" w:lineRule="auto"/>
        <w:jc w:val="both"/>
        <w:rPr>
          <w:rFonts w:ascii="Arial" w:hAnsi="Arial" w:cs="Arial"/>
          <w:bCs/>
          <w:sz w:val="28"/>
          <w:szCs w:val="28"/>
          <w:lang w:eastAsia="es-MX"/>
        </w:rPr>
      </w:pPr>
    </w:p>
    <w:p w14:paraId="2BFB9CEB" w14:textId="77777777" w:rsidR="00286BB3" w:rsidRPr="00F32542" w:rsidRDefault="00286BB3" w:rsidP="003D29D2">
      <w:pPr>
        <w:spacing w:after="0" w:line="360" w:lineRule="auto"/>
        <w:jc w:val="both"/>
        <w:rPr>
          <w:rFonts w:ascii="Arial" w:hAnsi="Arial" w:cs="Arial"/>
          <w:sz w:val="28"/>
          <w:szCs w:val="28"/>
          <w:lang w:eastAsia="es-MX"/>
        </w:rPr>
      </w:pPr>
      <w:r w:rsidRPr="00F32542">
        <w:rPr>
          <w:rFonts w:ascii="Arial" w:hAnsi="Arial" w:cs="Arial"/>
          <w:sz w:val="28"/>
          <w:szCs w:val="28"/>
          <w:lang w:eastAsia="es-MX"/>
        </w:rPr>
        <w:t>Al respecto, tanto la autoridad responsable</w:t>
      </w:r>
      <w:r w:rsidRPr="00F32542">
        <w:rPr>
          <w:rFonts w:ascii="Arial" w:hAnsi="Arial" w:cs="Arial"/>
          <w:i/>
          <w:sz w:val="28"/>
          <w:szCs w:val="28"/>
          <w:lang w:eastAsia="es-MX"/>
        </w:rPr>
        <w:t xml:space="preserve"> </w:t>
      </w:r>
      <w:r w:rsidRPr="00F32542">
        <w:rPr>
          <w:rFonts w:ascii="Arial" w:hAnsi="Arial" w:cs="Arial"/>
          <w:sz w:val="28"/>
          <w:szCs w:val="28"/>
          <w:lang w:eastAsia="es-MX"/>
        </w:rPr>
        <w:t>como las</w:t>
      </w:r>
      <w:r w:rsidRPr="00F32542">
        <w:rPr>
          <w:rFonts w:ascii="Arial" w:hAnsi="Arial" w:cs="Arial"/>
          <w:i/>
          <w:sz w:val="28"/>
          <w:szCs w:val="28"/>
          <w:lang w:eastAsia="es-MX"/>
        </w:rPr>
        <w:t xml:space="preserve"> </w:t>
      </w:r>
      <w:r w:rsidRPr="00F32542">
        <w:rPr>
          <w:rFonts w:ascii="Arial" w:hAnsi="Arial" w:cs="Arial"/>
          <w:sz w:val="28"/>
          <w:szCs w:val="28"/>
          <w:lang w:eastAsia="es-MX"/>
        </w:rPr>
        <w:t xml:space="preserve">partes terceras interesadas, en los casos atinentes, parten de una premisa inexacta al afirmar que el acto impugnado corresponde a los </w:t>
      </w:r>
      <w:r w:rsidRPr="00F32542">
        <w:rPr>
          <w:rFonts w:ascii="Arial" w:hAnsi="Arial" w:cs="Arial"/>
          <w:i/>
          <w:sz w:val="28"/>
          <w:szCs w:val="28"/>
          <w:lang w:eastAsia="es-MX"/>
        </w:rPr>
        <w:t>Lineamientos de asignación</w:t>
      </w:r>
      <w:r w:rsidRPr="00F32542">
        <w:rPr>
          <w:rFonts w:ascii="Arial" w:hAnsi="Arial" w:cs="Arial"/>
          <w:sz w:val="28"/>
          <w:szCs w:val="28"/>
          <w:lang w:eastAsia="es-MX"/>
        </w:rPr>
        <w:t>.</w:t>
      </w:r>
    </w:p>
    <w:p w14:paraId="6EBFB7AA"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p>
    <w:p w14:paraId="4BF5DBDC"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En efecto, el Pleno de la </w:t>
      </w:r>
      <w:r w:rsidRPr="00F32542">
        <w:rPr>
          <w:rFonts w:ascii="Arial" w:eastAsia="Calibri" w:hAnsi="Arial" w:cs="Arial"/>
          <w:i/>
          <w:sz w:val="28"/>
          <w:szCs w:val="28"/>
        </w:rPr>
        <w:t>Suprema Corte</w:t>
      </w:r>
      <w:r w:rsidRPr="00F32542">
        <w:rPr>
          <w:rFonts w:ascii="Arial" w:eastAsia="Calibri" w:hAnsi="Arial" w:cs="Arial"/>
          <w:sz w:val="28"/>
          <w:szCs w:val="28"/>
        </w:rPr>
        <w:t xml:space="preserve"> en la Jurisprudencia P./J. 55/97, de rubro: “</w:t>
      </w:r>
      <w:r w:rsidRPr="00F32542">
        <w:rPr>
          <w:rFonts w:ascii="Arial" w:eastAsia="Calibri" w:hAnsi="Arial" w:cs="Arial"/>
          <w:b/>
          <w:sz w:val="28"/>
          <w:szCs w:val="28"/>
        </w:rPr>
        <w:t>LEYES AUTOAPLICATIVAS Y HETEROAPLICATIVAS. DISTINCIÓN BASADA EN EL CONCEPTO DE INDIVIDUALIZACIÓN INCONDICIONADA</w:t>
      </w:r>
      <w:r w:rsidRPr="00F32542">
        <w:rPr>
          <w:rFonts w:ascii="Arial" w:eastAsia="Calibri" w:hAnsi="Arial" w:cs="Arial"/>
          <w:sz w:val="28"/>
          <w:szCs w:val="28"/>
        </w:rPr>
        <w:t>”</w:t>
      </w:r>
      <w:r w:rsidRPr="00F32542">
        <w:rPr>
          <w:rStyle w:val="Refdenotaalpie"/>
          <w:rFonts w:ascii="Arial" w:eastAsia="Calibri" w:hAnsi="Arial" w:cs="Arial"/>
          <w:sz w:val="28"/>
          <w:szCs w:val="28"/>
        </w:rPr>
        <w:footnoteReference w:id="15"/>
      </w:r>
      <w:r w:rsidRPr="00F32542">
        <w:rPr>
          <w:rFonts w:ascii="Arial" w:eastAsia="Calibri" w:hAnsi="Arial" w:cs="Arial"/>
          <w:sz w:val="28"/>
          <w:szCs w:val="28"/>
        </w:rPr>
        <w:t xml:space="preserve">, estableció </w:t>
      </w:r>
      <w:proofErr w:type="gramStart"/>
      <w:r w:rsidRPr="00F32542">
        <w:rPr>
          <w:rFonts w:ascii="Arial" w:eastAsia="Calibri" w:hAnsi="Arial" w:cs="Arial"/>
          <w:sz w:val="28"/>
          <w:szCs w:val="28"/>
        </w:rPr>
        <w:t>que</w:t>
      </w:r>
      <w:proofErr w:type="gramEnd"/>
      <w:r w:rsidRPr="00F32542">
        <w:rPr>
          <w:rFonts w:ascii="Arial" w:eastAsia="Calibri" w:hAnsi="Arial" w:cs="Arial"/>
          <w:sz w:val="28"/>
          <w:szCs w:val="28"/>
        </w:rPr>
        <w:t xml:space="preserve"> para distinguir entre ambos tipos de leyes, debe acudirse al concepto de individualización de las mismas, toda vez que constituye un elemento de referencia objetivo para determinar la procedencia del juicio, porque permite conocer, en cada caso concreto, si los efectos de la disposición legal impugnada ocurren en forma condicionada o incondicionada.</w:t>
      </w:r>
    </w:p>
    <w:p w14:paraId="32005E5D"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p>
    <w:p w14:paraId="5330EEA6"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r w:rsidRPr="00F32542">
        <w:rPr>
          <w:rFonts w:ascii="Arial" w:eastAsia="Calibri" w:hAnsi="Arial" w:cs="Arial"/>
          <w:sz w:val="28"/>
          <w:szCs w:val="28"/>
        </w:rPr>
        <w:t>Por lo que hace a la individualización incondicionada, se trata de normas que pueden ser impugnadas desde que entran en vigor y, por tanto, vinculan a las personas a su cumplimiento desde ese momento, en virtud de que crean, transforman o extinguen situaciones concretas de derecho, con el simple hecho de iniciar su vigencia.</w:t>
      </w:r>
    </w:p>
    <w:p w14:paraId="1740407B"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p>
    <w:p w14:paraId="16F670EC"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En cuanto a la individualización condicionada, para que la ley adquiera aplicación al caso concreto, se requiere la realización de un </w:t>
      </w:r>
      <w:r w:rsidRPr="00F32542">
        <w:rPr>
          <w:rFonts w:ascii="Arial" w:eastAsia="Calibri" w:hAnsi="Arial" w:cs="Arial"/>
          <w:sz w:val="28"/>
          <w:szCs w:val="28"/>
        </w:rPr>
        <w:lastRenderedPageBreak/>
        <w:t>acto necesario para ello, que puede revestir el carácter de administrativo o jurisdiccional, e incluso, comprende al acto jurídico emanado de la voluntad de la propia persona o al hecho jurídico ajeno a la voluntad humana, que sitúan al caso dentro de la hipótesis legal.</w:t>
      </w:r>
    </w:p>
    <w:p w14:paraId="0756D718"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p>
    <w:p w14:paraId="29866087"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r w:rsidRPr="00F32542">
        <w:rPr>
          <w:rFonts w:ascii="Arial" w:eastAsia="Calibri" w:hAnsi="Arial" w:cs="Arial"/>
          <w:sz w:val="28"/>
          <w:szCs w:val="28"/>
        </w:rPr>
        <w:t>De esta manera, cuando las obligaciones derivadas de la ley nacen con ella misma, independientemente de que no se actualice condición alguna, se estará en presencia de una ley autoaplicativa o de individualización incondicionada.</w:t>
      </w:r>
    </w:p>
    <w:p w14:paraId="2331E659"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p>
    <w:p w14:paraId="4C5EACDD"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En cambio, cuando las obligaciones de hacer o de no hacer que impone la norma, no surgen en forma automática con su sola entrada en vigor, sino que, para actualizar el perjuicio, se requiere de un acto diverso que condicione su aplicación, se tratará de una disposición </w:t>
      </w:r>
      <w:proofErr w:type="spellStart"/>
      <w:r w:rsidRPr="00F32542">
        <w:rPr>
          <w:rFonts w:ascii="Arial" w:eastAsia="Calibri" w:hAnsi="Arial" w:cs="Arial"/>
          <w:sz w:val="28"/>
          <w:szCs w:val="28"/>
        </w:rPr>
        <w:t>heteroaplicativa</w:t>
      </w:r>
      <w:proofErr w:type="spellEnd"/>
      <w:r w:rsidRPr="00F32542">
        <w:rPr>
          <w:rFonts w:ascii="Arial" w:eastAsia="Calibri" w:hAnsi="Arial" w:cs="Arial"/>
          <w:sz w:val="28"/>
          <w:szCs w:val="28"/>
        </w:rPr>
        <w:t xml:space="preserve"> o de individualización condicionada, pues la aplicación jurídica o material de la norma, en un caso concreto, está sometida a la realización de ese evento.</w:t>
      </w:r>
    </w:p>
    <w:p w14:paraId="671A6D87"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p>
    <w:p w14:paraId="7BE8CCAD"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Ahora bien, es menester precisar, que las normas contenidas en los </w:t>
      </w:r>
      <w:r w:rsidRPr="00F32542">
        <w:rPr>
          <w:rFonts w:ascii="Arial" w:eastAsia="Calibri" w:hAnsi="Arial" w:cs="Arial"/>
          <w:i/>
          <w:sz w:val="28"/>
          <w:szCs w:val="28"/>
        </w:rPr>
        <w:t xml:space="preserve">Lineamientos de asignación </w:t>
      </w:r>
      <w:r w:rsidRPr="00F32542">
        <w:rPr>
          <w:rFonts w:ascii="Arial" w:eastAsia="Calibri" w:hAnsi="Arial" w:cs="Arial"/>
          <w:sz w:val="28"/>
          <w:szCs w:val="28"/>
        </w:rPr>
        <w:t xml:space="preserve">tienen por objeto regular los actos que deberá llevar a cabo el </w:t>
      </w:r>
      <w:r w:rsidRPr="00F32542">
        <w:rPr>
          <w:rFonts w:ascii="Arial" w:eastAsia="Calibri" w:hAnsi="Arial" w:cs="Arial"/>
          <w:i/>
          <w:sz w:val="28"/>
          <w:szCs w:val="28"/>
        </w:rPr>
        <w:t>Instituto Electoral</w:t>
      </w:r>
      <w:r w:rsidRPr="00F32542">
        <w:rPr>
          <w:rFonts w:ascii="Arial" w:eastAsia="Calibri" w:hAnsi="Arial" w:cs="Arial"/>
          <w:sz w:val="28"/>
          <w:szCs w:val="28"/>
        </w:rPr>
        <w:t xml:space="preserve"> para la asignación de las diputaciones electas por el principio de representación proporcional para integrar el Congreso de la Ciudad de México.</w:t>
      </w:r>
    </w:p>
    <w:p w14:paraId="2D00F39F"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p>
    <w:p w14:paraId="188EEE76"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Por consiguiente, en lo que hace a los juicios correspondientes, la aplicación de tales normas estaba condicionada a que los partidos políticos postulantes de las partes actoras —o bien, en el caso del juicio </w:t>
      </w:r>
      <w:bookmarkStart w:id="29" w:name="_Hlk78485702"/>
      <w:r w:rsidRPr="00F32542">
        <w:rPr>
          <w:rFonts w:ascii="Arial" w:eastAsia="Calibri" w:hAnsi="Arial" w:cs="Arial"/>
          <w:b/>
          <w:bCs/>
          <w:sz w:val="28"/>
          <w:szCs w:val="28"/>
        </w:rPr>
        <w:t>TECDMX-JEL-206/2021</w:t>
      </w:r>
      <w:bookmarkEnd w:id="29"/>
      <w:r w:rsidRPr="00F32542">
        <w:rPr>
          <w:rFonts w:ascii="Arial" w:eastAsia="Calibri" w:hAnsi="Arial" w:cs="Arial"/>
          <w:sz w:val="28"/>
          <w:szCs w:val="28"/>
        </w:rPr>
        <w:t xml:space="preserve">, el partido actor mismo— obtuvieran determinado número de votos durante la jornada electoral y, como </w:t>
      </w:r>
      <w:r w:rsidRPr="00F32542">
        <w:rPr>
          <w:rFonts w:ascii="Arial" w:eastAsia="Calibri" w:hAnsi="Arial" w:cs="Arial"/>
          <w:sz w:val="28"/>
          <w:szCs w:val="28"/>
        </w:rPr>
        <w:lastRenderedPageBreak/>
        <w:t>resultado de esa votación, al superar el umbral mínimo para ello, alcanzaran el derecho a participar de la asignación de diputaciones plurinominales  del Congreso de la Ciudad.</w:t>
      </w:r>
    </w:p>
    <w:p w14:paraId="3E5ED439"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p>
    <w:p w14:paraId="570060C1"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De tal suerte, puede concluirse que los </w:t>
      </w:r>
      <w:r w:rsidRPr="00F32542">
        <w:rPr>
          <w:rFonts w:ascii="Arial" w:eastAsia="Calibri" w:hAnsi="Arial" w:cs="Arial"/>
          <w:i/>
          <w:sz w:val="28"/>
          <w:szCs w:val="28"/>
        </w:rPr>
        <w:t>Lineamientos de asignación</w:t>
      </w:r>
      <w:r w:rsidRPr="00F32542">
        <w:rPr>
          <w:rFonts w:ascii="Arial" w:eastAsia="Calibri" w:hAnsi="Arial" w:cs="Arial"/>
          <w:sz w:val="28"/>
          <w:szCs w:val="28"/>
        </w:rPr>
        <w:t xml:space="preserve"> tienen el carácter de una norma </w:t>
      </w:r>
      <w:proofErr w:type="spellStart"/>
      <w:r w:rsidRPr="00F32542">
        <w:rPr>
          <w:rFonts w:ascii="Arial" w:eastAsia="Calibri" w:hAnsi="Arial" w:cs="Arial"/>
          <w:sz w:val="28"/>
          <w:szCs w:val="28"/>
        </w:rPr>
        <w:t>heteroaplicativa</w:t>
      </w:r>
      <w:proofErr w:type="spellEnd"/>
      <w:r w:rsidRPr="00F32542">
        <w:rPr>
          <w:rFonts w:ascii="Arial" w:eastAsia="Calibri" w:hAnsi="Arial" w:cs="Arial"/>
          <w:sz w:val="28"/>
          <w:szCs w:val="28"/>
        </w:rPr>
        <w:t>, porque necesariamente requirieron: a) ser aplicados a partidos político o personas candidatas por el principio de representación proporcional; b) que los partidos políticos contendientes obtuvieran la votación suficiente a su favor, el día de la jornada electoral, y c) que la asignación de diputaciones plurinominales efectuada por la autoridad responsable, reclamada por las partes actoras</w:t>
      </w:r>
      <w:r w:rsidR="00DC6512" w:rsidRPr="00F32542">
        <w:rPr>
          <w:rFonts w:ascii="Arial" w:eastAsia="Calibri" w:hAnsi="Arial" w:cs="Arial"/>
          <w:sz w:val="28"/>
          <w:szCs w:val="28"/>
        </w:rPr>
        <w:t>, se sustentara —c</w:t>
      </w:r>
      <w:r w:rsidRPr="00F32542">
        <w:rPr>
          <w:rFonts w:ascii="Arial" w:eastAsia="Calibri" w:hAnsi="Arial" w:cs="Arial"/>
          <w:sz w:val="28"/>
          <w:szCs w:val="28"/>
        </w:rPr>
        <w:t>omo sucedió en los hechos— en los criterios contenidos en los citados Lineamientos.</w:t>
      </w:r>
    </w:p>
    <w:p w14:paraId="448CA1FB"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p>
    <w:p w14:paraId="622EFA2A"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De manera que el interés jurídico para impugnar los </w:t>
      </w:r>
      <w:r w:rsidRPr="00F32542">
        <w:rPr>
          <w:rFonts w:ascii="Arial" w:eastAsia="Calibri" w:hAnsi="Arial" w:cs="Arial"/>
          <w:i/>
          <w:sz w:val="28"/>
          <w:szCs w:val="28"/>
        </w:rPr>
        <w:t xml:space="preserve">Lineamientos de asignación </w:t>
      </w:r>
      <w:r w:rsidRPr="00F32542">
        <w:rPr>
          <w:rFonts w:ascii="Arial" w:eastAsia="Calibri" w:hAnsi="Arial" w:cs="Arial"/>
          <w:sz w:val="28"/>
          <w:szCs w:val="28"/>
        </w:rPr>
        <w:t xml:space="preserve">surgió a partir del </w:t>
      </w:r>
      <w:r w:rsidRPr="00F32542">
        <w:rPr>
          <w:rFonts w:ascii="Arial" w:eastAsia="Calibri" w:hAnsi="Arial" w:cs="Arial"/>
          <w:b/>
          <w:sz w:val="28"/>
          <w:szCs w:val="28"/>
        </w:rPr>
        <w:t>primer acto concreto de aplicación de las normas que contienen</w:t>
      </w:r>
      <w:r w:rsidRPr="00F32542">
        <w:rPr>
          <w:rFonts w:ascii="Arial" w:eastAsia="Calibri" w:hAnsi="Arial" w:cs="Arial"/>
          <w:sz w:val="28"/>
          <w:szCs w:val="28"/>
        </w:rPr>
        <w:t>, es decir, a partir de que los partidos políticos o las personas candidatas contendientes, se ubicaron en la hipótesis que propició la aplicación de tales normas.</w:t>
      </w:r>
    </w:p>
    <w:p w14:paraId="3F40113F"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p>
    <w:p w14:paraId="17E27E9F"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En consecuencia, fue hasta que el </w:t>
      </w:r>
      <w:r w:rsidRPr="00F32542">
        <w:rPr>
          <w:rFonts w:ascii="Arial" w:eastAsia="Calibri" w:hAnsi="Arial" w:cs="Arial"/>
          <w:i/>
          <w:sz w:val="28"/>
          <w:szCs w:val="28"/>
        </w:rPr>
        <w:t>Instituto Electoral</w:t>
      </w:r>
      <w:r w:rsidRPr="00F32542">
        <w:rPr>
          <w:rFonts w:ascii="Arial" w:eastAsia="Calibri" w:hAnsi="Arial" w:cs="Arial"/>
          <w:sz w:val="28"/>
          <w:szCs w:val="28"/>
        </w:rPr>
        <w:t xml:space="preserve"> emitió el </w:t>
      </w:r>
      <w:r w:rsidRPr="00F32542">
        <w:rPr>
          <w:rFonts w:ascii="Arial" w:eastAsia="Calibri" w:hAnsi="Arial" w:cs="Arial"/>
          <w:i/>
          <w:iCs/>
          <w:sz w:val="28"/>
          <w:szCs w:val="28"/>
        </w:rPr>
        <w:t xml:space="preserve">acuerdo </w:t>
      </w:r>
      <w:r w:rsidRPr="00F32542">
        <w:rPr>
          <w:rFonts w:ascii="Arial" w:eastAsia="Calibri" w:hAnsi="Arial" w:cs="Arial"/>
          <w:i/>
          <w:iCs/>
          <w:sz w:val="28"/>
          <w:szCs w:val="28"/>
          <w:lang w:val="es-ES"/>
        </w:rPr>
        <w:t>impugnado</w:t>
      </w:r>
      <w:r w:rsidRPr="00F32542">
        <w:rPr>
          <w:rFonts w:ascii="Arial" w:eastAsia="Calibri" w:hAnsi="Arial" w:cs="Arial"/>
          <w:sz w:val="28"/>
          <w:szCs w:val="28"/>
        </w:rPr>
        <w:t xml:space="preserve">, que los Lineamientos en cuestión fueron aplicados en perjuicio o en beneficio de dichas personas; tal como lo refieren las </w:t>
      </w:r>
      <w:r w:rsidRPr="00F32542">
        <w:rPr>
          <w:rFonts w:ascii="Arial" w:eastAsia="Calibri" w:hAnsi="Arial" w:cs="Arial"/>
          <w:i/>
          <w:sz w:val="28"/>
          <w:szCs w:val="28"/>
        </w:rPr>
        <w:t>partes actoras</w:t>
      </w:r>
      <w:r w:rsidRPr="00F32542">
        <w:rPr>
          <w:rFonts w:ascii="Arial" w:eastAsia="Calibri" w:hAnsi="Arial" w:cs="Arial"/>
          <w:sz w:val="28"/>
          <w:szCs w:val="28"/>
        </w:rPr>
        <w:t xml:space="preserve"> a quienes, en función de la observancia de los propios Lineamientos, aseguran les fue negada la asignación u otorgamientos de una posición plurinominal para integrar el </w:t>
      </w:r>
      <w:r w:rsidRPr="00F32542">
        <w:rPr>
          <w:rFonts w:ascii="Arial" w:eastAsia="Calibri" w:hAnsi="Arial" w:cs="Arial"/>
          <w:i/>
          <w:iCs/>
          <w:sz w:val="28"/>
          <w:szCs w:val="28"/>
        </w:rPr>
        <w:t>Congreso local</w:t>
      </w:r>
      <w:r w:rsidRPr="00F32542">
        <w:rPr>
          <w:rFonts w:ascii="Arial" w:eastAsia="Calibri" w:hAnsi="Arial" w:cs="Arial"/>
          <w:sz w:val="28"/>
          <w:szCs w:val="28"/>
        </w:rPr>
        <w:t>.</w:t>
      </w:r>
    </w:p>
    <w:p w14:paraId="67206058"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p>
    <w:p w14:paraId="601CEDDA"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r w:rsidRPr="00F32542">
        <w:rPr>
          <w:rFonts w:ascii="Arial" w:eastAsia="Calibri" w:hAnsi="Arial" w:cs="Arial"/>
          <w:sz w:val="28"/>
          <w:szCs w:val="28"/>
        </w:rPr>
        <w:lastRenderedPageBreak/>
        <w:t>Semejantes razonamientos,</w:t>
      </w:r>
      <w:r w:rsidRPr="00F32542">
        <w:rPr>
          <w:rFonts w:ascii="Arial" w:eastAsia="Calibri" w:hAnsi="Arial" w:cs="Arial"/>
          <w:color w:val="FF0000"/>
          <w:sz w:val="28"/>
          <w:szCs w:val="28"/>
        </w:rPr>
        <w:t xml:space="preserve"> </w:t>
      </w:r>
      <w:r w:rsidRPr="00F32542">
        <w:rPr>
          <w:rFonts w:ascii="Arial" w:eastAsia="Calibri" w:hAnsi="Arial" w:cs="Arial"/>
          <w:sz w:val="28"/>
          <w:szCs w:val="28"/>
        </w:rPr>
        <w:t xml:space="preserve">fueron sostenidos por la Sala Regional Ciudad de México del </w:t>
      </w:r>
      <w:r w:rsidRPr="00F32542">
        <w:rPr>
          <w:rFonts w:ascii="Arial" w:eastAsia="Calibri" w:hAnsi="Arial" w:cs="Arial"/>
          <w:i/>
          <w:sz w:val="28"/>
          <w:szCs w:val="28"/>
        </w:rPr>
        <w:t>TEPJF</w:t>
      </w:r>
      <w:r w:rsidRPr="00F32542">
        <w:rPr>
          <w:rFonts w:ascii="Arial" w:eastAsia="Calibri" w:hAnsi="Arial" w:cs="Arial"/>
          <w:sz w:val="28"/>
          <w:szCs w:val="28"/>
        </w:rPr>
        <w:t xml:space="preserve"> al resolver los Juicios de la Ciudadanía </w:t>
      </w:r>
      <w:r w:rsidRPr="00F32542">
        <w:rPr>
          <w:rFonts w:ascii="Arial" w:eastAsia="Calibri" w:hAnsi="Arial" w:cs="Arial"/>
          <w:b/>
          <w:bCs/>
          <w:sz w:val="28"/>
          <w:szCs w:val="28"/>
        </w:rPr>
        <w:t>SCM-JDC-1093/2019</w:t>
      </w:r>
      <w:r w:rsidRPr="00F32542">
        <w:rPr>
          <w:rFonts w:ascii="Arial" w:eastAsia="Calibri" w:hAnsi="Arial" w:cs="Arial"/>
          <w:sz w:val="28"/>
          <w:szCs w:val="28"/>
        </w:rPr>
        <w:t xml:space="preserve"> y </w:t>
      </w:r>
      <w:r w:rsidRPr="00F32542">
        <w:rPr>
          <w:rFonts w:ascii="Arial" w:eastAsia="Calibri" w:hAnsi="Arial" w:cs="Arial"/>
          <w:b/>
          <w:bCs/>
          <w:sz w:val="28"/>
          <w:szCs w:val="28"/>
        </w:rPr>
        <w:t>SCM-JDC-1094/2019</w:t>
      </w:r>
      <w:r w:rsidRPr="00F32542">
        <w:rPr>
          <w:rFonts w:ascii="Arial" w:eastAsia="Calibri" w:hAnsi="Arial" w:cs="Arial"/>
          <w:sz w:val="28"/>
          <w:szCs w:val="28"/>
        </w:rPr>
        <w:t xml:space="preserve">. Así como por este </w:t>
      </w:r>
      <w:r w:rsidRPr="00F32542">
        <w:rPr>
          <w:rFonts w:ascii="Arial" w:eastAsia="Calibri" w:hAnsi="Arial" w:cs="Arial"/>
          <w:i/>
          <w:sz w:val="28"/>
          <w:szCs w:val="28"/>
        </w:rPr>
        <w:t>Tribunal Electoral</w:t>
      </w:r>
      <w:r w:rsidRPr="00F32542">
        <w:rPr>
          <w:rFonts w:ascii="Arial" w:eastAsia="Calibri" w:hAnsi="Arial" w:cs="Arial"/>
          <w:sz w:val="28"/>
          <w:szCs w:val="28"/>
        </w:rPr>
        <w:t xml:space="preserve"> al resolver el </w:t>
      </w:r>
      <w:r w:rsidRPr="00F32542">
        <w:rPr>
          <w:rFonts w:ascii="Arial" w:eastAsia="Calibri" w:hAnsi="Arial" w:cs="Arial"/>
          <w:b/>
          <w:bCs/>
          <w:sz w:val="28"/>
          <w:szCs w:val="28"/>
        </w:rPr>
        <w:t>TECDMX-JLDC-1371/2019</w:t>
      </w:r>
      <w:r w:rsidRPr="00F32542">
        <w:rPr>
          <w:rFonts w:ascii="Arial" w:eastAsia="Calibri" w:hAnsi="Arial" w:cs="Arial"/>
          <w:sz w:val="28"/>
          <w:szCs w:val="28"/>
        </w:rPr>
        <w:t xml:space="preserve">. </w:t>
      </w:r>
    </w:p>
    <w:p w14:paraId="50DDB4E3"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p>
    <w:p w14:paraId="6471497F"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En dichas sentencias se sostuvo que, tratándose de normas </w:t>
      </w:r>
      <w:proofErr w:type="spellStart"/>
      <w:r w:rsidRPr="00F32542">
        <w:rPr>
          <w:rFonts w:ascii="Arial" w:eastAsia="Calibri" w:hAnsi="Arial" w:cs="Arial"/>
          <w:sz w:val="28"/>
          <w:szCs w:val="28"/>
        </w:rPr>
        <w:t>heteroaplicativas</w:t>
      </w:r>
      <w:proofErr w:type="spellEnd"/>
      <w:r w:rsidRPr="00F32542">
        <w:rPr>
          <w:rFonts w:ascii="Arial" w:eastAsia="Calibri" w:hAnsi="Arial" w:cs="Arial"/>
          <w:sz w:val="28"/>
          <w:szCs w:val="28"/>
        </w:rPr>
        <w:t>, es a partir del primer acto concreto de aplicación de un ordenamiento jurídico, cuando se tiene el interés jurídico para objetar alguna de sus hipótesis normativas.</w:t>
      </w:r>
    </w:p>
    <w:p w14:paraId="691D6F97"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p>
    <w:p w14:paraId="294EE79F"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De ahí que no se actualice la causal de improcedencia invocada, pues como se ha explicado, las partes actoras que controvierten los mencionados </w:t>
      </w:r>
      <w:proofErr w:type="gramStart"/>
      <w:r w:rsidRPr="00F32542">
        <w:rPr>
          <w:rFonts w:ascii="Arial" w:eastAsia="Calibri" w:hAnsi="Arial" w:cs="Arial"/>
          <w:i/>
          <w:iCs/>
          <w:sz w:val="28"/>
          <w:szCs w:val="28"/>
        </w:rPr>
        <w:t>Lineamientos</w:t>
      </w:r>
      <w:r w:rsidRPr="00F32542">
        <w:rPr>
          <w:rFonts w:ascii="Arial" w:eastAsia="Calibri" w:hAnsi="Arial" w:cs="Arial"/>
          <w:sz w:val="28"/>
          <w:szCs w:val="28"/>
        </w:rPr>
        <w:t>,</w:t>
      </w:r>
      <w:proofErr w:type="gramEnd"/>
      <w:r w:rsidRPr="00F32542">
        <w:rPr>
          <w:rFonts w:ascii="Arial" w:eastAsia="Calibri" w:hAnsi="Arial" w:cs="Arial"/>
          <w:sz w:val="28"/>
          <w:szCs w:val="28"/>
        </w:rPr>
        <w:t xml:space="preserve"> no tienen la intención de reclamarlos en abstracto, sino a raíz de un acto que implicó su aplicación, materializado con la emisión del acuerdo impugnado, mismo que fue publicado por estrados del IECM, el pasado trece de junio. </w:t>
      </w:r>
    </w:p>
    <w:p w14:paraId="53188A97" w14:textId="77777777" w:rsidR="00286BB3" w:rsidRPr="00F32542" w:rsidRDefault="00286BB3" w:rsidP="003D29D2">
      <w:pPr>
        <w:tabs>
          <w:tab w:val="left" w:pos="7655"/>
          <w:tab w:val="left" w:pos="7938"/>
        </w:tabs>
        <w:spacing w:after="0" w:line="360" w:lineRule="auto"/>
        <w:jc w:val="both"/>
        <w:rPr>
          <w:rFonts w:ascii="Arial" w:eastAsia="Calibri" w:hAnsi="Arial" w:cs="Arial"/>
          <w:sz w:val="28"/>
          <w:szCs w:val="28"/>
        </w:rPr>
      </w:pPr>
    </w:p>
    <w:p w14:paraId="6F8995CC" w14:textId="77777777" w:rsidR="00286BB3" w:rsidRPr="00F32542" w:rsidRDefault="00286BB3" w:rsidP="003D29D2">
      <w:pPr>
        <w:spacing w:after="0" w:line="360" w:lineRule="auto"/>
        <w:jc w:val="both"/>
        <w:rPr>
          <w:rFonts w:ascii="Arial" w:eastAsia="Calibri" w:hAnsi="Arial" w:cs="Arial"/>
          <w:sz w:val="28"/>
          <w:szCs w:val="28"/>
          <w:lang w:val="es-ES_tradnl"/>
        </w:rPr>
      </w:pPr>
      <w:r w:rsidRPr="00F32542">
        <w:rPr>
          <w:rFonts w:ascii="Arial" w:eastAsia="Calibri" w:hAnsi="Arial" w:cs="Arial"/>
          <w:sz w:val="28"/>
          <w:szCs w:val="28"/>
          <w:lang w:val="es-ES_tradnl"/>
        </w:rPr>
        <w:t xml:space="preserve">En esa tesitura, es un hecho notorio para esta juzgadora, invocado en términos del artículo 52 de la Ley Procesal, que entre las constancias que obran en autos del expediente relativo al juicio de la ciudadanía </w:t>
      </w:r>
      <w:r w:rsidRPr="00F32542">
        <w:rPr>
          <w:rFonts w:ascii="Arial" w:eastAsia="Calibri" w:hAnsi="Arial" w:cs="Arial"/>
          <w:b/>
          <w:bCs/>
          <w:sz w:val="28"/>
          <w:szCs w:val="28"/>
          <w:lang w:val="es-ES_tradnl"/>
        </w:rPr>
        <w:t>TECDMX-JLDC-113/2021</w:t>
      </w:r>
      <w:r w:rsidRPr="00F32542">
        <w:rPr>
          <w:rFonts w:ascii="Arial" w:eastAsia="Calibri" w:hAnsi="Arial" w:cs="Arial"/>
          <w:sz w:val="28"/>
          <w:szCs w:val="28"/>
          <w:lang w:val="es-ES_tradnl"/>
        </w:rPr>
        <w:t xml:space="preserve">, del índice de este Tribunal, proporcionada por el </w:t>
      </w:r>
      <w:r w:rsidRPr="00F32542">
        <w:rPr>
          <w:rFonts w:ascii="Arial" w:eastAsia="Calibri" w:hAnsi="Arial" w:cs="Arial"/>
          <w:i/>
          <w:sz w:val="28"/>
          <w:szCs w:val="28"/>
          <w:lang w:val="es-ES_tradnl"/>
        </w:rPr>
        <w:t>IECM</w:t>
      </w:r>
      <w:r w:rsidRPr="00F32542">
        <w:rPr>
          <w:rFonts w:ascii="Arial" w:eastAsia="Calibri" w:hAnsi="Arial" w:cs="Arial"/>
          <w:sz w:val="28"/>
          <w:szCs w:val="28"/>
          <w:lang w:val="es-ES_tradnl"/>
        </w:rPr>
        <w:t xml:space="preserve"> adjunta al respectivo informe circunstanciado, se encuentra la razón de publicación por estrados del acuerdo impugnado, elaborada el </w:t>
      </w:r>
      <w:r w:rsidRPr="00F32542">
        <w:rPr>
          <w:rFonts w:ascii="Arial" w:eastAsia="Calibri" w:hAnsi="Arial" w:cs="Arial"/>
          <w:b/>
          <w:bCs/>
          <w:sz w:val="28"/>
          <w:szCs w:val="28"/>
          <w:lang w:val="es-ES_tradnl"/>
        </w:rPr>
        <w:t>trece de junio</w:t>
      </w:r>
      <w:r w:rsidRPr="00F32542">
        <w:rPr>
          <w:rFonts w:ascii="Arial" w:eastAsia="Calibri" w:hAnsi="Arial" w:cs="Arial"/>
          <w:sz w:val="28"/>
          <w:szCs w:val="28"/>
          <w:lang w:val="es-ES_tradnl"/>
        </w:rPr>
        <w:t xml:space="preserve"> de dos mil veintiuno a la una con treinta minutos de la mañana, misma que surtió efectos e día catorce posterior.</w:t>
      </w:r>
    </w:p>
    <w:p w14:paraId="0C44B63D" w14:textId="77777777" w:rsidR="00286BB3" w:rsidRPr="00F32542" w:rsidRDefault="00286BB3" w:rsidP="003D29D2">
      <w:pPr>
        <w:spacing w:after="0" w:line="360" w:lineRule="auto"/>
        <w:jc w:val="both"/>
        <w:rPr>
          <w:rFonts w:ascii="Arial" w:eastAsia="Calibri" w:hAnsi="Arial" w:cs="Arial"/>
          <w:sz w:val="28"/>
          <w:szCs w:val="28"/>
          <w:lang w:val="es-ES_tradnl"/>
        </w:rPr>
      </w:pPr>
    </w:p>
    <w:p w14:paraId="430FF0D7" w14:textId="77777777" w:rsidR="00286BB3" w:rsidRPr="00F32542" w:rsidRDefault="00286BB3" w:rsidP="003D29D2">
      <w:pPr>
        <w:spacing w:after="0" w:line="360" w:lineRule="auto"/>
        <w:jc w:val="both"/>
        <w:rPr>
          <w:rFonts w:ascii="Arial" w:hAnsi="Arial" w:cs="Arial"/>
          <w:sz w:val="28"/>
          <w:szCs w:val="28"/>
        </w:rPr>
      </w:pPr>
      <w:proofErr w:type="gramStart"/>
      <w:r w:rsidRPr="00F32542">
        <w:rPr>
          <w:rFonts w:ascii="Arial" w:eastAsia="Calibri" w:hAnsi="Arial" w:cs="Arial"/>
          <w:sz w:val="28"/>
          <w:szCs w:val="28"/>
          <w:lang w:val="es-ES_tradnl"/>
        </w:rPr>
        <w:t>Documental pública</w:t>
      </w:r>
      <w:proofErr w:type="gramEnd"/>
      <w:r w:rsidRPr="00F32542">
        <w:rPr>
          <w:rFonts w:ascii="Arial" w:eastAsia="Calibri" w:hAnsi="Arial" w:cs="Arial"/>
          <w:sz w:val="28"/>
          <w:szCs w:val="28"/>
          <w:lang w:val="es-ES_tradnl"/>
        </w:rPr>
        <w:t xml:space="preserve"> </w:t>
      </w:r>
      <w:r w:rsidRPr="00F32542">
        <w:rPr>
          <w:rFonts w:ascii="Arial" w:hAnsi="Arial" w:cs="Arial"/>
          <w:sz w:val="28"/>
          <w:szCs w:val="28"/>
        </w:rPr>
        <w:t xml:space="preserve">con valor probatorio pleno en términos del artículo 61, fracción II de la </w:t>
      </w:r>
      <w:r w:rsidRPr="00F32542">
        <w:rPr>
          <w:rFonts w:ascii="Arial" w:hAnsi="Arial" w:cs="Arial"/>
          <w:i/>
          <w:iCs/>
          <w:sz w:val="28"/>
          <w:szCs w:val="28"/>
        </w:rPr>
        <w:t xml:space="preserve">Ley Procesal, </w:t>
      </w:r>
      <w:r w:rsidRPr="00F32542">
        <w:rPr>
          <w:rFonts w:ascii="Arial" w:hAnsi="Arial" w:cs="Arial"/>
          <w:sz w:val="28"/>
          <w:szCs w:val="28"/>
        </w:rPr>
        <w:t xml:space="preserve">al tratarse de un documento </w:t>
      </w:r>
      <w:r w:rsidRPr="00F32542">
        <w:rPr>
          <w:rFonts w:ascii="Arial" w:hAnsi="Arial" w:cs="Arial"/>
          <w:sz w:val="28"/>
          <w:szCs w:val="28"/>
        </w:rPr>
        <w:lastRenderedPageBreak/>
        <w:t xml:space="preserve">expedido por una autoridad en el ámbito de su competencia, como lo es el encargado de despacho de la Secretaría Ejecutiva del </w:t>
      </w:r>
      <w:r w:rsidRPr="00F32542">
        <w:rPr>
          <w:rFonts w:ascii="Arial" w:hAnsi="Arial" w:cs="Arial"/>
          <w:i/>
          <w:iCs/>
          <w:sz w:val="28"/>
          <w:szCs w:val="28"/>
        </w:rPr>
        <w:t>IECM</w:t>
      </w:r>
      <w:r w:rsidRPr="00F32542">
        <w:rPr>
          <w:rFonts w:ascii="Arial" w:hAnsi="Arial" w:cs="Arial"/>
          <w:sz w:val="28"/>
          <w:szCs w:val="28"/>
        </w:rPr>
        <w:t>.</w:t>
      </w:r>
    </w:p>
    <w:p w14:paraId="5597482A" w14:textId="77777777" w:rsidR="00286BB3" w:rsidRPr="00F32542" w:rsidRDefault="00286BB3" w:rsidP="003D29D2">
      <w:pPr>
        <w:spacing w:after="0" w:line="360" w:lineRule="auto"/>
        <w:jc w:val="both"/>
        <w:rPr>
          <w:rFonts w:ascii="Arial" w:eastAsia="Calibri" w:hAnsi="Arial" w:cs="Arial"/>
          <w:sz w:val="28"/>
          <w:szCs w:val="28"/>
          <w:lang w:val="es-ES_tradnl"/>
        </w:rPr>
      </w:pPr>
    </w:p>
    <w:p w14:paraId="27B847DB" w14:textId="77777777" w:rsidR="00286BB3" w:rsidRPr="00F32542" w:rsidRDefault="00286BB3" w:rsidP="003D29D2">
      <w:pPr>
        <w:spacing w:after="0" w:line="360" w:lineRule="auto"/>
        <w:jc w:val="both"/>
        <w:rPr>
          <w:rFonts w:ascii="Arial" w:eastAsia="Calibri" w:hAnsi="Arial" w:cs="Arial"/>
          <w:sz w:val="28"/>
          <w:szCs w:val="28"/>
          <w:lang w:val="es-ES_tradnl"/>
        </w:rPr>
      </w:pPr>
      <w:r w:rsidRPr="00F32542">
        <w:rPr>
          <w:rFonts w:ascii="Arial" w:eastAsia="Calibri" w:hAnsi="Arial" w:cs="Arial"/>
          <w:sz w:val="28"/>
          <w:szCs w:val="28"/>
          <w:lang w:val="es-ES_tradnl"/>
        </w:rPr>
        <w:t xml:space="preserve">De ahí que, si las demandas sobre las cuales se aduce extemporaneidad por señalar a los </w:t>
      </w:r>
      <w:r w:rsidRPr="00F32542">
        <w:rPr>
          <w:rFonts w:ascii="Arial" w:eastAsia="Calibri" w:hAnsi="Arial" w:cs="Arial"/>
          <w:i/>
          <w:iCs/>
          <w:sz w:val="28"/>
          <w:szCs w:val="28"/>
          <w:lang w:val="es-ES_tradnl"/>
        </w:rPr>
        <w:t xml:space="preserve">Lineamientos para la </w:t>
      </w:r>
      <w:proofErr w:type="gramStart"/>
      <w:r w:rsidRPr="00F32542">
        <w:rPr>
          <w:rFonts w:ascii="Arial" w:eastAsia="Calibri" w:hAnsi="Arial" w:cs="Arial"/>
          <w:i/>
          <w:iCs/>
          <w:sz w:val="28"/>
          <w:szCs w:val="28"/>
          <w:lang w:val="es-ES_tradnl"/>
        </w:rPr>
        <w:t>asignación</w:t>
      </w:r>
      <w:r w:rsidRPr="00F32542">
        <w:rPr>
          <w:rFonts w:ascii="Arial" w:eastAsia="Calibri" w:hAnsi="Arial" w:cs="Arial"/>
          <w:sz w:val="28"/>
          <w:szCs w:val="28"/>
          <w:lang w:val="es-ES_tradnl"/>
        </w:rPr>
        <w:t>,</w:t>
      </w:r>
      <w:proofErr w:type="gramEnd"/>
      <w:r w:rsidRPr="00F32542">
        <w:rPr>
          <w:rFonts w:ascii="Arial" w:eastAsia="Calibri" w:hAnsi="Arial" w:cs="Arial"/>
          <w:sz w:val="28"/>
          <w:szCs w:val="28"/>
          <w:lang w:val="es-ES_tradnl"/>
        </w:rPr>
        <w:t xml:space="preserve"> fueron presentadas </w:t>
      </w:r>
      <w:bookmarkStart w:id="30" w:name="_Hlk78479044"/>
      <w:r w:rsidRPr="00F32542">
        <w:rPr>
          <w:rFonts w:ascii="Arial" w:eastAsia="Calibri" w:hAnsi="Arial" w:cs="Arial"/>
          <w:sz w:val="28"/>
          <w:szCs w:val="28"/>
          <w:lang w:val="es-ES_tradnl"/>
        </w:rPr>
        <w:t xml:space="preserve">entre el quince y dieciocho de junio </w:t>
      </w:r>
      <w:bookmarkEnd w:id="30"/>
      <w:r w:rsidRPr="00F32542">
        <w:rPr>
          <w:rFonts w:ascii="Arial" w:eastAsia="Calibri" w:hAnsi="Arial" w:cs="Arial"/>
          <w:sz w:val="28"/>
          <w:szCs w:val="28"/>
          <w:lang w:val="es-ES_tradnl"/>
        </w:rPr>
        <w:t xml:space="preserve">de este año, es decir, dentro del plazo de cuatro días legalmente previsto en la </w:t>
      </w:r>
      <w:r w:rsidRPr="00F32542">
        <w:rPr>
          <w:rFonts w:ascii="Arial" w:eastAsia="Calibri" w:hAnsi="Arial" w:cs="Arial"/>
          <w:i/>
          <w:iCs/>
          <w:sz w:val="28"/>
          <w:szCs w:val="28"/>
          <w:lang w:val="es-ES_tradnl"/>
        </w:rPr>
        <w:t>Ley Procesal</w:t>
      </w:r>
      <w:r w:rsidRPr="00F32542">
        <w:rPr>
          <w:rFonts w:ascii="Arial" w:eastAsia="Calibri" w:hAnsi="Arial" w:cs="Arial"/>
          <w:sz w:val="28"/>
          <w:szCs w:val="28"/>
          <w:lang w:val="es-ES_tradnl"/>
        </w:rPr>
        <w:t>, entonces resultan oportunas.</w:t>
      </w:r>
    </w:p>
    <w:p w14:paraId="63A952CE" w14:textId="77777777" w:rsidR="00286BB3" w:rsidRPr="00F32542" w:rsidRDefault="00286BB3" w:rsidP="003D29D2">
      <w:pPr>
        <w:spacing w:after="0" w:line="360" w:lineRule="auto"/>
        <w:jc w:val="both"/>
        <w:rPr>
          <w:rFonts w:ascii="Arial" w:eastAsia="Calibri" w:hAnsi="Arial" w:cs="Arial"/>
          <w:sz w:val="28"/>
          <w:szCs w:val="28"/>
          <w:lang w:val="es-ES_tradnl"/>
        </w:rPr>
      </w:pPr>
    </w:p>
    <w:p w14:paraId="71DA9627" w14:textId="77777777" w:rsidR="00286BB3" w:rsidRPr="00F32542" w:rsidRDefault="00286BB3" w:rsidP="003D29D2">
      <w:pPr>
        <w:spacing w:after="0" w:line="360" w:lineRule="auto"/>
        <w:jc w:val="both"/>
        <w:rPr>
          <w:rFonts w:ascii="Arial" w:eastAsia="Calibri" w:hAnsi="Arial" w:cs="Arial"/>
          <w:sz w:val="28"/>
          <w:szCs w:val="28"/>
          <w:lang w:val="es-ES_tradnl"/>
        </w:rPr>
      </w:pPr>
      <w:r w:rsidRPr="00F32542">
        <w:rPr>
          <w:rFonts w:ascii="Arial" w:eastAsia="Calibri" w:hAnsi="Arial" w:cs="Arial"/>
          <w:sz w:val="28"/>
          <w:szCs w:val="28"/>
          <w:lang w:val="es-ES_tradnl"/>
        </w:rPr>
        <w:t xml:space="preserve">Lo dicho, incluso en el caso del partido político actor en el juicio </w:t>
      </w:r>
      <w:r w:rsidRPr="00F32542">
        <w:rPr>
          <w:rFonts w:ascii="Arial" w:eastAsia="Calibri" w:hAnsi="Arial" w:cs="Arial"/>
          <w:b/>
          <w:bCs/>
          <w:sz w:val="28"/>
          <w:szCs w:val="28"/>
        </w:rPr>
        <w:t>TECDMX-JEL-206/</w:t>
      </w:r>
      <w:r w:rsidRPr="00F32542">
        <w:rPr>
          <w:rFonts w:ascii="Arial" w:eastAsia="Calibri" w:hAnsi="Arial" w:cs="Arial"/>
          <w:b/>
          <w:sz w:val="28"/>
          <w:szCs w:val="28"/>
        </w:rPr>
        <w:t>2021</w:t>
      </w:r>
      <w:r w:rsidRPr="00F32542">
        <w:rPr>
          <w:rFonts w:ascii="Arial" w:eastAsia="Calibri" w:hAnsi="Arial" w:cs="Arial"/>
          <w:sz w:val="28"/>
          <w:szCs w:val="28"/>
        </w:rPr>
        <w:t xml:space="preserve">, pues </w:t>
      </w:r>
      <w:r w:rsidRPr="00F32542">
        <w:rPr>
          <w:rFonts w:ascii="Arial" w:eastAsia="Calibri" w:hAnsi="Arial" w:cs="Arial"/>
          <w:sz w:val="28"/>
          <w:szCs w:val="28"/>
          <w:lang w:val="es-ES_tradnl"/>
        </w:rPr>
        <w:t>con independencia del modo como haya ocurrido su notificación del acuerdo impugnado y aunque se tome como fecha de conocimiento el doce de junio, fecha de la sesión donde se aprobó tal acuerdo, su demanda estaría en tiempo, al presentarse el siguiente día dieciséis.</w:t>
      </w:r>
    </w:p>
    <w:p w14:paraId="69BF56E4" w14:textId="77777777" w:rsidR="00286BB3" w:rsidRPr="00F32542" w:rsidRDefault="00286BB3" w:rsidP="003D29D2">
      <w:pPr>
        <w:spacing w:after="0" w:line="360" w:lineRule="auto"/>
        <w:jc w:val="both"/>
        <w:rPr>
          <w:rFonts w:ascii="Arial" w:eastAsia="Calibri" w:hAnsi="Arial" w:cs="Arial"/>
          <w:sz w:val="28"/>
          <w:szCs w:val="28"/>
          <w:lang w:val="es-ES_tradnl"/>
        </w:rPr>
      </w:pPr>
    </w:p>
    <w:p w14:paraId="6C756B6D" w14:textId="77777777" w:rsidR="00286BB3" w:rsidRPr="00F32542" w:rsidRDefault="00286BB3" w:rsidP="003D29D2">
      <w:pPr>
        <w:spacing w:after="0" w:line="360" w:lineRule="auto"/>
        <w:jc w:val="both"/>
        <w:rPr>
          <w:rFonts w:ascii="Arial" w:eastAsia="Calibri" w:hAnsi="Arial" w:cs="Arial"/>
          <w:sz w:val="28"/>
          <w:szCs w:val="28"/>
          <w:lang w:val="es-ES_tradnl"/>
        </w:rPr>
      </w:pPr>
      <w:r w:rsidRPr="00F32542">
        <w:rPr>
          <w:rFonts w:ascii="Arial" w:eastAsia="Calibri" w:hAnsi="Arial" w:cs="Arial"/>
          <w:sz w:val="28"/>
          <w:szCs w:val="28"/>
          <w:lang w:val="es-ES_tradnl"/>
        </w:rPr>
        <w:t xml:space="preserve">Cabe decir de una vez que, bajo el mismo tenor, es desestimada la causal de improcedencia hecha valer en los juicios </w:t>
      </w:r>
      <w:r w:rsidRPr="00F32542">
        <w:rPr>
          <w:rFonts w:ascii="Arial" w:eastAsia="Calibri" w:hAnsi="Arial" w:cs="Arial"/>
          <w:b/>
          <w:bCs/>
          <w:sz w:val="28"/>
          <w:szCs w:val="28"/>
          <w:lang w:val="es-ES_tradnl"/>
        </w:rPr>
        <w:t>TECDMX-JLDC-100/2021</w:t>
      </w:r>
      <w:r w:rsidRPr="00F32542">
        <w:rPr>
          <w:rFonts w:ascii="Arial" w:eastAsia="Calibri" w:hAnsi="Arial" w:cs="Arial"/>
          <w:sz w:val="28"/>
          <w:szCs w:val="28"/>
          <w:lang w:val="es-ES_tradnl"/>
        </w:rPr>
        <w:t xml:space="preserve"> y </w:t>
      </w:r>
      <w:r w:rsidRPr="00F32542">
        <w:rPr>
          <w:rFonts w:ascii="Arial" w:eastAsia="Calibri" w:hAnsi="Arial" w:cs="Arial"/>
          <w:b/>
          <w:bCs/>
          <w:sz w:val="28"/>
          <w:szCs w:val="28"/>
          <w:lang w:val="es-ES_tradnl"/>
        </w:rPr>
        <w:t xml:space="preserve">TECDMX-JEL-206/2021 </w:t>
      </w:r>
      <w:r w:rsidRPr="00F32542">
        <w:rPr>
          <w:rFonts w:ascii="Arial" w:eastAsia="Calibri" w:hAnsi="Arial" w:cs="Arial"/>
          <w:sz w:val="28"/>
          <w:szCs w:val="28"/>
          <w:lang w:val="es-ES_tradnl"/>
        </w:rPr>
        <w:t xml:space="preserve">por la aparente actualización de la cosa juzgada, respecto al reclamo de las atribuciones reglamentarias del </w:t>
      </w:r>
      <w:r w:rsidRPr="00F32542">
        <w:rPr>
          <w:rFonts w:ascii="Arial" w:eastAsia="Calibri" w:hAnsi="Arial" w:cs="Arial"/>
          <w:i/>
          <w:iCs/>
          <w:sz w:val="28"/>
          <w:szCs w:val="28"/>
          <w:lang w:val="es-ES_tradnl"/>
        </w:rPr>
        <w:t>IECM</w:t>
      </w:r>
      <w:r w:rsidRPr="00F32542">
        <w:rPr>
          <w:rFonts w:ascii="Arial" w:eastAsia="Calibri" w:hAnsi="Arial" w:cs="Arial"/>
          <w:sz w:val="28"/>
          <w:szCs w:val="28"/>
          <w:lang w:val="es-ES_tradnl"/>
        </w:rPr>
        <w:t xml:space="preserve"> para emitir los </w:t>
      </w:r>
      <w:r w:rsidRPr="00F32542">
        <w:rPr>
          <w:rFonts w:ascii="Arial" w:eastAsia="Calibri" w:hAnsi="Arial" w:cs="Arial"/>
          <w:i/>
          <w:iCs/>
          <w:sz w:val="28"/>
          <w:szCs w:val="28"/>
          <w:lang w:val="es-ES_tradnl"/>
        </w:rPr>
        <w:t>Lineamientos para la asignación</w:t>
      </w:r>
      <w:r w:rsidRPr="00F32542">
        <w:rPr>
          <w:rFonts w:ascii="Arial" w:eastAsia="Calibri" w:hAnsi="Arial" w:cs="Arial"/>
          <w:sz w:val="28"/>
          <w:szCs w:val="28"/>
          <w:lang w:val="es-ES_tradnl"/>
        </w:rPr>
        <w:t xml:space="preserve">, debido a lo resuelto por este Tribunal Electoral en el diverso juicio </w:t>
      </w:r>
      <w:r w:rsidRPr="00F32542">
        <w:rPr>
          <w:rFonts w:ascii="Arial" w:eastAsia="Calibri" w:hAnsi="Arial" w:cs="Arial"/>
          <w:b/>
          <w:bCs/>
          <w:sz w:val="28"/>
          <w:szCs w:val="28"/>
          <w:lang w:val="es-ES_tradnl"/>
        </w:rPr>
        <w:t>TECDMX-JEL-416/2020</w:t>
      </w:r>
      <w:r w:rsidRPr="00F32542">
        <w:rPr>
          <w:rFonts w:ascii="Arial" w:eastAsia="Calibri" w:hAnsi="Arial" w:cs="Arial"/>
          <w:sz w:val="28"/>
          <w:szCs w:val="28"/>
          <w:lang w:val="es-ES_tradnl"/>
        </w:rPr>
        <w:t>, en el sentido de confirmarlas.</w:t>
      </w:r>
    </w:p>
    <w:p w14:paraId="6FA72570" w14:textId="77777777" w:rsidR="00286BB3" w:rsidRPr="00F32542" w:rsidRDefault="00286BB3" w:rsidP="003D29D2">
      <w:pPr>
        <w:spacing w:after="0" w:line="360" w:lineRule="auto"/>
        <w:jc w:val="both"/>
        <w:rPr>
          <w:rFonts w:ascii="Arial" w:eastAsia="Calibri" w:hAnsi="Arial" w:cs="Arial"/>
          <w:sz w:val="28"/>
          <w:szCs w:val="28"/>
          <w:lang w:val="es-ES_tradnl"/>
        </w:rPr>
      </w:pPr>
    </w:p>
    <w:p w14:paraId="7A5428CE" w14:textId="77777777" w:rsidR="00286BB3" w:rsidRPr="00F32542" w:rsidRDefault="00286BB3" w:rsidP="003D29D2">
      <w:pPr>
        <w:spacing w:after="0" w:line="360" w:lineRule="auto"/>
        <w:jc w:val="both"/>
        <w:rPr>
          <w:rFonts w:ascii="Arial" w:eastAsia="Calibri" w:hAnsi="Arial" w:cs="Arial"/>
          <w:sz w:val="28"/>
          <w:szCs w:val="28"/>
          <w:lang w:val="es-ES_tradnl"/>
        </w:rPr>
      </w:pPr>
      <w:r w:rsidRPr="00F32542">
        <w:rPr>
          <w:rFonts w:ascii="Arial" w:eastAsia="Calibri" w:hAnsi="Arial" w:cs="Arial"/>
          <w:sz w:val="28"/>
          <w:szCs w:val="28"/>
          <w:lang w:val="es-ES_tradnl"/>
        </w:rPr>
        <w:t xml:space="preserve">El motivo para desestimar esa causal, radica en que, como se ha razonado, dichos Lineamientos pueden ser objetados a partir del acto por el cual son aplicados, como sucede en el caso de los dos referidos juicios, donde las partes actoras no controvierten las normas contenidas en dicho dispositivo por sí mismas, sino por el acto </w:t>
      </w:r>
      <w:r w:rsidRPr="00F32542">
        <w:rPr>
          <w:rFonts w:ascii="Arial" w:eastAsia="Calibri" w:hAnsi="Arial" w:cs="Arial"/>
          <w:sz w:val="28"/>
          <w:szCs w:val="28"/>
          <w:lang w:val="es-ES_tradnl"/>
        </w:rPr>
        <w:lastRenderedPageBreak/>
        <w:t xml:space="preserve">mediante el cual fueron ubicadas bajo los supuestos regulados en las propias normas, es decir, por el acuerdo impugnado, publicado el pasado trece de junio; fecha con base en la cual, puede advertirse que las respectivas demandas resultan oportunas, pues ambas se presentaron el dieciséis de junio. </w:t>
      </w:r>
    </w:p>
    <w:p w14:paraId="09AE4F11" w14:textId="77777777" w:rsidR="00286BB3" w:rsidRPr="00F32542" w:rsidRDefault="00286BB3" w:rsidP="003D29D2">
      <w:pPr>
        <w:spacing w:after="0" w:line="360" w:lineRule="auto"/>
        <w:jc w:val="both"/>
        <w:rPr>
          <w:rFonts w:ascii="Arial" w:eastAsia="Calibri" w:hAnsi="Arial" w:cs="Arial"/>
          <w:sz w:val="28"/>
          <w:szCs w:val="28"/>
          <w:lang w:val="es-ES_tradnl"/>
        </w:rPr>
      </w:pPr>
    </w:p>
    <w:p w14:paraId="7F1BE5C3" w14:textId="77777777" w:rsidR="00286BB3" w:rsidRPr="00F32542" w:rsidRDefault="00286BB3" w:rsidP="003D29D2">
      <w:pPr>
        <w:spacing w:after="0" w:line="360" w:lineRule="auto"/>
        <w:jc w:val="both"/>
        <w:rPr>
          <w:rFonts w:ascii="Arial" w:eastAsia="Calibri" w:hAnsi="Arial" w:cs="Arial"/>
          <w:sz w:val="28"/>
          <w:szCs w:val="28"/>
          <w:lang w:val="es-ES_tradnl"/>
        </w:rPr>
      </w:pPr>
      <w:r w:rsidRPr="00F32542">
        <w:rPr>
          <w:rFonts w:ascii="Arial" w:eastAsia="Calibri" w:hAnsi="Arial" w:cs="Arial"/>
          <w:sz w:val="28"/>
          <w:szCs w:val="28"/>
          <w:lang w:val="es-ES_tradnl"/>
        </w:rPr>
        <w:t xml:space="preserve">Lo anterior, permite evidenciar también lo infundado de lo expuesto por la compareciente en el juicio de la ciudadanía </w:t>
      </w:r>
      <w:r w:rsidRPr="00F32542">
        <w:rPr>
          <w:rFonts w:ascii="Arial" w:eastAsia="Calibri" w:hAnsi="Arial" w:cs="Arial"/>
          <w:b/>
          <w:bCs/>
          <w:sz w:val="28"/>
          <w:szCs w:val="28"/>
          <w:lang w:val="es-ES_tradnl"/>
        </w:rPr>
        <w:t>TECDMX-JLDC-104/2021</w:t>
      </w:r>
      <w:r w:rsidRPr="00F32542">
        <w:rPr>
          <w:rFonts w:ascii="Arial" w:eastAsia="Calibri" w:hAnsi="Arial" w:cs="Arial"/>
          <w:sz w:val="28"/>
          <w:szCs w:val="28"/>
          <w:lang w:val="es-ES_tradnl"/>
        </w:rPr>
        <w:t xml:space="preserve">, quien aduce la inoportunidad de la demanda de ese juicio, por haber sido presentada el diecisiete de junio del año en curso, perdiendo de vista tanto la publicación en estrados del acuerdo impugnado en la madrugada del trece de junio anterior, como que las notificaciones así practicadas surtirán efectos al día siguiente de su fijación —según lo dispuesto por el artículo 67, último párrafo de la </w:t>
      </w:r>
      <w:r w:rsidRPr="00F32542">
        <w:rPr>
          <w:rFonts w:ascii="Arial" w:eastAsia="Calibri" w:hAnsi="Arial" w:cs="Arial"/>
          <w:i/>
          <w:iCs/>
          <w:sz w:val="28"/>
          <w:szCs w:val="28"/>
          <w:lang w:val="es-ES_tradnl"/>
        </w:rPr>
        <w:t>Ley Procesal</w:t>
      </w:r>
      <w:r w:rsidRPr="00F32542">
        <w:rPr>
          <w:rFonts w:ascii="Arial" w:eastAsia="Calibri" w:hAnsi="Arial" w:cs="Arial"/>
          <w:sz w:val="28"/>
          <w:szCs w:val="28"/>
          <w:lang w:val="es-ES_tradnl"/>
        </w:rPr>
        <w:t>— lo cual, en el caso concreto, ocurrió el catorce de junio, corriendo el plazo de impugnación desde el día quince y hasta el día dieciocho posterior.</w:t>
      </w:r>
    </w:p>
    <w:p w14:paraId="6C4A5895" w14:textId="77777777" w:rsidR="00286BB3" w:rsidRPr="00F32542" w:rsidRDefault="00286BB3" w:rsidP="003D29D2">
      <w:pPr>
        <w:spacing w:after="0" w:line="360" w:lineRule="auto"/>
        <w:jc w:val="both"/>
        <w:rPr>
          <w:rFonts w:ascii="Arial" w:eastAsia="Calibri" w:hAnsi="Arial" w:cs="Arial"/>
          <w:sz w:val="28"/>
          <w:szCs w:val="28"/>
          <w:lang w:val="es-ES_tradnl"/>
        </w:rPr>
      </w:pPr>
    </w:p>
    <w:p w14:paraId="7B3537F3" w14:textId="77777777" w:rsidR="00286BB3" w:rsidRPr="00F32542" w:rsidRDefault="00286BB3" w:rsidP="003D29D2">
      <w:pPr>
        <w:spacing w:after="0" w:line="360" w:lineRule="auto"/>
        <w:jc w:val="both"/>
        <w:rPr>
          <w:rFonts w:ascii="Arial" w:eastAsia="Calibri" w:hAnsi="Arial" w:cs="Arial"/>
          <w:sz w:val="28"/>
          <w:szCs w:val="28"/>
          <w:lang w:val="es-ES_tradnl"/>
        </w:rPr>
      </w:pPr>
      <w:r w:rsidRPr="00F32542">
        <w:rPr>
          <w:rFonts w:ascii="Arial" w:eastAsia="Calibri" w:hAnsi="Arial" w:cs="Arial"/>
          <w:sz w:val="28"/>
          <w:szCs w:val="28"/>
          <w:lang w:val="es-ES_tradnl"/>
        </w:rPr>
        <w:t xml:space="preserve">Igual conclusión se asume, en cuanto a la supuesta extemporaneidad de la demanda del juicio </w:t>
      </w:r>
      <w:bookmarkStart w:id="31" w:name="_Hlk78479514"/>
      <w:r w:rsidRPr="00F32542">
        <w:rPr>
          <w:rFonts w:ascii="Arial" w:eastAsia="Calibri" w:hAnsi="Arial" w:cs="Arial"/>
          <w:b/>
          <w:bCs/>
          <w:sz w:val="28"/>
          <w:szCs w:val="28"/>
          <w:lang w:val="es-ES_tradnl"/>
        </w:rPr>
        <w:t>TECDMX-JLDC-092/2021</w:t>
      </w:r>
      <w:bookmarkEnd w:id="31"/>
      <w:r w:rsidRPr="00F32542">
        <w:rPr>
          <w:rFonts w:ascii="Arial" w:eastAsia="Calibri" w:hAnsi="Arial" w:cs="Arial"/>
          <w:sz w:val="28"/>
          <w:szCs w:val="28"/>
          <w:lang w:val="es-ES_tradnl"/>
        </w:rPr>
        <w:t xml:space="preserve">, respecto al cual, la respectiva parte tercera interesada alega su promoción extemporánea dado que, </w:t>
      </w:r>
      <w:bookmarkStart w:id="32" w:name="_Hlk78491412"/>
      <w:r w:rsidRPr="00F32542">
        <w:rPr>
          <w:rFonts w:ascii="Arial" w:eastAsia="Calibri" w:hAnsi="Arial" w:cs="Arial"/>
          <w:sz w:val="28"/>
          <w:szCs w:val="28"/>
          <w:lang w:val="es-ES_tradnl"/>
        </w:rPr>
        <w:t xml:space="preserve">a su manera de ver, la </w:t>
      </w:r>
      <w:r w:rsidRPr="00F32542">
        <w:rPr>
          <w:rFonts w:ascii="Arial" w:eastAsia="Calibri" w:hAnsi="Arial" w:cs="Arial"/>
          <w:i/>
          <w:iCs/>
          <w:sz w:val="28"/>
          <w:szCs w:val="28"/>
          <w:lang w:val="es-ES_tradnl"/>
        </w:rPr>
        <w:t>parte actora</w:t>
      </w:r>
      <w:r w:rsidRPr="00F32542">
        <w:rPr>
          <w:rFonts w:ascii="Arial" w:eastAsia="Calibri" w:hAnsi="Arial" w:cs="Arial"/>
          <w:sz w:val="28"/>
          <w:szCs w:val="28"/>
          <w:lang w:val="es-ES_tradnl"/>
        </w:rPr>
        <w:t xml:space="preserve"> no hizo valer la vía idónea para impugnar actos del Consejo General del </w:t>
      </w:r>
      <w:r w:rsidRPr="00F32542">
        <w:rPr>
          <w:rFonts w:ascii="Arial" w:eastAsia="Calibri" w:hAnsi="Arial" w:cs="Arial"/>
          <w:i/>
          <w:iCs/>
          <w:sz w:val="28"/>
          <w:szCs w:val="28"/>
          <w:lang w:val="es-ES_tradnl"/>
        </w:rPr>
        <w:t>IECM</w:t>
      </w:r>
      <w:r w:rsidRPr="00F32542">
        <w:rPr>
          <w:rFonts w:ascii="Arial" w:eastAsia="Calibri" w:hAnsi="Arial" w:cs="Arial"/>
          <w:sz w:val="28"/>
          <w:szCs w:val="28"/>
          <w:lang w:val="es-ES_tradnl"/>
        </w:rPr>
        <w:t xml:space="preserve">, es decir, el juicio electoral, regulado en el artículo 102 de la </w:t>
      </w:r>
      <w:r w:rsidRPr="00F32542">
        <w:rPr>
          <w:rFonts w:ascii="Arial" w:eastAsia="Calibri" w:hAnsi="Arial" w:cs="Arial"/>
          <w:i/>
          <w:iCs/>
          <w:sz w:val="28"/>
          <w:szCs w:val="28"/>
          <w:lang w:val="es-ES_tradnl"/>
        </w:rPr>
        <w:t>Ley Procesal</w:t>
      </w:r>
      <w:r w:rsidRPr="00F32542">
        <w:rPr>
          <w:rFonts w:ascii="Arial" w:eastAsia="Calibri" w:hAnsi="Arial" w:cs="Arial"/>
          <w:sz w:val="28"/>
          <w:szCs w:val="28"/>
          <w:lang w:val="es-ES_tradnl"/>
        </w:rPr>
        <w:t>.</w:t>
      </w:r>
    </w:p>
    <w:bookmarkEnd w:id="32"/>
    <w:p w14:paraId="43B04DCD" w14:textId="77777777" w:rsidR="00286BB3" w:rsidRPr="00F32542" w:rsidRDefault="00286BB3" w:rsidP="003D29D2">
      <w:pPr>
        <w:spacing w:after="0" w:line="360" w:lineRule="auto"/>
        <w:jc w:val="both"/>
        <w:rPr>
          <w:rFonts w:ascii="Arial" w:eastAsia="Calibri" w:hAnsi="Arial" w:cs="Arial"/>
          <w:sz w:val="28"/>
          <w:szCs w:val="28"/>
          <w:lang w:val="es-ES_tradnl"/>
        </w:rPr>
      </w:pPr>
    </w:p>
    <w:p w14:paraId="5DA59A4C" w14:textId="77777777" w:rsidR="00286BB3" w:rsidRPr="00F32542" w:rsidRDefault="00286BB3" w:rsidP="003D29D2">
      <w:pPr>
        <w:spacing w:after="0" w:line="360" w:lineRule="auto"/>
        <w:jc w:val="both"/>
        <w:rPr>
          <w:rFonts w:ascii="Arial" w:eastAsia="Calibri" w:hAnsi="Arial" w:cs="Arial"/>
          <w:sz w:val="28"/>
          <w:szCs w:val="28"/>
          <w:lang w:val="es-ES_tradnl"/>
        </w:rPr>
      </w:pPr>
      <w:r w:rsidRPr="00F32542">
        <w:rPr>
          <w:rFonts w:ascii="Arial" w:eastAsia="Calibri" w:hAnsi="Arial" w:cs="Arial"/>
          <w:sz w:val="28"/>
          <w:szCs w:val="28"/>
          <w:lang w:val="es-ES_tradnl"/>
        </w:rPr>
        <w:t xml:space="preserve">Empero, lo planteado sobre la improcedencia de dicho juicio de la ciudadanía es infundado, porque además de que fue promovido dentro del plazo transcurrido  entre el quince y dieciocho de junio, a </w:t>
      </w:r>
      <w:r w:rsidRPr="00F32542">
        <w:rPr>
          <w:rFonts w:ascii="Arial" w:eastAsia="Calibri" w:hAnsi="Arial" w:cs="Arial"/>
          <w:sz w:val="28"/>
          <w:szCs w:val="28"/>
          <w:lang w:val="es-ES_tradnl"/>
        </w:rPr>
        <w:lastRenderedPageBreak/>
        <w:t>saber, el día dieciséis, el compareciente pierde de vista que ese tipo de medio de impugnación, procede para controvertir actos de la autoridad electoral que, según su promovente, sean violatorios de sus derechos político-electorales, tal como se hace valer en la demanda del propio juicio, donde la parte actora se queja de una afectación a su derecho a ser votada como candidata por el principio de representación proporcional.</w:t>
      </w:r>
    </w:p>
    <w:p w14:paraId="351D33DF" w14:textId="77777777" w:rsidR="00286BB3" w:rsidRPr="00F32542" w:rsidRDefault="00286BB3" w:rsidP="003D29D2">
      <w:pPr>
        <w:spacing w:after="0" w:line="360" w:lineRule="auto"/>
        <w:jc w:val="both"/>
        <w:rPr>
          <w:rFonts w:ascii="Arial" w:eastAsia="Calibri" w:hAnsi="Arial" w:cs="Arial"/>
          <w:sz w:val="28"/>
          <w:szCs w:val="28"/>
          <w:lang w:val="es-ES_tradnl"/>
        </w:rPr>
      </w:pPr>
    </w:p>
    <w:p w14:paraId="3C5BB8D2" w14:textId="77777777" w:rsidR="00286BB3" w:rsidRPr="00F32542" w:rsidRDefault="00286BB3" w:rsidP="003D29D2">
      <w:pPr>
        <w:spacing w:after="0" w:line="360" w:lineRule="auto"/>
        <w:jc w:val="both"/>
        <w:rPr>
          <w:rFonts w:ascii="Arial" w:eastAsia="Calibri" w:hAnsi="Arial" w:cs="Arial"/>
          <w:b/>
          <w:bCs/>
          <w:sz w:val="28"/>
          <w:szCs w:val="28"/>
          <w:lang w:val="es-ES_tradnl"/>
        </w:rPr>
      </w:pPr>
      <w:r w:rsidRPr="00F32542">
        <w:rPr>
          <w:rFonts w:ascii="Arial" w:eastAsia="Calibri" w:hAnsi="Arial" w:cs="Arial"/>
          <w:sz w:val="28"/>
          <w:szCs w:val="28"/>
          <w:lang w:val="es-ES_tradnl"/>
        </w:rPr>
        <w:t xml:space="preserve">Por ello lo infundado de la causal aducida contra la procedencia del juicio </w:t>
      </w:r>
      <w:r w:rsidRPr="00F32542">
        <w:rPr>
          <w:rFonts w:ascii="Arial" w:eastAsia="Calibri" w:hAnsi="Arial" w:cs="Arial"/>
          <w:b/>
          <w:bCs/>
          <w:sz w:val="28"/>
          <w:szCs w:val="28"/>
          <w:lang w:val="es-ES_tradnl"/>
        </w:rPr>
        <w:t>TECDMX-JLDC-092/2021.</w:t>
      </w:r>
    </w:p>
    <w:p w14:paraId="25CE1CB8" w14:textId="77777777" w:rsidR="00286BB3" w:rsidRPr="00F32542" w:rsidRDefault="00286BB3" w:rsidP="003D29D2">
      <w:pPr>
        <w:spacing w:after="0" w:line="360" w:lineRule="auto"/>
        <w:jc w:val="both"/>
        <w:rPr>
          <w:rFonts w:ascii="Arial" w:eastAsia="Calibri" w:hAnsi="Arial" w:cs="Arial"/>
          <w:b/>
          <w:bCs/>
          <w:sz w:val="28"/>
          <w:szCs w:val="28"/>
          <w:lang w:val="es-ES_tradnl"/>
        </w:rPr>
      </w:pPr>
    </w:p>
    <w:p w14:paraId="6F307CCF" w14:textId="77777777" w:rsidR="00286BB3" w:rsidRPr="00F32542" w:rsidRDefault="00286BB3" w:rsidP="003D29D2">
      <w:pPr>
        <w:spacing w:after="0" w:line="360" w:lineRule="auto"/>
        <w:jc w:val="both"/>
        <w:rPr>
          <w:rFonts w:ascii="Arial" w:eastAsia="Calibri" w:hAnsi="Arial" w:cs="Arial"/>
          <w:sz w:val="28"/>
          <w:szCs w:val="28"/>
          <w:lang w:val="es-ES_tradnl"/>
        </w:rPr>
      </w:pPr>
      <w:r w:rsidRPr="00F32542">
        <w:rPr>
          <w:rFonts w:ascii="Arial" w:eastAsia="Calibri" w:hAnsi="Arial" w:cs="Arial"/>
          <w:sz w:val="28"/>
          <w:szCs w:val="28"/>
          <w:lang w:val="es-ES_tradnl"/>
        </w:rPr>
        <w:t>Algo similar sucede en aquellos juicios en los que, de acuerdo con el cuadro antecedente, las partes terceras interesadas plantean la consumación de los actos impugnados, o bien su consentimiento, al partir de la base incorrecta, de que las partes actoras se quejan de las posiciones en las que fueron registrados por sus partidos postulantes, en las respectivas listas plurinominales, según determinaciones aprobadas desde el mes de abril de este año.</w:t>
      </w:r>
    </w:p>
    <w:p w14:paraId="3230F35B" w14:textId="77777777" w:rsidR="00286BB3" w:rsidRPr="00F32542" w:rsidRDefault="00286BB3" w:rsidP="003D29D2">
      <w:pPr>
        <w:spacing w:after="0" w:line="360" w:lineRule="auto"/>
        <w:jc w:val="both"/>
        <w:rPr>
          <w:rFonts w:ascii="Arial" w:eastAsia="Calibri" w:hAnsi="Arial" w:cs="Arial"/>
          <w:sz w:val="28"/>
          <w:szCs w:val="28"/>
          <w:lang w:val="es-ES_tradnl"/>
        </w:rPr>
      </w:pPr>
    </w:p>
    <w:p w14:paraId="1AF4C21A" w14:textId="77777777" w:rsidR="00286BB3" w:rsidRPr="00F32542" w:rsidRDefault="00286BB3" w:rsidP="003D29D2">
      <w:pPr>
        <w:spacing w:after="0" w:line="360" w:lineRule="auto"/>
        <w:jc w:val="both"/>
        <w:rPr>
          <w:rFonts w:ascii="Arial" w:hAnsi="Arial" w:cs="Arial"/>
          <w:sz w:val="28"/>
          <w:szCs w:val="28"/>
        </w:rPr>
      </w:pPr>
      <w:r w:rsidRPr="00F32542">
        <w:rPr>
          <w:rFonts w:ascii="Arial" w:eastAsia="Calibri" w:hAnsi="Arial" w:cs="Arial"/>
          <w:sz w:val="28"/>
          <w:szCs w:val="28"/>
          <w:lang w:val="es-ES_tradnl"/>
        </w:rPr>
        <w:t xml:space="preserve">No obstante, la improcedencia pretendida es infundada, porque las partes actoras en mención, a saber, </w:t>
      </w:r>
      <w:proofErr w:type="spellStart"/>
      <w:r w:rsidRPr="00F32542">
        <w:rPr>
          <w:rFonts w:ascii="Arial" w:eastAsia="Calibri" w:hAnsi="Arial" w:cs="Arial"/>
          <w:sz w:val="28"/>
          <w:szCs w:val="28"/>
          <w:lang w:val="es-ES_tradnl"/>
        </w:rPr>
        <w:t>Nury</w:t>
      </w:r>
      <w:proofErr w:type="spellEnd"/>
      <w:r w:rsidRPr="00F32542">
        <w:rPr>
          <w:rFonts w:ascii="Arial" w:eastAsia="Calibri" w:hAnsi="Arial" w:cs="Arial"/>
          <w:sz w:val="28"/>
          <w:szCs w:val="28"/>
          <w:lang w:val="es-ES_tradnl"/>
        </w:rPr>
        <w:t xml:space="preserve"> Delia Ruiz Ovando, José Luis Rodríguez Díaz de León y </w:t>
      </w:r>
      <w:proofErr w:type="spellStart"/>
      <w:r w:rsidRPr="00F32542">
        <w:rPr>
          <w:rFonts w:ascii="Arial" w:hAnsi="Arial" w:cs="Arial"/>
          <w:sz w:val="28"/>
          <w:szCs w:val="28"/>
        </w:rPr>
        <w:t>K</w:t>
      </w:r>
      <w:r w:rsidR="00346511" w:rsidRPr="00F32542">
        <w:rPr>
          <w:rFonts w:ascii="Arial" w:hAnsi="Arial" w:cs="Arial"/>
          <w:sz w:val="28"/>
          <w:szCs w:val="28"/>
        </w:rPr>
        <w:t>i</w:t>
      </w:r>
      <w:r w:rsidRPr="00F32542">
        <w:rPr>
          <w:rFonts w:ascii="Arial" w:hAnsi="Arial" w:cs="Arial"/>
          <w:sz w:val="28"/>
          <w:szCs w:val="28"/>
        </w:rPr>
        <w:t>lauren</w:t>
      </w:r>
      <w:proofErr w:type="spellEnd"/>
      <w:r w:rsidRPr="00F32542">
        <w:rPr>
          <w:rFonts w:ascii="Arial" w:hAnsi="Arial" w:cs="Arial"/>
          <w:sz w:val="28"/>
          <w:szCs w:val="28"/>
        </w:rPr>
        <w:t xml:space="preserve"> Paulina Cobos Lázaro, no fueron registrados con anticipación en lista alguna, toda vez que se trataron de personas candidatas por mayoría relativa, quienes apenas fueron incorporadas a la lista B, en atención a la votación que los ubicó como mejores segundos lugares y durante la sesión en la cual se emitió el acuerdo impugnado, mismo que, como se ha demostrado, se publicó el trece de junio.</w:t>
      </w:r>
    </w:p>
    <w:p w14:paraId="3AC72355" w14:textId="77777777" w:rsidR="00286BB3" w:rsidRPr="00F32542" w:rsidRDefault="00286BB3" w:rsidP="003D29D2">
      <w:pPr>
        <w:spacing w:after="0" w:line="360" w:lineRule="auto"/>
        <w:jc w:val="both"/>
        <w:rPr>
          <w:rFonts w:ascii="Arial" w:hAnsi="Arial" w:cs="Arial"/>
          <w:sz w:val="28"/>
          <w:szCs w:val="28"/>
        </w:rPr>
      </w:pPr>
    </w:p>
    <w:p w14:paraId="04A33D16" w14:textId="77777777" w:rsidR="00286BB3" w:rsidRPr="00F32542" w:rsidRDefault="00286BB3" w:rsidP="003D29D2">
      <w:pPr>
        <w:spacing w:after="0" w:line="360" w:lineRule="auto"/>
        <w:jc w:val="both"/>
        <w:rPr>
          <w:rFonts w:ascii="Arial" w:hAnsi="Arial" w:cs="Arial"/>
          <w:sz w:val="28"/>
          <w:szCs w:val="28"/>
        </w:rPr>
      </w:pPr>
      <w:r w:rsidRPr="00F32542">
        <w:rPr>
          <w:rFonts w:ascii="Arial" w:hAnsi="Arial" w:cs="Arial"/>
          <w:sz w:val="28"/>
          <w:szCs w:val="28"/>
        </w:rPr>
        <w:lastRenderedPageBreak/>
        <w:t>De modo que, si las mencionadas partes actoras promovieron sus juicios entre el quince y el dieciocho de junio pasados, éstos resultan promovidos en tiempo.</w:t>
      </w:r>
    </w:p>
    <w:p w14:paraId="056B3A3B" w14:textId="77777777" w:rsidR="00286BB3" w:rsidRPr="00F32542" w:rsidRDefault="00286BB3" w:rsidP="003D29D2">
      <w:pPr>
        <w:spacing w:after="0" w:line="360" w:lineRule="auto"/>
        <w:jc w:val="both"/>
        <w:rPr>
          <w:rFonts w:ascii="Arial" w:hAnsi="Arial" w:cs="Arial"/>
          <w:sz w:val="28"/>
          <w:szCs w:val="28"/>
        </w:rPr>
      </w:pPr>
    </w:p>
    <w:p w14:paraId="7DA5969D" w14:textId="77777777" w:rsidR="00286BB3" w:rsidRPr="00F32542" w:rsidRDefault="00286BB3" w:rsidP="003D29D2">
      <w:pPr>
        <w:spacing w:after="0" w:line="360" w:lineRule="auto"/>
        <w:jc w:val="both"/>
        <w:rPr>
          <w:rFonts w:ascii="Arial" w:hAnsi="Arial" w:cs="Arial"/>
          <w:sz w:val="28"/>
          <w:szCs w:val="28"/>
        </w:rPr>
      </w:pPr>
      <w:r w:rsidRPr="00F32542">
        <w:rPr>
          <w:rFonts w:ascii="Arial" w:hAnsi="Arial" w:cs="Arial"/>
          <w:sz w:val="28"/>
          <w:szCs w:val="28"/>
        </w:rPr>
        <w:t xml:space="preserve">Por otra parte, es </w:t>
      </w:r>
      <w:r w:rsidRPr="00F32542">
        <w:rPr>
          <w:rFonts w:ascii="Arial" w:hAnsi="Arial" w:cs="Arial"/>
          <w:b/>
          <w:bCs/>
          <w:sz w:val="28"/>
          <w:szCs w:val="28"/>
        </w:rPr>
        <w:t>infundado</w:t>
      </w:r>
      <w:r w:rsidRPr="00F32542">
        <w:rPr>
          <w:rFonts w:ascii="Arial" w:hAnsi="Arial" w:cs="Arial"/>
          <w:sz w:val="28"/>
          <w:szCs w:val="28"/>
        </w:rPr>
        <w:t xml:space="preserve"> lo aducido por la parte tercera interesada del juicio </w:t>
      </w:r>
      <w:r w:rsidRPr="00F32542">
        <w:rPr>
          <w:rFonts w:ascii="Arial" w:hAnsi="Arial" w:cs="Arial"/>
          <w:b/>
          <w:bCs/>
          <w:sz w:val="28"/>
          <w:szCs w:val="28"/>
        </w:rPr>
        <w:t>TECDMX-JLDC-090/2021</w:t>
      </w:r>
      <w:r w:rsidRPr="00F32542">
        <w:rPr>
          <w:rFonts w:ascii="Arial" w:hAnsi="Arial" w:cs="Arial"/>
          <w:sz w:val="28"/>
          <w:szCs w:val="28"/>
        </w:rPr>
        <w:t xml:space="preserve">, sobre la improcedencia sustentada en la aparente consumación de la etapa de registro de candidaturas, durante la cual la parte actora omitió manifestar su calidad de persona indígena; ello es así, porque tomar como presupuesto para desechar la demanda, </w:t>
      </w:r>
      <w:r w:rsidR="006A0AA1" w:rsidRPr="00F32542">
        <w:rPr>
          <w:rFonts w:ascii="Arial" w:hAnsi="Arial" w:cs="Arial"/>
          <w:sz w:val="28"/>
          <w:szCs w:val="28"/>
        </w:rPr>
        <w:t xml:space="preserve">el </w:t>
      </w:r>
      <w:r w:rsidRPr="00F32542">
        <w:rPr>
          <w:rFonts w:ascii="Arial" w:hAnsi="Arial" w:cs="Arial"/>
          <w:sz w:val="28"/>
          <w:szCs w:val="28"/>
        </w:rPr>
        <w:t xml:space="preserve">no tener por acreditada la calidad de persona indígena de la parte actora, implicaría incurrir en el vicio lógico de petición de principio, toda vez que la acreditación o no de esa calidad, consiste precisamente en una de las cuestiones sobre las que versa la controversia y que, por tanto, corresponde dilucidar mediante un estudio de fondo del asunto. </w:t>
      </w:r>
    </w:p>
    <w:p w14:paraId="548FF32E" w14:textId="77777777" w:rsidR="00286BB3" w:rsidRPr="00F32542" w:rsidRDefault="00286BB3" w:rsidP="003D29D2">
      <w:pPr>
        <w:spacing w:after="0" w:line="360" w:lineRule="auto"/>
        <w:jc w:val="both"/>
        <w:rPr>
          <w:rFonts w:ascii="Arial" w:hAnsi="Arial" w:cs="Arial"/>
          <w:sz w:val="28"/>
          <w:szCs w:val="28"/>
          <w:lang w:eastAsia="es-MX"/>
        </w:rPr>
      </w:pPr>
    </w:p>
    <w:p w14:paraId="31710627" w14:textId="77777777" w:rsidR="00286BB3" w:rsidRPr="00F32542" w:rsidRDefault="00286BB3" w:rsidP="003D29D2">
      <w:pPr>
        <w:numPr>
          <w:ilvl w:val="0"/>
          <w:numId w:val="1"/>
        </w:numPr>
        <w:spacing w:after="0" w:line="360" w:lineRule="auto"/>
        <w:jc w:val="both"/>
        <w:rPr>
          <w:rFonts w:ascii="Arial" w:hAnsi="Arial" w:cs="Arial"/>
          <w:b/>
          <w:sz w:val="28"/>
          <w:szCs w:val="28"/>
          <w:lang w:eastAsia="es-MX"/>
        </w:rPr>
      </w:pPr>
      <w:r w:rsidRPr="00F32542">
        <w:rPr>
          <w:rFonts w:ascii="Arial" w:hAnsi="Arial" w:cs="Arial"/>
          <w:b/>
          <w:sz w:val="28"/>
          <w:szCs w:val="28"/>
          <w:lang w:eastAsia="es-MX"/>
        </w:rPr>
        <w:t>Falta de interés.</w:t>
      </w:r>
    </w:p>
    <w:p w14:paraId="5805C2DC" w14:textId="77777777" w:rsidR="00286BB3" w:rsidRPr="00F32542" w:rsidRDefault="00286BB3" w:rsidP="003D29D2">
      <w:pPr>
        <w:spacing w:after="0" w:line="360" w:lineRule="auto"/>
        <w:jc w:val="both"/>
        <w:rPr>
          <w:rFonts w:ascii="Arial" w:hAnsi="Arial" w:cs="Arial"/>
          <w:sz w:val="28"/>
          <w:szCs w:val="28"/>
          <w:lang w:eastAsia="es-MX"/>
        </w:rPr>
      </w:pPr>
    </w:p>
    <w:p w14:paraId="701150B4" w14:textId="77777777" w:rsidR="00286BB3" w:rsidRPr="00F32542" w:rsidRDefault="00286BB3" w:rsidP="003D29D2">
      <w:pPr>
        <w:spacing w:after="0" w:line="360" w:lineRule="auto"/>
        <w:jc w:val="both"/>
        <w:rPr>
          <w:rFonts w:ascii="Arial" w:hAnsi="Arial" w:cs="Arial"/>
          <w:sz w:val="28"/>
          <w:szCs w:val="28"/>
          <w:lang w:eastAsia="es-MX"/>
        </w:rPr>
      </w:pPr>
      <w:r w:rsidRPr="00F32542">
        <w:rPr>
          <w:rFonts w:ascii="Arial" w:hAnsi="Arial" w:cs="Arial"/>
          <w:sz w:val="28"/>
          <w:szCs w:val="28"/>
          <w:lang w:eastAsia="es-MX"/>
        </w:rPr>
        <w:t>Igualmente, en aquellos asuntos en los cuales las partes comparecientes señalan como causa de improcedencia la falta de interés de las partes actoras, debido a que no pertenecen al género femenino, o bien, porque atender su pretensión implicaría una afectación a los derechos de tal género, el motivo planteado para desechar las demandas resulta infundado.</w:t>
      </w:r>
    </w:p>
    <w:p w14:paraId="635200F9" w14:textId="77777777" w:rsidR="00286BB3" w:rsidRPr="00F32542" w:rsidRDefault="00286BB3" w:rsidP="003D29D2">
      <w:pPr>
        <w:spacing w:after="0" w:line="360" w:lineRule="auto"/>
        <w:jc w:val="both"/>
        <w:rPr>
          <w:rFonts w:ascii="Arial" w:hAnsi="Arial" w:cs="Arial"/>
          <w:sz w:val="28"/>
          <w:szCs w:val="28"/>
          <w:lang w:eastAsia="es-MX"/>
        </w:rPr>
      </w:pPr>
    </w:p>
    <w:p w14:paraId="5BFC4CC3" w14:textId="77777777" w:rsidR="00286BB3" w:rsidRPr="00F32542" w:rsidRDefault="00286BB3" w:rsidP="003D29D2">
      <w:pPr>
        <w:spacing w:after="0" w:line="360" w:lineRule="auto"/>
        <w:jc w:val="both"/>
        <w:rPr>
          <w:rFonts w:ascii="Arial" w:hAnsi="Arial" w:cs="Arial"/>
          <w:sz w:val="28"/>
          <w:szCs w:val="28"/>
          <w:lang w:eastAsia="es-MX"/>
        </w:rPr>
      </w:pPr>
      <w:r w:rsidRPr="00F32542">
        <w:rPr>
          <w:rFonts w:ascii="Arial" w:hAnsi="Arial" w:cs="Arial"/>
          <w:sz w:val="28"/>
          <w:szCs w:val="28"/>
          <w:lang w:eastAsia="es-MX"/>
        </w:rPr>
        <w:t xml:space="preserve">Ello, porque cualquier pronunciamiento sobre el alcance de lo argumentado por los demandantes, en los derechos de las mujeres candidatas, no puede ser preliminar, sino concierne a un estudio del fondo de la controversia, debido a la estrecha relación entre lo </w:t>
      </w:r>
      <w:r w:rsidRPr="00F32542">
        <w:rPr>
          <w:rFonts w:ascii="Arial" w:hAnsi="Arial" w:cs="Arial"/>
          <w:sz w:val="28"/>
          <w:szCs w:val="28"/>
          <w:lang w:eastAsia="es-MX"/>
        </w:rPr>
        <w:lastRenderedPageBreak/>
        <w:t>pretendido por las artes actoras —obtener una diputación plurinominal— y su posible incidencia en esos derechos.</w:t>
      </w:r>
    </w:p>
    <w:p w14:paraId="7919BBCA" w14:textId="77777777" w:rsidR="00286BB3" w:rsidRPr="00F32542" w:rsidRDefault="00286BB3" w:rsidP="003D29D2">
      <w:pPr>
        <w:spacing w:after="0" w:line="360" w:lineRule="auto"/>
        <w:jc w:val="both"/>
        <w:rPr>
          <w:rFonts w:ascii="Arial" w:hAnsi="Arial" w:cs="Arial"/>
          <w:sz w:val="28"/>
          <w:szCs w:val="28"/>
          <w:lang w:eastAsia="es-MX"/>
        </w:rPr>
      </w:pPr>
    </w:p>
    <w:p w14:paraId="6B462440" w14:textId="77777777" w:rsidR="00286BB3" w:rsidRPr="00F32542" w:rsidRDefault="00286BB3" w:rsidP="003D29D2">
      <w:pPr>
        <w:spacing w:after="0" w:line="360" w:lineRule="auto"/>
        <w:jc w:val="both"/>
        <w:rPr>
          <w:rFonts w:ascii="Arial" w:hAnsi="Arial" w:cs="Arial"/>
          <w:sz w:val="28"/>
          <w:szCs w:val="28"/>
          <w:lang w:eastAsia="es-MX"/>
        </w:rPr>
      </w:pPr>
      <w:r w:rsidRPr="00F32542">
        <w:rPr>
          <w:rFonts w:ascii="Arial" w:hAnsi="Arial" w:cs="Arial"/>
          <w:sz w:val="28"/>
          <w:szCs w:val="28"/>
          <w:lang w:eastAsia="es-MX"/>
        </w:rPr>
        <w:t xml:space="preserve">Por tanto, resulta </w:t>
      </w:r>
      <w:r w:rsidRPr="00F32542">
        <w:rPr>
          <w:rFonts w:ascii="Arial" w:hAnsi="Arial" w:cs="Arial"/>
          <w:b/>
          <w:sz w:val="28"/>
          <w:szCs w:val="28"/>
          <w:lang w:eastAsia="es-MX"/>
        </w:rPr>
        <w:t>infundada</w:t>
      </w:r>
      <w:r w:rsidRPr="00F32542">
        <w:rPr>
          <w:rFonts w:ascii="Arial" w:hAnsi="Arial" w:cs="Arial"/>
          <w:sz w:val="28"/>
          <w:szCs w:val="28"/>
          <w:lang w:eastAsia="es-MX"/>
        </w:rPr>
        <w:t xml:space="preserve"> la causal invocada.</w:t>
      </w:r>
    </w:p>
    <w:p w14:paraId="7CE98C6E" w14:textId="77777777" w:rsidR="00286BB3" w:rsidRPr="00F32542" w:rsidRDefault="00286BB3" w:rsidP="003D29D2">
      <w:pPr>
        <w:spacing w:after="0" w:line="360" w:lineRule="auto"/>
        <w:jc w:val="both"/>
        <w:rPr>
          <w:rFonts w:ascii="Arial" w:hAnsi="Arial" w:cs="Arial"/>
          <w:sz w:val="28"/>
          <w:szCs w:val="28"/>
          <w:lang w:eastAsia="es-MX"/>
        </w:rPr>
      </w:pPr>
    </w:p>
    <w:p w14:paraId="26BD486E" w14:textId="77777777" w:rsidR="00286BB3" w:rsidRPr="00F32542" w:rsidRDefault="00286BB3" w:rsidP="003D29D2">
      <w:pPr>
        <w:spacing w:after="0" w:line="360" w:lineRule="auto"/>
        <w:jc w:val="both"/>
        <w:rPr>
          <w:rFonts w:ascii="Arial" w:eastAsia="Calibri" w:hAnsi="Arial" w:cs="Arial"/>
          <w:sz w:val="28"/>
          <w:szCs w:val="28"/>
          <w:lang w:val="es-ES_tradnl"/>
        </w:rPr>
      </w:pPr>
      <w:r w:rsidRPr="00F32542">
        <w:rPr>
          <w:rFonts w:ascii="Arial" w:hAnsi="Arial" w:cs="Arial"/>
          <w:sz w:val="28"/>
          <w:szCs w:val="28"/>
          <w:lang w:eastAsia="es-MX"/>
        </w:rPr>
        <w:t xml:space="preserve">Asimismo, respecto a la falta de legitimación alegada por la parte tercera interesada en el juicio de la ciudadanía </w:t>
      </w:r>
      <w:r w:rsidRPr="00F32542">
        <w:rPr>
          <w:rFonts w:ascii="Arial" w:hAnsi="Arial" w:cs="Arial"/>
          <w:b/>
          <w:sz w:val="28"/>
          <w:szCs w:val="28"/>
          <w:lang w:eastAsia="es-MX"/>
        </w:rPr>
        <w:t>TECDMX-</w:t>
      </w:r>
      <w:r w:rsidRPr="00F32542">
        <w:rPr>
          <w:rFonts w:ascii="Arial" w:hAnsi="Arial" w:cs="Arial"/>
          <w:b/>
          <w:bCs/>
          <w:sz w:val="28"/>
          <w:szCs w:val="28"/>
          <w:lang w:eastAsia="es-MX"/>
        </w:rPr>
        <w:t>JLDC-094/2021</w:t>
      </w:r>
      <w:r w:rsidRPr="00F32542">
        <w:rPr>
          <w:rFonts w:ascii="Arial" w:hAnsi="Arial" w:cs="Arial"/>
          <w:sz w:val="28"/>
          <w:szCs w:val="28"/>
          <w:lang w:eastAsia="es-MX"/>
        </w:rPr>
        <w:t xml:space="preserve">, también se desestima, porque se hace valer en la premisa equivocada de que la parte actora no promovió la vía </w:t>
      </w:r>
      <w:r w:rsidRPr="00F32542">
        <w:rPr>
          <w:rFonts w:ascii="Arial" w:eastAsia="Calibri" w:hAnsi="Arial" w:cs="Arial"/>
          <w:sz w:val="28"/>
          <w:szCs w:val="28"/>
          <w:lang w:val="es-ES_tradnl"/>
        </w:rPr>
        <w:t xml:space="preserve">idónea para impugnar actos del Consejo General del </w:t>
      </w:r>
      <w:r w:rsidRPr="00F32542">
        <w:rPr>
          <w:rFonts w:ascii="Arial" w:eastAsia="Calibri" w:hAnsi="Arial" w:cs="Arial"/>
          <w:i/>
          <w:iCs/>
          <w:sz w:val="28"/>
          <w:szCs w:val="28"/>
          <w:lang w:val="es-ES_tradnl"/>
        </w:rPr>
        <w:t>IECM</w:t>
      </w:r>
      <w:r w:rsidRPr="00F32542">
        <w:rPr>
          <w:rFonts w:ascii="Arial" w:eastAsia="Calibri" w:hAnsi="Arial" w:cs="Arial"/>
          <w:sz w:val="28"/>
          <w:szCs w:val="28"/>
          <w:lang w:val="es-ES_tradnl"/>
        </w:rPr>
        <w:t xml:space="preserve">, es decir, el juicio electoral, regulado en el artículo 102 de la </w:t>
      </w:r>
      <w:r w:rsidRPr="00F32542">
        <w:rPr>
          <w:rFonts w:ascii="Arial" w:eastAsia="Calibri" w:hAnsi="Arial" w:cs="Arial"/>
          <w:i/>
          <w:iCs/>
          <w:sz w:val="28"/>
          <w:szCs w:val="28"/>
          <w:lang w:val="es-ES_tradnl"/>
        </w:rPr>
        <w:t>Ley Procesal</w:t>
      </w:r>
      <w:r w:rsidRPr="00F32542">
        <w:rPr>
          <w:rFonts w:ascii="Arial" w:eastAsia="Calibri" w:hAnsi="Arial" w:cs="Arial"/>
          <w:sz w:val="28"/>
          <w:szCs w:val="28"/>
          <w:lang w:val="es-ES_tradnl"/>
        </w:rPr>
        <w:t>.</w:t>
      </w:r>
    </w:p>
    <w:p w14:paraId="4690702A" w14:textId="77777777" w:rsidR="00286BB3" w:rsidRPr="00F32542" w:rsidRDefault="00286BB3" w:rsidP="003D29D2">
      <w:pPr>
        <w:spacing w:after="0" w:line="360" w:lineRule="auto"/>
        <w:jc w:val="both"/>
        <w:rPr>
          <w:rFonts w:ascii="Arial" w:hAnsi="Arial" w:cs="Arial"/>
          <w:sz w:val="28"/>
          <w:szCs w:val="28"/>
          <w:lang w:eastAsia="es-MX"/>
        </w:rPr>
      </w:pPr>
    </w:p>
    <w:p w14:paraId="2E2BCAAF" w14:textId="77777777" w:rsidR="00286BB3" w:rsidRPr="00F32542" w:rsidRDefault="00286BB3" w:rsidP="003D29D2">
      <w:pPr>
        <w:spacing w:after="0" w:line="360" w:lineRule="auto"/>
        <w:jc w:val="both"/>
        <w:rPr>
          <w:rFonts w:ascii="Arial" w:eastAsia="Calibri" w:hAnsi="Arial" w:cs="Arial"/>
          <w:sz w:val="28"/>
          <w:szCs w:val="28"/>
          <w:lang w:val="es-ES_tradnl"/>
        </w:rPr>
      </w:pPr>
      <w:r w:rsidRPr="00F32542">
        <w:rPr>
          <w:rFonts w:ascii="Arial" w:eastAsia="Calibri" w:hAnsi="Arial" w:cs="Arial"/>
          <w:sz w:val="28"/>
          <w:szCs w:val="28"/>
        </w:rPr>
        <w:t>No obstante</w:t>
      </w:r>
      <w:r w:rsidRPr="00F32542">
        <w:rPr>
          <w:rFonts w:ascii="Arial" w:eastAsia="Calibri" w:hAnsi="Arial" w:cs="Arial"/>
          <w:sz w:val="28"/>
          <w:szCs w:val="28"/>
          <w:lang w:val="es-ES_tradnl"/>
        </w:rPr>
        <w:t xml:space="preserve">, tal argumento es infundado, porque quien lo alega pasa por alto, que un juicio de la ciudadanía como el intentado, procede en contra de actos de la autoridad electoral que el promovente aduzca como violatorios de sus derechos político-electorales, tal como se manifiesta en la demanda del propio juicio, donde la parte actora se agravia de una conculcación a su derecho al voto pasivo en una candidatura plurinominal. </w:t>
      </w:r>
    </w:p>
    <w:p w14:paraId="610B63BA" w14:textId="77777777" w:rsidR="00286BB3" w:rsidRPr="00F32542" w:rsidRDefault="00286BB3" w:rsidP="003D29D2">
      <w:pPr>
        <w:spacing w:after="0" w:line="360" w:lineRule="auto"/>
        <w:jc w:val="both"/>
        <w:rPr>
          <w:rFonts w:ascii="Arial" w:eastAsia="Calibri" w:hAnsi="Arial" w:cs="Arial"/>
          <w:sz w:val="28"/>
          <w:szCs w:val="28"/>
          <w:lang w:val="es-ES_tradnl"/>
        </w:rPr>
      </w:pPr>
    </w:p>
    <w:p w14:paraId="0CFDD3B4" w14:textId="77777777" w:rsidR="00286BB3" w:rsidRPr="00F32542" w:rsidRDefault="00286BB3" w:rsidP="003D29D2">
      <w:pPr>
        <w:spacing w:after="0" w:line="360" w:lineRule="auto"/>
        <w:jc w:val="both"/>
        <w:rPr>
          <w:rFonts w:ascii="Arial" w:eastAsia="Calibri" w:hAnsi="Arial" w:cs="Arial"/>
          <w:sz w:val="28"/>
          <w:szCs w:val="28"/>
          <w:lang w:val="es-ES_tradnl"/>
        </w:rPr>
      </w:pPr>
      <w:r w:rsidRPr="00F32542">
        <w:rPr>
          <w:rFonts w:ascii="Arial" w:eastAsia="Calibri" w:hAnsi="Arial" w:cs="Arial"/>
          <w:sz w:val="28"/>
          <w:szCs w:val="28"/>
          <w:lang w:val="es-ES_tradnl"/>
        </w:rPr>
        <w:t xml:space="preserve">Aunado a ello, el juicio de la ciudadanía en comento fue instado por persona con legitimación para hacerlo, es decir, autorizada por el artículo 46, fracción II, de la </w:t>
      </w:r>
      <w:r w:rsidRPr="00F32542">
        <w:rPr>
          <w:rFonts w:ascii="Arial" w:eastAsia="Calibri" w:hAnsi="Arial" w:cs="Arial"/>
          <w:i/>
          <w:iCs/>
          <w:sz w:val="28"/>
          <w:szCs w:val="28"/>
          <w:lang w:val="es-ES_tradnl"/>
        </w:rPr>
        <w:t>Ley Procesal</w:t>
      </w:r>
      <w:r w:rsidRPr="00F32542">
        <w:rPr>
          <w:rFonts w:ascii="Arial" w:eastAsia="Calibri" w:hAnsi="Arial" w:cs="Arial"/>
          <w:sz w:val="28"/>
          <w:szCs w:val="28"/>
          <w:lang w:val="es-ES_tradnl"/>
        </w:rPr>
        <w:t>, toda vez que se trata de una persona ciudadana con la calidad de candidata a una diputación plurinominal, tal como puede constatarse en el propio acuerdo impugnado.</w:t>
      </w:r>
    </w:p>
    <w:p w14:paraId="00AF60E8" w14:textId="77777777" w:rsidR="00286BB3" w:rsidRPr="00F32542" w:rsidRDefault="00286BB3" w:rsidP="003D29D2">
      <w:pPr>
        <w:spacing w:after="0" w:line="360" w:lineRule="auto"/>
        <w:jc w:val="both"/>
        <w:rPr>
          <w:rFonts w:ascii="Arial" w:eastAsia="Calibri" w:hAnsi="Arial" w:cs="Arial"/>
          <w:sz w:val="28"/>
          <w:szCs w:val="28"/>
          <w:lang w:val="es-ES_tradnl"/>
        </w:rPr>
      </w:pPr>
    </w:p>
    <w:p w14:paraId="632566D1" w14:textId="77777777" w:rsidR="00286BB3" w:rsidRPr="00F32542" w:rsidRDefault="00286BB3" w:rsidP="003D29D2">
      <w:pPr>
        <w:spacing w:after="0" w:line="360" w:lineRule="auto"/>
        <w:jc w:val="both"/>
        <w:rPr>
          <w:rFonts w:ascii="Arial" w:eastAsia="Calibri" w:hAnsi="Arial" w:cs="Arial"/>
          <w:sz w:val="28"/>
          <w:szCs w:val="28"/>
          <w:lang w:val="es-ES_tradnl"/>
        </w:rPr>
      </w:pPr>
      <w:r w:rsidRPr="00F32542">
        <w:rPr>
          <w:rFonts w:ascii="Arial" w:eastAsia="Calibri" w:hAnsi="Arial" w:cs="Arial"/>
          <w:sz w:val="28"/>
          <w:szCs w:val="28"/>
          <w:lang w:val="es-ES_tradnl"/>
        </w:rPr>
        <w:t xml:space="preserve">Por su lado, el motivo para desechar la demanda del juicio </w:t>
      </w:r>
      <w:r w:rsidRPr="00F32542">
        <w:rPr>
          <w:rFonts w:ascii="Arial" w:eastAsia="Calibri" w:hAnsi="Arial" w:cs="Arial"/>
          <w:b/>
          <w:bCs/>
          <w:sz w:val="28"/>
          <w:szCs w:val="28"/>
          <w:lang w:val="es-ES_tradnl"/>
        </w:rPr>
        <w:t xml:space="preserve">TECDMX-JLDC-104/2021 </w:t>
      </w:r>
      <w:r w:rsidRPr="00F32542">
        <w:rPr>
          <w:rFonts w:ascii="Arial" w:eastAsia="Calibri" w:hAnsi="Arial" w:cs="Arial"/>
          <w:sz w:val="28"/>
          <w:szCs w:val="28"/>
          <w:lang w:val="es-ES_tradnl"/>
        </w:rPr>
        <w:t xml:space="preserve">se desvirtúa, porque no asiste razón a la parte </w:t>
      </w:r>
      <w:r w:rsidRPr="00F32542">
        <w:rPr>
          <w:rFonts w:ascii="Arial" w:eastAsia="Calibri" w:hAnsi="Arial" w:cs="Arial"/>
          <w:sz w:val="28"/>
          <w:szCs w:val="28"/>
          <w:lang w:val="es-ES_tradnl"/>
        </w:rPr>
        <w:lastRenderedPageBreak/>
        <w:t>tercera interesada en el mismo, cuando asevera que la parte actora carece de legitimación al presentar su demanda en lo individual, a pesar de existir un litisconsorcio activo entre aquella y la persona suplente de la misma fórmula de candidaturas.</w:t>
      </w:r>
    </w:p>
    <w:p w14:paraId="2CE64528" w14:textId="77777777" w:rsidR="00D42B0B" w:rsidRPr="00F32542" w:rsidRDefault="00D42B0B" w:rsidP="003D29D2">
      <w:pPr>
        <w:spacing w:after="0" w:line="360" w:lineRule="auto"/>
        <w:jc w:val="both"/>
        <w:rPr>
          <w:rFonts w:ascii="Arial" w:eastAsia="Calibri" w:hAnsi="Arial" w:cs="Arial"/>
          <w:sz w:val="28"/>
          <w:szCs w:val="28"/>
          <w:lang w:val="es-ES_tradnl"/>
        </w:rPr>
      </w:pPr>
    </w:p>
    <w:p w14:paraId="18F7DDAF" w14:textId="77777777" w:rsidR="00286BB3" w:rsidRPr="00F32542" w:rsidRDefault="00286BB3" w:rsidP="003D29D2">
      <w:pPr>
        <w:spacing w:after="0" w:line="360" w:lineRule="auto"/>
        <w:jc w:val="both"/>
        <w:rPr>
          <w:rFonts w:ascii="Arial" w:hAnsi="Arial" w:cs="Arial"/>
          <w:sz w:val="28"/>
          <w:szCs w:val="28"/>
          <w:lang w:eastAsia="es-MX"/>
        </w:rPr>
      </w:pPr>
      <w:r w:rsidRPr="00F32542">
        <w:rPr>
          <w:rFonts w:ascii="Arial" w:eastAsia="Calibri" w:hAnsi="Arial" w:cs="Arial"/>
          <w:sz w:val="28"/>
          <w:szCs w:val="28"/>
          <w:lang w:val="es-ES_tradnl"/>
        </w:rPr>
        <w:t xml:space="preserve">Cuestión que resulta imprecisa, pues aún exista un litisconsorcio necesario entre ambas personas, </w:t>
      </w:r>
      <w:proofErr w:type="gramStart"/>
      <w:r w:rsidRPr="00F32542">
        <w:rPr>
          <w:rFonts w:ascii="Arial" w:eastAsia="Calibri" w:hAnsi="Arial" w:cs="Arial"/>
          <w:sz w:val="28"/>
          <w:szCs w:val="28"/>
          <w:lang w:val="es-ES_tradnl"/>
        </w:rPr>
        <w:t>en razón de</w:t>
      </w:r>
      <w:proofErr w:type="gramEnd"/>
      <w:r w:rsidRPr="00F32542">
        <w:rPr>
          <w:rFonts w:ascii="Arial" w:eastAsia="Calibri" w:hAnsi="Arial" w:cs="Arial"/>
          <w:sz w:val="28"/>
          <w:szCs w:val="28"/>
          <w:lang w:val="es-ES_tradnl"/>
        </w:rPr>
        <w:t xml:space="preserve"> la relación jurídica sustancial que las une, es decir, su postulación como integrantes de la misma fórmula de candidaturas, el hecho de que una sola de ellas acuda ante esta jurisdicción necesariamente aprovechará a la otra litisconsorte. Sirve de criterio orientador a esta conclusión, el contenido en la tesis </w:t>
      </w:r>
      <w:r w:rsidRPr="00F32542">
        <w:rPr>
          <w:rFonts w:ascii="Arial" w:eastAsia="Calibri" w:hAnsi="Arial" w:cs="Arial"/>
          <w:b/>
          <w:bCs/>
          <w:sz w:val="28"/>
          <w:szCs w:val="28"/>
          <w:lang w:val="es-ES_tradnl"/>
        </w:rPr>
        <w:t xml:space="preserve">XLII/2002 </w:t>
      </w:r>
      <w:r w:rsidRPr="00F32542">
        <w:rPr>
          <w:rFonts w:ascii="Arial" w:eastAsia="Calibri" w:hAnsi="Arial" w:cs="Arial"/>
          <w:sz w:val="28"/>
          <w:szCs w:val="28"/>
          <w:lang w:val="es-ES_tradnl"/>
        </w:rPr>
        <w:t>emitida por la Sala Superior bajo el rubro “</w:t>
      </w:r>
      <w:r w:rsidRPr="00F32542">
        <w:rPr>
          <w:rFonts w:ascii="Arial" w:eastAsia="Calibri" w:hAnsi="Arial" w:cs="Arial"/>
          <w:b/>
          <w:bCs/>
          <w:sz w:val="28"/>
          <w:szCs w:val="28"/>
          <w:lang w:val="es-ES_tradnl"/>
        </w:rPr>
        <w:t>DEFINITIVIDAD Y FIRMEZA. CUANDO EXISTA LITISCONSORCIO NECESARIO ES SUFICIENTE QUE UNO DE LOS LITISCONSORTES PROMUEVA EL MEDIO ORDINARIO DE DEFENSA</w:t>
      </w:r>
      <w:r w:rsidRPr="00F32542">
        <w:rPr>
          <w:rFonts w:ascii="Arial" w:eastAsia="Calibri" w:hAnsi="Arial" w:cs="Arial"/>
          <w:sz w:val="28"/>
          <w:szCs w:val="28"/>
          <w:lang w:val="es-ES_tradnl"/>
        </w:rPr>
        <w:t>”.</w:t>
      </w:r>
    </w:p>
    <w:p w14:paraId="7800475B" w14:textId="77777777" w:rsidR="00286BB3" w:rsidRPr="00F32542" w:rsidRDefault="00286BB3" w:rsidP="003D29D2">
      <w:pPr>
        <w:spacing w:after="0" w:line="360" w:lineRule="auto"/>
        <w:jc w:val="both"/>
        <w:rPr>
          <w:rFonts w:ascii="Arial" w:hAnsi="Arial" w:cs="Arial"/>
          <w:sz w:val="28"/>
          <w:szCs w:val="28"/>
          <w:lang w:eastAsia="es-MX"/>
        </w:rPr>
      </w:pPr>
    </w:p>
    <w:p w14:paraId="3DBE6485" w14:textId="77777777" w:rsidR="00286BB3" w:rsidRPr="00F32542" w:rsidRDefault="00286BB3" w:rsidP="003D29D2">
      <w:pPr>
        <w:pStyle w:val="Prrafodelista"/>
        <w:numPr>
          <w:ilvl w:val="0"/>
          <w:numId w:val="1"/>
        </w:numPr>
        <w:spacing w:line="360" w:lineRule="auto"/>
        <w:ind w:right="51"/>
        <w:rPr>
          <w:rFonts w:ascii="Arial" w:hAnsi="Arial" w:cs="Arial"/>
          <w:b/>
          <w:szCs w:val="28"/>
        </w:rPr>
      </w:pPr>
      <w:r w:rsidRPr="00F32542">
        <w:rPr>
          <w:rFonts w:ascii="Arial" w:hAnsi="Arial" w:cs="Arial"/>
          <w:b/>
          <w:szCs w:val="28"/>
        </w:rPr>
        <w:t xml:space="preserve">Frivolidad de la demanda. </w:t>
      </w:r>
    </w:p>
    <w:p w14:paraId="4C2322E6" w14:textId="77777777" w:rsidR="00286BB3" w:rsidRPr="00F32542" w:rsidRDefault="00286BB3" w:rsidP="003D29D2">
      <w:pPr>
        <w:spacing w:after="0" w:line="360" w:lineRule="auto"/>
        <w:ind w:right="51"/>
        <w:jc w:val="both"/>
        <w:rPr>
          <w:rFonts w:ascii="Arial" w:hAnsi="Arial" w:cs="Arial"/>
          <w:sz w:val="28"/>
          <w:szCs w:val="28"/>
        </w:rPr>
      </w:pPr>
    </w:p>
    <w:p w14:paraId="7AFEB08F" w14:textId="77777777" w:rsidR="00286BB3" w:rsidRPr="00F32542" w:rsidRDefault="00286BB3" w:rsidP="003D29D2">
      <w:pPr>
        <w:spacing w:after="0" w:line="360" w:lineRule="auto"/>
        <w:ind w:right="51"/>
        <w:jc w:val="both"/>
        <w:rPr>
          <w:rFonts w:ascii="Arial" w:hAnsi="Arial" w:cs="Arial"/>
          <w:sz w:val="28"/>
          <w:szCs w:val="28"/>
        </w:rPr>
      </w:pPr>
      <w:r w:rsidRPr="00F32542">
        <w:rPr>
          <w:rFonts w:ascii="Arial" w:hAnsi="Arial" w:cs="Arial"/>
          <w:sz w:val="28"/>
          <w:szCs w:val="28"/>
        </w:rPr>
        <w:t xml:space="preserve">Este </w:t>
      </w:r>
      <w:r w:rsidRPr="00F32542">
        <w:rPr>
          <w:rFonts w:ascii="Arial" w:hAnsi="Arial" w:cs="Arial"/>
          <w:iCs/>
          <w:sz w:val="28"/>
          <w:szCs w:val="28"/>
        </w:rPr>
        <w:t>órgano jurisdiccional</w:t>
      </w:r>
      <w:r w:rsidRPr="00F32542">
        <w:rPr>
          <w:rFonts w:ascii="Arial" w:hAnsi="Arial" w:cs="Arial"/>
          <w:sz w:val="28"/>
          <w:szCs w:val="28"/>
        </w:rPr>
        <w:t xml:space="preserve"> considera que dicha causal, planteada en el juicio </w:t>
      </w:r>
      <w:r w:rsidRPr="00F32542">
        <w:rPr>
          <w:rFonts w:ascii="Arial" w:hAnsi="Arial" w:cs="Arial"/>
          <w:b/>
          <w:bCs/>
          <w:sz w:val="28"/>
          <w:szCs w:val="28"/>
        </w:rPr>
        <w:t>TECDMX-JLDC-094/2021</w:t>
      </w:r>
      <w:r w:rsidRPr="00F32542">
        <w:rPr>
          <w:rFonts w:ascii="Arial" w:hAnsi="Arial" w:cs="Arial"/>
          <w:sz w:val="28"/>
          <w:szCs w:val="28"/>
        </w:rPr>
        <w:t xml:space="preserve">, es </w:t>
      </w:r>
      <w:r w:rsidRPr="00F32542">
        <w:rPr>
          <w:rFonts w:ascii="Arial" w:hAnsi="Arial" w:cs="Arial"/>
          <w:b/>
          <w:sz w:val="28"/>
          <w:szCs w:val="28"/>
        </w:rPr>
        <w:t>infundada</w:t>
      </w:r>
      <w:r w:rsidRPr="00F32542">
        <w:rPr>
          <w:rFonts w:ascii="Arial" w:hAnsi="Arial" w:cs="Arial"/>
          <w:sz w:val="28"/>
          <w:szCs w:val="28"/>
        </w:rPr>
        <w:t>.</w:t>
      </w:r>
    </w:p>
    <w:p w14:paraId="17C86A71" w14:textId="77777777" w:rsidR="00286BB3" w:rsidRPr="00F32542" w:rsidRDefault="00286BB3" w:rsidP="003D29D2">
      <w:pPr>
        <w:spacing w:after="0" w:line="360" w:lineRule="auto"/>
        <w:ind w:right="51"/>
        <w:jc w:val="both"/>
        <w:rPr>
          <w:rFonts w:ascii="Arial" w:hAnsi="Arial" w:cs="Arial"/>
          <w:sz w:val="28"/>
          <w:szCs w:val="28"/>
        </w:rPr>
      </w:pPr>
    </w:p>
    <w:p w14:paraId="7EA83AB4" w14:textId="77777777" w:rsidR="00286BB3" w:rsidRPr="00F32542" w:rsidRDefault="00286BB3" w:rsidP="003D29D2">
      <w:pPr>
        <w:spacing w:after="0" w:line="360" w:lineRule="auto"/>
        <w:jc w:val="both"/>
        <w:rPr>
          <w:rFonts w:ascii="Arial" w:hAnsi="Arial" w:cs="Arial"/>
          <w:sz w:val="28"/>
          <w:szCs w:val="28"/>
        </w:rPr>
      </w:pPr>
      <w:r w:rsidRPr="00F32542">
        <w:rPr>
          <w:rFonts w:ascii="Arial" w:hAnsi="Arial" w:cs="Arial"/>
          <w:sz w:val="28"/>
          <w:szCs w:val="28"/>
        </w:rPr>
        <w:t>Con la finalidad de determinar lo que en derecho corresponde respecto de la causal de improcedencia invocada, es necesario establecer que la frivolidad implica que la pretensión de quien promueve sea totalmente inconsistente, insubstancial, intrascendente o se contraiga a cuestiones sin importancia, por ello, para desechar una demanda por esa causa, es necesario que esa frivolidad sea evidente y notoria de la sola lectura del escrito de impugnación.</w:t>
      </w:r>
    </w:p>
    <w:p w14:paraId="16E0FA70" w14:textId="77777777" w:rsidR="00286BB3" w:rsidRPr="00F32542" w:rsidRDefault="00286BB3" w:rsidP="003D29D2">
      <w:pPr>
        <w:spacing w:after="0" w:line="360" w:lineRule="auto"/>
        <w:jc w:val="both"/>
        <w:rPr>
          <w:rFonts w:ascii="Arial" w:hAnsi="Arial" w:cs="Arial"/>
          <w:sz w:val="28"/>
          <w:szCs w:val="28"/>
        </w:rPr>
      </w:pPr>
    </w:p>
    <w:p w14:paraId="4FF455A8" w14:textId="77777777" w:rsidR="00286BB3" w:rsidRPr="00F32542" w:rsidRDefault="00286BB3" w:rsidP="003D29D2">
      <w:pPr>
        <w:spacing w:after="0" w:line="360" w:lineRule="auto"/>
        <w:jc w:val="both"/>
        <w:rPr>
          <w:rFonts w:ascii="Arial" w:hAnsi="Arial" w:cs="Arial"/>
          <w:sz w:val="28"/>
          <w:szCs w:val="28"/>
        </w:rPr>
      </w:pPr>
      <w:r w:rsidRPr="00F32542">
        <w:rPr>
          <w:rFonts w:ascii="Arial" w:hAnsi="Arial" w:cs="Arial"/>
          <w:sz w:val="28"/>
          <w:szCs w:val="28"/>
        </w:rPr>
        <w:t>De esta manera, para que un medio de impugnación pueda considerarse frívolo, debe resultar notorio el propósito de la parte promovente de interponerlo sin existir motivo o fundamento para ello, o bien, que la impugnación no pueda alcanzar su objeto.</w:t>
      </w:r>
    </w:p>
    <w:p w14:paraId="6B86E5FF" w14:textId="77777777" w:rsidR="00286BB3" w:rsidRPr="00F32542" w:rsidRDefault="00286BB3" w:rsidP="003D29D2">
      <w:pPr>
        <w:spacing w:after="0" w:line="360" w:lineRule="auto"/>
        <w:jc w:val="both"/>
        <w:rPr>
          <w:rFonts w:ascii="Arial" w:hAnsi="Arial" w:cs="Arial"/>
          <w:sz w:val="28"/>
          <w:szCs w:val="28"/>
        </w:rPr>
      </w:pPr>
    </w:p>
    <w:p w14:paraId="31324AEB" w14:textId="77777777" w:rsidR="00286BB3" w:rsidRPr="00F32542" w:rsidRDefault="00286BB3" w:rsidP="003D29D2">
      <w:pPr>
        <w:spacing w:after="0" w:line="360" w:lineRule="auto"/>
        <w:jc w:val="both"/>
        <w:rPr>
          <w:rFonts w:ascii="Arial" w:hAnsi="Arial" w:cs="Arial"/>
          <w:sz w:val="28"/>
          <w:szCs w:val="28"/>
        </w:rPr>
      </w:pPr>
      <w:r w:rsidRPr="00F32542">
        <w:rPr>
          <w:rFonts w:ascii="Arial" w:hAnsi="Arial" w:cs="Arial"/>
          <w:sz w:val="28"/>
          <w:szCs w:val="28"/>
        </w:rPr>
        <w:t xml:space="preserve">En el juicio citado en este apartado, no se colman los requisitos señalados, en tanto que, a partir de la lectura de la demanda, se observa que la pretensión de la </w:t>
      </w:r>
      <w:r w:rsidRPr="00F32542">
        <w:rPr>
          <w:rFonts w:ascii="Arial" w:hAnsi="Arial" w:cs="Arial"/>
          <w:i/>
          <w:iCs/>
          <w:sz w:val="28"/>
          <w:szCs w:val="28"/>
        </w:rPr>
        <w:t>parte actora</w:t>
      </w:r>
      <w:r w:rsidRPr="00F32542">
        <w:rPr>
          <w:rFonts w:ascii="Arial" w:hAnsi="Arial" w:cs="Arial"/>
          <w:sz w:val="28"/>
          <w:szCs w:val="28"/>
        </w:rPr>
        <w:t xml:space="preserve"> radica en que la fórmula por ella integrada ocupe la diputación plurinominal asignada al partido político que la postuló.</w:t>
      </w:r>
    </w:p>
    <w:p w14:paraId="7170E6C5" w14:textId="77777777" w:rsidR="00286BB3" w:rsidRPr="00F32542" w:rsidRDefault="00286BB3" w:rsidP="003D29D2">
      <w:pPr>
        <w:spacing w:after="0" w:line="360" w:lineRule="auto"/>
        <w:jc w:val="both"/>
        <w:rPr>
          <w:rFonts w:ascii="Arial" w:hAnsi="Arial" w:cs="Arial"/>
          <w:sz w:val="28"/>
          <w:szCs w:val="28"/>
        </w:rPr>
      </w:pPr>
    </w:p>
    <w:p w14:paraId="135205C3" w14:textId="77777777" w:rsidR="00286BB3" w:rsidRPr="00F32542" w:rsidRDefault="00286BB3" w:rsidP="003D29D2">
      <w:pPr>
        <w:spacing w:after="0" w:line="360" w:lineRule="auto"/>
        <w:ind w:right="51"/>
        <w:jc w:val="both"/>
        <w:rPr>
          <w:rFonts w:ascii="Arial" w:hAnsi="Arial" w:cs="Arial"/>
          <w:sz w:val="28"/>
          <w:szCs w:val="28"/>
        </w:rPr>
      </w:pPr>
      <w:r w:rsidRPr="00F32542">
        <w:rPr>
          <w:rFonts w:ascii="Arial" w:hAnsi="Arial" w:cs="Arial"/>
          <w:sz w:val="28"/>
          <w:szCs w:val="28"/>
        </w:rPr>
        <w:t>Pretensión que esta autoridad jurisdiccional estima jurídicamente viable</w:t>
      </w:r>
      <w:r w:rsidRPr="00F32542">
        <w:rPr>
          <w:rFonts w:ascii="Arial" w:hAnsi="Arial" w:cs="Arial"/>
          <w:b/>
          <w:sz w:val="28"/>
          <w:szCs w:val="28"/>
        </w:rPr>
        <w:t xml:space="preserve"> </w:t>
      </w:r>
      <w:r w:rsidRPr="00F32542">
        <w:rPr>
          <w:rFonts w:ascii="Arial" w:hAnsi="Arial" w:cs="Arial"/>
          <w:sz w:val="28"/>
          <w:szCs w:val="28"/>
        </w:rPr>
        <w:t>y —en caso de asistir razón a la promovente— alcanzable con la resolución que se emita en dicho juicio, pues la pretensión planteada, en caso de acreditarse, puede concederse al amparo de los preceptos legales invocados en la demanda.</w:t>
      </w:r>
    </w:p>
    <w:p w14:paraId="4CB3B66C" w14:textId="77777777" w:rsidR="00286BB3" w:rsidRPr="00F32542" w:rsidRDefault="00286BB3" w:rsidP="003D29D2">
      <w:pPr>
        <w:spacing w:after="0" w:line="360" w:lineRule="auto"/>
        <w:jc w:val="both"/>
        <w:rPr>
          <w:rFonts w:ascii="Arial" w:hAnsi="Arial" w:cs="Arial"/>
          <w:sz w:val="28"/>
          <w:szCs w:val="28"/>
        </w:rPr>
      </w:pPr>
    </w:p>
    <w:p w14:paraId="256A29FF" w14:textId="77777777" w:rsidR="00286BB3" w:rsidRPr="00F32542" w:rsidRDefault="00286BB3" w:rsidP="003D29D2">
      <w:pPr>
        <w:spacing w:after="0" w:line="360" w:lineRule="auto"/>
        <w:jc w:val="both"/>
        <w:rPr>
          <w:rFonts w:ascii="Arial" w:hAnsi="Arial" w:cs="Arial"/>
          <w:sz w:val="28"/>
          <w:szCs w:val="28"/>
        </w:rPr>
      </w:pPr>
      <w:r w:rsidRPr="00F32542">
        <w:rPr>
          <w:rFonts w:ascii="Arial" w:hAnsi="Arial" w:cs="Arial"/>
          <w:sz w:val="28"/>
          <w:szCs w:val="28"/>
        </w:rPr>
        <w:t>Conforme a lo cual, no puede considerarse que la demanda en comento pueda considerarse frívola.</w:t>
      </w:r>
    </w:p>
    <w:p w14:paraId="74D9F087" w14:textId="77777777" w:rsidR="00286BB3" w:rsidRPr="00F32542" w:rsidRDefault="00286BB3" w:rsidP="003D29D2">
      <w:pPr>
        <w:spacing w:after="0" w:line="360" w:lineRule="auto"/>
        <w:jc w:val="both"/>
        <w:rPr>
          <w:rFonts w:ascii="Arial" w:hAnsi="Arial" w:cs="Arial"/>
          <w:sz w:val="28"/>
          <w:szCs w:val="28"/>
        </w:rPr>
      </w:pPr>
    </w:p>
    <w:p w14:paraId="67ED6387" w14:textId="77777777" w:rsidR="00286BB3" w:rsidRPr="00F32542" w:rsidRDefault="00286BB3" w:rsidP="003D29D2">
      <w:pPr>
        <w:spacing w:after="0" w:line="360" w:lineRule="auto"/>
        <w:jc w:val="both"/>
        <w:rPr>
          <w:rFonts w:ascii="Arial" w:hAnsi="Arial" w:cs="Arial"/>
          <w:sz w:val="28"/>
          <w:szCs w:val="28"/>
        </w:rPr>
      </w:pPr>
      <w:r w:rsidRPr="00F32542">
        <w:rPr>
          <w:rFonts w:ascii="Arial" w:hAnsi="Arial" w:cs="Arial"/>
          <w:sz w:val="28"/>
          <w:szCs w:val="28"/>
        </w:rPr>
        <w:t xml:space="preserve">Sirve de apoyo a lo anterior la </w:t>
      </w:r>
      <w:r w:rsidRPr="00F32542">
        <w:rPr>
          <w:rFonts w:ascii="Arial" w:hAnsi="Arial" w:cs="Arial"/>
          <w:b/>
          <w:sz w:val="28"/>
          <w:szCs w:val="28"/>
        </w:rPr>
        <w:t>Jurisprudencia 33/2002</w:t>
      </w:r>
      <w:r w:rsidRPr="00F32542">
        <w:rPr>
          <w:rFonts w:ascii="Arial" w:hAnsi="Arial" w:cs="Arial"/>
          <w:sz w:val="28"/>
          <w:szCs w:val="28"/>
        </w:rPr>
        <w:t xml:space="preserve">, de la Sala Superior del </w:t>
      </w:r>
      <w:r w:rsidRPr="00F32542">
        <w:rPr>
          <w:rFonts w:ascii="Arial" w:hAnsi="Arial" w:cs="Arial"/>
          <w:i/>
          <w:sz w:val="28"/>
          <w:szCs w:val="28"/>
        </w:rPr>
        <w:t>TEPJF</w:t>
      </w:r>
      <w:r w:rsidRPr="00F32542">
        <w:rPr>
          <w:rFonts w:ascii="Arial" w:hAnsi="Arial" w:cs="Arial"/>
          <w:sz w:val="28"/>
          <w:szCs w:val="28"/>
        </w:rPr>
        <w:t>, de rubro: “</w:t>
      </w:r>
      <w:r w:rsidRPr="00F32542">
        <w:rPr>
          <w:rFonts w:ascii="Arial" w:hAnsi="Arial" w:cs="Arial"/>
          <w:b/>
          <w:iCs/>
          <w:sz w:val="28"/>
          <w:szCs w:val="28"/>
        </w:rPr>
        <w:t>FRIVOLIDAD CONSTATADA AL EXAMINAR EL FONDO DE UN MEDIO DE IMPUGNACIÓN. PUEDE DAR LUGAR A UNA SANCIÓN AL PROMOVENTE</w:t>
      </w:r>
      <w:r w:rsidRPr="00F32542">
        <w:rPr>
          <w:rFonts w:ascii="Arial" w:hAnsi="Arial" w:cs="Arial"/>
          <w:sz w:val="28"/>
          <w:szCs w:val="28"/>
        </w:rPr>
        <w:t>”.</w:t>
      </w:r>
      <w:r w:rsidRPr="00F32542">
        <w:rPr>
          <w:rStyle w:val="Refdenotaalpie"/>
          <w:rFonts w:ascii="Arial" w:hAnsi="Arial" w:cs="Arial"/>
          <w:sz w:val="28"/>
          <w:szCs w:val="28"/>
        </w:rPr>
        <w:footnoteReference w:id="16"/>
      </w:r>
    </w:p>
    <w:p w14:paraId="19100EE2" w14:textId="77777777" w:rsidR="00286BB3" w:rsidRPr="00F32542" w:rsidRDefault="00286BB3" w:rsidP="003D29D2">
      <w:pPr>
        <w:spacing w:after="0" w:line="360" w:lineRule="auto"/>
        <w:jc w:val="both"/>
        <w:rPr>
          <w:rFonts w:ascii="Arial" w:hAnsi="Arial" w:cs="Arial"/>
          <w:sz w:val="28"/>
          <w:szCs w:val="28"/>
          <w:lang w:eastAsia="es-MX"/>
        </w:rPr>
      </w:pPr>
    </w:p>
    <w:p w14:paraId="1817A99A" w14:textId="77777777" w:rsidR="00286BB3" w:rsidRPr="00F32542" w:rsidRDefault="00222E36" w:rsidP="003D29D2">
      <w:pPr>
        <w:spacing w:after="0" w:line="360" w:lineRule="auto"/>
        <w:jc w:val="both"/>
        <w:rPr>
          <w:rFonts w:ascii="Arial" w:hAnsi="Arial" w:cs="Arial"/>
          <w:b/>
          <w:bCs/>
          <w:sz w:val="28"/>
          <w:szCs w:val="28"/>
        </w:rPr>
      </w:pPr>
      <w:r w:rsidRPr="00F32542">
        <w:rPr>
          <w:rFonts w:ascii="Arial" w:hAnsi="Arial" w:cs="Arial"/>
          <w:b/>
          <w:bCs/>
          <w:sz w:val="28"/>
          <w:szCs w:val="28"/>
        </w:rPr>
        <w:lastRenderedPageBreak/>
        <w:t xml:space="preserve">3. </w:t>
      </w:r>
      <w:r w:rsidR="00286BB3" w:rsidRPr="00F32542">
        <w:rPr>
          <w:rFonts w:ascii="Arial" w:hAnsi="Arial" w:cs="Arial"/>
          <w:b/>
          <w:bCs/>
          <w:sz w:val="28"/>
          <w:szCs w:val="28"/>
        </w:rPr>
        <w:t xml:space="preserve">Conclusión. </w:t>
      </w:r>
      <w:r w:rsidR="00286BB3" w:rsidRPr="00F32542">
        <w:rPr>
          <w:rFonts w:ascii="Arial" w:hAnsi="Arial" w:cs="Arial"/>
          <w:sz w:val="28"/>
          <w:szCs w:val="28"/>
        </w:rPr>
        <w:t xml:space="preserve">Una vez analizadas todas las causales de improcedencia invocadas en los presentes juicios y al resultar </w:t>
      </w:r>
      <w:r w:rsidR="00286BB3" w:rsidRPr="00F32542">
        <w:rPr>
          <w:rFonts w:ascii="Arial" w:hAnsi="Arial" w:cs="Arial"/>
          <w:b/>
          <w:bCs/>
          <w:sz w:val="28"/>
          <w:szCs w:val="28"/>
        </w:rPr>
        <w:t>infundadas</w:t>
      </w:r>
      <w:r w:rsidR="00286BB3" w:rsidRPr="00F32542">
        <w:rPr>
          <w:rFonts w:ascii="Arial" w:hAnsi="Arial" w:cs="Arial"/>
          <w:sz w:val="28"/>
          <w:szCs w:val="28"/>
        </w:rPr>
        <w:t xml:space="preserve"> las mismas, aunado a que este </w:t>
      </w:r>
      <w:r w:rsidR="00286BB3" w:rsidRPr="00F32542">
        <w:rPr>
          <w:rFonts w:ascii="Arial" w:hAnsi="Arial" w:cs="Arial"/>
          <w:i/>
          <w:sz w:val="28"/>
          <w:szCs w:val="28"/>
        </w:rPr>
        <w:t>órgano jurisdiccional</w:t>
      </w:r>
      <w:r w:rsidR="00286BB3" w:rsidRPr="00F32542">
        <w:rPr>
          <w:rFonts w:ascii="Arial" w:hAnsi="Arial" w:cs="Arial"/>
          <w:sz w:val="28"/>
          <w:szCs w:val="28"/>
        </w:rPr>
        <w:t xml:space="preserve"> no advierte que se actualice alguna otra, es que resulta procedente entrar al estudio de fondo del asunto; más aún, cuando las demandas cumplen con los presupuestos legales, tal y como se muestra a continuación.</w:t>
      </w:r>
    </w:p>
    <w:p w14:paraId="5ED246F2" w14:textId="77777777" w:rsidR="00286BB3" w:rsidRPr="00F32542" w:rsidRDefault="00286BB3" w:rsidP="003D29D2">
      <w:pPr>
        <w:spacing w:after="0" w:line="360" w:lineRule="auto"/>
        <w:jc w:val="both"/>
        <w:rPr>
          <w:rFonts w:ascii="Arial" w:hAnsi="Arial" w:cs="Arial"/>
          <w:sz w:val="28"/>
          <w:szCs w:val="28"/>
          <w:lang w:eastAsia="es-MX"/>
        </w:rPr>
      </w:pPr>
    </w:p>
    <w:p w14:paraId="43F88F20" w14:textId="77777777" w:rsidR="00BF19FC" w:rsidRPr="00F32542" w:rsidRDefault="00BF19FC" w:rsidP="003D29D2">
      <w:pPr>
        <w:pStyle w:val="Ttulo"/>
        <w:spacing w:line="360" w:lineRule="auto"/>
        <w:contextualSpacing w:val="0"/>
        <w:jc w:val="both"/>
        <w:outlineLvl w:val="0"/>
        <w:rPr>
          <w:rFonts w:ascii="Arial" w:eastAsiaTheme="minorHAnsi" w:hAnsi="Arial" w:cs="Arial"/>
          <w:b/>
          <w:spacing w:val="0"/>
          <w:kern w:val="0"/>
          <w:sz w:val="28"/>
          <w:szCs w:val="28"/>
        </w:rPr>
      </w:pPr>
      <w:bookmarkStart w:id="33" w:name="_Toc77856960"/>
      <w:bookmarkStart w:id="34" w:name="_Toc77982027"/>
      <w:bookmarkStart w:id="35" w:name="_Toc78475477"/>
      <w:r w:rsidRPr="00F32542">
        <w:rPr>
          <w:rStyle w:val="Ttulo1Car"/>
          <w:rFonts w:ascii="Arial" w:hAnsi="Arial" w:cs="Arial"/>
          <w:b/>
          <w:color w:val="auto"/>
          <w:sz w:val="28"/>
          <w:szCs w:val="28"/>
        </w:rPr>
        <w:t>QUINTA. Requisitos de proced</w:t>
      </w:r>
      <w:r w:rsidR="008E07E0" w:rsidRPr="00F32542">
        <w:rPr>
          <w:rStyle w:val="Ttulo1Car"/>
          <w:rFonts w:ascii="Arial" w:hAnsi="Arial" w:cs="Arial"/>
          <w:b/>
          <w:color w:val="auto"/>
          <w:sz w:val="28"/>
          <w:szCs w:val="28"/>
        </w:rPr>
        <w:t>encia</w:t>
      </w:r>
      <w:r w:rsidRPr="00F32542">
        <w:rPr>
          <w:rFonts w:ascii="Arial" w:eastAsiaTheme="minorHAnsi" w:hAnsi="Arial" w:cs="Arial"/>
          <w:b/>
          <w:spacing w:val="0"/>
          <w:kern w:val="0"/>
          <w:sz w:val="28"/>
          <w:szCs w:val="28"/>
        </w:rPr>
        <w:t>.</w:t>
      </w:r>
      <w:bookmarkEnd w:id="33"/>
      <w:bookmarkEnd w:id="34"/>
      <w:bookmarkEnd w:id="35"/>
      <w:r w:rsidRPr="00F32542">
        <w:rPr>
          <w:rFonts w:ascii="Arial" w:eastAsiaTheme="minorHAnsi" w:hAnsi="Arial" w:cs="Arial"/>
          <w:b/>
          <w:spacing w:val="0"/>
          <w:kern w:val="0"/>
          <w:sz w:val="28"/>
          <w:szCs w:val="28"/>
        </w:rPr>
        <w:t xml:space="preserve"> </w:t>
      </w:r>
    </w:p>
    <w:p w14:paraId="319796F7" w14:textId="77777777" w:rsidR="00BF19FC" w:rsidRPr="00F32542" w:rsidRDefault="00BF19FC" w:rsidP="003D29D2">
      <w:pPr>
        <w:spacing w:after="0" w:line="360" w:lineRule="auto"/>
        <w:jc w:val="both"/>
        <w:rPr>
          <w:rFonts w:ascii="Arial" w:hAnsi="Arial" w:cs="Arial"/>
          <w:sz w:val="28"/>
          <w:szCs w:val="28"/>
        </w:rPr>
      </w:pPr>
    </w:p>
    <w:p w14:paraId="1F87617E" w14:textId="77777777" w:rsidR="00BF19FC" w:rsidRPr="00F32542" w:rsidRDefault="00BF19FC" w:rsidP="003D29D2">
      <w:pPr>
        <w:spacing w:after="0" w:line="360" w:lineRule="auto"/>
        <w:jc w:val="both"/>
        <w:rPr>
          <w:rFonts w:ascii="Arial" w:hAnsi="Arial" w:cs="Arial"/>
          <w:sz w:val="28"/>
          <w:szCs w:val="28"/>
        </w:rPr>
      </w:pPr>
      <w:r w:rsidRPr="00F32542">
        <w:rPr>
          <w:rFonts w:ascii="Arial" w:hAnsi="Arial" w:cs="Arial"/>
          <w:sz w:val="28"/>
          <w:szCs w:val="28"/>
        </w:rPr>
        <w:t>Los medios de impugnación reúnen los requisitos de procedencia previstos en el artículo 47</w:t>
      </w:r>
      <w:r w:rsidR="00B37FF6" w:rsidRPr="00F32542">
        <w:rPr>
          <w:rFonts w:ascii="Arial" w:hAnsi="Arial" w:cs="Arial"/>
          <w:sz w:val="28"/>
          <w:szCs w:val="28"/>
        </w:rPr>
        <w:t xml:space="preserve"> </w:t>
      </w:r>
      <w:r w:rsidRPr="00F32542">
        <w:rPr>
          <w:rFonts w:ascii="Arial" w:hAnsi="Arial" w:cs="Arial"/>
          <w:sz w:val="28"/>
          <w:szCs w:val="28"/>
        </w:rPr>
        <w:t xml:space="preserve">de la </w:t>
      </w:r>
      <w:r w:rsidRPr="00F32542">
        <w:rPr>
          <w:rFonts w:ascii="Arial" w:hAnsi="Arial" w:cs="Arial"/>
          <w:i/>
          <w:sz w:val="28"/>
          <w:szCs w:val="28"/>
        </w:rPr>
        <w:t>Ley Procesal</w:t>
      </w:r>
      <w:r w:rsidRPr="00F32542">
        <w:rPr>
          <w:rFonts w:ascii="Arial" w:hAnsi="Arial" w:cs="Arial"/>
          <w:sz w:val="28"/>
          <w:szCs w:val="28"/>
        </w:rPr>
        <w:t>, como enseguida se demuestra.</w:t>
      </w:r>
    </w:p>
    <w:p w14:paraId="27B3D77F" w14:textId="77777777" w:rsidR="00BF19FC" w:rsidRPr="00F32542" w:rsidRDefault="00BF19FC" w:rsidP="003D29D2">
      <w:pPr>
        <w:spacing w:after="0" w:line="360" w:lineRule="auto"/>
        <w:jc w:val="both"/>
        <w:rPr>
          <w:rFonts w:ascii="Arial" w:hAnsi="Arial" w:cs="Arial"/>
          <w:sz w:val="28"/>
          <w:szCs w:val="28"/>
        </w:rPr>
      </w:pPr>
    </w:p>
    <w:p w14:paraId="395EE9DF" w14:textId="77777777" w:rsidR="009323D4" w:rsidRPr="00F32542" w:rsidRDefault="00BF19FC" w:rsidP="003D29D2">
      <w:pPr>
        <w:spacing w:after="0" w:line="360" w:lineRule="auto"/>
        <w:jc w:val="both"/>
        <w:rPr>
          <w:rFonts w:ascii="Arial" w:hAnsi="Arial" w:cs="Arial"/>
          <w:sz w:val="28"/>
          <w:szCs w:val="28"/>
        </w:rPr>
      </w:pPr>
      <w:r w:rsidRPr="00F32542">
        <w:rPr>
          <w:rFonts w:ascii="Arial" w:hAnsi="Arial" w:cs="Arial"/>
          <w:b/>
          <w:sz w:val="28"/>
          <w:szCs w:val="28"/>
        </w:rPr>
        <w:t>1. Forma.</w:t>
      </w:r>
      <w:r w:rsidRPr="00F32542">
        <w:rPr>
          <w:rFonts w:ascii="Arial" w:hAnsi="Arial" w:cs="Arial"/>
          <w:sz w:val="28"/>
          <w:szCs w:val="28"/>
        </w:rPr>
        <w:t xml:space="preserve"> Las demandas fueron presentadas por escrito ante </w:t>
      </w:r>
      <w:r w:rsidR="00B37FF6" w:rsidRPr="00F32542">
        <w:rPr>
          <w:rFonts w:ascii="Arial" w:hAnsi="Arial" w:cs="Arial"/>
          <w:sz w:val="28"/>
          <w:szCs w:val="28"/>
        </w:rPr>
        <w:t>la autoridad responsable</w:t>
      </w:r>
      <w:r w:rsidRPr="00F32542">
        <w:rPr>
          <w:rFonts w:ascii="Arial" w:hAnsi="Arial" w:cs="Arial"/>
          <w:sz w:val="28"/>
          <w:szCs w:val="28"/>
        </w:rPr>
        <w:t>;</w:t>
      </w:r>
      <w:r w:rsidRPr="00F32542">
        <w:rPr>
          <w:rFonts w:ascii="Arial" w:hAnsi="Arial" w:cs="Arial"/>
          <w:i/>
          <w:sz w:val="28"/>
          <w:szCs w:val="28"/>
        </w:rPr>
        <w:t xml:space="preserve"> </w:t>
      </w:r>
      <w:r w:rsidRPr="00F32542">
        <w:rPr>
          <w:rFonts w:ascii="Arial" w:hAnsi="Arial" w:cs="Arial"/>
          <w:sz w:val="28"/>
          <w:szCs w:val="28"/>
        </w:rPr>
        <w:t xml:space="preserve">en ellas se hace constar el nombre y firma de </w:t>
      </w:r>
      <w:r w:rsidR="009F3904" w:rsidRPr="00F32542">
        <w:rPr>
          <w:rFonts w:ascii="Arial" w:hAnsi="Arial" w:cs="Arial"/>
          <w:sz w:val="28"/>
          <w:szCs w:val="28"/>
        </w:rPr>
        <w:t>quien promueve</w:t>
      </w:r>
      <w:r w:rsidRPr="00F32542">
        <w:rPr>
          <w:rFonts w:ascii="Arial" w:hAnsi="Arial" w:cs="Arial"/>
          <w:sz w:val="28"/>
          <w:szCs w:val="28"/>
        </w:rPr>
        <w:t xml:space="preserve">; </w:t>
      </w:r>
      <w:r w:rsidR="009323D4" w:rsidRPr="00F32542">
        <w:rPr>
          <w:rFonts w:ascii="Arial" w:hAnsi="Arial" w:cs="Arial"/>
          <w:sz w:val="28"/>
          <w:szCs w:val="28"/>
        </w:rPr>
        <w:t>se identifica el acto reclamado, contienen la narración de hechos y se expresan los conceptos de agravio para demostrar las presuntas violaciones en la que incurrió el Consejo responsable.</w:t>
      </w:r>
    </w:p>
    <w:p w14:paraId="093ED579" w14:textId="77777777" w:rsidR="009323D4" w:rsidRPr="00F32542" w:rsidRDefault="009323D4" w:rsidP="003D29D2">
      <w:pPr>
        <w:spacing w:after="0" w:line="360" w:lineRule="auto"/>
        <w:jc w:val="both"/>
        <w:rPr>
          <w:rFonts w:ascii="Arial" w:hAnsi="Arial" w:cs="Arial"/>
          <w:sz w:val="28"/>
          <w:szCs w:val="28"/>
        </w:rPr>
      </w:pPr>
    </w:p>
    <w:p w14:paraId="4A90450B" w14:textId="77777777" w:rsidR="009323D4" w:rsidRPr="00F32542" w:rsidRDefault="00BF19FC" w:rsidP="003D29D2">
      <w:pPr>
        <w:pStyle w:val="Textoindependiente3"/>
        <w:spacing w:after="0" w:line="360" w:lineRule="auto"/>
        <w:rPr>
          <w:rFonts w:ascii="Arial" w:hAnsi="Arial" w:cs="Arial"/>
          <w:sz w:val="28"/>
          <w:szCs w:val="28"/>
        </w:rPr>
      </w:pPr>
      <w:r w:rsidRPr="00F32542">
        <w:rPr>
          <w:rFonts w:ascii="Arial" w:hAnsi="Arial" w:cs="Arial"/>
          <w:b/>
          <w:sz w:val="28"/>
          <w:szCs w:val="28"/>
        </w:rPr>
        <w:t xml:space="preserve">2. Oportunidad. </w:t>
      </w:r>
      <w:r w:rsidR="009323D4" w:rsidRPr="00F32542">
        <w:rPr>
          <w:rFonts w:ascii="Arial" w:hAnsi="Arial" w:cs="Arial"/>
          <w:sz w:val="28"/>
          <w:szCs w:val="28"/>
        </w:rPr>
        <w:t xml:space="preserve">Los juicios </w:t>
      </w:r>
      <w:r w:rsidR="00DE2D46" w:rsidRPr="00F32542">
        <w:rPr>
          <w:rFonts w:ascii="Arial" w:hAnsi="Arial" w:cs="Arial"/>
          <w:sz w:val="28"/>
          <w:szCs w:val="28"/>
        </w:rPr>
        <w:t xml:space="preserve">en que se actúa </w:t>
      </w:r>
      <w:r w:rsidR="009323D4" w:rsidRPr="00F32542">
        <w:rPr>
          <w:rFonts w:ascii="Arial" w:hAnsi="Arial" w:cs="Arial"/>
          <w:sz w:val="28"/>
          <w:szCs w:val="28"/>
        </w:rPr>
        <w:t xml:space="preserve">fueron promovidos oportunamente, </w:t>
      </w:r>
      <w:r w:rsidR="00DE2D46" w:rsidRPr="00F32542">
        <w:rPr>
          <w:rFonts w:ascii="Arial" w:hAnsi="Arial" w:cs="Arial"/>
          <w:sz w:val="28"/>
          <w:szCs w:val="28"/>
        </w:rPr>
        <w:t xml:space="preserve">ya que las respectivas demandas fueron presentadas </w:t>
      </w:r>
      <w:r w:rsidR="009323D4" w:rsidRPr="00F32542">
        <w:rPr>
          <w:rFonts w:ascii="Arial" w:hAnsi="Arial" w:cs="Arial"/>
          <w:sz w:val="28"/>
          <w:szCs w:val="28"/>
        </w:rPr>
        <w:t>dentro del plazo de cuatro días,</w:t>
      </w:r>
      <w:r w:rsidR="00DE2D46" w:rsidRPr="00F32542">
        <w:rPr>
          <w:rFonts w:ascii="Arial" w:hAnsi="Arial" w:cs="Arial"/>
          <w:sz w:val="28"/>
          <w:szCs w:val="28"/>
        </w:rPr>
        <w:t xml:space="preserve"> </w:t>
      </w:r>
      <w:r w:rsidR="009323D4" w:rsidRPr="00F32542">
        <w:rPr>
          <w:rFonts w:ascii="Arial" w:hAnsi="Arial" w:cs="Arial"/>
          <w:sz w:val="28"/>
          <w:szCs w:val="28"/>
        </w:rPr>
        <w:t>contados a partir de</w:t>
      </w:r>
      <w:r w:rsidR="00DE2D46" w:rsidRPr="00F32542">
        <w:rPr>
          <w:rFonts w:ascii="Arial" w:hAnsi="Arial" w:cs="Arial"/>
          <w:sz w:val="28"/>
          <w:szCs w:val="28"/>
        </w:rPr>
        <w:t xml:space="preserve">l momento de la notificación del </w:t>
      </w:r>
      <w:r w:rsidR="00DE2D46" w:rsidRPr="00F32542">
        <w:rPr>
          <w:rFonts w:ascii="Arial" w:hAnsi="Arial" w:cs="Arial"/>
          <w:i/>
          <w:iCs/>
          <w:sz w:val="28"/>
          <w:szCs w:val="28"/>
        </w:rPr>
        <w:t>acuerdo</w:t>
      </w:r>
      <w:r w:rsidR="009323D4" w:rsidRPr="00F32542">
        <w:rPr>
          <w:rFonts w:ascii="Arial" w:hAnsi="Arial" w:cs="Arial"/>
          <w:i/>
          <w:iCs/>
          <w:sz w:val="28"/>
          <w:szCs w:val="28"/>
        </w:rPr>
        <w:t xml:space="preserve"> impugnado</w:t>
      </w:r>
      <w:r w:rsidR="00DE2D46" w:rsidRPr="00F32542">
        <w:rPr>
          <w:rFonts w:ascii="Arial" w:hAnsi="Arial" w:cs="Arial"/>
          <w:sz w:val="28"/>
          <w:szCs w:val="28"/>
        </w:rPr>
        <w:t>; ello,</w:t>
      </w:r>
      <w:r w:rsidR="009323D4" w:rsidRPr="00F32542">
        <w:rPr>
          <w:rFonts w:ascii="Arial" w:hAnsi="Arial" w:cs="Arial"/>
          <w:sz w:val="28"/>
          <w:szCs w:val="28"/>
        </w:rPr>
        <w:t xml:space="preserve"> de conformidad con los artículos 41 y 42 de la Ley Procesal.</w:t>
      </w:r>
    </w:p>
    <w:p w14:paraId="1BB598C8" w14:textId="77777777" w:rsidR="009323D4" w:rsidRPr="00F32542" w:rsidRDefault="009323D4" w:rsidP="003D29D2">
      <w:pPr>
        <w:pStyle w:val="Textoindependiente3"/>
        <w:spacing w:after="0" w:line="360" w:lineRule="auto"/>
        <w:rPr>
          <w:rFonts w:ascii="Arial" w:hAnsi="Arial" w:cs="Arial"/>
          <w:sz w:val="28"/>
          <w:szCs w:val="28"/>
        </w:rPr>
      </w:pPr>
    </w:p>
    <w:p w14:paraId="20B2E5B5" w14:textId="77777777" w:rsidR="00C82279" w:rsidRPr="00F32542" w:rsidRDefault="009323D4" w:rsidP="003D29D2">
      <w:pPr>
        <w:pStyle w:val="Textoindependiente3"/>
        <w:spacing w:after="0" w:line="360" w:lineRule="auto"/>
        <w:rPr>
          <w:rFonts w:ascii="Arial" w:hAnsi="Arial" w:cs="Arial"/>
          <w:sz w:val="28"/>
          <w:szCs w:val="28"/>
        </w:rPr>
      </w:pPr>
      <w:r w:rsidRPr="00F32542">
        <w:rPr>
          <w:rFonts w:ascii="Arial" w:hAnsi="Arial" w:cs="Arial"/>
          <w:sz w:val="28"/>
          <w:szCs w:val="28"/>
        </w:rPr>
        <w:t xml:space="preserve">En ese sentido, de autos se desprende que las </w:t>
      </w:r>
      <w:r w:rsidRPr="00F32542">
        <w:rPr>
          <w:rFonts w:ascii="Arial" w:hAnsi="Arial" w:cs="Arial"/>
          <w:i/>
          <w:iCs/>
          <w:sz w:val="28"/>
          <w:szCs w:val="28"/>
        </w:rPr>
        <w:t>partes actoras</w:t>
      </w:r>
      <w:r w:rsidRPr="00F32542">
        <w:rPr>
          <w:rFonts w:ascii="Arial" w:hAnsi="Arial" w:cs="Arial"/>
          <w:sz w:val="28"/>
          <w:szCs w:val="28"/>
        </w:rPr>
        <w:t xml:space="preserve">, </w:t>
      </w:r>
      <w:r w:rsidR="00DE2D46" w:rsidRPr="00F32542">
        <w:rPr>
          <w:rFonts w:ascii="Arial" w:hAnsi="Arial" w:cs="Arial"/>
          <w:sz w:val="28"/>
          <w:szCs w:val="28"/>
        </w:rPr>
        <w:t>presentaron sus</w:t>
      </w:r>
      <w:r w:rsidRPr="00F32542">
        <w:rPr>
          <w:rFonts w:ascii="Arial" w:hAnsi="Arial" w:cs="Arial"/>
          <w:sz w:val="28"/>
          <w:szCs w:val="28"/>
        </w:rPr>
        <w:t xml:space="preserve"> demandas dentro del plazo legal, tomando en </w:t>
      </w:r>
      <w:r w:rsidRPr="00F32542">
        <w:rPr>
          <w:rFonts w:ascii="Arial" w:hAnsi="Arial" w:cs="Arial"/>
          <w:sz w:val="28"/>
          <w:szCs w:val="28"/>
        </w:rPr>
        <w:lastRenderedPageBreak/>
        <w:t>consideración que</w:t>
      </w:r>
      <w:r w:rsidR="00DE2D46" w:rsidRPr="00F32542">
        <w:rPr>
          <w:rFonts w:ascii="Arial" w:hAnsi="Arial" w:cs="Arial"/>
          <w:sz w:val="28"/>
          <w:szCs w:val="28"/>
        </w:rPr>
        <w:t xml:space="preserve"> el referido acuerdo fue</w:t>
      </w:r>
      <w:r w:rsidRPr="00F32542">
        <w:rPr>
          <w:rFonts w:ascii="Arial" w:hAnsi="Arial" w:cs="Arial"/>
          <w:sz w:val="28"/>
          <w:szCs w:val="28"/>
        </w:rPr>
        <w:t xml:space="preserve"> emitido por el Consejo General del </w:t>
      </w:r>
      <w:r w:rsidRPr="00F32542">
        <w:rPr>
          <w:rFonts w:ascii="Arial" w:hAnsi="Arial" w:cs="Arial"/>
          <w:i/>
          <w:iCs/>
          <w:sz w:val="28"/>
          <w:szCs w:val="28"/>
        </w:rPr>
        <w:t>IECM</w:t>
      </w:r>
      <w:r w:rsidR="00DE2D46" w:rsidRPr="00F32542">
        <w:rPr>
          <w:rFonts w:ascii="Arial" w:hAnsi="Arial" w:cs="Arial"/>
          <w:sz w:val="28"/>
          <w:szCs w:val="28"/>
        </w:rPr>
        <w:t xml:space="preserve">, </w:t>
      </w:r>
      <w:r w:rsidRPr="00F32542">
        <w:rPr>
          <w:rFonts w:ascii="Arial" w:hAnsi="Arial" w:cs="Arial"/>
          <w:sz w:val="28"/>
          <w:szCs w:val="28"/>
        </w:rPr>
        <w:t>el doce de junio</w:t>
      </w:r>
      <w:r w:rsidR="00DE2D46" w:rsidRPr="00F32542">
        <w:rPr>
          <w:rFonts w:ascii="Arial" w:hAnsi="Arial" w:cs="Arial"/>
          <w:sz w:val="28"/>
          <w:szCs w:val="28"/>
        </w:rPr>
        <w:t xml:space="preserve">, mientras que su </w:t>
      </w:r>
      <w:r w:rsidR="00C82279" w:rsidRPr="00F32542">
        <w:rPr>
          <w:rFonts w:ascii="Arial" w:hAnsi="Arial" w:cs="Arial"/>
          <w:sz w:val="28"/>
          <w:szCs w:val="28"/>
        </w:rPr>
        <w:t>notifica</w:t>
      </w:r>
      <w:r w:rsidR="00DE2D46" w:rsidRPr="00F32542">
        <w:rPr>
          <w:rFonts w:ascii="Arial" w:hAnsi="Arial" w:cs="Arial"/>
          <w:sz w:val="28"/>
          <w:szCs w:val="28"/>
        </w:rPr>
        <w:t>ción</w:t>
      </w:r>
      <w:r w:rsidR="00C82279" w:rsidRPr="00F32542">
        <w:rPr>
          <w:rFonts w:ascii="Arial" w:hAnsi="Arial" w:cs="Arial"/>
          <w:sz w:val="28"/>
          <w:szCs w:val="28"/>
        </w:rPr>
        <w:t xml:space="preserve"> por estrados </w:t>
      </w:r>
      <w:r w:rsidR="00DE2D46" w:rsidRPr="00F32542">
        <w:rPr>
          <w:rFonts w:ascii="Arial" w:hAnsi="Arial" w:cs="Arial"/>
          <w:sz w:val="28"/>
          <w:szCs w:val="28"/>
        </w:rPr>
        <w:t xml:space="preserve">se practicó </w:t>
      </w:r>
      <w:r w:rsidR="00C82279" w:rsidRPr="00F32542">
        <w:rPr>
          <w:rFonts w:ascii="Arial" w:hAnsi="Arial" w:cs="Arial"/>
          <w:sz w:val="28"/>
          <w:szCs w:val="28"/>
        </w:rPr>
        <w:t xml:space="preserve">el </w:t>
      </w:r>
      <w:r w:rsidR="00C82279" w:rsidRPr="00F32542">
        <w:rPr>
          <w:rFonts w:ascii="Arial" w:hAnsi="Arial" w:cs="Arial"/>
          <w:b/>
          <w:bCs/>
          <w:sz w:val="28"/>
          <w:szCs w:val="28"/>
        </w:rPr>
        <w:t>trece de junio</w:t>
      </w:r>
      <w:r w:rsidR="00DE2D46" w:rsidRPr="00F32542">
        <w:rPr>
          <w:rFonts w:ascii="Arial" w:hAnsi="Arial" w:cs="Arial"/>
          <w:bCs/>
          <w:sz w:val="28"/>
          <w:szCs w:val="28"/>
        </w:rPr>
        <w:t>,</w:t>
      </w:r>
      <w:r w:rsidR="00C82279" w:rsidRPr="00F32542">
        <w:rPr>
          <w:rFonts w:ascii="Arial" w:hAnsi="Arial" w:cs="Arial"/>
          <w:sz w:val="28"/>
          <w:szCs w:val="28"/>
        </w:rPr>
        <w:t xml:space="preserve"> surtiendo efectos </w:t>
      </w:r>
      <w:r w:rsidR="00DE2D46" w:rsidRPr="00F32542">
        <w:rPr>
          <w:rFonts w:ascii="Arial" w:hAnsi="Arial" w:cs="Arial"/>
          <w:sz w:val="28"/>
          <w:szCs w:val="28"/>
        </w:rPr>
        <w:t>el día catorce siguiente.</w:t>
      </w:r>
    </w:p>
    <w:p w14:paraId="0A231B50" w14:textId="77777777" w:rsidR="00C3786C" w:rsidRPr="00F32542" w:rsidRDefault="00C3786C" w:rsidP="003D29D2">
      <w:pPr>
        <w:pStyle w:val="Textoindependiente3"/>
        <w:spacing w:after="0" w:line="360" w:lineRule="auto"/>
        <w:rPr>
          <w:rFonts w:ascii="Arial" w:hAnsi="Arial" w:cs="Arial"/>
          <w:sz w:val="28"/>
          <w:szCs w:val="28"/>
        </w:rPr>
      </w:pPr>
    </w:p>
    <w:p w14:paraId="7FDB7545" w14:textId="77777777" w:rsidR="00C3786C" w:rsidRPr="00F32542" w:rsidRDefault="00C3786C" w:rsidP="003D29D2">
      <w:pPr>
        <w:spacing w:after="0" w:line="360" w:lineRule="auto"/>
        <w:jc w:val="both"/>
        <w:rPr>
          <w:rFonts w:ascii="Arial" w:eastAsia="Calibri" w:hAnsi="Arial" w:cs="Arial"/>
          <w:sz w:val="28"/>
          <w:szCs w:val="28"/>
          <w:lang w:val="es-ES_tradnl"/>
        </w:rPr>
      </w:pPr>
      <w:r w:rsidRPr="00F32542">
        <w:rPr>
          <w:rFonts w:ascii="Arial" w:eastAsia="Calibri" w:hAnsi="Arial" w:cs="Arial"/>
          <w:sz w:val="28"/>
          <w:szCs w:val="28"/>
          <w:lang w:val="es-ES_tradnl"/>
        </w:rPr>
        <w:t xml:space="preserve">En esa tesitura, es un hecho notorio para esta juzgadora, invocado en términos del artículo 52 de la Ley Procesal, que entre las constancias que obran en autos del expediente relativo al diverso juicio de la ciudadanía </w:t>
      </w:r>
      <w:r w:rsidRPr="00F32542">
        <w:rPr>
          <w:rFonts w:ascii="Arial" w:eastAsia="Calibri" w:hAnsi="Arial" w:cs="Arial"/>
          <w:b/>
          <w:bCs/>
          <w:sz w:val="28"/>
          <w:szCs w:val="28"/>
          <w:lang w:val="es-ES_tradnl"/>
        </w:rPr>
        <w:t>TECDMX-JLDC-113/2021</w:t>
      </w:r>
      <w:r w:rsidRPr="00F32542">
        <w:rPr>
          <w:rFonts w:ascii="Arial" w:eastAsia="Calibri" w:hAnsi="Arial" w:cs="Arial"/>
          <w:sz w:val="28"/>
          <w:szCs w:val="28"/>
          <w:lang w:val="es-ES_tradnl"/>
        </w:rPr>
        <w:t xml:space="preserve">, del índice de este Tribunal,  proporcionada por el </w:t>
      </w:r>
      <w:r w:rsidRPr="00F32542">
        <w:rPr>
          <w:rFonts w:ascii="Arial" w:eastAsia="Calibri" w:hAnsi="Arial" w:cs="Arial"/>
          <w:i/>
          <w:sz w:val="28"/>
          <w:szCs w:val="28"/>
          <w:lang w:val="es-ES_tradnl"/>
        </w:rPr>
        <w:t>IECM</w:t>
      </w:r>
      <w:r w:rsidRPr="00F32542">
        <w:rPr>
          <w:rFonts w:ascii="Arial" w:eastAsia="Calibri" w:hAnsi="Arial" w:cs="Arial"/>
          <w:sz w:val="28"/>
          <w:szCs w:val="28"/>
          <w:lang w:val="es-ES_tradnl"/>
        </w:rPr>
        <w:t xml:space="preserve"> adjunta al respectivo informe circunstanciado, se encuentra la razón de publicación por estrados del acuerdo impugnado, elaborada el trece de junio de dos mil veintiuno a la una con treinta minutos de la mañana.</w:t>
      </w:r>
    </w:p>
    <w:p w14:paraId="212ED486" w14:textId="77777777" w:rsidR="00C3786C" w:rsidRPr="00F32542" w:rsidRDefault="00C3786C" w:rsidP="003D29D2">
      <w:pPr>
        <w:spacing w:after="0" w:line="360" w:lineRule="auto"/>
        <w:jc w:val="both"/>
        <w:rPr>
          <w:rFonts w:ascii="Arial" w:eastAsia="Calibri" w:hAnsi="Arial" w:cs="Arial"/>
          <w:sz w:val="28"/>
          <w:szCs w:val="28"/>
          <w:lang w:val="es-ES_tradnl"/>
        </w:rPr>
      </w:pPr>
    </w:p>
    <w:p w14:paraId="1C9BE748" w14:textId="77777777" w:rsidR="00C3786C" w:rsidRPr="00F32542" w:rsidRDefault="00C3786C" w:rsidP="003D29D2">
      <w:pPr>
        <w:spacing w:after="0" w:line="360" w:lineRule="auto"/>
        <w:jc w:val="both"/>
        <w:rPr>
          <w:rFonts w:ascii="Arial" w:hAnsi="Arial" w:cs="Arial"/>
          <w:sz w:val="28"/>
          <w:szCs w:val="28"/>
        </w:rPr>
      </w:pPr>
      <w:proofErr w:type="gramStart"/>
      <w:r w:rsidRPr="00F32542">
        <w:rPr>
          <w:rFonts w:ascii="Arial" w:eastAsia="Calibri" w:hAnsi="Arial" w:cs="Arial"/>
          <w:sz w:val="28"/>
          <w:szCs w:val="28"/>
          <w:lang w:val="es-ES_tradnl"/>
        </w:rPr>
        <w:t>Documental pública</w:t>
      </w:r>
      <w:proofErr w:type="gramEnd"/>
      <w:r w:rsidRPr="00F32542">
        <w:rPr>
          <w:rFonts w:ascii="Arial" w:eastAsia="Calibri" w:hAnsi="Arial" w:cs="Arial"/>
          <w:sz w:val="28"/>
          <w:szCs w:val="28"/>
          <w:lang w:val="es-ES_tradnl"/>
        </w:rPr>
        <w:t xml:space="preserve"> </w:t>
      </w:r>
      <w:r w:rsidRPr="00F32542">
        <w:rPr>
          <w:rFonts w:ascii="Arial" w:hAnsi="Arial" w:cs="Arial"/>
          <w:sz w:val="28"/>
          <w:szCs w:val="28"/>
        </w:rPr>
        <w:t xml:space="preserve">con valor probatorio pleno en términos del artículo 61, fracción II de la </w:t>
      </w:r>
      <w:r w:rsidRPr="00F32542">
        <w:rPr>
          <w:rFonts w:ascii="Arial" w:hAnsi="Arial" w:cs="Arial"/>
          <w:i/>
          <w:iCs/>
          <w:sz w:val="28"/>
          <w:szCs w:val="28"/>
        </w:rPr>
        <w:t xml:space="preserve">Ley Procesal, </w:t>
      </w:r>
      <w:r w:rsidRPr="00F32542">
        <w:rPr>
          <w:rFonts w:ascii="Arial" w:hAnsi="Arial" w:cs="Arial"/>
          <w:sz w:val="28"/>
          <w:szCs w:val="28"/>
        </w:rPr>
        <w:t xml:space="preserve">al tratarse de un documento expedido por una autoridad en el ámbito de su competencia, como lo es el encargado de despacho de la Secretaría Ejecutiva del </w:t>
      </w:r>
      <w:r w:rsidRPr="00F32542">
        <w:rPr>
          <w:rFonts w:ascii="Arial" w:hAnsi="Arial" w:cs="Arial"/>
          <w:i/>
          <w:iCs/>
          <w:sz w:val="28"/>
          <w:szCs w:val="28"/>
        </w:rPr>
        <w:t>IECM</w:t>
      </w:r>
      <w:r w:rsidRPr="00F32542">
        <w:rPr>
          <w:rFonts w:ascii="Arial" w:hAnsi="Arial" w:cs="Arial"/>
          <w:sz w:val="28"/>
          <w:szCs w:val="28"/>
        </w:rPr>
        <w:t>.</w:t>
      </w:r>
    </w:p>
    <w:p w14:paraId="24047D64" w14:textId="77777777" w:rsidR="00C82279" w:rsidRPr="00F32542" w:rsidRDefault="00C82279" w:rsidP="003D29D2">
      <w:pPr>
        <w:pStyle w:val="Textoindependiente"/>
        <w:spacing w:line="360" w:lineRule="auto"/>
        <w:rPr>
          <w:rFonts w:cs="Arial"/>
          <w:szCs w:val="28"/>
        </w:rPr>
      </w:pPr>
    </w:p>
    <w:p w14:paraId="5B4B1CB3" w14:textId="77777777" w:rsidR="00346511" w:rsidRPr="00F32542" w:rsidRDefault="00C82279" w:rsidP="003D29D2">
      <w:pPr>
        <w:pStyle w:val="Textoindependiente"/>
        <w:spacing w:line="360" w:lineRule="auto"/>
        <w:rPr>
          <w:rFonts w:cs="Arial"/>
          <w:szCs w:val="28"/>
        </w:rPr>
      </w:pPr>
      <w:r w:rsidRPr="00F32542">
        <w:rPr>
          <w:rFonts w:cs="Arial"/>
          <w:szCs w:val="28"/>
        </w:rPr>
        <w:t xml:space="preserve">De ahí que el plazo para impugnar transcurrió del </w:t>
      </w:r>
      <w:r w:rsidRPr="00F32542">
        <w:rPr>
          <w:rFonts w:cs="Arial"/>
          <w:b/>
          <w:szCs w:val="28"/>
        </w:rPr>
        <w:t>quince al dieciocho de junio</w:t>
      </w:r>
      <w:r w:rsidRPr="00F32542">
        <w:rPr>
          <w:rFonts w:cs="Arial"/>
          <w:szCs w:val="28"/>
        </w:rPr>
        <w:t xml:space="preserve"> </w:t>
      </w:r>
      <w:r w:rsidR="00346511" w:rsidRPr="00F32542">
        <w:rPr>
          <w:rFonts w:cs="Arial"/>
          <w:szCs w:val="28"/>
        </w:rPr>
        <w:t>y todas las demandas fueron presentadas dentro de dicho plazo, a saber</w:t>
      </w:r>
      <w:r w:rsidR="00C3786C" w:rsidRPr="00F32542">
        <w:rPr>
          <w:rFonts w:cs="Arial"/>
          <w:szCs w:val="28"/>
        </w:rPr>
        <w:t>, entre</w:t>
      </w:r>
      <w:r w:rsidR="00346511" w:rsidRPr="00F32542">
        <w:rPr>
          <w:rFonts w:cs="Arial"/>
          <w:szCs w:val="28"/>
        </w:rPr>
        <w:t xml:space="preserve"> el dieciséis y diecisiete de junio, como se evidenció en los </w:t>
      </w:r>
      <w:r w:rsidR="00C3786C" w:rsidRPr="00F32542">
        <w:rPr>
          <w:rFonts w:cs="Arial"/>
          <w:szCs w:val="28"/>
        </w:rPr>
        <w:t>a</w:t>
      </w:r>
      <w:r w:rsidR="00346511" w:rsidRPr="00F32542">
        <w:rPr>
          <w:rFonts w:cs="Arial"/>
          <w:szCs w:val="28"/>
        </w:rPr>
        <w:t>ntecedentes de la presente sentencia.</w:t>
      </w:r>
    </w:p>
    <w:p w14:paraId="6B98E1C8" w14:textId="77777777" w:rsidR="00346511" w:rsidRPr="00F32542" w:rsidRDefault="00346511" w:rsidP="003D29D2">
      <w:pPr>
        <w:pStyle w:val="Textoindependiente"/>
        <w:spacing w:line="360" w:lineRule="auto"/>
        <w:rPr>
          <w:rFonts w:cs="Arial"/>
          <w:szCs w:val="28"/>
        </w:rPr>
      </w:pPr>
    </w:p>
    <w:p w14:paraId="631A9EEE" w14:textId="77777777" w:rsidR="00346511" w:rsidRPr="00F32542" w:rsidRDefault="00346511" w:rsidP="003D29D2">
      <w:pPr>
        <w:pStyle w:val="Textoindependiente"/>
        <w:spacing w:line="360" w:lineRule="auto"/>
        <w:rPr>
          <w:rFonts w:cs="Arial"/>
          <w:bCs/>
          <w:szCs w:val="28"/>
        </w:rPr>
      </w:pPr>
      <w:r w:rsidRPr="00F32542">
        <w:rPr>
          <w:rFonts w:cs="Arial"/>
          <w:szCs w:val="28"/>
        </w:rPr>
        <w:t>En virtud de lo anterior, resulta evidente que los citados medios de impugnación fueron pr</w:t>
      </w:r>
      <w:r w:rsidR="00C3786C" w:rsidRPr="00F32542">
        <w:rPr>
          <w:rFonts w:cs="Arial"/>
          <w:szCs w:val="28"/>
        </w:rPr>
        <w:t>omovidos</w:t>
      </w:r>
      <w:r w:rsidRPr="00F32542">
        <w:rPr>
          <w:rFonts w:cs="Arial"/>
          <w:szCs w:val="28"/>
        </w:rPr>
        <w:t xml:space="preserve"> </w:t>
      </w:r>
      <w:r w:rsidRPr="00F32542">
        <w:rPr>
          <w:rFonts w:cs="Arial"/>
          <w:bCs/>
          <w:szCs w:val="28"/>
        </w:rPr>
        <w:t>oportunamente.</w:t>
      </w:r>
    </w:p>
    <w:p w14:paraId="0F4FF23F" w14:textId="77777777" w:rsidR="00346511" w:rsidRPr="00F32542" w:rsidRDefault="00346511" w:rsidP="003D29D2">
      <w:pPr>
        <w:pStyle w:val="Textoindependiente"/>
        <w:spacing w:line="360" w:lineRule="auto"/>
        <w:rPr>
          <w:rFonts w:cs="Arial"/>
          <w:szCs w:val="28"/>
        </w:rPr>
      </w:pPr>
    </w:p>
    <w:p w14:paraId="090D0FF1" w14:textId="77777777" w:rsidR="00346511" w:rsidRPr="00F32542" w:rsidRDefault="00346511" w:rsidP="003D29D2">
      <w:pPr>
        <w:pStyle w:val="Textoindependiente"/>
        <w:spacing w:line="360" w:lineRule="auto"/>
        <w:rPr>
          <w:rFonts w:cs="Arial"/>
          <w:szCs w:val="28"/>
        </w:rPr>
      </w:pPr>
      <w:r w:rsidRPr="00F32542">
        <w:rPr>
          <w:rFonts w:cs="Arial"/>
          <w:b/>
          <w:szCs w:val="28"/>
        </w:rPr>
        <w:t>3. Legitimación</w:t>
      </w:r>
      <w:r w:rsidRPr="00F32542">
        <w:rPr>
          <w:rFonts w:cs="Arial"/>
          <w:szCs w:val="28"/>
        </w:rPr>
        <w:t xml:space="preserve">. De conformidad con el artículo 46 fracción I de la Ley </w:t>
      </w:r>
      <w:r w:rsidR="00067D94" w:rsidRPr="00F32542">
        <w:rPr>
          <w:rFonts w:cs="Arial"/>
          <w:szCs w:val="28"/>
        </w:rPr>
        <w:t>P</w:t>
      </w:r>
      <w:r w:rsidRPr="00F32542">
        <w:rPr>
          <w:rFonts w:cs="Arial"/>
          <w:szCs w:val="28"/>
        </w:rPr>
        <w:t xml:space="preserve">rocesal, los partidos políticos actores tienen legitimación para iniciar </w:t>
      </w:r>
      <w:r w:rsidRPr="00F32542">
        <w:rPr>
          <w:rFonts w:cs="Arial"/>
          <w:szCs w:val="28"/>
        </w:rPr>
        <w:lastRenderedPageBreak/>
        <w:t>el juicio que se resuelve, toda vez que cuentan con registro ante el Instituto Electoral, y lo hacen por conducto de sus representantes ante el Consejo</w:t>
      </w:r>
      <w:r w:rsidR="00130A90" w:rsidRPr="00F32542">
        <w:rPr>
          <w:rFonts w:cs="Arial"/>
          <w:szCs w:val="28"/>
        </w:rPr>
        <w:t xml:space="preserve"> </w:t>
      </w:r>
      <w:r w:rsidR="00C3786C" w:rsidRPr="00F32542">
        <w:rPr>
          <w:rFonts w:cs="Arial"/>
          <w:szCs w:val="28"/>
        </w:rPr>
        <w:t xml:space="preserve">General </w:t>
      </w:r>
      <w:r w:rsidRPr="00F32542">
        <w:rPr>
          <w:rFonts w:cs="Arial"/>
          <w:szCs w:val="28"/>
        </w:rPr>
        <w:t xml:space="preserve">responsable, </w:t>
      </w:r>
      <w:r w:rsidR="00C3786C" w:rsidRPr="00F32542">
        <w:rPr>
          <w:rFonts w:cs="Arial"/>
          <w:szCs w:val="28"/>
        </w:rPr>
        <w:t>autoridad que les</w:t>
      </w:r>
      <w:r w:rsidRPr="00F32542">
        <w:rPr>
          <w:rFonts w:cs="Arial"/>
          <w:szCs w:val="28"/>
        </w:rPr>
        <w:t xml:space="preserve"> reconoció tal carácter</w:t>
      </w:r>
      <w:r w:rsidR="00C3786C" w:rsidRPr="00F32542">
        <w:rPr>
          <w:rFonts w:cs="Arial"/>
          <w:szCs w:val="28"/>
        </w:rPr>
        <w:t xml:space="preserve"> en el respectivo informe circunstanciado</w:t>
      </w:r>
      <w:r w:rsidRPr="00F32542">
        <w:rPr>
          <w:rFonts w:cs="Arial"/>
          <w:szCs w:val="28"/>
        </w:rPr>
        <w:t>.</w:t>
      </w:r>
    </w:p>
    <w:p w14:paraId="552934BD" w14:textId="77777777" w:rsidR="00130A90" w:rsidRPr="00F32542" w:rsidRDefault="00130A90" w:rsidP="003D29D2">
      <w:pPr>
        <w:pStyle w:val="Textoindependiente"/>
        <w:spacing w:line="360" w:lineRule="auto"/>
        <w:rPr>
          <w:rFonts w:cs="Arial"/>
          <w:szCs w:val="28"/>
        </w:rPr>
      </w:pPr>
    </w:p>
    <w:p w14:paraId="28D92C99" w14:textId="77777777" w:rsidR="00346511" w:rsidRPr="00F32542" w:rsidRDefault="00346511" w:rsidP="003D29D2">
      <w:pPr>
        <w:pStyle w:val="Textoindependiente"/>
        <w:spacing w:line="360" w:lineRule="auto"/>
        <w:rPr>
          <w:rFonts w:cs="Arial"/>
          <w:szCs w:val="28"/>
        </w:rPr>
      </w:pPr>
      <w:r w:rsidRPr="00F32542">
        <w:rPr>
          <w:rFonts w:cs="Arial"/>
          <w:szCs w:val="28"/>
        </w:rPr>
        <w:t>Por otro lado, por lo que hace a los juicios presentados por</w:t>
      </w:r>
      <w:r w:rsidR="00130A90" w:rsidRPr="00F32542">
        <w:rPr>
          <w:rFonts w:cs="Arial"/>
          <w:szCs w:val="28"/>
        </w:rPr>
        <w:t xml:space="preserve"> personas </w:t>
      </w:r>
      <w:r w:rsidRPr="00F32542">
        <w:rPr>
          <w:rFonts w:cs="Arial"/>
          <w:szCs w:val="28"/>
        </w:rPr>
        <w:t>candidatas</w:t>
      </w:r>
      <w:r w:rsidR="00C3786C" w:rsidRPr="00F32542">
        <w:rPr>
          <w:rFonts w:cs="Arial"/>
          <w:szCs w:val="28"/>
        </w:rPr>
        <w:t>, éstas</w:t>
      </w:r>
      <w:r w:rsidR="00130A90" w:rsidRPr="00F32542">
        <w:rPr>
          <w:rFonts w:cs="Arial"/>
          <w:szCs w:val="28"/>
        </w:rPr>
        <w:t xml:space="preserve"> comparecen por su propio derecho de conformidad con el artículo 46 fracción II de la Ley Procesal.</w:t>
      </w:r>
    </w:p>
    <w:p w14:paraId="2E90BFAD" w14:textId="77777777" w:rsidR="00130A90" w:rsidRPr="00F32542" w:rsidRDefault="00130A90" w:rsidP="003D29D2">
      <w:pPr>
        <w:pStyle w:val="Textoindependiente"/>
        <w:spacing w:line="360" w:lineRule="auto"/>
        <w:rPr>
          <w:rFonts w:cs="Arial"/>
          <w:szCs w:val="28"/>
        </w:rPr>
      </w:pPr>
    </w:p>
    <w:p w14:paraId="02161E60" w14:textId="77777777" w:rsidR="00130A90" w:rsidRPr="00F32542" w:rsidRDefault="00130A90" w:rsidP="003D29D2">
      <w:pPr>
        <w:pStyle w:val="Textoindependiente"/>
        <w:spacing w:line="360" w:lineRule="auto"/>
        <w:rPr>
          <w:rFonts w:cs="Arial"/>
          <w:szCs w:val="28"/>
        </w:rPr>
      </w:pPr>
      <w:r w:rsidRPr="00F32542">
        <w:rPr>
          <w:rFonts w:cs="Arial"/>
          <w:szCs w:val="28"/>
        </w:rPr>
        <w:t xml:space="preserve">Sirve de sustento a lo anterior la Jurisprudencia 36/2009, emitida por la </w:t>
      </w:r>
      <w:r w:rsidRPr="00F32542">
        <w:rPr>
          <w:rFonts w:cs="Arial"/>
          <w:i/>
          <w:iCs/>
          <w:szCs w:val="28"/>
        </w:rPr>
        <w:t>Sala Superior</w:t>
      </w:r>
      <w:r w:rsidRPr="00F32542">
        <w:rPr>
          <w:rFonts w:cs="Arial"/>
          <w:szCs w:val="28"/>
        </w:rPr>
        <w:t xml:space="preserve"> de rubro “</w:t>
      </w:r>
      <w:r w:rsidRPr="00F32542">
        <w:rPr>
          <w:rFonts w:cs="Arial"/>
          <w:b/>
          <w:iCs/>
          <w:szCs w:val="28"/>
        </w:rPr>
        <w:t>ASIGNACIÓN POR EL PRINCIPIO DE REPRESENTACIÓN PROPORCIONAL. ES IMPUGNABLE POR LOS CANDIDATOS A TRAVÉS DEL JUICIO PARA LA PROTECCIÓN DE LOS DERECHOS POLÍTICO-ELECTORALES DEL CIUDADANO</w:t>
      </w:r>
      <w:r w:rsidR="00C3786C" w:rsidRPr="00F32542">
        <w:rPr>
          <w:rFonts w:cs="Arial"/>
          <w:b/>
          <w:iCs/>
          <w:szCs w:val="28"/>
        </w:rPr>
        <w:t>”</w:t>
      </w:r>
      <w:r w:rsidR="00C3786C" w:rsidRPr="00F32542">
        <w:rPr>
          <w:rFonts w:cs="Arial"/>
          <w:szCs w:val="28"/>
        </w:rPr>
        <w:t>,</w:t>
      </w:r>
      <w:r w:rsidRPr="00F32542">
        <w:rPr>
          <w:rStyle w:val="Refdenotaalpie"/>
          <w:rFonts w:cs="Arial"/>
          <w:szCs w:val="28"/>
        </w:rPr>
        <w:footnoteReference w:id="17"/>
      </w:r>
      <w:r w:rsidR="00C3786C" w:rsidRPr="00F32542">
        <w:rPr>
          <w:rFonts w:cs="Arial"/>
          <w:szCs w:val="28"/>
        </w:rPr>
        <w:t xml:space="preserve"> la cual resulta aplicable a los presentes juicios de la ciudadanía locales.</w:t>
      </w:r>
    </w:p>
    <w:p w14:paraId="25980A24" w14:textId="77777777" w:rsidR="00346511" w:rsidRPr="00F32542" w:rsidRDefault="00346511" w:rsidP="003D29D2">
      <w:pPr>
        <w:pStyle w:val="Textoindependiente"/>
        <w:spacing w:line="360" w:lineRule="auto"/>
        <w:rPr>
          <w:rFonts w:cs="Arial"/>
          <w:szCs w:val="28"/>
        </w:rPr>
      </w:pPr>
    </w:p>
    <w:p w14:paraId="54C9C293" w14:textId="77777777" w:rsidR="00286BB3" w:rsidRPr="00F32542" w:rsidRDefault="00993388" w:rsidP="003D29D2">
      <w:pPr>
        <w:autoSpaceDE w:val="0"/>
        <w:autoSpaceDN w:val="0"/>
        <w:adjustRightInd w:val="0"/>
        <w:spacing w:after="0" w:line="360" w:lineRule="auto"/>
        <w:jc w:val="both"/>
        <w:rPr>
          <w:rFonts w:ascii="Arial" w:hAnsi="Arial" w:cs="Arial"/>
          <w:sz w:val="28"/>
          <w:szCs w:val="28"/>
        </w:rPr>
      </w:pPr>
      <w:r w:rsidRPr="00F32542">
        <w:rPr>
          <w:rFonts w:ascii="Arial" w:hAnsi="Arial" w:cs="Arial"/>
          <w:b/>
          <w:bCs/>
          <w:sz w:val="28"/>
          <w:szCs w:val="28"/>
        </w:rPr>
        <w:t xml:space="preserve">4. </w:t>
      </w:r>
      <w:r w:rsidR="00130A90" w:rsidRPr="00F32542">
        <w:rPr>
          <w:rFonts w:ascii="Arial" w:hAnsi="Arial" w:cs="Arial"/>
          <w:b/>
          <w:bCs/>
          <w:sz w:val="28"/>
          <w:szCs w:val="28"/>
        </w:rPr>
        <w:t xml:space="preserve">Interés jurídico. </w:t>
      </w:r>
      <w:r w:rsidR="00130A90" w:rsidRPr="00F32542">
        <w:rPr>
          <w:rFonts w:ascii="Arial" w:hAnsi="Arial" w:cs="Arial"/>
          <w:sz w:val="28"/>
          <w:szCs w:val="28"/>
        </w:rPr>
        <w:t xml:space="preserve">Se tiene por satisfecho, habida cuenta que </w:t>
      </w:r>
      <w:r w:rsidR="00C3786C" w:rsidRPr="00F32542">
        <w:rPr>
          <w:rFonts w:ascii="Arial" w:hAnsi="Arial" w:cs="Arial"/>
          <w:sz w:val="28"/>
          <w:szCs w:val="28"/>
        </w:rPr>
        <w:t xml:space="preserve">los juicios en que se actúa resultan le vía idónea para que las </w:t>
      </w:r>
      <w:r w:rsidR="00C3786C" w:rsidRPr="00F32542">
        <w:rPr>
          <w:rFonts w:ascii="Arial" w:hAnsi="Arial" w:cs="Arial"/>
          <w:i/>
          <w:iCs/>
          <w:sz w:val="28"/>
          <w:szCs w:val="28"/>
        </w:rPr>
        <w:t>partes actoras</w:t>
      </w:r>
      <w:r w:rsidR="00C3786C" w:rsidRPr="00F32542">
        <w:rPr>
          <w:rFonts w:ascii="Arial" w:hAnsi="Arial" w:cs="Arial"/>
          <w:sz w:val="28"/>
          <w:szCs w:val="28"/>
        </w:rPr>
        <w:t xml:space="preserve">, en caso de asistirles razón, alcancen la restitución de </w:t>
      </w:r>
      <w:r w:rsidR="002578EC" w:rsidRPr="00F32542">
        <w:rPr>
          <w:rFonts w:ascii="Arial" w:hAnsi="Arial" w:cs="Arial"/>
          <w:sz w:val="28"/>
          <w:szCs w:val="28"/>
        </w:rPr>
        <w:t>los</w:t>
      </w:r>
      <w:r w:rsidR="00C3786C" w:rsidRPr="00F32542">
        <w:rPr>
          <w:rFonts w:ascii="Arial" w:hAnsi="Arial" w:cs="Arial"/>
          <w:sz w:val="28"/>
          <w:szCs w:val="28"/>
        </w:rPr>
        <w:t xml:space="preserve"> derechos político-electorales</w:t>
      </w:r>
      <w:r w:rsidR="00522912" w:rsidRPr="00F32542">
        <w:rPr>
          <w:rFonts w:ascii="Arial" w:hAnsi="Arial" w:cs="Arial"/>
          <w:sz w:val="28"/>
          <w:szCs w:val="28"/>
        </w:rPr>
        <w:t xml:space="preserve"> que aducen como violados,</w:t>
      </w:r>
      <w:r w:rsidR="002578EC" w:rsidRPr="00F32542">
        <w:rPr>
          <w:rFonts w:ascii="Arial" w:hAnsi="Arial" w:cs="Arial"/>
          <w:sz w:val="28"/>
          <w:szCs w:val="28"/>
        </w:rPr>
        <w:t xml:space="preserve"> con motivo de la asignación de d</w:t>
      </w:r>
      <w:r w:rsidR="00130A90" w:rsidRPr="00F32542">
        <w:rPr>
          <w:rFonts w:ascii="Arial" w:hAnsi="Arial" w:cs="Arial"/>
          <w:sz w:val="28"/>
          <w:szCs w:val="28"/>
        </w:rPr>
        <w:t xml:space="preserve">iputaciones </w:t>
      </w:r>
      <w:r w:rsidR="002578EC" w:rsidRPr="00F32542">
        <w:rPr>
          <w:rFonts w:ascii="Arial" w:hAnsi="Arial" w:cs="Arial"/>
          <w:sz w:val="28"/>
          <w:szCs w:val="28"/>
        </w:rPr>
        <w:t xml:space="preserve">plurinominales </w:t>
      </w:r>
      <w:r w:rsidR="00130A90" w:rsidRPr="00F32542">
        <w:rPr>
          <w:rFonts w:ascii="Arial" w:hAnsi="Arial" w:cs="Arial"/>
          <w:sz w:val="28"/>
          <w:szCs w:val="28"/>
        </w:rPr>
        <w:t xml:space="preserve">al </w:t>
      </w:r>
      <w:r w:rsidR="00130A90" w:rsidRPr="00F32542">
        <w:rPr>
          <w:rFonts w:ascii="Arial" w:hAnsi="Arial" w:cs="Arial"/>
          <w:i/>
          <w:iCs/>
          <w:sz w:val="28"/>
          <w:szCs w:val="28"/>
        </w:rPr>
        <w:t xml:space="preserve">Congreso </w:t>
      </w:r>
      <w:r w:rsidR="002578EC" w:rsidRPr="00F32542">
        <w:rPr>
          <w:rFonts w:ascii="Arial" w:hAnsi="Arial" w:cs="Arial"/>
          <w:i/>
          <w:iCs/>
          <w:sz w:val="28"/>
          <w:szCs w:val="28"/>
        </w:rPr>
        <w:t>local</w:t>
      </w:r>
      <w:r w:rsidR="00130A90" w:rsidRPr="00F32542">
        <w:rPr>
          <w:rFonts w:ascii="Arial" w:hAnsi="Arial" w:cs="Arial"/>
          <w:sz w:val="28"/>
          <w:szCs w:val="28"/>
        </w:rPr>
        <w:t>.</w:t>
      </w:r>
    </w:p>
    <w:p w14:paraId="5B3A546C" w14:textId="77777777" w:rsidR="00286BB3" w:rsidRPr="00F32542" w:rsidRDefault="00286BB3" w:rsidP="003D29D2">
      <w:pPr>
        <w:pStyle w:val="Textoindependiente"/>
        <w:spacing w:line="360" w:lineRule="auto"/>
        <w:rPr>
          <w:rFonts w:cs="Arial"/>
          <w:szCs w:val="28"/>
        </w:rPr>
      </w:pPr>
    </w:p>
    <w:p w14:paraId="67C596F6" w14:textId="77777777" w:rsidR="00130A90" w:rsidRPr="00F32542" w:rsidRDefault="00993388" w:rsidP="003D29D2">
      <w:pPr>
        <w:autoSpaceDE w:val="0"/>
        <w:autoSpaceDN w:val="0"/>
        <w:adjustRightInd w:val="0"/>
        <w:spacing w:after="0" w:line="360" w:lineRule="auto"/>
        <w:jc w:val="both"/>
        <w:rPr>
          <w:rFonts w:ascii="Arial" w:hAnsi="Arial" w:cs="Arial"/>
          <w:sz w:val="28"/>
          <w:szCs w:val="28"/>
        </w:rPr>
      </w:pPr>
      <w:r w:rsidRPr="00F32542">
        <w:rPr>
          <w:rFonts w:ascii="Arial" w:hAnsi="Arial" w:cs="Arial"/>
          <w:b/>
          <w:bCs/>
          <w:sz w:val="28"/>
          <w:szCs w:val="28"/>
        </w:rPr>
        <w:t xml:space="preserve">5. </w:t>
      </w:r>
      <w:r w:rsidR="00130A90" w:rsidRPr="00F32542">
        <w:rPr>
          <w:rFonts w:ascii="Arial" w:hAnsi="Arial" w:cs="Arial"/>
          <w:b/>
          <w:bCs/>
          <w:sz w:val="28"/>
          <w:szCs w:val="28"/>
        </w:rPr>
        <w:t xml:space="preserve">Definitividad. </w:t>
      </w:r>
      <w:r w:rsidR="00130A90" w:rsidRPr="00F32542">
        <w:rPr>
          <w:rFonts w:ascii="Arial" w:hAnsi="Arial" w:cs="Arial"/>
          <w:sz w:val="28"/>
          <w:szCs w:val="28"/>
        </w:rPr>
        <w:t xml:space="preserve">Por la naturaleza del acto reclamado, no existe otra instancia administrativa o jurisdiccional que las partes actoras estuvieran obligadas a agotar previo a la interposición </w:t>
      </w:r>
      <w:r w:rsidRPr="00F32542">
        <w:rPr>
          <w:rFonts w:ascii="Arial" w:hAnsi="Arial" w:cs="Arial"/>
          <w:sz w:val="28"/>
          <w:szCs w:val="28"/>
        </w:rPr>
        <w:t>de los presentes juicios</w:t>
      </w:r>
      <w:r w:rsidR="00130A90" w:rsidRPr="00F32542">
        <w:rPr>
          <w:rFonts w:ascii="Arial" w:hAnsi="Arial" w:cs="Arial"/>
          <w:sz w:val="28"/>
          <w:szCs w:val="28"/>
        </w:rPr>
        <w:t>.</w:t>
      </w:r>
    </w:p>
    <w:p w14:paraId="223D5281" w14:textId="77777777" w:rsidR="00130A90" w:rsidRPr="00F32542" w:rsidRDefault="00130A90" w:rsidP="003D29D2">
      <w:pPr>
        <w:autoSpaceDE w:val="0"/>
        <w:autoSpaceDN w:val="0"/>
        <w:adjustRightInd w:val="0"/>
        <w:spacing w:after="0" w:line="360" w:lineRule="auto"/>
        <w:jc w:val="both"/>
        <w:rPr>
          <w:rFonts w:ascii="Arial" w:hAnsi="Arial" w:cs="Arial"/>
          <w:sz w:val="28"/>
          <w:szCs w:val="28"/>
        </w:rPr>
      </w:pPr>
    </w:p>
    <w:p w14:paraId="2592F15C" w14:textId="77777777" w:rsidR="00130A90" w:rsidRPr="00F32542" w:rsidRDefault="00993388" w:rsidP="003D29D2">
      <w:pPr>
        <w:autoSpaceDE w:val="0"/>
        <w:autoSpaceDN w:val="0"/>
        <w:adjustRightInd w:val="0"/>
        <w:spacing w:after="0" w:line="360" w:lineRule="auto"/>
        <w:jc w:val="both"/>
        <w:rPr>
          <w:rFonts w:ascii="Arial" w:hAnsi="Arial" w:cs="Arial"/>
          <w:sz w:val="28"/>
          <w:szCs w:val="28"/>
        </w:rPr>
      </w:pPr>
      <w:r w:rsidRPr="00F32542">
        <w:rPr>
          <w:rFonts w:ascii="Arial" w:hAnsi="Arial" w:cs="Arial"/>
          <w:b/>
          <w:bCs/>
          <w:sz w:val="28"/>
          <w:szCs w:val="28"/>
        </w:rPr>
        <w:t xml:space="preserve">6. </w:t>
      </w:r>
      <w:proofErr w:type="spellStart"/>
      <w:r w:rsidR="00130A90" w:rsidRPr="00F32542">
        <w:rPr>
          <w:rFonts w:ascii="Arial" w:hAnsi="Arial" w:cs="Arial"/>
          <w:b/>
          <w:bCs/>
          <w:sz w:val="28"/>
          <w:szCs w:val="28"/>
        </w:rPr>
        <w:t>Reparabilidad</w:t>
      </w:r>
      <w:proofErr w:type="spellEnd"/>
      <w:r w:rsidR="00130A90" w:rsidRPr="00F32542">
        <w:rPr>
          <w:rFonts w:ascii="Arial" w:hAnsi="Arial" w:cs="Arial"/>
          <w:b/>
          <w:bCs/>
          <w:sz w:val="28"/>
          <w:szCs w:val="28"/>
        </w:rPr>
        <w:t xml:space="preserve">. </w:t>
      </w:r>
      <w:r w:rsidR="00130A90" w:rsidRPr="00F32542">
        <w:rPr>
          <w:rFonts w:ascii="Arial" w:hAnsi="Arial" w:cs="Arial"/>
          <w:sz w:val="28"/>
          <w:szCs w:val="28"/>
        </w:rPr>
        <w:t>El acto impugnado en manera alguna se</w:t>
      </w:r>
      <w:r w:rsidRPr="00F32542">
        <w:rPr>
          <w:rFonts w:ascii="Arial" w:hAnsi="Arial" w:cs="Arial"/>
          <w:sz w:val="28"/>
          <w:szCs w:val="28"/>
        </w:rPr>
        <w:t xml:space="preserve"> </w:t>
      </w:r>
      <w:r w:rsidR="00130A90" w:rsidRPr="00F32542">
        <w:rPr>
          <w:rFonts w:ascii="Arial" w:hAnsi="Arial" w:cs="Arial"/>
          <w:sz w:val="28"/>
          <w:szCs w:val="28"/>
        </w:rPr>
        <w:t>ha consumado de modo irreparable, porque de estimarse</w:t>
      </w:r>
      <w:r w:rsidRPr="00F32542">
        <w:rPr>
          <w:rFonts w:ascii="Arial" w:hAnsi="Arial" w:cs="Arial"/>
          <w:sz w:val="28"/>
          <w:szCs w:val="28"/>
        </w:rPr>
        <w:t xml:space="preserve"> </w:t>
      </w:r>
      <w:r w:rsidR="00130A90" w:rsidRPr="00F32542">
        <w:rPr>
          <w:rFonts w:ascii="Arial" w:hAnsi="Arial" w:cs="Arial"/>
          <w:sz w:val="28"/>
          <w:szCs w:val="28"/>
        </w:rPr>
        <w:t>fundados los agravios todavía es susceptible de ser</w:t>
      </w:r>
      <w:r w:rsidRPr="00F32542">
        <w:rPr>
          <w:rFonts w:ascii="Arial" w:hAnsi="Arial" w:cs="Arial"/>
          <w:sz w:val="28"/>
          <w:szCs w:val="28"/>
        </w:rPr>
        <w:t xml:space="preserve"> </w:t>
      </w:r>
      <w:r w:rsidR="00130A90" w:rsidRPr="00F32542">
        <w:rPr>
          <w:rFonts w:ascii="Arial" w:hAnsi="Arial" w:cs="Arial"/>
          <w:sz w:val="28"/>
          <w:szCs w:val="28"/>
        </w:rPr>
        <w:t xml:space="preserve">modificado, revocado o anulado por este </w:t>
      </w:r>
      <w:r w:rsidRPr="00F32542">
        <w:rPr>
          <w:rFonts w:ascii="Arial" w:hAnsi="Arial" w:cs="Arial"/>
          <w:sz w:val="28"/>
          <w:szCs w:val="28"/>
        </w:rPr>
        <w:t>órgano jurisdiccional</w:t>
      </w:r>
      <w:r w:rsidR="00130A90" w:rsidRPr="00F32542">
        <w:rPr>
          <w:rFonts w:ascii="Arial" w:hAnsi="Arial" w:cs="Arial"/>
          <w:sz w:val="28"/>
          <w:szCs w:val="28"/>
        </w:rPr>
        <w:t>; en consecuencia, es posible restaurar el</w:t>
      </w:r>
      <w:r w:rsidRPr="00F32542">
        <w:rPr>
          <w:rFonts w:ascii="Arial" w:hAnsi="Arial" w:cs="Arial"/>
          <w:sz w:val="28"/>
          <w:szCs w:val="28"/>
        </w:rPr>
        <w:t xml:space="preserve"> </w:t>
      </w:r>
      <w:r w:rsidR="00130A90" w:rsidRPr="00F32542">
        <w:rPr>
          <w:rFonts w:ascii="Arial" w:hAnsi="Arial" w:cs="Arial"/>
          <w:sz w:val="28"/>
          <w:szCs w:val="28"/>
        </w:rPr>
        <w:t>orden jurídico que se considera transgredido.</w:t>
      </w:r>
    </w:p>
    <w:p w14:paraId="11422FBD" w14:textId="77777777" w:rsidR="00286BB3" w:rsidRPr="00F32542" w:rsidRDefault="00286BB3" w:rsidP="003D29D2">
      <w:pPr>
        <w:pStyle w:val="Textoindependiente"/>
        <w:spacing w:line="360" w:lineRule="auto"/>
        <w:rPr>
          <w:rFonts w:cs="Arial"/>
          <w:szCs w:val="28"/>
        </w:rPr>
      </w:pPr>
    </w:p>
    <w:p w14:paraId="332E2CEB" w14:textId="77777777" w:rsidR="008B6CCF" w:rsidRPr="00F32542" w:rsidRDefault="00130A90" w:rsidP="003D29D2">
      <w:pPr>
        <w:autoSpaceDE w:val="0"/>
        <w:autoSpaceDN w:val="0"/>
        <w:adjustRightInd w:val="0"/>
        <w:spacing w:after="0" w:line="360" w:lineRule="auto"/>
        <w:jc w:val="both"/>
        <w:rPr>
          <w:rFonts w:ascii="Arial" w:hAnsi="Arial" w:cs="Arial"/>
          <w:sz w:val="28"/>
          <w:szCs w:val="28"/>
        </w:rPr>
      </w:pPr>
      <w:r w:rsidRPr="00F32542">
        <w:rPr>
          <w:rFonts w:ascii="Arial" w:hAnsi="Arial" w:cs="Arial"/>
          <w:sz w:val="28"/>
          <w:szCs w:val="28"/>
        </w:rPr>
        <w:t>Lo anterior, toda vez que, de conformidad con el artículo</w:t>
      </w:r>
      <w:r w:rsidR="00993388" w:rsidRPr="00F32542">
        <w:rPr>
          <w:rFonts w:ascii="Arial" w:hAnsi="Arial" w:cs="Arial"/>
          <w:sz w:val="28"/>
          <w:szCs w:val="28"/>
        </w:rPr>
        <w:t xml:space="preserve"> </w:t>
      </w:r>
      <w:r w:rsidR="00A00B9F" w:rsidRPr="00F32542">
        <w:rPr>
          <w:rFonts w:ascii="Arial" w:hAnsi="Arial" w:cs="Arial"/>
          <w:sz w:val="28"/>
          <w:szCs w:val="28"/>
        </w:rPr>
        <w:t xml:space="preserve">23 de la Ley Orgánica del Congreso de la Ciudad de México </w:t>
      </w:r>
      <w:r w:rsidRPr="00F32542">
        <w:rPr>
          <w:rFonts w:ascii="Arial" w:hAnsi="Arial" w:cs="Arial"/>
          <w:sz w:val="28"/>
          <w:szCs w:val="28"/>
        </w:rPr>
        <w:t>las Diputaciones al</w:t>
      </w:r>
      <w:r w:rsidR="00993388" w:rsidRPr="00F32542">
        <w:rPr>
          <w:rFonts w:ascii="Arial" w:hAnsi="Arial" w:cs="Arial"/>
          <w:sz w:val="28"/>
          <w:szCs w:val="28"/>
        </w:rPr>
        <w:t xml:space="preserve"> </w:t>
      </w:r>
      <w:r w:rsidRPr="00F32542">
        <w:rPr>
          <w:rFonts w:ascii="Arial" w:hAnsi="Arial" w:cs="Arial"/>
          <w:sz w:val="28"/>
          <w:szCs w:val="28"/>
        </w:rPr>
        <w:t xml:space="preserve">Congreso </w:t>
      </w:r>
      <w:r w:rsidR="00A00B9F" w:rsidRPr="00F32542">
        <w:rPr>
          <w:rFonts w:ascii="Arial" w:hAnsi="Arial" w:cs="Arial"/>
          <w:sz w:val="28"/>
          <w:szCs w:val="28"/>
        </w:rPr>
        <w:t>de la Ciudad de México</w:t>
      </w:r>
      <w:r w:rsidRPr="00F32542">
        <w:rPr>
          <w:rFonts w:ascii="Arial" w:hAnsi="Arial" w:cs="Arial"/>
          <w:sz w:val="28"/>
          <w:szCs w:val="28"/>
        </w:rPr>
        <w:t xml:space="preserve"> toma</w:t>
      </w:r>
      <w:r w:rsidR="00A00B9F" w:rsidRPr="00F32542">
        <w:rPr>
          <w:rFonts w:ascii="Arial" w:hAnsi="Arial" w:cs="Arial"/>
          <w:sz w:val="28"/>
          <w:szCs w:val="28"/>
        </w:rPr>
        <w:t>rá</w:t>
      </w:r>
      <w:r w:rsidRPr="00F32542">
        <w:rPr>
          <w:rFonts w:ascii="Arial" w:hAnsi="Arial" w:cs="Arial"/>
          <w:sz w:val="28"/>
          <w:szCs w:val="28"/>
        </w:rPr>
        <w:t xml:space="preserve">n </w:t>
      </w:r>
      <w:r w:rsidR="00A00B9F" w:rsidRPr="00F32542">
        <w:rPr>
          <w:rFonts w:ascii="Arial" w:hAnsi="Arial" w:cs="Arial"/>
          <w:sz w:val="28"/>
          <w:szCs w:val="28"/>
        </w:rPr>
        <w:t>protesta el uno de septiembre del presente año</w:t>
      </w:r>
      <w:r w:rsidR="008B6CCF" w:rsidRPr="00F32542">
        <w:rPr>
          <w:rFonts w:ascii="Arial" w:hAnsi="Arial" w:cs="Arial"/>
          <w:sz w:val="28"/>
          <w:szCs w:val="28"/>
        </w:rPr>
        <w:t xml:space="preserve"> y este Tribunal Electoral debe resolver los presentes medios de impugnación a más tardar treinta días antes de que ello ocurra en términos del artículo 110 de la Ley Procesal</w:t>
      </w:r>
      <w:r w:rsidR="00A00B9F" w:rsidRPr="00F32542">
        <w:rPr>
          <w:rFonts w:ascii="Arial" w:hAnsi="Arial" w:cs="Arial"/>
          <w:sz w:val="28"/>
          <w:szCs w:val="28"/>
        </w:rPr>
        <w:t xml:space="preserve">. </w:t>
      </w:r>
    </w:p>
    <w:p w14:paraId="0D7E0340" w14:textId="77777777" w:rsidR="008B6CCF" w:rsidRPr="00F32542" w:rsidRDefault="008B6CCF" w:rsidP="003D29D2">
      <w:pPr>
        <w:autoSpaceDE w:val="0"/>
        <w:autoSpaceDN w:val="0"/>
        <w:adjustRightInd w:val="0"/>
        <w:spacing w:after="0" w:line="360" w:lineRule="auto"/>
        <w:jc w:val="both"/>
        <w:rPr>
          <w:rFonts w:ascii="Arial" w:hAnsi="Arial" w:cs="Arial"/>
          <w:sz w:val="28"/>
          <w:szCs w:val="28"/>
        </w:rPr>
      </w:pPr>
    </w:p>
    <w:p w14:paraId="364F537E" w14:textId="77777777" w:rsidR="00286BB3" w:rsidRPr="00F32542" w:rsidRDefault="00130A90" w:rsidP="003D29D2">
      <w:pPr>
        <w:autoSpaceDE w:val="0"/>
        <w:autoSpaceDN w:val="0"/>
        <w:adjustRightInd w:val="0"/>
        <w:spacing w:after="0" w:line="360" w:lineRule="auto"/>
        <w:jc w:val="both"/>
        <w:rPr>
          <w:rFonts w:ascii="Arial" w:hAnsi="Arial" w:cs="Arial"/>
          <w:sz w:val="28"/>
          <w:szCs w:val="28"/>
        </w:rPr>
      </w:pPr>
      <w:r w:rsidRPr="00F32542">
        <w:rPr>
          <w:rFonts w:ascii="Arial" w:hAnsi="Arial" w:cs="Arial"/>
          <w:sz w:val="28"/>
          <w:szCs w:val="28"/>
        </w:rPr>
        <w:t>Por tanto, es dable concluir que el acto impugnado pueda</w:t>
      </w:r>
      <w:r w:rsidR="00A00B9F" w:rsidRPr="00F32542">
        <w:rPr>
          <w:rFonts w:ascii="Arial" w:hAnsi="Arial" w:cs="Arial"/>
          <w:sz w:val="28"/>
          <w:szCs w:val="28"/>
        </w:rPr>
        <w:t xml:space="preserve"> ser </w:t>
      </w:r>
      <w:r w:rsidRPr="00F32542">
        <w:rPr>
          <w:rFonts w:ascii="Arial" w:hAnsi="Arial" w:cs="Arial"/>
          <w:sz w:val="28"/>
          <w:szCs w:val="28"/>
        </w:rPr>
        <w:t>modificado, revocado o anulado.</w:t>
      </w:r>
    </w:p>
    <w:p w14:paraId="1C42C6D1" w14:textId="77777777" w:rsidR="006A0AA1" w:rsidRPr="00F32542" w:rsidRDefault="006A0AA1" w:rsidP="003D29D2">
      <w:pPr>
        <w:autoSpaceDE w:val="0"/>
        <w:autoSpaceDN w:val="0"/>
        <w:adjustRightInd w:val="0"/>
        <w:spacing w:after="0" w:line="360" w:lineRule="auto"/>
        <w:jc w:val="both"/>
        <w:rPr>
          <w:rFonts w:ascii="Arial" w:hAnsi="Arial" w:cs="Arial"/>
          <w:sz w:val="28"/>
          <w:szCs w:val="28"/>
        </w:rPr>
      </w:pPr>
    </w:p>
    <w:p w14:paraId="48D202B0" w14:textId="77777777" w:rsidR="00D20AC0" w:rsidRPr="00F32542" w:rsidRDefault="00951672" w:rsidP="003D29D2">
      <w:pPr>
        <w:spacing w:after="0" w:line="360" w:lineRule="auto"/>
        <w:jc w:val="both"/>
        <w:rPr>
          <w:rFonts w:ascii="Arial" w:hAnsi="Arial" w:cs="Arial"/>
          <w:bCs/>
          <w:spacing w:val="4"/>
          <w:sz w:val="28"/>
          <w:szCs w:val="28"/>
        </w:rPr>
      </w:pPr>
      <w:bookmarkStart w:id="36" w:name="_Toc522100776"/>
      <w:r w:rsidRPr="00F32542">
        <w:rPr>
          <w:rStyle w:val="Ttulo2Car"/>
          <w:rFonts w:ascii="Arial" w:hAnsi="Arial" w:cs="Arial"/>
          <w:b/>
          <w:color w:val="auto"/>
          <w:spacing w:val="4"/>
          <w:sz w:val="28"/>
          <w:szCs w:val="28"/>
        </w:rPr>
        <w:t>SEXT</w:t>
      </w:r>
      <w:bookmarkStart w:id="37" w:name="_Toc522100780"/>
      <w:bookmarkEnd w:id="36"/>
      <w:r w:rsidR="00187024" w:rsidRPr="00F32542">
        <w:rPr>
          <w:rStyle w:val="Ttulo2Car"/>
          <w:rFonts w:ascii="Arial" w:hAnsi="Arial" w:cs="Arial"/>
          <w:b/>
          <w:color w:val="auto"/>
          <w:spacing w:val="4"/>
          <w:sz w:val="28"/>
          <w:szCs w:val="28"/>
        </w:rPr>
        <w:t>A</w:t>
      </w:r>
      <w:r w:rsidR="002B1E2F" w:rsidRPr="00F32542">
        <w:rPr>
          <w:rFonts w:ascii="Arial" w:hAnsi="Arial" w:cs="Arial"/>
          <w:b/>
          <w:sz w:val="28"/>
          <w:szCs w:val="28"/>
        </w:rPr>
        <w:t>. Metodología de Estudio.</w:t>
      </w:r>
      <w:bookmarkEnd w:id="37"/>
      <w:r w:rsidR="002B1E2F" w:rsidRPr="00F32542">
        <w:rPr>
          <w:rFonts w:ascii="Arial" w:hAnsi="Arial" w:cs="Arial"/>
          <w:b/>
          <w:spacing w:val="4"/>
          <w:sz w:val="28"/>
          <w:szCs w:val="28"/>
        </w:rPr>
        <w:t xml:space="preserve"> </w:t>
      </w:r>
      <w:r w:rsidR="002578EC" w:rsidRPr="00F32542">
        <w:rPr>
          <w:rFonts w:ascii="Arial" w:hAnsi="Arial" w:cs="Arial"/>
          <w:bCs/>
          <w:spacing w:val="4"/>
          <w:sz w:val="28"/>
          <w:szCs w:val="28"/>
        </w:rPr>
        <w:t>E</w:t>
      </w:r>
      <w:r w:rsidR="006A0AA1" w:rsidRPr="00F32542">
        <w:rPr>
          <w:rFonts w:ascii="Arial" w:hAnsi="Arial" w:cs="Arial"/>
          <w:bCs/>
          <w:spacing w:val="4"/>
          <w:sz w:val="28"/>
          <w:szCs w:val="28"/>
        </w:rPr>
        <w:t>l</w:t>
      </w:r>
      <w:r w:rsidR="002578EC" w:rsidRPr="00F32542">
        <w:rPr>
          <w:rFonts w:ascii="Arial" w:hAnsi="Arial" w:cs="Arial"/>
          <w:bCs/>
          <w:spacing w:val="4"/>
          <w:sz w:val="28"/>
          <w:szCs w:val="28"/>
        </w:rPr>
        <w:t xml:space="preserve"> estudio de la controversia planteada en los juicios que ahora se resuelve, se hará partiendo del examen de los diversos conceptos de agravio planteados por las </w:t>
      </w:r>
      <w:r w:rsidR="002578EC" w:rsidRPr="00F32542">
        <w:rPr>
          <w:rFonts w:ascii="Arial" w:hAnsi="Arial" w:cs="Arial"/>
          <w:bCs/>
          <w:i/>
          <w:iCs/>
          <w:spacing w:val="4"/>
          <w:sz w:val="28"/>
          <w:szCs w:val="28"/>
        </w:rPr>
        <w:t>partes actoras</w:t>
      </w:r>
      <w:r w:rsidR="002578EC" w:rsidRPr="00F32542">
        <w:rPr>
          <w:rFonts w:ascii="Arial" w:hAnsi="Arial" w:cs="Arial"/>
          <w:bCs/>
          <w:spacing w:val="4"/>
          <w:sz w:val="28"/>
          <w:szCs w:val="28"/>
        </w:rPr>
        <w:t>, agrupados por temáticas.</w:t>
      </w:r>
    </w:p>
    <w:p w14:paraId="3BBDEDB5" w14:textId="77777777" w:rsidR="002578EC" w:rsidRPr="00F32542" w:rsidRDefault="002578EC" w:rsidP="003D29D2">
      <w:pPr>
        <w:spacing w:after="0" w:line="360" w:lineRule="auto"/>
        <w:jc w:val="both"/>
        <w:rPr>
          <w:rFonts w:ascii="Arial" w:hAnsi="Arial" w:cs="Arial"/>
          <w:bCs/>
          <w:spacing w:val="4"/>
          <w:sz w:val="28"/>
          <w:szCs w:val="28"/>
        </w:rPr>
      </w:pPr>
    </w:p>
    <w:p w14:paraId="00551572" w14:textId="77777777" w:rsidR="002578EC" w:rsidRPr="00F32542" w:rsidRDefault="002578EC" w:rsidP="003D29D2">
      <w:pPr>
        <w:spacing w:after="0" w:line="360" w:lineRule="auto"/>
        <w:jc w:val="both"/>
        <w:rPr>
          <w:rFonts w:ascii="Arial" w:eastAsia="Calibri" w:hAnsi="Arial" w:cs="Arial"/>
          <w:spacing w:val="4"/>
          <w:sz w:val="28"/>
          <w:szCs w:val="28"/>
          <w:lang w:eastAsia="es-MX"/>
        </w:rPr>
      </w:pPr>
      <w:r w:rsidRPr="00F32542">
        <w:rPr>
          <w:rFonts w:ascii="Arial" w:hAnsi="Arial" w:cs="Arial"/>
          <w:spacing w:val="4"/>
          <w:sz w:val="28"/>
          <w:szCs w:val="28"/>
          <w:lang w:eastAsia="es-MX"/>
        </w:rPr>
        <w:t>Sin que ello cause afectación jurídica a los impugnantes, ya que no es la forma en que los agravios se analizan lo que puede originar una lesión, lo trascendental, es que todos sean estudiados.</w:t>
      </w:r>
    </w:p>
    <w:p w14:paraId="5B245DFA" w14:textId="77777777" w:rsidR="002578EC" w:rsidRPr="00F32542" w:rsidRDefault="002578EC" w:rsidP="003D29D2">
      <w:pPr>
        <w:spacing w:after="0" w:line="360" w:lineRule="auto"/>
        <w:jc w:val="both"/>
        <w:rPr>
          <w:rFonts w:ascii="Arial" w:hAnsi="Arial" w:cs="Arial"/>
          <w:spacing w:val="4"/>
          <w:sz w:val="28"/>
          <w:szCs w:val="28"/>
          <w:lang w:eastAsia="es-MX"/>
        </w:rPr>
      </w:pPr>
    </w:p>
    <w:p w14:paraId="1D361611" w14:textId="77777777" w:rsidR="001B7E4B" w:rsidRPr="00F32542" w:rsidRDefault="002578EC" w:rsidP="003D29D2">
      <w:pPr>
        <w:spacing w:after="0" w:line="360" w:lineRule="auto"/>
        <w:jc w:val="both"/>
        <w:rPr>
          <w:rFonts w:ascii="Arial" w:hAnsi="Arial" w:cs="Arial"/>
          <w:bCs/>
          <w:spacing w:val="4"/>
          <w:sz w:val="28"/>
          <w:szCs w:val="28"/>
          <w:lang w:eastAsia="es-MX"/>
        </w:rPr>
      </w:pPr>
      <w:r w:rsidRPr="00F32542">
        <w:rPr>
          <w:rFonts w:ascii="Arial" w:hAnsi="Arial" w:cs="Arial"/>
          <w:spacing w:val="4"/>
          <w:sz w:val="28"/>
          <w:szCs w:val="28"/>
          <w:lang w:eastAsia="es-MX"/>
        </w:rPr>
        <w:t xml:space="preserve">Este criterio es sustentado por la </w:t>
      </w:r>
      <w:r w:rsidRPr="00F32542">
        <w:rPr>
          <w:rFonts w:ascii="Arial" w:hAnsi="Arial" w:cs="Arial"/>
          <w:i/>
          <w:iCs/>
          <w:spacing w:val="4"/>
          <w:sz w:val="28"/>
          <w:szCs w:val="28"/>
          <w:lang w:eastAsia="es-MX"/>
        </w:rPr>
        <w:t>Sala Superior</w:t>
      </w:r>
      <w:r w:rsidRPr="00F32542">
        <w:rPr>
          <w:rFonts w:ascii="Arial" w:hAnsi="Arial" w:cs="Arial"/>
          <w:spacing w:val="4"/>
          <w:sz w:val="28"/>
          <w:szCs w:val="28"/>
          <w:lang w:eastAsia="es-MX"/>
        </w:rPr>
        <w:t xml:space="preserve">, en la jurisprudencia </w:t>
      </w:r>
      <w:r w:rsidRPr="00F32542">
        <w:rPr>
          <w:rFonts w:ascii="Arial" w:hAnsi="Arial" w:cs="Arial"/>
          <w:b/>
          <w:spacing w:val="4"/>
          <w:sz w:val="28"/>
          <w:szCs w:val="28"/>
          <w:lang w:eastAsia="es-MX"/>
        </w:rPr>
        <w:t>4/2000</w:t>
      </w:r>
      <w:r w:rsidRPr="00F32542">
        <w:rPr>
          <w:rFonts w:ascii="Arial" w:hAnsi="Arial" w:cs="Arial"/>
          <w:bCs/>
          <w:spacing w:val="4"/>
          <w:sz w:val="28"/>
          <w:szCs w:val="28"/>
          <w:lang w:eastAsia="es-MX"/>
        </w:rPr>
        <w:t>,</w:t>
      </w:r>
      <w:r w:rsidRPr="00F32542">
        <w:rPr>
          <w:rFonts w:ascii="Arial" w:hAnsi="Arial" w:cs="Arial"/>
          <w:b/>
          <w:bCs/>
          <w:i/>
          <w:spacing w:val="4"/>
          <w:sz w:val="28"/>
          <w:szCs w:val="28"/>
          <w:lang w:eastAsia="es-MX"/>
        </w:rPr>
        <w:t xml:space="preserve"> </w:t>
      </w:r>
      <w:r w:rsidRPr="00F32542">
        <w:rPr>
          <w:rFonts w:ascii="Arial" w:hAnsi="Arial" w:cs="Arial"/>
          <w:spacing w:val="4"/>
          <w:sz w:val="28"/>
          <w:szCs w:val="28"/>
          <w:lang w:eastAsia="es-MX"/>
        </w:rPr>
        <w:t>de rubro: “</w:t>
      </w:r>
      <w:r w:rsidRPr="00F32542">
        <w:rPr>
          <w:rFonts w:ascii="Arial" w:hAnsi="Arial" w:cs="Arial"/>
          <w:b/>
          <w:bCs/>
          <w:spacing w:val="4"/>
          <w:sz w:val="28"/>
          <w:szCs w:val="28"/>
          <w:lang w:eastAsia="es-MX"/>
        </w:rPr>
        <w:t xml:space="preserve">AGRAVIOS, SU </w:t>
      </w:r>
      <w:bookmarkStart w:id="38" w:name="LPHit2"/>
      <w:bookmarkEnd w:id="38"/>
      <w:r w:rsidRPr="00F32542">
        <w:rPr>
          <w:rFonts w:ascii="Arial" w:hAnsi="Arial" w:cs="Arial"/>
          <w:b/>
          <w:bCs/>
          <w:spacing w:val="4"/>
          <w:sz w:val="28"/>
          <w:szCs w:val="28"/>
          <w:lang w:eastAsia="es-MX"/>
        </w:rPr>
        <w:t>EXAMEN EN CONJUNTO O SEPARADO, NO CAUSA LESIÓN</w:t>
      </w:r>
      <w:r w:rsidRPr="00F32542">
        <w:rPr>
          <w:rFonts w:ascii="Arial" w:hAnsi="Arial" w:cs="Arial"/>
          <w:bCs/>
          <w:spacing w:val="4"/>
          <w:sz w:val="28"/>
          <w:szCs w:val="28"/>
          <w:lang w:eastAsia="es-MX"/>
        </w:rPr>
        <w:t>.</w:t>
      </w:r>
    </w:p>
    <w:p w14:paraId="3EF94EA9" w14:textId="77777777" w:rsidR="00B45880" w:rsidRPr="00F32542" w:rsidRDefault="00B45880" w:rsidP="003D29D2">
      <w:pPr>
        <w:spacing w:after="0" w:line="360" w:lineRule="auto"/>
        <w:jc w:val="both"/>
        <w:rPr>
          <w:rFonts w:ascii="Arial" w:hAnsi="Arial" w:cs="Arial"/>
          <w:bCs/>
          <w:spacing w:val="4"/>
          <w:sz w:val="28"/>
          <w:szCs w:val="28"/>
          <w:lang w:eastAsia="es-MX"/>
        </w:rPr>
      </w:pPr>
    </w:p>
    <w:p w14:paraId="7D4B83FB" w14:textId="77777777" w:rsidR="007C71B0" w:rsidRPr="00F32542" w:rsidRDefault="00B45880" w:rsidP="003D29D2">
      <w:pPr>
        <w:spacing w:after="0" w:line="360" w:lineRule="auto"/>
        <w:jc w:val="both"/>
        <w:rPr>
          <w:rFonts w:ascii="Arial" w:hAnsi="Arial" w:cs="Arial"/>
          <w:bCs/>
          <w:spacing w:val="4"/>
          <w:sz w:val="28"/>
          <w:szCs w:val="28"/>
          <w:lang w:eastAsia="es-MX"/>
        </w:rPr>
      </w:pPr>
      <w:r w:rsidRPr="00F32542">
        <w:rPr>
          <w:rFonts w:ascii="Arial" w:hAnsi="Arial" w:cs="Arial"/>
          <w:bCs/>
          <w:spacing w:val="4"/>
          <w:sz w:val="28"/>
          <w:szCs w:val="28"/>
          <w:lang w:eastAsia="es-MX"/>
        </w:rPr>
        <w:t xml:space="preserve">En primer lugar, </w:t>
      </w:r>
      <w:r w:rsidR="007C71B0" w:rsidRPr="00F32542">
        <w:rPr>
          <w:rFonts w:ascii="Arial" w:hAnsi="Arial" w:cs="Arial"/>
          <w:bCs/>
          <w:spacing w:val="4"/>
          <w:sz w:val="28"/>
          <w:szCs w:val="28"/>
          <w:lang w:eastAsia="es-MX"/>
        </w:rPr>
        <w:t>se analizarán algunas cuestiones previas relevantes para abordar el estudio de los presentes juicios.</w:t>
      </w:r>
    </w:p>
    <w:p w14:paraId="5513252D" w14:textId="77777777" w:rsidR="007C71B0" w:rsidRPr="00F32542" w:rsidRDefault="007C71B0" w:rsidP="003D29D2">
      <w:pPr>
        <w:spacing w:after="0" w:line="360" w:lineRule="auto"/>
        <w:jc w:val="both"/>
        <w:rPr>
          <w:rFonts w:ascii="Arial" w:hAnsi="Arial" w:cs="Arial"/>
          <w:bCs/>
          <w:spacing w:val="4"/>
          <w:sz w:val="28"/>
          <w:szCs w:val="28"/>
          <w:lang w:eastAsia="es-MX"/>
        </w:rPr>
      </w:pPr>
    </w:p>
    <w:p w14:paraId="5A8605E3" w14:textId="77777777" w:rsidR="00B45880" w:rsidRPr="00F32542" w:rsidRDefault="007C71B0" w:rsidP="003D29D2">
      <w:pPr>
        <w:spacing w:after="0" w:line="360" w:lineRule="auto"/>
        <w:jc w:val="both"/>
        <w:rPr>
          <w:rFonts w:ascii="Arial" w:hAnsi="Arial" w:cs="Arial"/>
          <w:bCs/>
          <w:spacing w:val="4"/>
          <w:sz w:val="28"/>
          <w:szCs w:val="28"/>
          <w:lang w:eastAsia="es-MX"/>
        </w:rPr>
      </w:pPr>
      <w:r w:rsidRPr="00F32542">
        <w:rPr>
          <w:rFonts w:ascii="Arial" w:hAnsi="Arial" w:cs="Arial"/>
          <w:bCs/>
          <w:spacing w:val="4"/>
          <w:sz w:val="28"/>
          <w:szCs w:val="28"/>
          <w:lang w:eastAsia="es-MX"/>
        </w:rPr>
        <w:t xml:space="preserve">Enseguida, </w:t>
      </w:r>
      <w:r w:rsidR="00B45880" w:rsidRPr="00F32542">
        <w:rPr>
          <w:rFonts w:ascii="Arial" w:hAnsi="Arial" w:cs="Arial"/>
          <w:bCs/>
          <w:spacing w:val="4"/>
          <w:sz w:val="28"/>
          <w:szCs w:val="28"/>
          <w:lang w:eastAsia="es-MX"/>
        </w:rPr>
        <w:t xml:space="preserve">se analizarán los planteamientos en contra de la elegibilidad de ciertas candidaturas a diputaciones plurinominales, bajo la lógica de que, una vez definido si las personas cuestionadas cumplieron o no con los requisitos  de ley exigidos para </w:t>
      </w:r>
      <w:r w:rsidR="00BF2806" w:rsidRPr="00F32542">
        <w:rPr>
          <w:rFonts w:ascii="Arial" w:hAnsi="Arial" w:cs="Arial"/>
          <w:bCs/>
          <w:spacing w:val="4"/>
          <w:sz w:val="28"/>
          <w:szCs w:val="28"/>
          <w:lang w:eastAsia="es-MX"/>
        </w:rPr>
        <w:t>acceder</w:t>
      </w:r>
      <w:r w:rsidR="00B45880" w:rsidRPr="00F32542">
        <w:rPr>
          <w:rFonts w:ascii="Arial" w:hAnsi="Arial" w:cs="Arial"/>
          <w:bCs/>
          <w:spacing w:val="4"/>
          <w:sz w:val="28"/>
          <w:szCs w:val="28"/>
          <w:lang w:eastAsia="es-MX"/>
        </w:rPr>
        <w:t xml:space="preserve"> </w:t>
      </w:r>
      <w:r w:rsidR="00BF2806" w:rsidRPr="00F32542">
        <w:rPr>
          <w:rFonts w:ascii="Arial" w:hAnsi="Arial" w:cs="Arial"/>
          <w:bCs/>
          <w:spacing w:val="4"/>
          <w:sz w:val="28"/>
          <w:szCs w:val="28"/>
          <w:lang w:eastAsia="es-MX"/>
        </w:rPr>
        <w:t>a</w:t>
      </w:r>
      <w:r w:rsidR="00B45880" w:rsidRPr="00F32542">
        <w:rPr>
          <w:rFonts w:ascii="Arial" w:hAnsi="Arial" w:cs="Arial"/>
          <w:bCs/>
          <w:spacing w:val="4"/>
          <w:sz w:val="28"/>
          <w:szCs w:val="28"/>
          <w:lang w:eastAsia="es-MX"/>
        </w:rPr>
        <w:t xml:space="preserve">l cargo, se tendrá claridad acerca de que, quienes aspiran al otorgamiento de una de las curules asignadas a sus partidos postulantes, en realidad reúnen las condiciones para ocupar tal espacio, en caso de </w:t>
      </w:r>
      <w:r w:rsidR="00BF2806" w:rsidRPr="00F32542">
        <w:rPr>
          <w:rFonts w:ascii="Arial" w:hAnsi="Arial" w:cs="Arial"/>
          <w:bCs/>
          <w:spacing w:val="4"/>
          <w:sz w:val="28"/>
          <w:szCs w:val="28"/>
          <w:lang w:eastAsia="es-MX"/>
        </w:rPr>
        <w:t>que</w:t>
      </w:r>
      <w:r w:rsidR="00B45880" w:rsidRPr="00F32542">
        <w:rPr>
          <w:rFonts w:ascii="Arial" w:hAnsi="Arial" w:cs="Arial"/>
          <w:bCs/>
          <w:spacing w:val="4"/>
          <w:sz w:val="28"/>
          <w:szCs w:val="28"/>
          <w:lang w:eastAsia="es-MX"/>
        </w:rPr>
        <w:t xml:space="preserve"> sus </w:t>
      </w:r>
      <w:r w:rsidR="00BF2806" w:rsidRPr="00F32542">
        <w:rPr>
          <w:rFonts w:ascii="Arial" w:hAnsi="Arial" w:cs="Arial"/>
          <w:bCs/>
          <w:spacing w:val="4"/>
          <w:sz w:val="28"/>
          <w:szCs w:val="28"/>
          <w:lang w:eastAsia="es-MX"/>
        </w:rPr>
        <w:t>argumentos basten para concederles</w:t>
      </w:r>
      <w:r w:rsidR="00B45880" w:rsidRPr="00F32542">
        <w:rPr>
          <w:rFonts w:ascii="Arial" w:hAnsi="Arial" w:cs="Arial"/>
          <w:bCs/>
          <w:spacing w:val="4"/>
          <w:sz w:val="28"/>
          <w:szCs w:val="28"/>
          <w:lang w:eastAsia="es-MX"/>
        </w:rPr>
        <w:t xml:space="preserve"> ra</w:t>
      </w:r>
      <w:r w:rsidR="00BF2806" w:rsidRPr="00F32542">
        <w:rPr>
          <w:rFonts w:ascii="Arial" w:hAnsi="Arial" w:cs="Arial"/>
          <w:bCs/>
          <w:spacing w:val="4"/>
          <w:sz w:val="28"/>
          <w:szCs w:val="28"/>
          <w:lang w:eastAsia="es-MX"/>
        </w:rPr>
        <w:t>z</w:t>
      </w:r>
      <w:r w:rsidR="00B45880" w:rsidRPr="00F32542">
        <w:rPr>
          <w:rFonts w:ascii="Arial" w:hAnsi="Arial" w:cs="Arial"/>
          <w:bCs/>
          <w:spacing w:val="4"/>
          <w:sz w:val="28"/>
          <w:szCs w:val="28"/>
          <w:lang w:eastAsia="es-MX"/>
        </w:rPr>
        <w:t>ón</w:t>
      </w:r>
      <w:r w:rsidR="00BF2806" w:rsidRPr="00F32542">
        <w:rPr>
          <w:rFonts w:ascii="Arial" w:hAnsi="Arial" w:cs="Arial"/>
          <w:bCs/>
          <w:spacing w:val="4"/>
          <w:sz w:val="28"/>
          <w:szCs w:val="28"/>
          <w:lang w:eastAsia="es-MX"/>
        </w:rPr>
        <w:t>.</w:t>
      </w:r>
      <w:r w:rsidR="00B45880" w:rsidRPr="00F32542">
        <w:rPr>
          <w:rFonts w:ascii="Arial" w:hAnsi="Arial" w:cs="Arial"/>
          <w:bCs/>
          <w:spacing w:val="4"/>
          <w:sz w:val="28"/>
          <w:szCs w:val="28"/>
          <w:lang w:eastAsia="es-MX"/>
        </w:rPr>
        <w:t xml:space="preserve"> </w:t>
      </w:r>
    </w:p>
    <w:p w14:paraId="629CCDCC" w14:textId="77777777" w:rsidR="006A0AA1" w:rsidRPr="00F32542" w:rsidRDefault="006A0AA1" w:rsidP="003D29D2">
      <w:pPr>
        <w:spacing w:after="0" w:line="360" w:lineRule="auto"/>
        <w:jc w:val="both"/>
        <w:rPr>
          <w:rFonts w:ascii="Arial" w:hAnsi="Arial" w:cs="Arial"/>
          <w:bCs/>
          <w:spacing w:val="4"/>
          <w:sz w:val="28"/>
          <w:szCs w:val="28"/>
          <w:lang w:eastAsia="es-MX"/>
        </w:rPr>
      </w:pPr>
    </w:p>
    <w:p w14:paraId="34900060" w14:textId="77777777" w:rsidR="006A0AA1" w:rsidRPr="00F32542" w:rsidRDefault="006A0AA1" w:rsidP="003D29D2">
      <w:pPr>
        <w:spacing w:after="0" w:line="360" w:lineRule="auto"/>
        <w:jc w:val="both"/>
        <w:rPr>
          <w:rFonts w:ascii="Arial" w:hAnsi="Arial" w:cs="Arial"/>
          <w:bCs/>
          <w:spacing w:val="4"/>
          <w:sz w:val="28"/>
          <w:szCs w:val="28"/>
          <w:lang w:eastAsia="es-MX"/>
        </w:rPr>
      </w:pPr>
      <w:r w:rsidRPr="00F32542">
        <w:rPr>
          <w:rFonts w:ascii="Arial" w:hAnsi="Arial" w:cs="Arial"/>
          <w:bCs/>
          <w:spacing w:val="4"/>
          <w:sz w:val="28"/>
          <w:szCs w:val="28"/>
          <w:lang w:eastAsia="es-MX"/>
        </w:rPr>
        <w:t>Definido tal aspecto, se procederá a analizar los motivos de disenso referentes a la asignación de la diputación migrante a la candidatura ganadora de la respectiva elección,</w:t>
      </w:r>
      <w:r w:rsidR="007C71B0" w:rsidRPr="00F32542">
        <w:rPr>
          <w:rFonts w:ascii="Arial" w:hAnsi="Arial" w:cs="Arial"/>
          <w:bCs/>
          <w:spacing w:val="4"/>
          <w:sz w:val="28"/>
          <w:szCs w:val="28"/>
          <w:lang w:eastAsia="es-MX"/>
        </w:rPr>
        <w:t xml:space="preserve"> así como al procedimiento seguido para ello,</w:t>
      </w:r>
      <w:r w:rsidRPr="00F32542">
        <w:rPr>
          <w:rFonts w:ascii="Arial" w:hAnsi="Arial" w:cs="Arial"/>
          <w:bCs/>
          <w:spacing w:val="4"/>
          <w:sz w:val="28"/>
          <w:szCs w:val="28"/>
          <w:lang w:eastAsia="es-MX"/>
        </w:rPr>
        <w:t xml:space="preserve"> como cuestiones que necesariamente han de ser dilucidadas antes de estudiar los agravios expuestos por las </w:t>
      </w:r>
      <w:r w:rsidRPr="00F32542">
        <w:rPr>
          <w:rFonts w:ascii="Arial" w:hAnsi="Arial" w:cs="Arial"/>
          <w:bCs/>
          <w:i/>
          <w:iCs/>
          <w:spacing w:val="4"/>
          <w:sz w:val="28"/>
          <w:szCs w:val="28"/>
          <w:lang w:eastAsia="es-MX"/>
        </w:rPr>
        <w:t>partes actoras</w:t>
      </w:r>
      <w:r w:rsidRPr="00F32542">
        <w:rPr>
          <w:rFonts w:ascii="Arial" w:hAnsi="Arial" w:cs="Arial"/>
          <w:bCs/>
          <w:spacing w:val="4"/>
          <w:sz w:val="28"/>
          <w:szCs w:val="28"/>
          <w:lang w:eastAsia="es-MX"/>
        </w:rPr>
        <w:t>, en contra de la conformación de las listas B y definitiva de cada partido político</w:t>
      </w:r>
      <w:r w:rsidR="001F4354" w:rsidRPr="00F32542">
        <w:rPr>
          <w:rFonts w:ascii="Arial" w:hAnsi="Arial" w:cs="Arial"/>
          <w:bCs/>
          <w:spacing w:val="4"/>
          <w:sz w:val="28"/>
          <w:szCs w:val="28"/>
          <w:lang w:eastAsia="es-MX"/>
        </w:rPr>
        <w:t>, así como de la asignación de curules conforme a tales listas.</w:t>
      </w:r>
    </w:p>
    <w:p w14:paraId="136B209E" w14:textId="77777777" w:rsidR="001B7E4B" w:rsidRPr="00F32542" w:rsidRDefault="001B7E4B" w:rsidP="003D29D2">
      <w:pPr>
        <w:spacing w:after="0" w:line="360" w:lineRule="auto"/>
        <w:jc w:val="both"/>
        <w:rPr>
          <w:rFonts w:ascii="Arial" w:hAnsi="Arial" w:cs="Arial"/>
          <w:bCs/>
          <w:spacing w:val="4"/>
          <w:sz w:val="28"/>
          <w:szCs w:val="28"/>
          <w:lang w:eastAsia="es-MX"/>
        </w:rPr>
      </w:pPr>
    </w:p>
    <w:p w14:paraId="0FCF1AA7" w14:textId="77777777" w:rsidR="006A0AA1" w:rsidRPr="00F32542" w:rsidRDefault="006A0AA1" w:rsidP="003D29D2">
      <w:pPr>
        <w:spacing w:after="0" w:line="360" w:lineRule="auto"/>
        <w:jc w:val="both"/>
        <w:rPr>
          <w:rFonts w:ascii="Arial" w:hAnsi="Arial" w:cs="Arial"/>
          <w:bCs/>
          <w:spacing w:val="4"/>
          <w:sz w:val="28"/>
          <w:szCs w:val="28"/>
          <w:lang w:eastAsia="es-MX"/>
        </w:rPr>
      </w:pPr>
      <w:r w:rsidRPr="00F32542">
        <w:rPr>
          <w:rFonts w:ascii="Arial" w:hAnsi="Arial" w:cs="Arial"/>
          <w:bCs/>
          <w:spacing w:val="4"/>
          <w:sz w:val="28"/>
          <w:szCs w:val="28"/>
          <w:lang w:eastAsia="es-MX"/>
        </w:rPr>
        <w:t>Asimismo, una vez contestados los agravios relacionados con l</w:t>
      </w:r>
      <w:r w:rsidR="001F4354" w:rsidRPr="00F32542">
        <w:rPr>
          <w:rFonts w:ascii="Arial" w:hAnsi="Arial" w:cs="Arial"/>
          <w:bCs/>
          <w:spacing w:val="4"/>
          <w:sz w:val="28"/>
          <w:szCs w:val="28"/>
          <w:lang w:eastAsia="es-MX"/>
        </w:rPr>
        <w:t xml:space="preserve">o anterior, se realizará la recomposición del cómputo base para la distribución de </w:t>
      </w:r>
      <w:r w:rsidR="009E30B3" w:rsidRPr="00F32542">
        <w:rPr>
          <w:rFonts w:ascii="Arial" w:hAnsi="Arial" w:cs="Arial"/>
          <w:bCs/>
          <w:spacing w:val="4"/>
          <w:sz w:val="28"/>
          <w:szCs w:val="28"/>
          <w:lang w:eastAsia="es-MX"/>
        </w:rPr>
        <w:t>diputaciones de representación proporcional, en atención a las sentencias dictadas por este Tribunal en los medios de impugnación referentes a las elecciones de diputa</w:t>
      </w:r>
      <w:r w:rsidR="003762BC" w:rsidRPr="00F32542">
        <w:rPr>
          <w:rFonts w:ascii="Arial" w:hAnsi="Arial" w:cs="Arial"/>
          <w:bCs/>
          <w:spacing w:val="4"/>
          <w:sz w:val="28"/>
          <w:szCs w:val="28"/>
          <w:lang w:eastAsia="es-MX"/>
        </w:rPr>
        <w:t>ciones</w:t>
      </w:r>
      <w:r w:rsidR="009E30B3" w:rsidRPr="00F32542">
        <w:rPr>
          <w:rFonts w:ascii="Arial" w:hAnsi="Arial" w:cs="Arial"/>
          <w:bCs/>
          <w:spacing w:val="4"/>
          <w:sz w:val="28"/>
          <w:szCs w:val="28"/>
          <w:lang w:eastAsia="es-MX"/>
        </w:rPr>
        <w:t xml:space="preserve"> de </w:t>
      </w:r>
      <w:r w:rsidR="009E30B3" w:rsidRPr="00F32542">
        <w:rPr>
          <w:rFonts w:ascii="Arial" w:hAnsi="Arial" w:cs="Arial"/>
          <w:bCs/>
          <w:spacing w:val="4"/>
          <w:sz w:val="28"/>
          <w:szCs w:val="28"/>
          <w:lang w:eastAsia="es-MX"/>
        </w:rPr>
        <w:lastRenderedPageBreak/>
        <w:t>mayoría relativa, en las que se ordenó modificar el respectivo cómputo distrital en función de la nulidad de casillas decretada.</w:t>
      </w:r>
    </w:p>
    <w:p w14:paraId="173E3690" w14:textId="77777777" w:rsidR="003762BC" w:rsidRPr="00F32542" w:rsidRDefault="003762BC" w:rsidP="003D29D2">
      <w:pPr>
        <w:spacing w:after="0" w:line="360" w:lineRule="auto"/>
        <w:jc w:val="both"/>
        <w:rPr>
          <w:rFonts w:ascii="Arial" w:hAnsi="Arial" w:cs="Arial"/>
          <w:bCs/>
          <w:spacing w:val="4"/>
          <w:sz w:val="28"/>
          <w:szCs w:val="28"/>
          <w:lang w:eastAsia="es-MX"/>
        </w:rPr>
      </w:pPr>
    </w:p>
    <w:p w14:paraId="48BFE723" w14:textId="77777777" w:rsidR="009E30B3" w:rsidRPr="00F32542" w:rsidRDefault="009E30B3" w:rsidP="003D29D2">
      <w:pPr>
        <w:spacing w:after="0" w:line="360" w:lineRule="auto"/>
        <w:jc w:val="both"/>
        <w:rPr>
          <w:rFonts w:ascii="Arial" w:hAnsi="Arial" w:cs="Arial"/>
          <w:bCs/>
          <w:spacing w:val="4"/>
          <w:sz w:val="28"/>
          <w:szCs w:val="28"/>
          <w:lang w:eastAsia="es-MX"/>
        </w:rPr>
      </w:pPr>
      <w:r w:rsidRPr="00F32542">
        <w:rPr>
          <w:rFonts w:ascii="Arial" w:hAnsi="Arial" w:cs="Arial"/>
          <w:bCs/>
          <w:spacing w:val="4"/>
          <w:sz w:val="28"/>
          <w:szCs w:val="28"/>
          <w:lang w:eastAsia="es-MX"/>
        </w:rPr>
        <w:t xml:space="preserve">De modo que, a partir del cómputo recompuesto, se aplicará nuevamente la fórmula de distribución de curules, se asignarán las diputaciones a los partidos políticos que corresponda y se verificará la existencia de sobre o subrepresentación para efectos de integración paritaria del </w:t>
      </w:r>
      <w:r w:rsidRPr="00F32542">
        <w:rPr>
          <w:rFonts w:ascii="Arial" w:hAnsi="Arial" w:cs="Arial"/>
          <w:bCs/>
          <w:i/>
          <w:iCs/>
          <w:spacing w:val="4"/>
          <w:sz w:val="28"/>
          <w:szCs w:val="28"/>
          <w:lang w:eastAsia="es-MX"/>
        </w:rPr>
        <w:t>Congreso local</w:t>
      </w:r>
      <w:r w:rsidRPr="00F32542">
        <w:rPr>
          <w:rFonts w:ascii="Arial" w:hAnsi="Arial" w:cs="Arial"/>
          <w:bCs/>
          <w:spacing w:val="4"/>
          <w:sz w:val="28"/>
          <w:szCs w:val="28"/>
          <w:lang w:eastAsia="es-MX"/>
        </w:rPr>
        <w:t>.</w:t>
      </w:r>
    </w:p>
    <w:p w14:paraId="051305BB" w14:textId="77777777" w:rsidR="009E30B3" w:rsidRPr="00F32542" w:rsidRDefault="009E30B3" w:rsidP="003D29D2">
      <w:pPr>
        <w:spacing w:after="0" w:line="360" w:lineRule="auto"/>
        <w:jc w:val="both"/>
        <w:rPr>
          <w:rFonts w:ascii="Arial" w:hAnsi="Arial" w:cs="Arial"/>
          <w:bCs/>
          <w:spacing w:val="4"/>
          <w:sz w:val="28"/>
          <w:szCs w:val="28"/>
          <w:lang w:eastAsia="es-MX"/>
        </w:rPr>
      </w:pPr>
    </w:p>
    <w:p w14:paraId="45CF8C82" w14:textId="77777777" w:rsidR="009E30B3" w:rsidRPr="00F32542" w:rsidRDefault="009E30B3" w:rsidP="003D29D2">
      <w:pPr>
        <w:spacing w:after="0" w:line="360" w:lineRule="auto"/>
        <w:jc w:val="both"/>
        <w:rPr>
          <w:rFonts w:ascii="Arial" w:hAnsi="Arial" w:cs="Arial"/>
          <w:bCs/>
          <w:spacing w:val="4"/>
          <w:sz w:val="28"/>
          <w:szCs w:val="28"/>
          <w:lang w:eastAsia="es-MX"/>
        </w:rPr>
      </w:pPr>
      <w:r w:rsidRPr="00F32542">
        <w:rPr>
          <w:rFonts w:ascii="Arial" w:hAnsi="Arial" w:cs="Arial"/>
          <w:bCs/>
          <w:spacing w:val="4"/>
          <w:sz w:val="28"/>
          <w:szCs w:val="28"/>
          <w:lang w:eastAsia="es-MX"/>
        </w:rPr>
        <w:t xml:space="preserve">Lo anterior, sin perjuicio de que ciertos temas sean analizados en apartados introducidos entre los señalados aspectos generales. </w:t>
      </w:r>
    </w:p>
    <w:p w14:paraId="464E2C32" w14:textId="77777777" w:rsidR="006A0AA1" w:rsidRPr="00F32542" w:rsidRDefault="006A0AA1" w:rsidP="003D29D2">
      <w:pPr>
        <w:spacing w:after="0" w:line="360" w:lineRule="auto"/>
        <w:jc w:val="both"/>
        <w:rPr>
          <w:rFonts w:ascii="Arial" w:hAnsi="Arial" w:cs="Arial"/>
          <w:bCs/>
          <w:spacing w:val="4"/>
          <w:sz w:val="28"/>
          <w:szCs w:val="28"/>
          <w:lang w:eastAsia="es-MX"/>
        </w:rPr>
      </w:pPr>
    </w:p>
    <w:p w14:paraId="40025341" w14:textId="77777777" w:rsidR="001B7E4B" w:rsidRPr="00F32542" w:rsidRDefault="002578EC" w:rsidP="003D29D2">
      <w:pPr>
        <w:spacing w:after="0" w:line="360" w:lineRule="auto"/>
        <w:jc w:val="both"/>
        <w:rPr>
          <w:rFonts w:ascii="Arial" w:hAnsi="Arial" w:cs="Arial"/>
          <w:bCs/>
          <w:spacing w:val="4"/>
          <w:sz w:val="28"/>
          <w:szCs w:val="28"/>
          <w:lang w:eastAsia="es-MX"/>
        </w:rPr>
      </w:pPr>
      <w:r w:rsidRPr="00F32542">
        <w:rPr>
          <w:rFonts w:ascii="Arial" w:hAnsi="Arial" w:cs="Arial"/>
          <w:b/>
          <w:spacing w:val="4"/>
          <w:sz w:val="28"/>
          <w:szCs w:val="28"/>
        </w:rPr>
        <w:t>SÉPTIM</w:t>
      </w:r>
      <w:r w:rsidR="00187024" w:rsidRPr="00F32542">
        <w:rPr>
          <w:rFonts w:ascii="Arial" w:hAnsi="Arial" w:cs="Arial"/>
          <w:b/>
          <w:spacing w:val="4"/>
          <w:sz w:val="28"/>
          <w:szCs w:val="28"/>
        </w:rPr>
        <w:t>A</w:t>
      </w:r>
      <w:r w:rsidRPr="00F32542">
        <w:rPr>
          <w:rFonts w:ascii="Arial" w:hAnsi="Arial" w:cs="Arial"/>
          <w:b/>
          <w:spacing w:val="4"/>
          <w:sz w:val="28"/>
          <w:szCs w:val="28"/>
        </w:rPr>
        <w:t>. Estudio de fondo.</w:t>
      </w:r>
    </w:p>
    <w:p w14:paraId="3440BD54" w14:textId="77777777" w:rsidR="001B7E4B" w:rsidRPr="00F32542" w:rsidRDefault="001B7E4B" w:rsidP="003D29D2">
      <w:pPr>
        <w:spacing w:after="0" w:line="360" w:lineRule="auto"/>
        <w:jc w:val="both"/>
        <w:rPr>
          <w:rFonts w:ascii="Arial" w:hAnsi="Arial" w:cs="Arial"/>
          <w:b/>
          <w:spacing w:val="4"/>
          <w:sz w:val="28"/>
          <w:szCs w:val="28"/>
        </w:rPr>
      </w:pPr>
    </w:p>
    <w:p w14:paraId="32AC1BC1" w14:textId="77777777" w:rsidR="001B7E4B" w:rsidRPr="00F32542" w:rsidRDefault="001B7E4B" w:rsidP="003D29D2">
      <w:pPr>
        <w:pStyle w:val="Prrafodelista"/>
        <w:numPr>
          <w:ilvl w:val="0"/>
          <w:numId w:val="2"/>
        </w:numPr>
        <w:spacing w:line="360" w:lineRule="auto"/>
        <w:rPr>
          <w:rFonts w:ascii="Arial" w:eastAsiaTheme="minorHAnsi" w:hAnsi="Arial" w:cs="Arial"/>
          <w:b/>
          <w:spacing w:val="4"/>
          <w:szCs w:val="28"/>
        </w:rPr>
      </w:pPr>
      <w:r w:rsidRPr="00F32542">
        <w:rPr>
          <w:rFonts w:ascii="Arial" w:eastAsiaTheme="minorHAnsi" w:hAnsi="Arial" w:cs="Arial"/>
          <w:b/>
          <w:spacing w:val="4"/>
          <w:szCs w:val="28"/>
        </w:rPr>
        <w:t>Cuestiones pre</w:t>
      </w:r>
      <w:r w:rsidR="007C71B0" w:rsidRPr="00F32542">
        <w:rPr>
          <w:rFonts w:ascii="Arial" w:eastAsiaTheme="minorHAnsi" w:hAnsi="Arial" w:cs="Arial"/>
          <w:b/>
          <w:spacing w:val="4"/>
          <w:szCs w:val="28"/>
        </w:rPr>
        <w:t>vias</w:t>
      </w:r>
      <w:r w:rsidRPr="00F32542">
        <w:rPr>
          <w:rFonts w:ascii="Arial" w:eastAsiaTheme="minorHAnsi" w:hAnsi="Arial" w:cs="Arial"/>
          <w:b/>
          <w:spacing w:val="4"/>
          <w:szCs w:val="28"/>
        </w:rPr>
        <w:t>.</w:t>
      </w:r>
    </w:p>
    <w:p w14:paraId="0FB18598" w14:textId="77777777" w:rsidR="001B7E4B" w:rsidRPr="00F32542" w:rsidRDefault="001B7E4B" w:rsidP="003D29D2">
      <w:pPr>
        <w:spacing w:after="0" w:line="360" w:lineRule="auto"/>
        <w:rPr>
          <w:rFonts w:ascii="Arial" w:hAnsi="Arial" w:cs="Arial"/>
          <w:b/>
          <w:spacing w:val="4"/>
          <w:sz w:val="28"/>
          <w:szCs w:val="28"/>
        </w:rPr>
      </w:pPr>
    </w:p>
    <w:p w14:paraId="285EE0D3" w14:textId="77777777" w:rsidR="00352D63" w:rsidRPr="00F32542" w:rsidRDefault="00467906" w:rsidP="009B6ED0">
      <w:pPr>
        <w:pStyle w:val="Prrafodelista"/>
        <w:numPr>
          <w:ilvl w:val="0"/>
          <w:numId w:val="34"/>
        </w:numPr>
        <w:spacing w:line="360" w:lineRule="auto"/>
        <w:rPr>
          <w:rFonts w:ascii="Arial" w:eastAsia="Calibri" w:hAnsi="Arial" w:cs="Arial"/>
          <w:b/>
          <w:szCs w:val="28"/>
        </w:rPr>
      </w:pPr>
      <w:r w:rsidRPr="00F32542">
        <w:rPr>
          <w:rFonts w:ascii="Arial" w:eastAsia="Calibri" w:hAnsi="Arial" w:cs="Arial"/>
          <w:b/>
          <w:szCs w:val="28"/>
        </w:rPr>
        <w:t xml:space="preserve">Suplencia de la queja. </w:t>
      </w:r>
    </w:p>
    <w:p w14:paraId="5AE3D8DD" w14:textId="77777777" w:rsidR="00C279D9" w:rsidRPr="00F32542" w:rsidRDefault="00C279D9" w:rsidP="003D29D2">
      <w:pPr>
        <w:spacing w:after="0" w:line="360" w:lineRule="auto"/>
        <w:rPr>
          <w:rFonts w:ascii="Arial" w:eastAsia="Calibri" w:hAnsi="Arial" w:cs="Arial"/>
          <w:bCs/>
          <w:sz w:val="28"/>
          <w:szCs w:val="28"/>
        </w:rPr>
      </w:pPr>
    </w:p>
    <w:p w14:paraId="72038ACC" w14:textId="77777777" w:rsidR="00467906" w:rsidRPr="00F32542" w:rsidRDefault="00467906" w:rsidP="0035033F">
      <w:pPr>
        <w:spacing w:after="0" w:line="360" w:lineRule="auto"/>
        <w:jc w:val="both"/>
        <w:rPr>
          <w:rFonts w:ascii="Arial" w:eastAsia="Calibri" w:hAnsi="Arial" w:cs="Arial"/>
          <w:b/>
          <w:sz w:val="28"/>
          <w:szCs w:val="28"/>
        </w:rPr>
      </w:pPr>
      <w:r w:rsidRPr="00F32542">
        <w:rPr>
          <w:rFonts w:ascii="Arial" w:eastAsia="Calibri" w:hAnsi="Arial" w:cs="Arial"/>
          <w:bCs/>
          <w:sz w:val="28"/>
          <w:szCs w:val="28"/>
        </w:rPr>
        <w:t xml:space="preserve">En ejercicio de las facultades previstas en el artículo 89 de la </w:t>
      </w:r>
      <w:r w:rsidRPr="00F32542">
        <w:rPr>
          <w:rFonts w:ascii="Arial" w:eastAsia="Calibri" w:hAnsi="Arial" w:cs="Arial"/>
          <w:bCs/>
          <w:i/>
          <w:sz w:val="28"/>
          <w:szCs w:val="28"/>
        </w:rPr>
        <w:t>Ley Procesal</w:t>
      </w:r>
      <w:r w:rsidRPr="00F32542">
        <w:rPr>
          <w:rFonts w:ascii="Arial" w:eastAsia="Calibri" w:hAnsi="Arial" w:cs="Arial"/>
          <w:bCs/>
          <w:sz w:val="28"/>
          <w:szCs w:val="28"/>
        </w:rPr>
        <w:t xml:space="preserve">, este órgano jurisdiccional identificará los agravios que hacen valer las </w:t>
      </w:r>
      <w:r w:rsidRPr="00F32542">
        <w:rPr>
          <w:rFonts w:ascii="Arial" w:eastAsia="Calibri" w:hAnsi="Arial" w:cs="Arial"/>
          <w:bCs/>
          <w:i/>
          <w:sz w:val="28"/>
          <w:szCs w:val="28"/>
        </w:rPr>
        <w:t>partes demandantes</w:t>
      </w:r>
      <w:r w:rsidRPr="00F32542">
        <w:rPr>
          <w:rFonts w:ascii="Arial" w:eastAsia="Calibri" w:hAnsi="Arial" w:cs="Arial"/>
          <w:bCs/>
          <w:sz w:val="28"/>
          <w:szCs w:val="28"/>
        </w:rPr>
        <w:t xml:space="preserve">, </w:t>
      </w:r>
      <w:r w:rsidRPr="00F32542">
        <w:rPr>
          <w:rFonts w:ascii="Arial" w:eastAsia="Times New Roman" w:hAnsi="Arial" w:cs="Arial"/>
          <w:sz w:val="28"/>
          <w:szCs w:val="28"/>
          <w:lang w:eastAsia="es-MX"/>
        </w:rPr>
        <w:t>con independencia de la manera en que hayan sido manifestados.</w:t>
      </w:r>
    </w:p>
    <w:p w14:paraId="0CF09F43" w14:textId="77777777" w:rsidR="00352D63" w:rsidRPr="00F32542" w:rsidRDefault="00352D63" w:rsidP="003D29D2">
      <w:pPr>
        <w:spacing w:after="0" w:line="360" w:lineRule="auto"/>
        <w:rPr>
          <w:rFonts w:ascii="Arial" w:eastAsia="Calibri" w:hAnsi="Arial" w:cs="Arial"/>
          <w:b/>
          <w:sz w:val="28"/>
          <w:szCs w:val="28"/>
        </w:rPr>
      </w:pPr>
    </w:p>
    <w:p w14:paraId="061A773B" w14:textId="77777777" w:rsidR="00467906" w:rsidRPr="00F32542" w:rsidRDefault="00467906" w:rsidP="003D29D2">
      <w:pPr>
        <w:spacing w:after="0" w:line="360" w:lineRule="auto"/>
        <w:jc w:val="both"/>
        <w:rPr>
          <w:rFonts w:ascii="Arial" w:eastAsia="Calibri" w:hAnsi="Arial" w:cs="Arial"/>
          <w:bCs/>
          <w:sz w:val="28"/>
          <w:szCs w:val="28"/>
        </w:rPr>
      </w:pPr>
      <w:r w:rsidRPr="00F32542">
        <w:rPr>
          <w:rFonts w:ascii="Arial" w:eastAsia="Calibri" w:hAnsi="Arial" w:cs="Arial"/>
          <w:bCs/>
          <w:sz w:val="28"/>
          <w:szCs w:val="28"/>
        </w:rPr>
        <w:t xml:space="preserve">Dicho criterio ha sido sostenido por la </w:t>
      </w:r>
      <w:r w:rsidRPr="00F32542">
        <w:rPr>
          <w:rFonts w:ascii="Arial" w:eastAsia="Calibri" w:hAnsi="Arial" w:cs="Arial"/>
          <w:bCs/>
          <w:i/>
          <w:sz w:val="28"/>
          <w:szCs w:val="28"/>
        </w:rPr>
        <w:t>Sala Superior</w:t>
      </w:r>
      <w:r w:rsidRPr="00F32542">
        <w:rPr>
          <w:rFonts w:ascii="Arial" w:eastAsia="Calibri" w:hAnsi="Arial" w:cs="Arial"/>
          <w:bCs/>
          <w:sz w:val="28"/>
          <w:szCs w:val="28"/>
        </w:rPr>
        <w:t xml:space="preserve"> en las jurisprudencias </w:t>
      </w:r>
      <w:r w:rsidRPr="00F32542">
        <w:rPr>
          <w:rFonts w:ascii="Arial" w:eastAsia="Calibri" w:hAnsi="Arial" w:cs="Arial"/>
          <w:b/>
          <w:bCs/>
          <w:sz w:val="28"/>
          <w:szCs w:val="28"/>
        </w:rPr>
        <w:t>2/98</w:t>
      </w:r>
      <w:r w:rsidRPr="00F32542">
        <w:rPr>
          <w:rFonts w:ascii="Arial" w:eastAsia="Calibri" w:hAnsi="Arial" w:cs="Arial"/>
          <w:bCs/>
          <w:sz w:val="28"/>
          <w:szCs w:val="28"/>
        </w:rPr>
        <w:t xml:space="preserve"> y </w:t>
      </w:r>
      <w:r w:rsidRPr="00F32542">
        <w:rPr>
          <w:rFonts w:ascii="Arial" w:eastAsia="Calibri" w:hAnsi="Arial" w:cs="Arial"/>
          <w:b/>
          <w:bCs/>
          <w:sz w:val="28"/>
          <w:szCs w:val="28"/>
        </w:rPr>
        <w:t>3/2000</w:t>
      </w:r>
      <w:r w:rsidRPr="00F32542">
        <w:rPr>
          <w:rFonts w:ascii="Arial" w:eastAsia="Calibri" w:hAnsi="Arial" w:cs="Arial"/>
          <w:bCs/>
          <w:sz w:val="28"/>
          <w:szCs w:val="28"/>
        </w:rPr>
        <w:t xml:space="preserve"> de rubros “</w:t>
      </w:r>
      <w:r w:rsidRPr="00F32542">
        <w:rPr>
          <w:rFonts w:ascii="Arial" w:eastAsia="Calibri" w:hAnsi="Arial" w:cs="Arial"/>
          <w:b/>
          <w:bCs/>
          <w:iCs/>
          <w:sz w:val="28"/>
          <w:szCs w:val="28"/>
        </w:rPr>
        <w:t>AGRAVIOS. PUEDEN ENCONTRARSE EN CUALQUIER PARTE DEL ESCRITO INICIAL</w:t>
      </w:r>
      <w:r w:rsidRPr="00F32542">
        <w:rPr>
          <w:rFonts w:ascii="Arial" w:eastAsia="Calibri" w:hAnsi="Arial" w:cs="Arial"/>
          <w:bCs/>
          <w:iCs/>
          <w:sz w:val="28"/>
          <w:szCs w:val="28"/>
        </w:rPr>
        <w:t>”</w:t>
      </w:r>
      <w:r w:rsidRPr="00F32542">
        <w:rPr>
          <w:rFonts w:ascii="Arial" w:eastAsia="Calibri" w:hAnsi="Arial" w:cs="Arial"/>
          <w:bCs/>
          <w:iCs/>
          <w:sz w:val="28"/>
          <w:szCs w:val="28"/>
          <w:vertAlign w:val="superscript"/>
        </w:rPr>
        <w:footnoteReference w:id="18"/>
      </w:r>
      <w:r w:rsidRPr="00F32542">
        <w:rPr>
          <w:rFonts w:ascii="Arial" w:eastAsia="Calibri" w:hAnsi="Arial" w:cs="Arial"/>
          <w:b/>
          <w:bCs/>
          <w:iCs/>
          <w:sz w:val="28"/>
          <w:szCs w:val="28"/>
        </w:rPr>
        <w:t xml:space="preserve"> </w:t>
      </w:r>
      <w:r w:rsidRPr="00F32542">
        <w:rPr>
          <w:rFonts w:ascii="Arial" w:eastAsia="Calibri" w:hAnsi="Arial" w:cs="Arial"/>
          <w:bCs/>
          <w:iCs/>
          <w:sz w:val="28"/>
          <w:szCs w:val="28"/>
        </w:rPr>
        <w:t>y “</w:t>
      </w:r>
      <w:r w:rsidRPr="00F32542">
        <w:rPr>
          <w:rFonts w:ascii="Arial" w:eastAsia="Calibri" w:hAnsi="Arial" w:cs="Arial"/>
          <w:b/>
          <w:bCs/>
          <w:iCs/>
          <w:sz w:val="28"/>
          <w:szCs w:val="28"/>
        </w:rPr>
        <w:t xml:space="preserve">AGRAVIOS. PARA TENERLOS POR DEBIDAMENTE </w:t>
      </w:r>
      <w:r w:rsidRPr="00F32542">
        <w:rPr>
          <w:rFonts w:ascii="Arial" w:eastAsia="Calibri" w:hAnsi="Arial" w:cs="Arial"/>
          <w:b/>
          <w:bCs/>
          <w:iCs/>
          <w:sz w:val="28"/>
          <w:szCs w:val="28"/>
        </w:rPr>
        <w:lastRenderedPageBreak/>
        <w:t>CONFIGURADOS ES SUFICIENTE CON EXPRESAR LA CAUSA DE PEDIR</w:t>
      </w:r>
      <w:r w:rsidRPr="00F32542">
        <w:rPr>
          <w:rFonts w:ascii="Arial" w:eastAsia="Calibri" w:hAnsi="Arial" w:cs="Arial"/>
          <w:bCs/>
          <w:sz w:val="28"/>
          <w:szCs w:val="28"/>
        </w:rPr>
        <w:t>”</w:t>
      </w:r>
      <w:r w:rsidRPr="00F32542">
        <w:rPr>
          <w:rFonts w:ascii="Arial" w:eastAsia="Calibri" w:hAnsi="Arial" w:cs="Arial"/>
          <w:bCs/>
          <w:sz w:val="28"/>
          <w:szCs w:val="28"/>
          <w:vertAlign w:val="superscript"/>
        </w:rPr>
        <w:footnoteReference w:id="19"/>
      </w:r>
      <w:r w:rsidRPr="00F32542">
        <w:rPr>
          <w:rFonts w:ascii="Arial" w:eastAsia="Calibri" w:hAnsi="Arial" w:cs="Arial"/>
          <w:bCs/>
          <w:sz w:val="28"/>
          <w:szCs w:val="28"/>
        </w:rPr>
        <w:t>.</w:t>
      </w:r>
    </w:p>
    <w:p w14:paraId="405CB427" w14:textId="77777777" w:rsidR="00467906" w:rsidRPr="00F32542" w:rsidRDefault="00467906" w:rsidP="003D29D2">
      <w:pPr>
        <w:spacing w:after="0" w:line="360" w:lineRule="auto"/>
        <w:jc w:val="both"/>
        <w:rPr>
          <w:rFonts w:ascii="Arial" w:eastAsia="Calibri" w:hAnsi="Arial" w:cs="Arial"/>
          <w:bCs/>
          <w:sz w:val="28"/>
          <w:szCs w:val="28"/>
        </w:rPr>
      </w:pPr>
    </w:p>
    <w:p w14:paraId="3F780BF8" w14:textId="77777777" w:rsidR="00467906" w:rsidRPr="00F32542" w:rsidRDefault="00467906" w:rsidP="003D29D2">
      <w:pPr>
        <w:spacing w:after="0" w:line="360" w:lineRule="auto"/>
        <w:jc w:val="both"/>
        <w:rPr>
          <w:rFonts w:ascii="Arial" w:eastAsia="Calibri" w:hAnsi="Arial" w:cs="Arial"/>
          <w:bCs/>
          <w:sz w:val="28"/>
          <w:szCs w:val="28"/>
        </w:rPr>
      </w:pPr>
      <w:r w:rsidRPr="00F32542">
        <w:rPr>
          <w:rFonts w:ascii="Arial" w:eastAsia="Calibri" w:hAnsi="Arial" w:cs="Arial"/>
          <w:bCs/>
          <w:sz w:val="28"/>
          <w:szCs w:val="28"/>
        </w:rPr>
        <w:t xml:space="preserve">Del mismo modo, en su caso, se suplirán las deficiencias u omisiones en la argumentación de los agravios, en atención lo establecido en la jurisprudencia </w:t>
      </w:r>
      <w:r w:rsidRPr="00F32542">
        <w:rPr>
          <w:rFonts w:ascii="Arial" w:eastAsia="Calibri" w:hAnsi="Arial" w:cs="Arial"/>
          <w:b/>
          <w:bCs/>
          <w:sz w:val="28"/>
          <w:szCs w:val="28"/>
        </w:rPr>
        <w:t>J.015/2002</w:t>
      </w:r>
      <w:r w:rsidRPr="00F32542">
        <w:rPr>
          <w:rFonts w:ascii="Arial" w:eastAsia="Calibri" w:hAnsi="Arial" w:cs="Arial"/>
          <w:bCs/>
          <w:sz w:val="28"/>
          <w:szCs w:val="28"/>
        </w:rPr>
        <w:t xml:space="preserve"> aprobada por el </w:t>
      </w:r>
      <w:r w:rsidRPr="00F32542">
        <w:rPr>
          <w:rFonts w:ascii="Arial" w:eastAsia="Calibri" w:hAnsi="Arial" w:cs="Arial"/>
          <w:bCs/>
          <w:i/>
          <w:iCs/>
          <w:sz w:val="28"/>
          <w:szCs w:val="28"/>
        </w:rPr>
        <w:t>Tribunal Electoral</w:t>
      </w:r>
      <w:r w:rsidRPr="00F32542">
        <w:rPr>
          <w:rFonts w:ascii="Arial" w:eastAsia="Calibri" w:hAnsi="Arial" w:cs="Arial"/>
          <w:bCs/>
          <w:sz w:val="28"/>
          <w:szCs w:val="28"/>
        </w:rPr>
        <w:t>, de rubro</w:t>
      </w:r>
      <w:r w:rsidRPr="00F32542">
        <w:rPr>
          <w:rFonts w:ascii="Arial" w:eastAsia="Calibri" w:hAnsi="Arial" w:cs="Arial"/>
          <w:b/>
          <w:bCs/>
          <w:sz w:val="28"/>
          <w:szCs w:val="28"/>
        </w:rPr>
        <w:t xml:space="preserve"> </w:t>
      </w:r>
      <w:r w:rsidRPr="00F32542">
        <w:rPr>
          <w:rFonts w:ascii="Arial" w:eastAsia="Calibri" w:hAnsi="Arial" w:cs="Arial"/>
          <w:bCs/>
          <w:sz w:val="28"/>
          <w:szCs w:val="28"/>
        </w:rPr>
        <w:t>“</w:t>
      </w:r>
      <w:r w:rsidRPr="00F32542">
        <w:rPr>
          <w:rFonts w:ascii="Arial" w:eastAsia="Calibri" w:hAnsi="Arial" w:cs="Arial"/>
          <w:b/>
          <w:bCs/>
          <w:iCs/>
          <w:sz w:val="28"/>
          <w:szCs w:val="28"/>
        </w:rPr>
        <w:t>SUPLENCIA DE LA DEFICIENCIA EN LA ARGUMENTACIÓN DE LOS AGRAVIOS. PROCEDE EN LOS MEDIOS DE IMPUGNACIÓN CUYA RESOLUCIÓN CORRESPONDA AL TRIBUNAL ELECTORAL DEL DISTRITO FEDERAL</w:t>
      </w:r>
      <w:r w:rsidRPr="00F32542">
        <w:rPr>
          <w:rFonts w:ascii="Arial" w:eastAsia="Calibri" w:hAnsi="Arial" w:cs="Arial"/>
          <w:bCs/>
          <w:sz w:val="28"/>
          <w:szCs w:val="28"/>
        </w:rPr>
        <w:t>”</w:t>
      </w:r>
      <w:r w:rsidRPr="00F32542">
        <w:rPr>
          <w:rFonts w:ascii="Arial" w:hAnsi="Arial" w:cs="Arial"/>
          <w:sz w:val="28"/>
          <w:szCs w:val="28"/>
          <w:vertAlign w:val="superscript"/>
        </w:rPr>
        <w:footnoteReference w:id="20"/>
      </w:r>
      <w:r w:rsidRPr="00F32542">
        <w:rPr>
          <w:rFonts w:ascii="Arial" w:eastAsia="Calibri" w:hAnsi="Arial" w:cs="Arial"/>
          <w:bCs/>
          <w:sz w:val="28"/>
          <w:szCs w:val="28"/>
        </w:rPr>
        <w:t xml:space="preserve">; y en el criterio de la </w:t>
      </w:r>
      <w:r w:rsidRPr="00F32542">
        <w:rPr>
          <w:rFonts w:ascii="Arial" w:eastAsia="Calibri" w:hAnsi="Arial" w:cs="Arial"/>
          <w:bCs/>
          <w:i/>
          <w:sz w:val="28"/>
          <w:szCs w:val="28"/>
        </w:rPr>
        <w:t>Sala Superior</w:t>
      </w:r>
      <w:r w:rsidRPr="00F32542">
        <w:rPr>
          <w:rFonts w:ascii="Arial" w:eastAsia="Calibri" w:hAnsi="Arial" w:cs="Arial"/>
          <w:bCs/>
          <w:iCs/>
          <w:sz w:val="28"/>
          <w:szCs w:val="28"/>
        </w:rPr>
        <w:t xml:space="preserve"> contenido</w:t>
      </w:r>
      <w:r w:rsidRPr="00F32542">
        <w:rPr>
          <w:rFonts w:ascii="Arial" w:eastAsia="Calibri" w:hAnsi="Arial" w:cs="Arial"/>
          <w:bCs/>
          <w:sz w:val="28"/>
          <w:szCs w:val="28"/>
        </w:rPr>
        <w:t xml:space="preserve"> en la jurisprudencia </w:t>
      </w:r>
      <w:r w:rsidRPr="00F32542">
        <w:rPr>
          <w:rFonts w:ascii="Arial" w:eastAsia="Calibri" w:hAnsi="Arial" w:cs="Arial"/>
          <w:b/>
          <w:bCs/>
          <w:sz w:val="28"/>
          <w:szCs w:val="28"/>
        </w:rPr>
        <w:t>4/99</w:t>
      </w:r>
      <w:r w:rsidRPr="00F32542">
        <w:rPr>
          <w:rFonts w:ascii="Arial" w:eastAsia="Calibri" w:hAnsi="Arial" w:cs="Arial"/>
          <w:bCs/>
          <w:sz w:val="28"/>
          <w:szCs w:val="28"/>
        </w:rPr>
        <w:t xml:space="preserve"> de rubro “</w:t>
      </w:r>
      <w:r w:rsidRPr="00F32542">
        <w:rPr>
          <w:rFonts w:ascii="Arial" w:eastAsia="Calibri" w:hAnsi="Arial" w:cs="Arial"/>
          <w:b/>
          <w:bCs/>
          <w:iCs/>
          <w:sz w:val="28"/>
          <w:szCs w:val="28"/>
        </w:rPr>
        <w:t>MEDIOS DE IMPUGNACIÓN EN MATERIA ELECTORAL. EL RESOLUTOR DEBE INTERPRETAR EL OCURSO QUE LOS CONTENGA PARA DETERMINAR LA VERDADERA INTENCIÓN DEL ACTOR</w:t>
      </w:r>
      <w:r w:rsidRPr="00F32542">
        <w:rPr>
          <w:rFonts w:ascii="Arial" w:eastAsia="Calibri" w:hAnsi="Arial" w:cs="Arial"/>
          <w:bCs/>
          <w:sz w:val="28"/>
          <w:szCs w:val="28"/>
        </w:rPr>
        <w:t>”</w:t>
      </w:r>
      <w:r w:rsidRPr="00F32542">
        <w:rPr>
          <w:rFonts w:ascii="Arial" w:eastAsia="Calibri" w:hAnsi="Arial" w:cs="Arial"/>
          <w:bCs/>
          <w:sz w:val="28"/>
          <w:szCs w:val="28"/>
          <w:vertAlign w:val="superscript"/>
        </w:rPr>
        <w:footnoteReference w:id="21"/>
      </w:r>
      <w:r w:rsidRPr="00F32542">
        <w:rPr>
          <w:rFonts w:ascii="Arial" w:eastAsia="Calibri" w:hAnsi="Arial" w:cs="Arial"/>
          <w:bCs/>
          <w:sz w:val="28"/>
          <w:szCs w:val="28"/>
        </w:rPr>
        <w:t>.</w:t>
      </w:r>
    </w:p>
    <w:p w14:paraId="7B6FEDBA" w14:textId="77777777" w:rsidR="001B7E4B" w:rsidRPr="00F32542" w:rsidRDefault="001B7E4B" w:rsidP="003D29D2">
      <w:pPr>
        <w:spacing w:after="0" w:line="360" w:lineRule="auto"/>
        <w:jc w:val="both"/>
        <w:rPr>
          <w:rFonts w:ascii="Arial" w:eastAsia="Calibri" w:hAnsi="Arial" w:cs="Arial"/>
          <w:bCs/>
          <w:sz w:val="28"/>
          <w:szCs w:val="28"/>
        </w:rPr>
      </w:pPr>
    </w:p>
    <w:p w14:paraId="0FFFE119" w14:textId="77777777" w:rsidR="00352D63" w:rsidRPr="00F32542" w:rsidRDefault="00352D63" w:rsidP="003D29D2">
      <w:pPr>
        <w:spacing w:after="0" w:line="360" w:lineRule="auto"/>
        <w:rPr>
          <w:rFonts w:ascii="Arial" w:eastAsia="Calibri" w:hAnsi="Arial" w:cs="Arial"/>
          <w:bCs/>
          <w:sz w:val="28"/>
          <w:szCs w:val="28"/>
        </w:rPr>
      </w:pPr>
      <w:r w:rsidRPr="00F32542">
        <w:rPr>
          <w:rFonts w:ascii="Arial" w:eastAsia="Calibri" w:hAnsi="Arial" w:cs="Arial"/>
          <w:b/>
          <w:sz w:val="28"/>
          <w:szCs w:val="28"/>
        </w:rPr>
        <w:t xml:space="preserve">2. </w:t>
      </w:r>
      <w:r w:rsidR="001B7E4B" w:rsidRPr="00F32542">
        <w:rPr>
          <w:rFonts w:ascii="Arial" w:eastAsia="Calibri" w:hAnsi="Arial" w:cs="Arial"/>
          <w:b/>
          <w:sz w:val="28"/>
          <w:szCs w:val="28"/>
        </w:rPr>
        <w:t xml:space="preserve">Escritos de </w:t>
      </w:r>
      <w:proofErr w:type="spellStart"/>
      <w:r w:rsidR="001B7E4B" w:rsidRPr="00F32542">
        <w:rPr>
          <w:rFonts w:ascii="Arial" w:eastAsia="Calibri" w:hAnsi="Arial" w:cs="Arial"/>
          <w:b/>
          <w:i/>
          <w:sz w:val="28"/>
          <w:szCs w:val="28"/>
        </w:rPr>
        <w:t>amicus</w:t>
      </w:r>
      <w:proofErr w:type="spellEnd"/>
      <w:r w:rsidR="001B7E4B" w:rsidRPr="00F32542">
        <w:rPr>
          <w:rFonts w:ascii="Arial" w:eastAsia="Calibri" w:hAnsi="Arial" w:cs="Arial"/>
          <w:b/>
          <w:i/>
          <w:sz w:val="28"/>
          <w:szCs w:val="28"/>
        </w:rPr>
        <w:t xml:space="preserve"> </w:t>
      </w:r>
      <w:proofErr w:type="spellStart"/>
      <w:r w:rsidR="001B7E4B" w:rsidRPr="00F32542">
        <w:rPr>
          <w:rFonts w:ascii="Arial" w:eastAsia="Calibri" w:hAnsi="Arial" w:cs="Arial"/>
          <w:b/>
          <w:i/>
          <w:sz w:val="28"/>
          <w:szCs w:val="28"/>
        </w:rPr>
        <w:t>curiae</w:t>
      </w:r>
      <w:proofErr w:type="spellEnd"/>
      <w:r w:rsidR="001B7E4B" w:rsidRPr="00F32542">
        <w:rPr>
          <w:rFonts w:ascii="Arial" w:eastAsia="Calibri" w:hAnsi="Arial" w:cs="Arial"/>
          <w:bCs/>
          <w:sz w:val="28"/>
          <w:szCs w:val="28"/>
        </w:rPr>
        <w:t xml:space="preserve">. </w:t>
      </w:r>
    </w:p>
    <w:p w14:paraId="666B3E8B" w14:textId="77777777" w:rsidR="00C279D9" w:rsidRPr="00F32542" w:rsidRDefault="00C279D9" w:rsidP="003D29D2">
      <w:pPr>
        <w:spacing w:after="0" w:line="360" w:lineRule="auto"/>
        <w:jc w:val="both"/>
        <w:rPr>
          <w:rFonts w:ascii="Arial" w:eastAsia="Calibri" w:hAnsi="Arial" w:cs="Arial"/>
          <w:bCs/>
          <w:sz w:val="28"/>
          <w:szCs w:val="28"/>
        </w:rPr>
      </w:pPr>
    </w:p>
    <w:p w14:paraId="3B4B38C2" w14:textId="77777777" w:rsidR="001B7E4B" w:rsidRPr="00F32542" w:rsidRDefault="001B7E4B" w:rsidP="003D29D2">
      <w:pPr>
        <w:spacing w:after="0" w:line="360" w:lineRule="auto"/>
        <w:jc w:val="both"/>
        <w:rPr>
          <w:rFonts w:ascii="Arial" w:eastAsia="Calibri" w:hAnsi="Arial" w:cs="Arial"/>
          <w:bCs/>
          <w:sz w:val="28"/>
          <w:szCs w:val="28"/>
        </w:rPr>
      </w:pPr>
      <w:r w:rsidRPr="00F32542">
        <w:rPr>
          <w:rFonts w:ascii="Arial" w:eastAsia="Calibri" w:hAnsi="Arial" w:cs="Arial"/>
          <w:bCs/>
          <w:sz w:val="28"/>
          <w:szCs w:val="28"/>
        </w:rPr>
        <w:t xml:space="preserve">El treinta de junio de dos mil veintiuno, en el expediente </w:t>
      </w:r>
      <w:r w:rsidRPr="00F32542">
        <w:rPr>
          <w:rFonts w:ascii="Arial" w:eastAsia="Calibri" w:hAnsi="Arial" w:cs="Arial"/>
          <w:b/>
          <w:sz w:val="28"/>
          <w:szCs w:val="28"/>
        </w:rPr>
        <w:t>TECDMX-JLDC-088/2021</w:t>
      </w:r>
      <w:r w:rsidRPr="00F32542">
        <w:rPr>
          <w:rFonts w:ascii="Arial" w:eastAsia="Calibri" w:hAnsi="Arial" w:cs="Arial"/>
          <w:bCs/>
          <w:sz w:val="28"/>
          <w:szCs w:val="28"/>
        </w:rPr>
        <w:t xml:space="preserve">, y el veintiocho de junio del presente año, en el expediente </w:t>
      </w:r>
      <w:r w:rsidRPr="00F32542">
        <w:rPr>
          <w:rFonts w:ascii="Arial" w:eastAsia="Calibri" w:hAnsi="Arial" w:cs="Arial"/>
          <w:b/>
          <w:sz w:val="28"/>
          <w:szCs w:val="28"/>
        </w:rPr>
        <w:t>TECDMX-JLDC-097/2021</w:t>
      </w:r>
      <w:r w:rsidRPr="00F32542">
        <w:rPr>
          <w:rFonts w:ascii="Arial" w:eastAsia="Calibri" w:hAnsi="Arial" w:cs="Arial"/>
          <w:bCs/>
          <w:sz w:val="28"/>
          <w:szCs w:val="28"/>
        </w:rPr>
        <w:t xml:space="preserve">, Jesús Carmona Garibay —en su calidad de militante del Partido MORENA— y Amado Jonathan Hernández </w:t>
      </w:r>
      <w:proofErr w:type="spellStart"/>
      <w:r w:rsidRPr="00F32542">
        <w:rPr>
          <w:rFonts w:ascii="Arial" w:eastAsia="Calibri" w:hAnsi="Arial" w:cs="Arial"/>
          <w:bCs/>
          <w:sz w:val="28"/>
          <w:szCs w:val="28"/>
        </w:rPr>
        <w:t>Hernández</w:t>
      </w:r>
      <w:proofErr w:type="spellEnd"/>
      <w:r w:rsidRPr="00F32542">
        <w:rPr>
          <w:rFonts w:ascii="Arial" w:eastAsia="Calibri" w:hAnsi="Arial" w:cs="Arial"/>
          <w:bCs/>
          <w:sz w:val="28"/>
          <w:szCs w:val="28"/>
        </w:rPr>
        <w:t xml:space="preserve"> —quien se ostentó como </w:t>
      </w:r>
      <w:proofErr w:type="gramStart"/>
      <w:r w:rsidRPr="00F32542">
        <w:rPr>
          <w:rFonts w:ascii="Arial" w:eastAsia="Calibri" w:hAnsi="Arial" w:cs="Arial"/>
          <w:bCs/>
          <w:sz w:val="28"/>
          <w:szCs w:val="28"/>
        </w:rPr>
        <w:t>Director</w:t>
      </w:r>
      <w:proofErr w:type="gramEnd"/>
      <w:r w:rsidRPr="00F32542">
        <w:rPr>
          <w:rFonts w:ascii="Arial" w:eastAsia="Calibri" w:hAnsi="Arial" w:cs="Arial"/>
          <w:bCs/>
          <w:sz w:val="28"/>
          <w:szCs w:val="28"/>
        </w:rPr>
        <w:t xml:space="preserve"> del Centro de Investigación, Diversidad e Incidencia—, respectivamente, presentaron ante este órgano jurisdiccional escritos que denominaron “</w:t>
      </w:r>
      <w:proofErr w:type="spellStart"/>
      <w:r w:rsidRPr="00F32542">
        <w:rPr>
          <w:rFonts w:ascii="Arial" w:eastAsia="Calibri" w:hAnsi="Arial" w:cs="Arial"/>
          <w:bCs/>
          <w:i/>
          <w:iCs/>
          <w:sz w:val="28"/>
          <w:szCs w:val="28"/>
        </w:rPr>
        <w:t>Amicus</w:t>
      </w:r>
      <w:proofErr w:type="spellEnd"/>
      <w:r w:rsidRPr="00F32542">
        <w:rPr>
          <w:rFonts w:ascii="Arial" w:eastAsia="Calibri" w:hAnsi="Arial" w:cs="Arial"/>
          <w:bCs/>
          <w:i/>
          <w:iCs/>
          <w:sz w:val="28"/>
          <w:szCs w:val="28"/>
        </w:rPr>
        <w:t xml:space="preserve"> </w:t>
      </w:r>
      <w:proofErr w:type="spellStart"/>
      <w:r w:rsidRPr="00F32542">
        <w:rPr>
          <w:rFonts w:ascii="Arial" w:eastAsia="Calibri" w:hAnsi="Arial" w:cs="Arial"/>
          <w:bCs/>
          <w:i/>
          <w:iCs/>
          <w:sz w:val="28"/>
          <w:szCs w:val="28"/>
        </w:rPr>
        <w:t>Curiae</w:t>
      </w:r>
      <w:proofErr w:type="spellEnd"/>
      <w:r w:rsidRPr="00F32542">
        <w:rPr>
          <w:rFonts w:ascii="Arial" w:eastAsia="Calibri" w:hAnsi="Arial" w:cs="Arial"/>
          <w:bCs/>
          <w:sz w:val="28"/>
          <w:szCs w:val="28"/>
        </w:rPr>
        <w:t>”.</w:t>
      </w:r>
    </w:p>
    <w:p w14:paraId="4FCD3148" w14:textId="77777777" w:rsidR="001B7E4B" w:rsidRPr="00F32542" w:rsidRDefault="001B7E4B" w:rsidP="003D29D2">
      <w:pPr>
        <w:spacing w:after="0" w:line="360" w:lineRule="auto"/>
        <w:jc w:val="both"/>
        <w:rPr>
          <w:rFonts w:ascii="Arial" w:eastAsia="Calibri" w:hAnsi="Arial" w:cs="Arial"/>
          <w:bCs/>
          <w:sz w:val="28"/>
          <w:szCs w:val="28"/>
        </w:rPr>
      </w:pPr>
    </w:p>
    <w:p w14:paraId="0DE889F3" w14:textId="77777777" w:rsidR="001B7E4B" w:rsidRPr="00F32542" w:rsidRDefault="001B7E4B" w:rsidP="003D29D2">
      <w:pPr>
        <w:spacing w:after="0" w:line="360" w:lineRule="auto"/>
        <w:jc w:val="both"/>
        <w:rPr>
          <w:rFonts w:ascii="Arial" w:eastAsia="Calibri" w:hAnsi="Arial" w:cs="Arial"/>
          <w:bCs/>
          <w:sz w:val="28"/>
          <w:szCs w:val="28"/>
        </w:rPr>
      </w:pPr>
      <w:r w:rsidRPr="00F32542">
        <w:rPr>
          <w:rFonts w:ascii="Arial" w:eastAsia="Calibri" w:hAnsi="Arial" w:cs="Arial"/>
          <w:bCs/>
          <w:sz w:val="28"/>
          <w:szCs w:val="28"/>
        </w:rPr>
        <w:t xml:space="preserve">Sobre el particular, las referidas personas sustentan su comparecencia con el carácter de </w:t>
      </w:r>
      <w:proofErr w:type="spellStart"/>
      <w:r w:rsidRPr="00F32542">
        <w:rPr>
          <w:rFonts w:ascii="Arial" w:eastAsia="Calibri" w:hAnsi="Arial" w:cs="Arial"/>
          <w:bCs/>
          <w:i/>
          <w:iCs/>
          <w:sz w:val="28"/>
          <w:szCs w:val="28"/>
        </w:rPr>
        <w:t>amicus</w:t>
      </w:r>
      <w:proofErr w:type="spellEnd"/>
      <w:r w:rsidRPr="00F32542">
        <w:rPr>
          <w:rFonts w:ascii="Arial" w:eastAsia="Calibri" w:hAnsi="Arial" w:cs="Arial"/>
          <w:bCs/>
          <w:i/>
          <w:iCs/>
          <w:sz w:val="28"/>
          <w:szCs w:val="28"/>
        </w:rPr>
        <w:t xml:space="preserve"> </w:t>
      </w:r>
      <w:proofErr w:type="spellStart"/>
      <w:r w:rsidRPr="00F32542">
        <w:rPr>
          <w:rFonts w:ascii="Arial" w:eastAsia="Calibri" w:hAnsi="Arial" w:cs="Arial"/>
          <w:bCs/>
          <w:i/>
          <w:iCs/>
          <w:sz w:val="28"/>
          <w:szCs w:val="28"/>
        </w:rPr>
        <w:t>curiae</w:t>
      </w:r>
      <w:proofErr w:type="spellEnd"/>
      <w:r w:rsidRPr="00F32542">
        <w:rPr>
          <w:rFonts w:ascii="Arial" w:eastAsia="Calibri" w:hAnsi="Arial" w:cs="Arial"/>
          <w:bCs/>
          <w:sz w:val="28"/>
          <w:szCs w:val="28"/>
        </w:rPr>
        <w:t xml:space="preserve"> en las siguientes razones:</w:t>
      </w:r>
    </w:p>
    <w:p w14:paraId="2D00ED3F" w14:textId="77777777" w:rsidR="001B7E4B" w:rsidRPr="00F32542" w:rsidRDefault="001B7E4B" w:rsidP="003D29D2">
      <w:pPr>
        <w:spacing w:after="0" w:line="360" w:lineRule="auto"/>
        <w:jc w:val="both"/>
        <w:rPr>
          <w:rFonts w:ascii="Arial" w:eastAsia="Calibri" w:hAnsi="Arial" w:cs="Arial"/>
          <w:bCs/>
          <w:sz w:val="28"/>
          <w:szCs w:val="28"/>
        </w:rPr>
      </w:pPr>
    </w:p>
    <w:p w14:paraId="179A45AF" w14:textId="77777777" w:rsidR="001B7E4B" w:rsidRPr="00F32542" w:rsidRDefault="001B7E4B" w:rsidP="003D29D2">
      <w:pPr>
        <w:spacing w:after="0" w:line="360" w:lineRule="auto"/>
        <w:jc w:val="both"/>
        <w:rPr>
          <w:rFonts w:ascii="Arial" w:eastAsia="Calibri" w:hAnsi="Arial" w:cs="Arial"/>
          <w:bCs/>
          <w:sz w:val="28"/>
          <w:szCs w:val="28"/>
        </w:rPr>
      </w:pPr>
      <w:r w:rsidRPr="00F32542">
        <w:rPr>
          <w:rFonts w:ascii="Arial" w:eastAsia="Calibri" w:hAnsi="Arial" w:cs="Arial"/>
          <w:b/>
          <w:sz w:val="28"/>
          <w:szCs w:val="28"/>
        </w:rPr>
        <w:t>a) TECDMX-JLDC-088/2021 (promovido por Mucio Israel Hernández Guerrero).</w:t>
      </w:r>
    </w:p>
    <w:p w14:paraId="146FFC1B" w14:textId="77777777" w:rsidR="001B7E4B" w:rsidRPr="00F32542" w:rsidRDefault="001B7E4B" w:rsidP="003D29D2">
      <w:pPr>
        <w:spacing w:after="0" w:line="360" w:lineRule="auto"/>
        <w:jc w:val="both"/>
        <w:rPr>
          <w:rFonts w:ascii="Arial" w:eastAsia="Calibri" w:hAnsi="Arial" w:cs="Arial"/>
          <w:bCs/>
          <w:sz w:val="28"/>
          <w:szCs w:val="28"/>
        </w:rPr>
      </w:pPr>
    </w:p>
    <w:p w14:paraId="27274DC2" w14:textId="77777777" w:rsidR="001B7E4B" w:rsidRPr="00F32542" w:rsidRDefault="001B7E4B" w:rsidP="003D29D2">
      <w:pPr>
        <w:pStyle w:val="Prrafodelista"/>
        <w:numPr>
          <w:ilvl w:val="0"/>
          <w:numId w:val="3"/>
        </w:numPr>
        <w:spacing w:line="360" w:lineRule="auto"/>
        <w:ind w:left="630" w:hanging="540"/>
        <w:rPr>
          <w:rFonts w:ascii="Arial" w:eastAsia="Calibri" w:hAnsi="Arial" w:cs="Arial"/>
          <w:bCs/>
          <w:szCs w:val="28"/>
        </w:rPr>
      </w:pPr>
      <w:r w:rsidRPr="00F32542">
        <w:rPr>
          <w:rFonts w:ascii="Arial" w:hAnsi="Arial" w:cs="Arial"/>
          <w:bCs/>
          <w:szCs w:val="28"/>
        </w:rPr>
        <w:t>Jesús Carmona Garibay menciona que se ha dedicado a estudiar los procesos internos de selección de candidaturas organizados por MORENA, con el objeto de detectar áreas de oportunidad e impulsar reformas al estatuto de dicho instituto político.</w:t>
      </w:r>
    </w:p>
    <w:p w14:paraId="29DEDCED" w14:textId="77777777" w:rsidR="001B7E4B" w:rsidRPr="00F32542" w:rsidRDefault="001B7E4B" w:rsidP="003D29D2">
      <w:pPr>
        <w:pStyle w:val="Prrafodelista"/>
        <w:spacing w:line="360" w:lineRule="auto"/>
        <w:ind w:left="630"/>
        <w:rPr>
          <w:rFonts w:ascii="Arial" w:eastAsia="Calibri" w:hAnsi="Arial" w:cs="Arial"/>
          <w:bCs/>
          <w:szCs w:val="28"/>
        </w:rPr>
      </w:pPr>
    </w:p>
    <w:p w14:paraId="65CE3495" w14:textId="77777777" w:rsidR="001B7E4B" w:rsidRPr="00F32542" w:rsidRDefault="001B7E4B" w:rsidP="003D29D2">
      <w:pPr>
        <w:pStyle w:val="Prrafodelista"/>
        <w:numPr>
          <w:ilvl w:val="0"/>
          <w:numId w:val="3"/>
        </w:numPr>
        <w:spacing w:line="360" w:lineRule="auto"/>
        <w:ind w:left="630" w:hanging="540"/>
        <w:rPr>
          <w:rFonts w:ascii="Arial" w:eastAsia="Calibri" w:hAnsi="Arial" w:cs="Arial"/>
          <w:bCs/>
          <w:szCs w:val="28"/>
        </w:rPr>
      </w:pPr>
      <w:r w:rsidRPr="00F32542">
        <w:rPr>
          <w:rFonts w:ascii="Arial" w:eastAsia="Calibri" w:hAnsi="Arial" w:cs="Arial"/>
          <w:bCs/>
          <w:szCs w:val="28"/>
        </w:rPr>
        <w:t xml:space="preserve">Dado que el quince de marzo del año en curso se publicó, en la sede partidaria, la relación de personas que competirían para ocupar una diputación al Congreso de la Ciudad de México por el principio de representación proporcional en el Proceso Electoral Local Ordinario 2020-2021, la parte compareciente considera que la demanda que dio origen al Juicio de la Ciudadanía </w:t>
      </w:r>
      <w:r w:rsidRPr="00F32542">
        <w:rPr>
          <w:rFonts w:ascii="Arial" w:eastAsia="Calibri" w:hAnsi="Arial" w:cs="Arial"/>
          <w:b/>
          <w:szCs w:val="28"/>
        </w:rPr>
        <w:t>TECDMX-JLDC-088/2021</w:t>
      </w:r>
      <w:r w:rsidRPr="00F32542">
        <w:rPr>
          <w:rFonts w:ascii="Arial" w:eastAsia="Calibri" w:hAnsi="Arial" w:cs="Arial"/>
          <w:bCs/>
          <w:szCs w:val="28"/>
        </w:rPr>
        <w:t xml:space="preserve"> debe desecharse, al actualizarse las causales de improcedencia relativas a la presentación extemporánea del medio de impugnación, y a que el acto impugnado se ha consumado de un modo irreparable.</w:t>
      </w:r>
    </w:p>
    <w:p w14:paraId="32C412B8" w14:textId="77777777" w:rsidR="001B7E4B" w:rsidRPr="00F32542" w:rsidRDefault="001B7E4B" w:rsidP="003D29D2">
      <w:pPr>
        <w:pStyle w:val="Prrafodelista"/>
        <w:spacing w:line="360" w:lineRule="auto"/>
        <w:rPr>
          <w:rFonts w:ascii="Arial" w:eastAsia="Calibri" w:hAnsi="Arial" w:cs="Arial"/>
          <w:bCs/>
          <w:szCs w:val="28"/>
        </w:rPr>
      </w:pPr>
    </w:p>
    <w:p w14:paraId="270EE779" w14:textId="77777777" w:rsidR="001B7E4B" w:rsidRPr="00F32542" w:rsidRDefault="001B7E4B" w:rsidP="003D29D2">
      <w:pPr>
        <w:pStyle w:val="Prrafodelista"/>
        <w:numPr>
          <w:ilvl w:val="0"/>
          <w:numId w:val="3"/>
        </w:numPr>
        <w:spacing w:line="360" w:lineRule="auto"/>
        <w:ind w:left="630" w:hanging="540"/>
        <w:rPr>
          <w:rFonts w:ascii="Arial" w:eastAsia="Calibri" w:hAnsi="Arial" w:cs="Arial"/>
          <w:bCs/>
          <w:szCs w:val="28"/>
        </w:rPr>
      </w:pPr>
      <w:r w:rsidRPr="00F32542">
        <w:rPr>
          <w:rFonts w:ascii="Arial" w:eastAsia="Calibri" w:hAnsi="Arial" w:cs="Arial"/>
          <w:bCs/>
          <w:szCs w:val="28"/>
        </w:rPr>
        <w:t xml:space="preserve">Lo anterior, con independencia de que la </w:t>
      </w:r>
      <w:r w:rsidRPr="00F32542">
        <w:rPr>
          <w:rFonts w:ascii="Arial" w:eastAsia="Calibri" w:hAnsi="Arial" w:cs="Arial"/>
          <w:bCs/>
          <w:i/>
          <w:iCs/>
          <w:szCs w:val="28"/>
        </w:rPr>
        <w:t>parte actora</w:t>
      </w:r>
      <w:r w:rsidRPr="00F32542">
        <w:rPr>
          <w:rFonts w:ascii="Arial" w:eastAsia="Calibri" w:hAnsi="Arial" w:cs="Arial"/>
          <w:bCs/>
          <w:szCs w:val="28"/>
        </w:rPr>
        <w:t xml:space="preserve"> controvierta el </w:t>
      </w:r>
      <w:r w:rsidRPr="00F32542">
        <w:rPr>
          <w:rFonts w:ascii="Arial" w:eastAsia="Calibri" w:hAnsi="Arial" w:cs="Arial"/>
          <w:b/>
          <w:bCs/>
          <w:szCs w:val="28"/>
        </w:rPr>
        <w:t>Acuerdo IECM/ACU-CG-324/2021</w:t>
      </w:r>
      <w:r w:rsidRPr="00F32542">
        <w:rPr>
          <w:rFonts w:ascii="Arial" w:eastAsia="Calibri" w:hAnsi="Arial" w:cs="Arial"/>
          <w:szCs w:val="28"/>
        </w:rPr>
        <w:t xml:space="preserve">, ya que su intención final está dirigida a combatir actos realizados en la </w:t>
      </w:r>
      <w:r w:rsidRPr="00F32542">
        <w:rPr>
          <w:rFonts w:ascii="Arial" w:eastAsia="Calibri" w:hAnsi="Arial" w:cs="Arial"/>
          <w:szCs w:val="28"/>
        </w:rPr>
        <w:lastRenderedPageBreak/>
        <w:t>etapa de preparación de la elección, aunado a que la jornada electoral ya fue celebrada.</w:t>
      </w:r>
    </w:p>
    <w:p w14:paraId="01D2E381" w14:textId="77777777" w:rsidR="001B7E4B" w:rsidRPr="00F32542" w:rsidRDefault="001B7E4B" w:rsidP="003D29D2">
      <w:pPr>
        <w:pStyle w:val="Prrafodelista"/>
        <w:spacing w:line="360" w:lineRule="auto"/>
        <w:rPr>
          <w:rFonts w:ascii="Arial" w:eastAsia="Calibri" w:hAnsi="Arial" w:cs="Arial"/>
          <w:bCs/>
          <w:szCs w:val="28"/>
        </w:rPr>
      </w:pPr>
    </w:p>
    <w:p w14:paraId="126E777A" w14:textId="77777777" w:rsidR="001B7E4B" w:rsidRPr="00F32542" w:rsidRDefault="001B7E4B" w:rsidP="003D29D2">
      <w:pPr>
        <w:pStyle w:val="Prrafodelista"/>
        <w:numPr>
          <w:ilvl w:val="0"/>
          <w:numId w:val="3"/>
        </w:numPr>
        <w:spacing w:line="360" w:lineRule="auto"/>
        <w:ind w:left="630" w:hanging="540"/>
        <w:rPr>
          <w:rFonts w:ascii="Arial" w:eastAsia="Calibri" w:hAnsi="Arial" w:cs="Arial"/>
          <w:bCs/>
          <w:szCs w:val="28"/>
        </w:rPr>
      </w:pPr>
      <w:r w:rsidRPr="00F32542">
        <w:rPr>
          <w:rFonts w:ascii="Arial" w:eastAsia="Calibri" w:hAnsi="Arial" w:cs="Arial"/>
          <w:bCs/>
          <w:szCs w:val="28"/>
        </w:rPr>
        <w:t xml:space="preserve">Según lo expuesto por Jesús Carmona Garibay, en el caso concreto resulta aplicable la jurisprudencia </w:t>
      </w:r>
      <w:r w:rsidRPr="00F32542">
        <w:rPr>
          <w:rFonts w:ascii="Arial" w:eastAsia="Calibri" w:hAnsi="Arial" w:cs="Arial"/>
          <w:b/>
          <w:szCs w:val="28"/>
        </w:rPr>
        <w:t>7/2004</w:t>
      </w:r>
      <w:r w:rsidRPr="00F32542">
        <w:rPr>
          <w:rFonts w:ascii="Arial" w:eastAsia="Calibri" w:hAnsi="Arial" w:cs="Arial"/>
          <w:bCs/>
          <w:szCs w:val="28"/>
        </w:rPr>
        <w:t xml:space="preserve"> de la </w:t>
      </w:r>
      <w:r w:rsidRPr="00F32542">
        <w:rPr>
          <w:rFonts w:ascii="Arial" w:eastAsia="Calibri" w:hAnsi="Arial" w:cs="Arial"/>
          <w:bCs/>
          <w:i/>
          <w:iCs/>
          <w:szCs w:val="28"/>
        </w:rPr>
        <w:t>Sala Superior</w:t>
      </w:r>
      <w:r w:rsidRPr="00F32542">
        <w:rPr>
          <w:rFonts w:ascii="Arial" w:eastAsia="Calibri" w:hAnsi="Arial" w:cs="Arial"/>
          <w:bCs/>
          <w:szCs w:val="28"/>
        </w:rPr>
        <w:t xml:space="preserve"> de rubro “</w:t>
      </w:r>
      <w:r w:rsidRPr="00F32542">
        <w:rPr>
          <w:rFonts w:ascii="Arial" w:eastAsia="Calibri" w:hAnsi="Arial" w:cs="Arial"/>
          <w:b/>
          <w:bCs/>
          <w:i/>
          <w:iCs/>
          <w:szCs w:val="28"/>
        </w:rPr>
        <w:t>ELEGIBILIDAD. LOS MOMENTOS PARA SU IMPUGNACIÓN NO IMPLICAN DOBLE OPORTUNIDAD PARA CONTROVERTIRLA POR LAS MISMAS CAUSAS</w:t>
      </w:r>
      <w:r w:rsidRPr="00F32542">
        <w:rPr>
          <w:rFonts w:ascii="Arial" w:eastAsia="Calibri" w:hAnsi="Arial" w:cs="Arial"/>
          <w:szCs w:val="28"/>
        </w:rPr>
        <w:t>”</w:t>
      </w:r>
      <w:r w:rsidRPr="00F32542">
        <w:rPr>
          <w:rFonts w:ascii="Arial" w:hAnsi="Arial" w:cs="Arial"/>
          <w:bCs/>
          <w:szCs w:val="28"/>
          <w:vertAlign w:val="superscript"/>
        </w:rPr>
        <w:t xml:space="preserve"> </w:t>
      </w:r>
      <w:r w:rsidRPr="00F32542">
        <w:rPr>
          <w:rFonts w:ascii="Arial" w:hAnsi="Arial" w:cs="Arial"/>
          <w:szCs w:val="28"/>
          <w:vertAlign w:val="superscript"/>
        </w:rPr>
        <w:footnoteReference w:id="22"/>
      </w:r>
      <w:r w:rsidRPr="00F32542">
        <w:rPr>
          <w:rFonts w:ascii="Arial" w:eastAsia="Calibri" w:hAnsi="Arial" w:cs="Arial"/>
          <w:szCs w:val="28"/>
        </w:rPr>
        <w:t xml:space="preserve">, en la que se establece la prohibición de impugnar la ilegibilidad de las candidaturas en dos momentos distintos; ello, porque </w:t>
      </w:r>
      <w:r w:rsidRPr="00F32542">
        <w:rPr>
          <w:rFonts w:ascii="Arial" w:eastAsia="Calibri" w:hAnsi="Arial" w:cs="Arial"/>
          <w:bCs/>
          <w:szCs w:val="28"/>
        </w:rPr>
        <w:t xml:space="preserve">la </w:t>
      </w:r>
      <w:r w:rsidRPr="00F32542">
        <w:rPr>
          <w:rFonts w:ascii="Arial" w:eastAsia="Calibri" w:hAnsi="Arial" w:cs="Arial"/>
          <w:bCs/>
          <w:i/>
          <w:iCs/>
          <w:szCs w:val="28"/>
        </w:rPr>
        <w:t>parte actora</w:t>
      </w:r>
      <w:r w:rsidRPr="00F32542">
        <w:rPr>
          <w:rFonts w:ascii="Arial" w:eastAsia="Calibri" w:hAnsi="Arial" w:cs="Arial"/>
          <w:bCs/>
          <w:szCs w:val="28"/>
        </w:rPr>
        <w:t xml:space="preserve"> promovió el Juicio de la Ciudadanía </w:t>
      </w:r>
      <w:r w:rsidRPr="00F32542">
        <w:rPr>
          <w:rFonts w:ascii="Arial" w:eastAsia="Calibri" w:hAnsi="Arial" w:cs="Arial"/>
          <w:b/>
          <w:szCs w:val="28"/>
        </w:rPr>
        <w:t>TECDMX-JLDC-063/2021</w:t>
      </w:r>
      <w:r w:rsidRPr="00F32542">
        <w:rPr>
          <w:rFonts w:ascii="Arial" w:eastAsia="Calibri" w:hAnsi="Arial" w:cs="Arial"/>
          <w:bCs/>
          <w:szCs w:val="28"/>
        </w:rPr>
        <w:t>, resuelto por este órgano jurisdiccional el trece de mayo de dos mil veintiuno, y en el que aquélla también alegó la inelegibilidad de José Martín Padilla Sánchez.</w:t>
      </w:r>
    </w:p>
    <w:p w14:paraId="32EA2BDC" w14:textId="77777777" w:rsidR="001B7E4B" w:rsidRPr="00F32542" w:rsidRDefault="001B7E4B" w:rsidP="003D29D2">
      <w:pPr>
        <w:pStyle w:val="Prrafodelista"/>
        <w:spacing w:line="360" w:lineRule="auto"/>
        <w:rPr>
          <w:rFonts w:ascii="Arial" w:hAnsi="Arial" w:cs="Arial"/>
          <w:bCs/>
          <w:szCs w:val="28"/>
        </w:rPr>
      </w:pPr>
    </w:p>
    <w:p w14:paraId="5CA16BAA" w14:textId="77777777" w:rsidR="001B7E4B" w:rsidRPr="00F32542" w:rsidRDefault="001B7E4B" w:rsidP="003D29D2">
      <w:pPr>
        <w:pStyle w:val="Prrafodelista"/>
        <w:numPr>
          <w:ilvl w:val="0"/>
          <w:numId w:val="3"/>
        </w:numPr>
        <w:spacing w:line="360" w:lineRule="auto"/>
        <w:ind w:left="630" w:hanging="540"/>
        <w:rPr>
          <w:rFonts w:ascii="Arial" w:eastAsia="Calibri" w:hAnsi="Arial" w:cs="Arial"/>
          <w:bCs/>
          <w:szCs w:val="28"/>
        </w:rPr>
      </w:pPr>
      <w:r w:rsidRPr="00F32542">
        <w:rPr>
          <w:rFonts w:ascii="Arial" w:hAnsi="Arial" w:cs="Arial"/>
          <w:bCs/>
          <w:szCs w:val="28"/>
        </w:rPr>
        <w:t xml:space="preserve">Desde esa perspectiva, los motivos de disenso hechos valer por la </w:t>
      </w:r>
      <w:r w:rsidRPr="00F32542">
        <w:rPr>
          <w:rFonts w:ascii="Arial" w:hAnsi="Arial" w:cs="Arial"/>
          <w:bCs/>
          <w:i/>
          <w:iCs/>
          <w:szCs w:val="28"/>
        </w:rPr>
        <w:t>parte actora</w:t>
      </w:r>
      <w:r w:rsidRPr="00F32542">
        <w:rPr>
          <w:rFonts w:ascii="Arial" w:hAnsi="Arial" w:cs="Arial"/>
          <w:bCs/>
          <w:szCs w:val="28"/>
        </w:rPr>
        <w:t xml:space="preserve"> son inoperantes, al no confrontar de manera directa el acto impugnado.</w:t>
      </w:r>
    </w:p>
    <w:p w14:paraId="37AC434F" w14:textId="77777777" w:rsidR="001B7E4B" w:rsidRPr="00F32542" w:rsidRDefault="001B7E4B" w:rsidP="003D29D2">
      <w:pPr>
        <w:pStyle w:val="Prrafodelista"/>
        <w:spacing w:line="360" w:lineRule="auto"/>
        <w:rPr>
          <w:rFonts w:ascii="Arial" w:hAnsi="Arial" w:cs="Arial"/>
          <w:bCs/>
          <w:szCs w:val="28"/>
        </w:rPr>
      </w:pPr>
    </w:p>
    <w:p w14:paraId="669EEC6A" w14:textId="77777777" w:rsidR="001B7E4B" w:rsidRPr="00F32542" w:rsidRDefault="001B7E4B" w:rsidP="003D29D2">
      <w:pPr>
        <w:pStyle w:val="Prrafodelista"/>
        <w:numPr>
          <w:ilvl w:val="0"/>
          <w:numId w:val="3"/>
        </w:numPr>
        <w:spacing w:line="360" w:lineRule="auto"/>
        <w:ind w:left="630" w:hanging="540"/>
        <w:rPr>
          <w:rFonts w:ascii="Arial" w:eastAsia="Calibri" w:hAnsi="Arial" w:cs="Arial"/>
          <w:bCs/>
          <w:szCs w:val="28"/>
        </w:rPr>
      </w:pPr>
      <w:r w:rsidRPr="00F32542">
        <w:rPr>
          <w:rFonts w:ascii="Arial" w:hAnsi="Arial" w:cs="Arial"/>
          <w:bCs/>
          <w:szCs w:val="28"/>
        </w:rPr>
        <w:t xml:space="preserve">Finalmente, Jesús Carmona Garibay afirma que la </w:t>
      </w:r>
      <w:r w:rsidRPr="00F32542">
        <w:rPr>
          <w:rFonts w:ascii="Arial" w:hAnsi="Arial" w:cs="Arial"/>
          <w:bCs/>
          <w:i/>
          <w:iCs/>
          <w:szCs w:val="28"/>
        </w:rPr>
        <w:t>parte actora</w:t>
      </w:r>
      <w:r w:rsidRPr="00F32542">
        <w:rPr>
          <w:rFonts w:ascii="Arial" w:hAnsi="Arial" w:cs="Arial"/>
          <w:bCs/>
          <w:szCs w:val="28"/>
        </w:rPr>
        <w:t xml:space="preserve"> no controvierte un requisito de elegibilidad en el presente medio de impugnación, sino la vulneración a un requisito establecido en los Estatutos de MORENA; en particular, el contenido en el artículo 13 de ese ordenamiento, en el que se prevé que “</w:t>
      </w:r>
      <w:r w:rsidRPr="00F32542">
        <w:rPr>
          <w:rFonts w:ascii="Arial" w:hAnsi="Arial" w:cs="Arial"/>
          <w:bCs/>
          <w:i/>
          <w:iCs/>
          <w:szCs w:val="28"/>
        </w:rPr>
        <w:t>si el origen de un cargo de legislador es la vía plurinominal, no podrá postularse por la misma vía a ningún otro cargo de manera consecutiva</w:t>
      </w:r>
      <w:r w:rsidRPr="00F32542">
        <w:rPr>
          <w:rFonts w:ascii="Arial" w:hAnsi="Arial" w:cs="Arial"/>
          <w:bCs/>
          <w:szCs w:val="28"/>
        </w:rPr>
        <w:t>”.</w:t>
      </w:r>
    </w:p>
    <w:p w14:paraId="79E0799E" w14:textId="77777777" w:rsidR="001B7E4B" w:rsidRPr="00F32542" w:rsidRDefault="001B7E4B" w:rsidP="003D29D2">
      <w:pPr>
        <w:pStyle w:val="Prrafodelista"/>
        <w:spacing w:line="360" w:lineRule="auto"/>
        <w:rPr>
          <w:rFonts w:ascii="Arial" w:eastAsia="Calibri" w:hAnsi="Arial" w:cs="Arial"/>
          <w:bCs/>
          <w:szCs w:val="28"/>
        </w:rPr>
      </w:pPr>
    </w:p>
    <w:p w14:paraId="33A69DCE" w14:textId="77777777" w:rsidR="001B7E4B" w:rsidRPr="00F32542" w:rsidRDefault="001B7E4B" w:rsidP="003D29D2">
      <w:pPr>
        <w:pStyle w:val="Prrafodelista"/>
        <w:spacing w:line="360" w:lineRule="auto"/>
        <w:ind w:left="720"/>
        <w:rPr>
          <w:rFonts w:ascii="Arial" w:eastAsia="Calibri" w:hAnsi="Arial" w:cs="Arial"/>
          <w:bCs/>
          <w:szCs w:val="28"/>
        </w:rPr>
      </w:pPr>
      <w:r w:rsidRPr="00F32542">
        <w:rPr>
          <w:rFonts w:ascii="Arial" w:eastAsia="Calibri" w:hAnsi="Arial" w:cs="Arial"/>
          <w:bCs/>
          <w:szCs w:val="28"/>
        </w:rPr>
        <w:lastRenderedPageBreak/>
        <w:t xml:space="preserve">El cual, en opinión de la parte compareciente, es inconstitucional e </w:t>
      </w:r>
      <w:proofErr w:type="spellStart"/>
      <w:r w:rsidRPr="00F32542">
        <w:rPr>
          <w:rFonts w:ascii="Arial" w:eastAsia="Calibri" w:hAnsi="Arial" w:cs="Arial"/>
          <w:bCs/>
          <w:szCs w:val="28"/>
        </w:rPr>
        <w:t>inconvencional</w:t>
      </w:r>
      <w:proofErr w:type="spellEnd"/>
      <w:r w:rsidRPr="00F32542">
        <w:rPr>
          <w:rFonts w:ascii="Arial" w:eastAsia="Calibri" w:hAnsi="Arial" w:cs="Arial"/>
          <w:bCs/>
          <w:szCs w:val="28"/>
        </w:rPr>
        <w:t xml:space="preserve">, ya que prohíbe la reelección de las personas diputadas electas por el principio de representación proporcional, pese a que esto último está permitido en la </w:t>
      </w:r>
      <w:r w:rsidRPr="00F32542">
        <w:rPr>
          <w:rFonts w:ascii="Arial" w:eastAsia="Calibri" w:hAnsi="Arial" w:cs="Arial"/>
          <w:bCs/>
          <w:i/>
          <w:iCs/>
          <w:szCs w:val="28"/>
        </w:rPr>
        <w:t>Constitución Federal</w:t>
      </w:r>
      <w:r w:rsidRPr="00F32542">
        <w:rPr>
          <w:rFonts w:ascii="Arial" w:eastAsia="Calibri" w:hAnsi="Arial" w:cs="Arial"/>
          <w:bCs/>
          <w:szCs w:val="28"/>
        </w:rPr>
        <w:t>.</w:t>
      </w:r>
    </w:p>
    <w:p w14:paraId="1A00C7F9" w14:textId="77777777" w:rsidR="001B7E4B" w:rsidRPr="00F32542" w:rsidRDefault="001B7E4B" w:rsidP="003D29D2">
      <w:pPr>
        <w:spacing w:after="0" w:line="360" w:lineRule="auto"/>
        <w:jc w:val="both"/>
        <w:rPr>
          <w:rFonts w:ascii="Arial" w:eastAsia="Calibri" w:hAnsi="Arial" w:cs="Arial"/>
          <w:bCs/>
          <w:sz w:val="28"/>
          <w:szCs w:val="28"/>
        </w:rPr>
      </w:pPr>
    </w:p>
    <w:p w14:paraId="2B0450A8" w14:textId="77777777" w:rsidR="001B7E4B" w:rsidRPr="00F32542" w:rsidRDefault="001B7E4B" w:rsidP="003D29D2">
      <w:pPr>
        <w:spacing w:after="0" w:line="360" w:lineRule="auto"/>
        <w:jc w:val="both"/>
        <w:rPr>
          <w:rFonts w:ascii="Arial" w:eastAsia="Calibri" w:hAnsi="Arial" w:cs="Arial"/>
          <w:bCs/>
          <w:sz w:val="28"/>
          <w:szCs w:val="28"/>
        </w:rPr>
      </w:pPr>
      <w:r w:rsidRPr="00F32542">
        <w:rPr>
          <w:rFonts w:ascii="Arial" w:eastAsia="Calibri" w:hAnsi="Arial" w:cs="Arial"/>
          <w:b/>
          <w:sz w:val="28"/>
          <w:szCs w:val="28"/>
        </w:rPr>
        <w:t>b) TECDMX-JLDC-097/2021 (promovido por José Luis Rodríguez Díaz de León).</w:t>
      </w:r>
    </w:p>
    <w:p w14:paraId="5F971585" w14:textId="77777777" w:rsidR="001B7E4B" w:rsidRPr="00F32542" w:rsidRDefault="001B7E4B" w:rsidP="003D29D2">
      <w:pPr>
        <w:spacing w:after="0" w:line="360" w:lineRule="auto"/>
        <w:jc w:val="both"/>
        <w:rPr>
          <w:rFonts w:ascii="Arial" w:eastAsia="Calibri" w:hAnsi="Arial" w:cs="Arial"/>
          <w:bCs/>
          <w:sz w:val="28"/>
          <w:szCs w:val="28"/>
        </w:rPr>
      </w:pPr>
    </w:p>
    <w:p w14:paraId="42217D03" w14:textId="77777777" w:rsidR="00810942" w:rsidRPr="00F32542" w:rsidRDefault="001B7E4B" w:rsidP="003D29D2">
      <w:pPr>
        <w:pStyle w:val="Prrafodelista"/>
        <w:numPr>
          <w:ilvl w:val="0"/>
          <w:numId w:val="4"/>
        </w:numPr>
        <w:spacing w:line="360" w:lineRule="auto"/>
        <w:ind w:left="630" w:hanging="540"/>
        <w:rPr>
          <w:rFonts w:ascii="Arial" w:eastAsia="Calibri" w:hAnsi="Arial" w:cs="Arial"/>
          <w:bCs/>
          <w:szCs w:val="28"/>
        </w:rPr>
      </w:pPr>
      <w:r w:rsidRPr="00F32542">
        <w:rPr>
          <w:rFonts w:ascii="Arial" w:eastAsia="Calibri" w:hAnsi="Arial" w:cs="Arial"/>
          <w:bCs/>
          <w:szCs w:val="28"/>
        </w:rPr>
        <w:t xml:space="preserve">Amado Jonathan Hernández </w:t>
      </w:r>
      <w:proofErr w:type="spellStart"/>
      <w:r w:rsidRPr="00F32542">
        <w:rPr>
          <w:rFonts w:ascii="Arial" w:eastAsia="Calibri" w:hAnsi="Arial" w:cs="Arial"/>
          <w:bCs/>
          <w:szCs w:val="28"/>
        </w:rPr>
        <w:t>Hernández</w:t>
      </w:r>
      <w:proofErr w:type="spellEnd"/>
      <w:r w:rsidRPr="00F32542">
        <w:rPr>
          <w:rFonts w:ascii="Arial" w:eastAsia="Calibri" w:hAnsi="Arial" w:cs="Arial"/>
          <w:bCs/>
          <w:szCs w:val="28"/>
        </w:rPr>
        <w:t xml:space="preserve"> señala que la asignación de diputaciones por el principio de representación proporcional —que se realizó por medio del </w:t>
      </w:r>
      <w:r w:rsidRPr="00F32542">
        <w:rPr>
          <w:rFonts w:ascii="Arial" w:eastAsia="Calibri" w:hAnsi="Arial" w:cs="Arial"/>
          <w:b/>
          <w:bCs/>
          <w:szCs w:val="28"/>
        </w:rPr>
        <w:t>Acuerdo IECM/ACU-CG-324/2021</w:t>
      </w:r>
      <w:r w:rsidRPr="00F32542">
        <w:rPr>
          <w:rFonts w:ascii="Arial" w:eastAsia="Calibri" w:hAnsi="Arial" w:cs="Arial"/>
          <w:bCs/>
          <w:szCs w:val="28"/>
        </w:rPr>
        <w:t>— adolece de fallas técnicas y metodológicas, pues la autoridad administrativa electoral asignó dos diputaciones a mujeres que obtuvieron un número menor de votos en comparación con dos hombres que tuvieron un mayor respaldo popular; por lo que esta última circunstancia debería tener un mayor peso al momento de asignar este tipo de diputaciones, cuya naturaleza consiste en reflejar la representatividad ciudadana.</w:t>
      </w:r>
    </w:p>
    <w:p w14:paraId="19C5B2EF" w14:textId="77777777" w:rsidR="00810942" w:rsidRPr="00F32542" w:rsidRDefault="00810942" w:rsidP="003D29D2">
      <w:pPr>
        <w:pStyle w:val="Prrafodelista"/>
        <w:spacing w:line="360" w:lineRule="auto"/>
        <w:ind w:left="630"/>
        <w:rPr>
          <w:rFonts w:ascii="Arial" w:eastAsia="Calibri" w:hAnsi="Arial" w:cs="Arial"/>
          <w:bCs/>
          <w:szCs w:val="28"/>
        </w:rPr>
      </w:pPr>
    </w:p>
    <w:p w14:paraId="506E424E" w14:textId="77777777" w:rsidR="00810942" w:rsidRPr="00F32542" w:rsidRDefault="001B7E4B" w:rsidP="003D29D2">
      <w:pPr>
        <w:pStyle w:val="Prrafodelista"/>
        <w:numPr>
          <w:ilvl w:val="0"/>
          <w:numId w:val="4"/>
        </w:numPr>
        <w:spacing w:line="360" w:lineRule="auto"/>
        <w:ind w:left="630" w:hanging="540"/>
        <w:rPr>
          <w:rFonts w:ascii="Arial" w:eastAsia="Calibri" w:hAnsi="Arial" w:cs="Arial"/>
          <w:bCs/>
          <w:szCs w:val="28"/>
        </w:rPr>
      </w:pPr>
      <w:r w:rsidRPr="00F32542">
        <w:rPr>
          <w:rFonts w:ascii="Arial" w:eastAsia="Calibri" w:hAnsi="Arial" w:cs="Arial"/>
          <w:bCs/>
          <w:szCs w:val="28"/>
        </w:rPr>
        <w:t xml:space="preserve">Explica que la asignación llevada a cabo por el </w:t>
      </w:r>
      <w:r w:rsidRPr="00F32542">
        <w:rPr>
          <w:rFonts w:ascii="Arial" w:eastAsia="Calibri" w:hAnsi="Arial" w:cs="Arial"/>
          <w:bCs/>
          <w:i/>
          <w:iCs/>
          <w:szCs w:val="28"/>
        </w:rPr>
        <w:t>IECM</w:t>
      </w:r>
      <w:r w:rsidRPr="00F32542">
        <w:rPr>
          <w:rFonts w:ascii="Arial" w:eastAsia="Calibri" w:hAnsi="Arial" w:cs="Arial"/>
          <w:bCs/>
          <w:szCs w:val="28"/>
        </w:rPr>
        <w:t xml:space="preserve"> generó una subrepresentación de hombres; por lo que, según los criterios sustentados por la </w:t>
      </w:r>
      <w:r w:rsidRPr="00F32542">
        <w:rPr>
          <w:rFonts w:ascii="Arial" w:eastAsia="Calibri" w:hAnsi="Arial" w:cs="Arial"/>
          <w:bCs/>
          <w:i/>
          <w:iCs/>
          <w:szCs w:val="28"/>
        </w:rPr>
        <w:t>SCJN</w:t>
      </w:r>
      <w:r w:rsidRPr="00F32542">
        <w:rPr>
          <w:rFonts w:ascii="Arial" w:eastAsia="Calibri" w:hAnsi="Arial" w:cs="Arial"/>
          <w:bCs/>
          <w:szCs w:val="28"/>
        </w:rPr>
        <w:t>, es necesario aplicar un ajuste mínimo a dicha asignación, como sería que las listas relacionadas con la elección de diputaciones plurinominales inicien con dos bloques integrados por hombres, tal como el propio compareciente propone el escrito bajo análisis.</w:t>
      </w:r>
    </w:p>
    <w:p w14:paraId="30F28F1E" w14:textId="77777777" w:rsidR="00810942" w:rsidRPr="00F32542" w:rsidRDefault="00810942" w:rsidP="003D29D2">
      <w:pPr>
        <w:pStyle w:val="Prrafodelista"/>
        <w:spacing w:line="360" w:lineRule="auto"/>
        <w:rPr>
          <w:rFonts w:ascii="Arial" w:eastAsia="Calibri" w:hAnsi="Arial" w:cs="Arial"/>
          <w:bCs/>
          <w:szCs w:val="28"/>
        </w:rPr>
      </w:pPr>
    </w:p>
    <w:p w14:paraId="64693123" w14:textId="77777777" w:rsidR="00810942" w:rsidRPr="00F32542" w:rsidRDefault="001B7E4B" w:rsidP="003D29D2">
      <w:pPr>
        <w:pStyle w:val="Prrafodelista"/>
        <w:numPr>
          <w:ilvl w:val="0"/>
          <w:numId w:val="4"/>
        </w:numPr>
        <w:spacing w:line="360" w:lineRule="auto"/>
        <w:ind w:left="630" w:hanging="540"/>
        <w:rPr>
          <w:rFonts w:ascii="Arial" w:eastAsia="Calibri" w:hAnsi="Arial" w:cs="Arial"/>
          <w:bCs/>
          <w:szCs w:val="28"/>
        </w:rPr>
      </w:pPr>
      <w:r w:rsidRPr="00F32542">
        <w:rPr>
          <w:rFonts w:ascii="Arial" w:eastAsia="Calibri" w:hAnsi="Arial" w:cs="Arial"/>
          <w:bCs/>
          <w:szCs w:val="28"/>
        </w:rPr>
        <w:lastRenderedPageBreak/>
        <w:t xml:space="preserve">La integración mayoritaria de mujeres en el </w:t>
      </w:r>
      <w:r w:rsidRPr="00F32542">
        <w:rPr>
          <w:rFonts w:ascii="Arial" w:eastAsia="Calibri" w:hAnsi="Arial" w:cs="Arial"/>
          <w:bCs/>
          <w:i/>
          <w:iCs/>
          <w:szCs w:val="28"/>
        </w:rPr>
        <w:t>Congreso</w:t>
      </w:r>
      <w:r w:rsidRPr="00F32542">
        <w:rPr>
          <w:rFonts w:ascii="Arial" w:eastAsia="Calibri" w:hAnsi="Arial" w:cs="Arial"/>
          <w:bCs/>
          <w:szCs w:val="28"/>
        </w:rPr>
        <w:t xml:space="preserve"> vulnera el derecho de autoorganización de los partidos políticos, así como el derecho de las personas a ser votadas y electas con un alto grado de representatividad para conformar el cuerpo legislativo.</w:t>
      </w:r>
    </w:p>
    <w:p w14:paraId="328EF13E" w14:textId="77777777" w:rsidR="00810942" w:rsidRPr="00F32542" w:rsidRDefault="00810942" w:rsidP="003D29D2">
      <w:pPr>
        <w:pStyle w:val="Prrafodelista"/>
        <w:spacing w:line="360" w:lineRule="auto"/>
        <w:rPr>
          <w:rFonts w:ascii="Arial" w:eastAsia="Calibri" w:hAnsi="Arial" w:cs="Arial"/>
          <w:bCs/>
          <w:szCs w:val="28"/>
        </w:rPr>
      </w:pPr>
    </w:p>
    <w:p w14:paraId="30C9B616" w14:textId="77777777" w:rsidR="001B7E4B" w:rsidRPr="00F32542" w:rsidRDefault="001B7E4B" w:rsidP="003D29D2">
      <w:pPr>
        <w:pStyle w:val="Prrafodelista"/>
        <w:numPr>
          <w:ilvl w:val="0"/>
          <w:numId w:val="4"/>
        </w:numPr>
        <w:spacing w:line="360" w:lineRule="auto"/>
        <w:ind w:left="630" w:hanging="540"/>
        <w:rPr>
          <w:rFonts w:ascii="Arial" w:eastAsia="Calibri" w:hAnsi="Arial" w:cs="Arial"/>
          <w:bCs/>
          <w:szCs w:val="28"/>
        </w:rPr>
      </w:pPr>
      <w:r w:rsidRPr="00F32542">
        <w:rPr>
          <w:rFonts w:ascii="Arial" w:eastAsia="Calibri" w:hAnsi="Arial" w:cs="Arial"/>
          <w:bCs/>
          <w:szCs w:val="28"/>
        </w:rPr>
        <w:t xml:space="preserve">Finalmente, Amado Jonathan Hernández </w:t>
      </w:r>
      <w:proofErr w:type="spellStart"/>
      <w:r w:rsidRPr="00F32542">
        <w:rPr>
          <w:rFonts w:ascii="Arial" w:eastAsia="Calibri" w:hAnsi="Arial" w:cs="Arial"/>
          <w:bCs/>
          <w:szCs w:val="28"/>
        </w:rPr>
        <w:t>Hernández</w:t>
      </w:r>
      <w:proofErr w:type="spellEnd"/>
      <w:r w:rsidRPr="00F32542">
        <w:rPr>
          <w:rFonts w:ascii="Arial" w:eastAsia="Calibri" w:hAnsi="Arial" w:cs="Arial"/>
          <w:bCs/>
          <w:szCs w:val="28"/>
        </w:rPr>
        <w:t xml:space="preserve"> indica que la agenda suscrita entre diversas candidaturas el diecisiete de mayo del presente año en el “</w:t>
      </w:r>
      <w:r w:rsidRPr="00F32542">
        <w:rPr>
          <w:rFonts w:ascii="Arial" w:eastAsia="Calibri" w:hAnsi="Arial" w:cs="Arial"/>
          <w:bCs/>
          <w:i/>
          <w:iCs/>
          <w:szCs w:val="28"/>
        </w:rPr>
        <w:t>Marrakech</w:t>
      </w:r>
      <w:r w:rsidRPr="00F32542">
        <w:rPr>
          <w:rFonts w:ascii="Arial" w:eastAsia="Calibri" w:hAnsi="Arial" w:cs="Arial"/>
          <w:bCs/>
          <w:szCs w:val="28"/>
        </w:rPr>
        <w:t>”, espacio dedicado a la diversidad, “</w:t>
      </w:r>
      <w:r w:rsidRPr="00F32542">
        <w:rPr>
          <w:rFonts w:ascii="Arial" w:eastAsia="Calibri" w:hAnsi="Arial" w:cs="Arial"/>
          <w:bCs/>
          <w:i/>
          <w:iCs/>
          <w:szCs w:val="28"/>
        </w:rPr>
        <w:t>sólo sería posible materializarse con un legislador como José Luis Rodríguez Díaz de León</w:t>
      </w:r>
      <w:r w:rsidRPr="00F32542">
        <w:rPr>
          <w:rFonts w:ascii="Arial" w:eastAsia="Calibri" w:hAnsi="Arial" w:cs="Arial"/>
          <w:bCs/>
          <w:szCs w:val="28"/>
        </w:rPr>
        <w:t>”.</w:t>
      </w:r>
    </w:p>
    <w:p w14:paraId="455B264F" w14:textId="77777777" w:rsidR="00810942" w:rsidRPr="00F32542" w:rsidRDefault="00810942" w:rsidP="003D29D2">
      <w:pPr>
        <w:pStyle w:val="Prrafodelista"/>
        <w:spacing w:line="360" w:lineRule="auto"/>
        <w:rPr>
          <w:rFonts w:ascii="Arial" w:eastAsia="Calibri" w:hAnsi="Arial" w:cs="Arial"/>
          <w:bCs/>
          <w:szCs w:val="28"/>
        </w:rPr>
      </w:pPr>
    </w:p>
    <w:p w14:paraId="54D98701" w14:textId="77777777" w:rsidR="001B7E4B" w:rsidRPr="00F32542" w:rsidRDefault="00810942" w:rsidP="003D29D2">
      <w:pPr>
        <w:spacing w:after="0" w:line="360" w:lineRule="auto"/>
        <w:jc w:val="both"/>
        <w:rPr>
          <w:rFonts w:ascii="Arial" w:eastAsia="Calibri" w:hAnsi="Arial" w:cs="Arial"/>
          <w:b/>
          <w:sz w:val="28"/>
          <w:szCs w:val="28"/>
        </w:rPr>
      </w:pPr>
      <w:r w:rsidRPr="00F32542">
        <w:rPr>
          <w:rFonts w:ascii="Arial" w:eastAsia="Calibri" w:hAnsi="Arial" w:cs="Arial"/>
          <w:b/>
          <w:sz w:val="28"/>
          <w:szCs w:val="28"/>
        </w:rPr>
        <w:t xml:space="preserve">Determinación. </w:t>
      </w:r>
      <w:r w:rsidR="001B7E4B" w:rsidRPr="00F32542">
        <w:rPr>
          <w:rFonts w:ascii="Arial" w:eastAsia="Calibri" w:hAnsi="Arial" w:cs="Arial"/>
          <w:bCs/>
          <w:sz w:val="28"/>
          <w:szCs w:val="28"/>
        </w:rPr>
        <w:t xml:space="preserve">Con base en lo anterior, el </w:t>
      </w:r>
      <w:r w:rsidR="001B7E4B" w:rsidRPr="00F32542">
        <w:rPr>
          <w:rFonts w:ascii="Arial" w:eastAsia="Calibri" w:hAnsi="Arial" w:cs="Arial"/>
          <w:bCs/>
          <w:i/>
          <w:iCs/>
          <w:sz w:val="28"/>
          <w:szCs w:val="28"/>
        </w:rPr>
        <w:t>Tribunal Electoral</w:t>
      </w:r>
      <w:r w:rsidR="001B7E4B" w:rsidRPr="00F32542">
        <w:rPr>
          <w:rFonts w:ascii="Arial" w:eastAsia="Calibri" w:hAnsi="Arial" w:cs="Arial"/>
          <w:bCs/>
          <w:sz w:val="28"/>
          <w:szCs w:val="28"/>
        </w:rPr>
        <w:t xml:space="preserve"> determina que </w:t>
      </w:r>
      <w:r w:rsidR="001B7E4B" w:rsidRPr="00F32542">
        <w:rPr>
          <w:rFonts w:ascii="Arial" w:eastAsia="Calibri" w:hAnsi="Arial" w:cs="Arial"/>
          <w:b/>
          <w:sz w:val="28"/>
          <w:szCs w:val="28"/>
        </w:rPr>
        <w:t>no ha lugar</w:t>
      </w:r>
      <w:r w:rsidR="001B7E4B" w:rsidRPr="00F32542">
        <w:rPr>
          <w:rFonts w:ascii="Arial" w:eastAsia="Calibri" w:hAnsi="Arial" w:cs="Arial"/>
          <w:bCs/>
          <w:sz w:val="28"/>
          <w:szCs w:val="28"/>
        </w:rPr>
        <w:t xml:space="preserve"> a tener como </w:t>
      </w:r>
      <w:proofErr w:type="spellStart"/>
      <w:r w:rsidR="001B7E4B" w:rsidRPr="00F32542">
        <w:rPr>
          <w:rFonts w:ascii="Arial" w:eastAsia="Calibri" w:hAnsi="Arial" w:cs="Arial"/>
          <w:bCs/>
          <w:i/>
          <w:iCs/>
          <w:sz w:val="28"/>
          <w:szCs w:val="28"/>
        </w:rPr>
        <w:t>amicus</w:t>
      </w:r>
      <w:proofErr w:type="spellEnd"/>
      <w:r w:rsidR="001B7E4B" w:rsidRPr="00F32542">
        <w:rPr>
          <w:rFonts w:ascii="Arial" w:eastAsia="Calibri" w:hAnsi="Arial" w:cs="Arial"/>
          <w:bCs/>
          <w:i/>
          <w:iCs/>
          <w:sz w:val="28"/>
          <w:szCs w:val="28"/>
        </w:rPr>
        <w:t xml:space="preserve"> </w:t>
      </w:r>
      <w:proofErr w:type="spellStart"/>
      <w:r w:rsidR="001B7E4B" w:rsidRPr="00F32542">
        <w:rPr>
          <w:rFonts w:ascii="Arial" w:eastAsia="Calibri" w:hAnsi="Arial" w:cs="Arial"/>
          <w:bCs/>
          <w:i/>
          <w:iCs/>
          <w:sz w:val="28"/>
          <w:szCs w:val="28"/>
        </w:rPr>
        <w:t>curiae</w:t>
      </w:r>
      <w:proofErr w:type="spellEnd"/>
      <w:r w:rsidR="001B7E4B" w:rsidRPr="00F32542">
        <w:rPr>
          <w:rFonts w:ascii="Arial" w:eastAsia="Calibri" w:hAnsi="Arial" w:cs="Arial"/>
          <w:bCs/>
          <w:sz w:val="28"/>
          <w:szCs w:val="28"/>
        </w:rPr>
        <w:t xml:space="preserve"> a Jesús Carmona Garibay </w:t>
      </w:r>
      <w:r w:rsidRPr="00F32542">
        <w:rPr>
          <w:rFonts w:ascii="Arial" w:eastAsia="Calibri" w:hAnsi="Arial" w:cs="Arial"/>
          <w:bCs/>
          <w:sz w:val="28"/>
          <w:szCs w:val="28"/>
        </w:rPr>
        <w:t>ni a</w:t>
      </w:r>
      <w:r w:rsidR="001B7E4B" w:rsidRPr="00F32542">
        <w:rPr>
          <w:rFonts w:ascii="Arial" w:eastAsia="Calibri" w:hAnsi="Arial" w:cs="Arial"/>
          <w:bCs/>
          <w:sz w:val="28"/>
          <w:szCs w:val="28"/>
        </w:rPr>
        <w:t xml:space="preserve"> Amado Jonathan Hernández </w:t>
      </w:r>
      <w:proofErr w:type="spellStart"/>
      <w:r w:rsidR="001B7E4B" w:rsidRPr="00F32542">
        <w:rPr>
          <w:rFonts w:ascii="Arial" w:eastAsia="Calibri" w:hAnsi="Arial" w:cs="Arial"/>
          <w:bCs/>
          <w:sz w:val="28"/>
          <w:szCs w:val="28"/>
        </w:rPr>
        <w:t>Hernández</w:t>
      </w:r>
      <w:proofErr w:type="spellEnd"/>
      <w:r w:rsidR="001B7E4B" w:rsidRPr="00F32542">
        <w:rPr>
          <w:rFonts w:ascii="Arial" w:eastAsia="Calibri" w:hAnsi="Arial" w:cs="Arial"/>
          <w:bCs/>
          <w:sz w:val="28"/>
          <w:szCs w:val="28"/>
        </w:rPr>
        <w:t xml:space="preserve">, </w:t>
      </w:r>
      <w:proofErr w:type="gramStart"/>
      <w:r w:rsidR="001B7E4B" w:rsidRPr="00F32542">
        <w:rPr>
          <w:rFonts w:ascii="Arial" w:eastAsia="Calibri" w:hAnsi="Arial" w:cs="Arial"/>
          <w:bCs/>
          <w:sz w:val="28"/>
          <w:szCs w:val="28"/>
        </w:rPr>
        <w:t>en razón de</w:t>
      </w:r>
      <w:proofErr w:type="gramEnd"/>
      <w:r w:rsidR="001B7E4B" w:rsidRPr="00F32542">
        <w:rPr>
          <w:rFonts w:ascii="Arial" w:eastAsia="Calibri" w:hAnsi="Arial" w:cs="Arial"/>
          <w:bCs/>
          <w:sz w:val="28"/>
          <w:szCs w:val="28"/>
        </w:rPr>
        <w:t xml:space="preserve"> lo siguiente.</w:t>
      </w:r>
    </w:p>
    <w:p w14:paraId="381D1731" w14:textId="77777777" w:rsidR="001B7E4B" w:rsidRPr="00F32542" w:rsidRDefault="001B7E4B" w:rsidP="003D29D2">
      <w:pPr>
        <w:spacing w:after="0" w:line="360" w:lineRule="auto"/>
        <w:jc w:val="both"/>
        <w:rPr>
          <w:rFonts w:ascii="Arial" w:eastAsia="Calibri" w:hAnsi="Arial" w:cs="Arial"/>
          <w:bCs/>
          <w:sz w:val="28"/>
          <w:szCs w:val="28"/>
        </w:rPr>
      </w:pPr>
    </w:p>
    <w:p w14:paraId="4F0F86DF" w14:textId="77777777" w:rsidR="001B7E4B" w:rsidRPr="00F32542" w:rsidRDefault="001B7E4B" w:rsidP="003D29D2">
      <w:pPr>
        <w:spacing w:after="0" w:line="360" w:lineRule="auto"/>
        <w:jc w:val="both"/>
        <w:rPr>
          <w:rFonts w:ascii="Arial" w:eastAsia="Calibri" w:hAnsi="Arial" w:cs="Arial"/>
          <w:bCs/>
          <w:sz w:val="28"/>
          <w:szCs w:val="28"/>
        </w:rPr>
      </w:pPr>
      <w:r w:rsidRPr="00F32542">
        <w:rPr>
          <w:rFonts w:ascii="Arial" w:eastAsia="Calibri" w:hAnsi="Arial" w:cs="Arial"/>
          <w:bCs/>
          <w:sz w:val="28"/>
          <w:szCs w:val="28"/>
        </w:rPr>
        <w:t xml:space="preserve">En principio, cabe precisar </w:t>
      </w:r>
      <w:proofErr w:type="gramStart"/>
      <w:r w:rsidRPr="00F32542">
        <w:rPr>
          <w:rFonts w:ascii="Arial" w:eastAsia="Calibri" w:hAnsi="Arial" w:cs="Arial"/>
          <w:bCs/>
          <w:sz w:val="28"/>
          <w:szCs w:val="28"/>
        </w:rPr>
        <w:t>que</w:t>
      </w:r>
      <w:proofErr w:type="gramEnd"/>
      <w:r w:rsidRPr="00F32542">
        <w:rPr>
          <w:rFonts w:ascii="Arial" w:eastAsia="Calibri" w:hAnsi="Arial" w:cs="Arial"/>
          <w:bCs/>
          <w:sz w:val="28"/>
          <w:szCs w:val="28"/>
        </w:rPr>
        <w:t xml:space="preserve"> durante la sustanciación de los medios de impugnación en materia electoral, es factible la intervención de personas terceras ajenas al juicio, por medio de la presentación de escritos con el carácter de </w:t>
      </w:r>
      <w:proofErr w:type="spellStart"/>
      <w:r w:rsidRPr="00F32542">
        <w:rPr>
          <w:rFonts w:ascii="Arial" w:eastAsia="Calibri" w:hAnsi="Arial" w:cs="Arial"/>
          <w:bCs/>
          <w:i/>
          <w:iCs/>
          <w:sz w:val="28"/>
          <w:szCs w:val="28"/>
        </w:rPr>
        <w:t>amicus</w:t>
      </w:r>
      <w:proofErr w:type="spellEnd"/>
      <w:r w:rsidRPr="00F32542">
        <w:rPr>
          <w:rFonts w:ascii="Arial" w:eastAsia="Calibri" w:hAnsi="Arial" w:cs="Arial"/>
          <w:bCs/>
          <w:i/>
          <w:iCs/>
          <w:sz w:val="28"/>
          <w:szCs w:val="28"/>
        </w:rPr>
        <w:t xml:space="preserve"> </w:t>
      </w:r>
      <w:proofErr w:type="spellStart"/>
      <w:r w:rsidRPr="00F32542">
        <w:rPr>
          <w:rFonts w:ascii="Arial" w:eastAsia="Calibri" w:hAnsi="Arial" w:cs="Arial"/>
          <w:bCs/>
          <w:i/>
          <w:iCs/>
          <w:sz w:val="28"/>
          <w:szCs w:val="28"/>
        </w:rPr>
        <w:t>curiae</w:t>
      </w:r>
      <w:proofErr w:type="spellEnd"/>
      <w:r w:rsidRPr="00F32542">
        <w:rPr>
          <w:rFonts w:ascii="Arial" w:eastAsia="Calibri" w:hAnsi="Arial" w:cs="Arial"/>
          <w:bCs/>
          <w:sz w:val="28"/>
          <w:szCs w:val="28"/>
        </w:rPr>
        <w:t xml:space="preserve">, con el objeto de contar con mayores elementos para un análisis integral del contexto de la controversia. </w:t>
      </w:r>
    </w:p>
    <w:p w14:paraId="21B5EB36" w14:textId="77777777" w:rsidR="001B7E4B" w:rsidRPr="00F32542" w:rsidRDefault="001B7E4B" w:rsidP="003D29D2">
      <w:pPr>
        <w:spacing w:after="0" w:line="360" w:lineRule="auto"/>
        <w:jc w:val="both"/>
        <w:rPr>
          <w:rFonts w:ascii="Arial" w:eastAsia="Calibri" w:hAnsi="Arial" w:cs="Arial"/>
          <w:bCs/>
          <w:sz w:val="28"/>
          <w:szCs w:val="28"/>
        </w:rPr>
      </w:pPr>
    </w:p>
    <w:p w14:paraId="5B0D340F" w14:textId="77777777" w:rsidR="001B7E4B" w:rsidRPr="00F32542" w:rsidRDefault="001B7E4B" w:rsidP="003D29D2">
      <w:pPr>
        <w:spacing w:after="0" w:line="360" w:lineRule="auto"/>
        <w:jc w:val="both"/>
        <w:rPr>
          <w:rFonts w:ascii="Arial" w:eastAsia="Calibri" w:hAnsi="Arial" w:cs="Arial"/>
          <w:bCs/>
          <w:sz w:val="28"/>
          <w:szCs w:val="28"/>
        </w:rPr>
      </w:pPr>
      <w:r w:rsidRPr="00F32542">
        <w:rPr>
          <w:rFonts w:ascii="Arial" w:eastAsia="Calibri" w:hAnsi="Arial" w:cs="Arial"/>
          <w:bCs/>
          <w:sz w:val="28"/>
          <w:szCs w:val="28"/>
        </w:rPr>
        <w:t xml:space="preserve">El </w:t>
      </w:r>
      <w:proofErr w:type="spellStart"/>
      <w:r w:rsidRPr="00F32542">
        <w:rPr>
          <w:rFonts w:ascii="Arial" w:eastAsia="Calibri" w:hAnsi="Arial" w:cs="Arial"/>
          <w:bCs/>
          <w:i/>
          <w:iCs/>
          <w:sz w:val="28"/>
          <w:szCs w:val="28"/>
        </w:rPr>
        <w:t>amicus</w:t>
      </w:r>
      <w:proofErr w:type="spellEnd"/>
      <w:r w:rsidRPr="00F32542">
        <w:rPr>
          <w:rFonts w:ascii="Arial" w:eastAsia="Calibri" w:hAnsi="Arial" w:cs="Arial"/>
          <w:bCs/>
          <w:i/>
          <w:iCs/>
          <w:sz w:val="28"/>
          <w:szCs w:val="28"/>
        </w:rPr>
        <w:t xml:space="preserve"> </w:t>
      </w:r>
      <w:proofErr w:type="spellStart"/>
      <w:r w:rsidRPr="00F32542">
        <w:rPr>
          <w:rFonts w:ascii="Arial" w:eastAsia="Calibri" w:hAnsi="Arial" w:cs="Arial"/>
          <w:bCs/>
          <w:i/>
          <w:iCs/>
          <w:sz w:val="28"/>
          <w:szCs w:val="28"/>
        </w:rPr>
        <w:t>curiae</w:t>
      </w:r>
      <w:proofErr w:type="spellEnd"/>
      <w:r w:rsidRPr="00F32542">
        <w:rPr>
          <w:rFonts w:ascii="Arial" w:eastAsia="Calibri" w:hAnsi="Arial" w:cs="Arial"/>
          <w:bCs/>
          <w:sz w:val="28"/>
          <w:szCs w:val="28"/>
        </w:rPr>
        <w:t xml:space="preserve"> es una figura jurídica que tiene su origen en el Derecho Romano y que ha sido adoptada por algunos tribunales internacionales, como el Tribunal Europeo de Derechos Humanos, la Corte Constitucional de la República Sudafricana y la Corte Interamericana de Derechos Humanos.</w:t>
      </w:r>
    </w:p>
    <w:p w14:paraId="2492FB31" w14:textId="77777777" w:rsidR="001B7E4B" w:rsidRPr="00F32542" w:rsidRDefault="001B7E4B" w:rsidP="003D29D2">
      <w:pPr>
        <w:spacing w:after="0" w:line="360" w:lineRule="auto"/>
        <w:jc w:val="both"/>
        <w:rPr>
          <w:rFonts w:ascii="Arial" w:eastAsia="Calibri" w:hAnsi="Arial" w:cs="Arial"/>
          <w:bCs/>
          <w:sz w:val="28"/>
          <w:szCs w:val="28"/>
        </w:rPr>
      </w:pPr>
    </w:p>
    <w:p w14:paraId="35BB552D" w14:textId="77777777" w:rsidR="001B7E4B" w:rsidRPr="00F32542" w:rsidRDefault="001B7E4B" w:rsidP="003D29D2">
      <w:pPr>
        <w:spacing w:after="0" w:line="360" w:lineRule="auto"/>
        <w:jc w:val="both"/>
        <w:rPr>
          <w:rFonts w:ascii="Arial" w:eastAsia="Calibri" w:hAnsi="Arial" w:cs="Arial"/>
          <w:bCs/>
          <w:sz w:val="28"/>
          <w:szCs w:val="28"/>
        </w:rPr>
      </w:pPr>
      <w:r w:rsidRPr="00F32542">
        <w:rPr>
          <w:rFonts w:ascii="Arial" w:eastAsia="Calibri" w:hAnsi="Arial" w:cs="Arial"/>
          <w:bCs/>
          <w:sz w:val="28"/>
          <w:szCs w:val="28"/>
        </w:rPr>
        <w:lastRenderedPageBreak/>
        <w:t xml:space="preserve">En particular, la Corte Interamericana de Derechos Humanos ha declarado la procedencia de estos escritos —presentados por personas físicas o jurídico colectivas— en los asuntos de su conocimiento, y de manera particular, se reconoce al </w:t>
      </w:r>
      <w:proofErr w:type="spellStart"/>
      <w:r w:rsidRPr="00F32542">
        <w:rPr>
          <w:rFonts w:ascii="Arial" w:eastAsia="Calibri" w:hAnsi="Arial" w:cs="Arial"/>
          <w:bCs/>
          <w:i/>
          <w:iCs/>
          <w:sz w:val="28"/>
          <w:szCs w:val="28"/>
        </w:rPr>
        <w:t>amicus</w:t>
      </w:r>
      <w:proofErr w:type="spellEnd"/>
      <w:r w:rsidRPr="00F32542">
        <w:rPr>
          <w:rFonts w:ascii="Arial" w:eastAsia="Calibri" w:hAnsi="Arial" w:cs="Arial"/>
          <w:bCs/>
          <w:i/>
          <w:iCs/>
          <w:sz w:val="28"/>
          <w:szCs w:val="28"/>
        </w:rPr>
        <w:t xml:space="preserve"> </w:t>
      </w:r>
      <w:proofErr w:type="spellStart"/>
      <w:r w:rsidRPr="00F32542">
        <w:rPr>
          <w:rFonts w:ascii="Arial" w:eastAsia="Calibri" w:hAnsi="Arial" w:cs="Arial"/>
          <w:bCs/>
          <w:i/>
          <w:iCs/>
          <w:sz w:val="28"/>
          <w:szCs w:val="28"/>
        </w:rPr>
        <w:t>curiae</w:t>
      </w:r>
      <w:proofErr w:type="spellEnd"/>
      <w:r w:rsidRPr="00F32542">
        <w:rPr>
          <w:rFonts w:ascii="Arial" w:eastAsia="Calibri" w:hAnsi="Arial" w:cs="Arial"/>
          <w:bCs/>
          <w:sz w:val="28"/>
          <w:szCs w:val="28"/>
        </w:rPr>
        <w:t xml:space="preserve"> como la persona o institución ajena al litigio y al proceso que expone razonamientos a los tribunales en torno a los hechos concernientes al caso concreto, o que formula consideraciones jurídicas sobre la materia del proceso a través de un documento o de un alegato, a efecto de que los tribunales en cuestión apliquen de mejor manera la administración de justicia.</w:t>
      </w:r>
    </w:p>
    <w:p w14:paraId="6EBF7909" w14:textId="77777777" w:rsidR="001B7E4B" w:rsidRPr="00F32542" w:rsidRDefault="001B7E4B" w:rsidP="003D29D2">
      <w:pPr>
        <w:spacing w:after="0" w:line="360" w:lineRule="auto"/>
        <w:jc w:val="both"/>
        <w:rPr>
          <w:rFonts w:ascii="Arial" w:eastAsia="Calibri" w:hAnsi="Arial" w:cs="Arial"/>
          <w:bCs/>
          <w:sz w:val="28"/>
          <w:szCs w:val="28"/>
        </w:rPr>
      </w:pPr>
    </w:p>
    <w:p w14:paraId="4293385E" w14:textId="77777777" w:rsidR="001B7E4B" w:rsidRPr="00F32542" w:rsidRDefault="001B7E4B" w:rsidP="003D29D2">
      <w:pPr>
        <w:spacing w:after="0" w:line="360" w:lineRule="auto"/>
        <w:jc w:val="both"/>
        <w:rPr>
          <w:rFonts w:ascii="Arial" w:eastAsia="Calibri" w:hAnsi="Arial" w:cs="Arial"/>
          <w:bCs/>
          <w:sz w:val="28"/>
          <w:szCs w:val="28"/>
        </w:rPr>
      </w:pPr>
      <w:r w:rsidRPr="00F32542">
        <w:rPr>
          <w:rFonts w:ascii="Arial" w:eastAsia="Calibri" w:hAnsi="Arial" w:cs="Arial"/>
          <w:bCs/>
          <w:sz w:val="28"/>
          <w:szCs w:val="28"/>
        </w:rPr>
        <w:t xml:space="preserve">Por su parte, la </w:t>
      </w:r>
      <w:r w:rsidRPr="00F32542">
        <w:rPr>
          <w:rFonts w:ascii="Arial" w:eastAsia="Calibri" w:hAnsi="Arial" w:cs="Arial"/>
          <w:bCs/>
          <w:i/>
          <w:iCs/>
          <w:sz w:val="28"/>
          <w:szCs w:val="28"/>
        </w:rPr>
        <w:t>Sala Superior</w:t>
      </w:r>
      <w:r w:rsidRPr="00F32542">
        <w:rPr>
          <w:rFonts w:ascii="Arial" w:eastAsia="Calibri" w:hAnsi="Arial" w:cs="Arial"/>
          <w:bCs/>
          <w:sz w:val="28"/>
          <w:szCs w:val="28"/>
        </w:rPr>
        <w:t xml:space="preserve"> ha sostenido en la jurisprudencia </w:t>
      </w:r>
      <w:r w:rsidRPr="00F32542">
        <w:rPr>
          <w:rFonts w:ascii="Arial" w:eastAsia="Calibri" w:hAnsi="Arial" w:cs="Arial"/>
          <w:b/>
          <w:sz w:val="28"/>
          <w:szCs w:val="28"/>
        </w:rPr>
        <w:t>8/2018</w:t>
      </w:r>
      <w:r w:rsidRPr="00F32542">
        <w:rPr>
          <w:rFonts w:ascii="Arial" w:eastAsia="Calibri" w:hAnsi="Arial" w:cs="Arial"/>
          <w:bCs/>
          <w:sz w:val="28"/>
          <w:szCs w:val="28"/>
        </w:rPr>
        <w:t xml:space="preserve"> —cuyo rubro es “</w:t>
      </w:r>
      <w:r w:rsidRPr="00F32542">
        <w:rPr>
          <w:rFonts w:ascii="Arial" w:eastAsia="Calibri" w:hAnsi="Arial" w:cs="Arial"/>
          <w:b/>
          <w:i/>
          <w:iCs/>
          <w:sz w:val="28"/>
          <w:szCs w:val="28"/>
        </w:rPr>
        <w:t>AMICUS CURIAE. ES ADMISIBLE EN LOS MEDIOS DE IMPUGNACIÓN EN MATERIA ELECTORAL</w:t>
      </w:r>
      <w:r w:rsidRPr="00F32542">
        <w:rPr>
          <w:rFonts w:ascii="Arial" w:eastAsia="Calibri" w:hAnsi="Arial" w:cs="Arial"/>
          <w:bCs/>
          <w:sz w:val="28"/>
          <w:szCs w:val="28"/>
        </w:rPr>
        <w:t>”</w:t>
      </w:r>
      <w:r w:rsidRPr="00F32542">
        <w:rPr>
          <w:rFonts w:ascii="Arial" w:eastAsia="Calibri" w:hAnsi="Arial" w:cs="Arial"/>
          <w:bCs/>
          <w:sz w:val="28"/>
          <w:szCs w:val="28"/>
          <w:vertAlign w:val="superscript"/>
        </w:rPr>
        <w:footnoteReference w:id="23"/>
      </w:r>
      <w:r w:rsidRPr="00F32542">
        <w:rPr>
          <w:rFonts w:ascii="Arial" w:eastAsia="Calibri" w:hAnsi="Arial" w:cs="Arial"/>
          <w:bCs/>
          <w:sz w:val="28"/>
          <w:szCs w:val="28"/>
        </w:rPr>
        <w:t xml:space="preserve">— que los escritos de </w:t>
      </w:r>
      <w:proofErr w:type="spellStart"/>
      <w:r w:rsidRPr="00F32542">
        <w:rPr>
          <w:rFonts w:ascii="Arial" w:eastAsia="Calibri" w:hAnsi="Arial" w:cs="Arial"/>
          <w:bCs/>
          <w:i/>
          <w:iCs/>
          <w:sz w:val="28"/>
          <w:szCs w:val="28"/>
        </w:rPr>
        <w:t>amicus</w:t>
      </w:r>
      <w:proofErr w:type="spellEnd"/>
      <w:r w:rsidRPr="00F32542">
        <w:rPr>
          <w:rFonts w:ascii="Arial" w:eastAsia="Calibri" w:hAnsi="Arial" w:cs="Arial"/>
          <w:bCs/>
          <w:i/>
          <w:iCs/>
          <w:sz w:val="28"/>
          <w:szCs w:val="28"/>
        </w:rPr>
        <w:t xml:space="preserve"> </w:t>
      </w:r>
      <w:proofErr w:type="spellStart"/>
      <w:r w:rsidRPr="00F32542">
        <w:rPr>
          <w:rFonts w:ascii="Arial" w:eastAsia="Calibri" w:hAnsi="Arial" w:cs="Arial"/>
          <w:bCs/>
          <w:i/>
          <w:iCs/>
          <w:sz w:val="28"/>
          <w:szCs w:val="28"/>
        </w:rPr>
        <w:t>curiae</w:t>
      </w:r>
      <w:proofErr w:type="spellEnd"/>
      <w:r w:rsidRPr="00F32542">
        <w:rPr>
          <w:rFonts w:ascii="Arial" w:eastAsia="Calibri" w:hAnsi="Arial" w:cs="Arial"/>
          <w:bCs/>
          <w:sz w:val="28"/>
          <w:szCs w:val="28"/>
        </w:rPr>
        <w:t xml:space="preserve"> son admisibles en los medios de impugnación en materia electoral, toda vez que su utilidad radica en que el propio Tribunal Electoral se allegue de legislación o jurisprudencia foránea o nacional; doctrina jurídica o del contexto; o en su caso, para coadyuvar a generar argumentos en sentencias relacionadas con el reconocimiento y la protección de los derechos fundamentales de las personas, o en temas jurídicamente relevantes.</w:t>
      </w:r>
    </w:p>
    <w:p w14:paraId="24E64FC8" w14:textId="77777777" w:rsidR="001B7E4B" w:rsidRPr="00F32542" w:rsidRDefault="001B7E4B" w:rsidP="003D29D2">
      <w:pPr>
        <w:spacing w:after="0" w:line="360" w:lineRule="auto"/>
        <w:jc w:val="both"/>
        <w:rPr>
          <w:rFonts w:ascii="Arial" w:eastAsia="Calibri" w:hAnsi="Arial" w:cs="Arial"/>
          <w:bCs/>
          <w:sz w:val="28"/>
          <w:szCs w:val="28"/>
        </w:rPr>
      </w:pPr>
    </w:p>
    <w:p w14:paraId="328F7922" w14:textId="77777777" w:rsidR="001B7E4B" w:rsidRPr="00F32542" w:rsidRDefault="001B7E4B" w:rsidP="003D29D2">
      <w:pPr>
        <w:spacing w:after="0" w:line="360" w:lineRule="auto"/>
        <w:jc w:val="both"/>
        <w:rPr>
          <w:rFonts w:ascii="Arial" w:eastAsia="Calibri" w:hAnsi="Arial" w:cs="Arial"/>
          <w:bCs/>
          <w:sz w:val="28"/>
          <w:szCs w:val="28"/>
        </w:rPr>
      </w:pPr>
      <w:r w:rsidRPr="00F32542">
        <w:rPr>
          <w:rFonts w:ascii="Arial" w:eastAsia="Calibri" w:hAnsi="Arial" w:cs="Arial"/>
          <w:bCs/>
          <w:sz w:val="28"/>
          <w:szCs w:val="28"/>
        </w:rPr>
        <w:t xml:space="preserve">Claro está, que los argumentos planteados en los escritos de </w:t>
      </w:r>
      <w:proofErr w:type="spellStart"/>
      <w:r w:rsidRPr="00F32542">
        <w:rPr>
          <w:rFonts w:ascii="Arial" w:eastAsia="Calibri" w:hAnsi="Arial" w:cs="Arial"/>
          <w:bCs/>
          <w:i/>
          <w:iCs/>
          <w:sz w:val="28"/>
          <w:szCs w:val="28"/>
        </w:rPr>
        <w:t>amicus</w:t>
      </w:r>
      <w:proofErr w:type="spellEnd"/>
      <w:r w:rsidRPr="00F32542">
        <w:rPr>
          <w:rFonts w:ascii="Arial" w:eastAsia="Calibri" w:hAnsi="Arial" w:cs="Arial"/>
          <w:bCs/>
          <w:i/>
          <w:iCs/>
          <w:sz w:val="28"/>
          <w:szCs w:val="28"/>
        </w:rPr>
        <w:t xml:space="preserve"> </w:t>
      </w:r>
      <w:proofErr w:type="spellStart"/>
      <w:r w:rsidRPr="00F32542">
        <w:rPr>
          <w:rFonts w:ascii="Arial" w:eastAsia="Calibri" w:hAnsi="Arial" w:cs="Arial"/>
          <w:bCs/>
          <w:i/>
          <w:iCs/>
          <w:sz w:val="28"/>
          <w:szCs w:val="28"/>
        </w:rPr>
        <w:t>curiae</w:t>
      </w:r>
      <w:proofErr w:type="spellEnd"/>
      <w:r w:rsidRPr="00F32542">
        <w:rPr>
          <w:rFonts w:ascii="Arial" w:eastAsia="Calibri" w:hAnsi="Arial" w:cs="Arial"/>
          <w:bCs/>
          <w:sz w:val="28"/>
          <w:szCs w:val="28"/>
        </w:rPr>
        <w:t xml:space="preserve"> no son vinculantes, pero implican una herramienta de participación en un estado democrático de Derecho, al proporcionar conocimientos especializados a los órganos jurisdiccionales sobre aspectos de interés y trascendencia en la vida política y jurídica de una Nación.</w:t>
      </w:r>
    </w:p>
    <w:p w14:paraId="4526E026" w14:textId="77777777" w:rsidR="001B7E4B" w:rsidRPr="00F32542" w:rsidRDefault="001B7E4B" w:rsidP="003D29D2">
      <w:pPr>
        <w:spacing w:after="0" w:line="360" w:lineRule="auto"/>
        <w:jc w:val="both"/>
        <w:rPr>
          <w:rFonts w:ascii="Arial" w:eastAsia="Calibri" w:hAnsi="Arial" w:cs="Arial"/>
          <w:bCs/>
          <w:sz w:val="28"/>
          <w:szCs w:val="28"/>
        </w:rPr>
      </w:pPr>
    </w:p>
    <w:p w14:paraId="7F71E0A0" w14:textId="77777777" w:rsidR="001B7E4B" w:rsidRPr="00F32542" w:rsidRDefault="001B7E4B" w:rsidP="003D29D2">
      <w:pPr>
        <w:spacing w:after="0" w:line="360" w:lineRule="auto"/>
        <w:jc w:val="both"/>
        <w:rPr>
          <w:rFonts w:ascii="Arial" w:eastAsia="Calibri" w:hAnsi="Arial" w:cs="Arial"/>
          <w:bCs/>
          <w:sz w:val="28"/>
          <w:szCs w:val="28"/>
        </w:rPr>
      </w:pPr>
      <w:r w:rsidRPr="00F32542">
        <w:rPr>
          <w:rFonts w:ascii="Arial" w:eastAsia="Calibri" w:hAnsi="Arial" w:cs="Arial"/>
          <w:bCs/>
          <w:sz w:val="28"/>
          <w:szCs w:val="28"/>
        </w:rPr>
        <w:t xml:space="preserve">Asimismo, en la citada jurisprudencia la </w:t>
      </w:r>
      <w:r w:rsidRPr="00F32542">
        <w:rPr>
          <w:rFonts w:ascii="Arial" w:eastAsia="Calibri" w:hAnsi="Arial" w:cs="Arial"/>
          <w:bCs/>
          <w:i/>
          <w:iCs/>
          <w:sz w:val="28"/>
          <w:szCs w:val="28"/>
        </w:rPr>
        <w:t>Sala Superior</w:t>
      </w:r>
      <w:r w:rsidRPr="00F32542">
        <w:rPr>
          <w:rFonts w:ascii="Arial" w:eastAsia="Calibri" w:hAnsi="Arial" w:cs="Arial"/>
          <w:bCs/>
          <w:sz w:val="28"/>
          <w:szCs w:val="28"/>
        </w:rPr>
        <w:t xml:space="preserve"> determinó </w:t>
      </w:r>
      <w:proofErr w:type="gramStart"/>
      <w:r w:rsidRPr="00F32542">
        <w:rPr>
          <w:rFonts w:ascii="Arial" w:eastAsia="Calibri" w:hAnsi="Arial" w:cs="Arial"/>
          <w:bCs/>
          <w:sz w:val="28"/>
          <w:szCs w:val="28"/>
        </w:rPr>
        <w:t>que</w:t>
      </w:r>
      <w:proofErr w:type="gramEnd"/>
      <w:r w:rsidRPr="00F32542">
        <w:rPr>
          <w:rFonts w:ascii="Arial" w:eastAsia="Calibri" w:hAnsi="Arial" w:cs="Arial"/>
          <w:bCs/>
          <w:sz w:val="28"/>
          <w:szCs w:val="28"/>
        </w:rPr>
        <w:t xml:space="preserve"> para la procedencia de estos escritos, es necesario que:</w:t>
      </w:r>
    </w:p>
    <w:p w14:paraId="4EC35DA0" w14:textId="77777777" w:rsidR="001B7E4B" w:rsidRPr="00F32542" w:rsidRDefault="001B7E4B" w:rsidP="003D29D2">
      <w:pPr>
        <w:spacing w:after="0" w:line="360" w:lineRule="auto"/>
        <w:jc w:val="both"/>
        <w:rPr>
          <w:rFonts w:ascii="Arial" w:eastAsia="Calibri" w:hAnsi="Arial" w:cs="Arial"/>
          <w:bCs/>
          <w:sz w:val="28"/>
          <w:szCs w:val="28"/>
        </w:rPr>
      </w:pPr>
    </w:p>
    <w:p w14:paraId="37EB9493" w14:textId="77777777" w:rsidR="001B7E4B" w:rsidRPr="00F32542" w:rsidRDefault="001B7E4B" w:rsidP="003D29D2">
      <w:pPr>
        <w:pStyle w:val="Prrafodelista"/>
        <w:numPr>
          <w:ilvl w:val="0"/>
          <w:numId w:val="5"/>
        </w:numPr>
        <w:spacing w:line="360" w:lineRule="auto"/>
        <w:rPr>
          <w:rFonts w:ascii="Arial" w:eastAsia="Calibri" w:hAnsi="Arial" w:cs="Arial"/>
          <w:bCs/>
          <w:szCs w:val="28"/>
        </w:rPr>
      </w:pPr>
      <w:r w:rsidRPr="00F32542">
        <w:rPr>
          <w:rFonts w:ascii="Arial" w:eastAsia="Calibri" w:hAnsi="Arial" w:cs="Arial"/>
          <w:bCs/>
          <w:szCs w:val="28"/>
        </w:rPr>
        <w:t>Los escritos sean presentados antes de la resolución del asunto.</w:t>
      </w:r>
    </w:p>
    <w:p w14:paraId="63AF8FE3" w14:textId="77777777" w:rsidR="001B7E4B" w:rsidRPr="00F32542" w:rsidRDefault="001B7E4B" w:rsidP="003D29D2">
      <w:pPr>
        <w:pStyle w:val="Prrafodelista"/>
        <w:numPr>
          <w:ilvl w:val="0"/>
          <w:numId w:val="5"/>
        </w:numPr>
        <w:spacing w:line="360" w:lineRule="auto"/>
        <w:rPr>
          <w:rFonts w:ascii="Arial" w:eastAsia="Calibri" w:hAnsi="Arial" w:cs="Arial"/>
          <w:bCs/>
          <w:szCs w:val="28"/>
        </w:rPr>
      </w:pPr>
      <w:r w:rsidRPr="00F32542">
        <w:rPr>
          <w:rFonts w:ascii="Arial" w:eastAsia="Calibri" w:hAnsi="Arial" w:cs="Arial"/>
          <w:bCs/>
          <w:szCs w:val="28"/>
        </w:rPr>
        <w:t>La persona compareciente sea ajena al proceso; esto es, que no tenga el carácter de parte en el litigio.</w:t>
      </w:r>
    </w:p>
    <w:p w14:paraId="612FD20D" w14:textId="77777777" w:rsidR="001B7E4B" w:rsidRPr="00F32542" w:rsidRDefault="001B7E4B" w:rsidP="003D29D2">
      <w:pPr>
        <w:pStyle w:val="Prrafodelista"/>
        <w:numPr>
          <w:ilvl w:val="0"/>
          <w:numId w:val="5"/>
        </w:numPr>
        <w:spacing w:line="360" w:lineRule="auto"/>
        <w:rPr>
          <w:rFonts w:ascii="Arial" w:eastAsia="Calibri" w:hAnsi="Arial" w:cs="Arial"/>
          <w:bCs/>
          <w:szCs w:val="28"/>
        </w:rPr>
      </w:pPr>
      <w:r w:rsidRPr="00F32542">
        <w:rPr>
          <w:rFonts w:ascii="Arial" w:eastAsia="Calibri" w:hAnsi="Arial" w:cs="Arial"/>
          <w:bCs/>
          <w:szCs w:val="28"/>
        </w:rPr>
        <w:t>Su única finalidad o intención debe consistir en aumentar el conocimiento de la persona juzgadora, mediante razonamientos o información científica y jurídica —nacional e internacional— pertinente, para resolver la cuestión planteada.</w:t>
      </w:r>
    </w:p>
    <w:p w14:paraId="029A2DB8" w14:textId="77777777" w:rsidR="001B7E4B" w:rsidRPr="00F32542" w:rsidRDefault="001B7E4B" w:rsidP="003D29D2">
      <w:pPr>
        <w:pStyle w:val="Prrafodelista"/>
        <w:spacing w:line="360" w:lineRule="auto"/>
        <w:rPr>
          <w:rFonts w:ascii="Arial" w:eastAsia="Calibri" w:hAnsi="Arial" w:cs="Arial"/>
          <w:bCs/>
          <w:szCs w:val="28"/>
        </w:rPr>
      </w:pPr>
    </w:p>
    <w:p w14:paraId="6FD89C05" w14:textId="77777777" w:rsidR="001B7E4B" w:rsidRPr="00F32542" w:rsidRDefault="001B7E4B" w:rsidP="003D29D2">
      <w:pPr>
        <w:spacing w:after="0" w:line="360" w:lineRule="auto"/>
        <w:jc w:val="both"/>
        <w:rPr>
          <w:rFonts w:ascii="Arial" w:eastAsia="Calibri" w:hAnsi="Arial" w:cs="Arial"/>
          <w:bCs/>
          <w:sz w:val="28"/>
          <w:szCs w:val="28"/>
        </w:rPr>
      </w:pPr>
      <w:r w:rsidRPr="00F32542">
        <w:rPr>
          <w:rFonts w:ascii="Arial" w:eastAsia="Calibri" w:hAnsi="Arial" w:cs="Arial"/>
          <w:bCs/>
          <w:sz w:val="28"/>
          <w:szCs w:val="28"/>
        </w:rPr>
        <w:t xml:space="preserve">De cualquier forma, los escritos en cuestión únicamente deben ser admitidos para su análisis referencial a partir de los datos e información aportados en ellos, sin que resulte válido que por medio de aquéllos se amplíe la </w:t>
      </w:r>
      <w:r w:rsidRPr="00F32542">
        <w:rPr>
          <w:rFonts w:ascii="Arial" w:eastAsia="Calibri" w:hAnsi="Arial" w:cs="Arial"/>
          <w:bCs/>
          <w:i/>
          <w:iCs/>
          <w:sz w:val="28"/>
          <w:szCs w:val="28"/>
        </w:rPr>
        <w:t>litis</w:t>
      </w:r>
      <w:r w:rsidRPr="00F32542">
        <w:rPr>
          <w:rFonts w:ascii="Arial" w:eastAsia="Calibri" w:hAnsi="Arial" w:cs="Arial"/>
          <w:bCs/>
          <w:sz w:val="28"/>
          <w:szCs w:val="28"/>
        </w:rPr>
        <w:t>, ni que las expresiones con las que se pretenda coadyuvar —de manera subjetiva— se tomen en cuenta para las pretensiones de las partes.</w:t>
      </w:r>
    </w:p>
    <w:p w14:paraId="63E66427" w14:textId="77777777" w:rsidR="001B7E4B" w:rsidRPr="00F32542" w:rsidRDefault="001B7E4B" w:rsidP="003D29D2">
      <w:pPr>
        <w:spacing w:after="0" w:line="360" w:lineRule="auto"/>
        <w:jc w:val="both"/>
        <w:rPr>
          <w:rFonts w:ascii="Arial" w:eastAsia="Calibri" w:hAnsi="Arial" w:cs="Arial"/>
          <w:bCs/>
          <w:sz w:val="28"/>
          <w:szCs w:val="28"/>
        </w:rPr>
      </w:pPr>
    </w:p>
    <w:p w14:paraId="189D1226" w14:textId="77777777" w:rsidR="001B7E4B" w:rsidRPr="00F32542" w:rsidRDefault="001B7E4B" w:rsidP="003D29D2">
      <w:pPr>
        <w:spacing w:after="0" w:line="360" w:lineRule="auto"/>
        <w:jc w:val="both"/>
        <w:rPr>
          <w:rFonts w:ascii="Arial" w:eastAsia="Calibri" w:hAnsi="Arial" w:cs="Arial"/>
          <w:bCs/>
          <w:sz w:val="28"/>
          <w:szCs w:val="28"/>
        </w:rPr>
      </w:pPr>
      <w:r w:rsidRPr="00F32542">
        <w:rPr>
          <w:rFonts w:ascii="Arial" w:eastAsia="Calibri" w:hAnsi="Arial" w:cs="Arial"/>
          <w:bCs/>
          <w:sz w:val="28"/>
          <w:szCs w:val="28"/>
        </w:rPr>
        <w:t xml:space="preserve">Ahora, como se anticipó, esta autoridad jurisdiccional considera que </w:t>
      </w:r>
      <w:r w:rsidRPr="00F32542">
        <w:rPr>
          <w:rFonts w:ascii="Arial" w:eastAsia="Calibri" w:hAnsi="Arial" w:cs="Arial"/>
          <w:b/>
          <w:sz w:val="28"/>
          <w:szCs w:val="28"/>
        </w:rPr>
        <w:t>no ha lugar</w:t>
      </w:r>
      <w:r w:rsidRPr="00F32542">
        <w:rPr>
          <w:rFonts w:ascii="Arial" w:eastAsia="Calibri" w:hAnsi="Arial" w:cs="Arial"/>
          <w:bCs/>
          <w:sz w:val="28"/>
          <w:szCs w:val="28"/>
        </w:rPr>
        <w:t xml:space="preserve"> a acordar la procedencia de los escritos que Jesús Carmona Garibay y Amado Jonathan Hernández </w:t>
      </w:r>
      <w:proofErr w:type="spellStart"/>
      <w:r w:rsidRPr="00F32542">
        <w:rPr>
          <w:rFonts w:ascii="Arial" w:eastAsia="Calibri" w:hAnsi="Arial" w:cs="Arial"/>
          <w:bCs/>
          <w:sz w:val="28"/>
          <w:szCs w:val="28"/>
        </w:rPr>
        <w:t>Hernández</w:t>
      </w:r>
      <w:proofErr w:type="spellEnd"/>
      <w:r w:rsidRPr="00F32542">
        <w:rPr>
          <w:rFonts w:ascii="Arial" w:eastAsia="Calibri" w:hAnsi="Arial" w:cs="Arial"/>
          <w:bCs/>
          <w:sz w:val="28"/>
          <w:szCs w:val="28"/>
        </w:rPr>
        <w:t xml:space="preserve"> denominaron como </w:t>
      </w:r>
      <w:proofErr w:type="spellStart"/>
      <w:r w:rsidRPr="00F32542">
        <w:rPr>
          <w:rFonts w:ascii="Arial" w:eastAsia="Calibri" w:hAnsi="Arial" w:cs="Arial"/>
          <w:bCs/>
          <w:i/>
          <w:iCs/>
          <w:sz w:val="28"/>
          <w:szCs w:val="28"/>
        </w:rPr>
        <w:t>amicus</w:t>
      </w:r>
      <w:proofErr w:type="spellEnd"/>
      <w:r w:rsidRPr="00F32542">
        <w:rPr>
          <w:rFonts w:ascii="Arial" w:eastAsia="Calibri" w:hAnsi="Arial" w:cs="Arial"/>
          <w:bCs/>
          <w:i/>
          <w:iCs/>
          <w:sz w:val="28"/>
          <w:szCs w:val="28"/>
        </w:rPr>
        <w:t xml:space="preserve"> </w:t>
      </w:r>
      <w:proofErr w:type="spellStart"/>
      <w:r w:rsidRPr="00F32542">
        <w:rPr>
          <w:rFonts w:ascii="Arial" w:eastAsia="Calibri" w:hAnsi="Arial" w:cs="Arial"/>
          <w:bCs/>
          <w:i/>
          <w:iCs/>
          <w:sz w:val="28"/>
          <w:szCs w:val="28"/>
        </w:rPr>
        <w:t>curiae</w:t>
      </w:r>
      <w:proofErr w:type="spellEnd"/>
      <w:r w:rsidRPr="00F32542">
        <w:rPr>
          <w:rFonts w:ascii="Arial" w:eastAsia="Calibri" w:hAnsi="Arial" w:cs="Arial"/>
          <w:bCs/>
          <w:sz w:val="28"/>
          <w:szCs w:val="28"/>
        </w:rPr>
        <w:t>.</w:t>
      </w:r>
    </w:p>
    <w:p w14:paraId="5CCDF772" w14:textId="77777777" w:rsidR="001B7E4B" w:rsidRPr="00F32542" w:rsidRDefault="001B7E4B" w:rsidP="003D29D2">
      <w:pPr>
        <w:spacing w:after="0" w:line="360" w:lineRule="auto"/>
        <w:jc w:val="both"/>
        <w:rPr>
          <w:rFonts w:ascii="Arial" w:eastAsia="Calibri" w:hAnsi="Arial" w:cs="Arial"/>
          <w:bCs/>
          <w:sz w:val="28"/>
          <w:szCs w:val="28"/>
        </w:rPr>
      </w:pPr>
    </w:p>
    <w:p w14:paraId="649AC0BB" w14:textId="77777777" w:rsidR="001B7E4B" w:rsidRPr="00F32542" w:rsidRDefault="001B7E4B" w:rsidP="003D29D2">
      <w:pPr>
        <w:spacing w:after="0" w:line="360" w:lineRule="auto"/>
        <w:jc w:val="both"/>
        <w:rPr>
          <w:rFonts w:ascii="Arial" w:eastAsia="Calibri" w:hAnsi="Arial" w:cs="Arial"/>
          <w:bCs/>
          <w:sz w:val="28"/>
          <w:szCs w:val="28"/>
        </w:rPr>
      </w:pPr>
      <w:r w:rsidRPr="00F32542">
        <w:rPr>
          <w:rFonts w:ascii="Arial" w:eastAsia="Calibri" w:hAnsi="Arial" w:cs="Arial"/>
          <w:bCs/>
          <w:sz w:val="28"/>
          <w:szCs w:val="28"/>
        </w:rPr>
        <w:t>En efecto, tal como se observa de las manifestaciones vertidas en los escritos en comento, las referidas persona</w:t>
      </w:r>
      <w:r w:rsidR="00494710" w:rsidRPr="00F32542">
        <w:rPr>
          <w:rFonts w:ascii="Arial" w:eastAsia="Calibri" w:hAnsi="Arial" w:cs="Arial"/>
          <w:bCs/>
          <w:sz w:val="28"/>
          <w:szCs w:val="28"/>
        </w:rPr>
        <w:t>s</w:t>
      </w:r>
      <w:r w:rsidRPr="00F32542">
        <w:rPr>
          <w:rFonts w:ascii="Arial" w:eastAsia="Calibri" w:hAnsi="Arial" w:cs="Arial"/>
          <w:bCs/>
          <w:sz w:val="28"/>
          <w:szCs w:val="28"/>
        </w:rPr>
        <w:t xml:space="preserve"> no acuden ante esta instancia jurisdiccional para proporcionar elementos que permitan analizar de una mejor manera los asuntos que ahora se resuelven.</w:t>
      </w:r>
    </w:p>
    <w:p w14:paraId="1FE0AA7D" w14:textId="77777777" w:rsidR="001B7E4B" w:rsidRPr="00F32542" w:rsidRDefault="001B7E4B" w:rsidP="003D29D2">
      <w:pPr>
        <w:spacing w:after="0" w:line="360" w:lineRule="auto"/>
        <w:jc w:val="both"/>
        <w:rPr>
          <w:rFonts w:ascii="Arial" w:eastAsia="Calibri" w:hAnsi="Arial" w:cs="Arial"/>
          <w:bCs/>
          <w:sz w:val="28"/>
          <w:szCs w:val="28"/>
        </w:rPr>
      </w:pPr>
    </w:p>
    <w:p w14:paraId="08F94E1D" w14:textId="77777777" w:rsidR="001B7E4B" w:rsidRPr="00F32542" w:rsidRDefault="001B7E4B" w:rsidP="003D29D2">
      <w:pPr>
        <w:spacing w:after="0" w:line="360" w:lineRule="auto"/>
        <w:jc w:val="both"/>
        <w:rPr>
          <w:rFonts w:ascii="Arial" w:eastAsia="Calibri" w:hAnsi="Arial" w:cs="Arial"/>
          <w:bCs/>
          <w:sz w:val="28"/>
          <w:szCs w:val="28"/>
        </w:rPr>
      </w:pPr>
      <w:r w:rsidRPr="00F32542">
        <w:rPr>
          <w:rFonts w:ascii="Arial" w:eastAsia="Calibri" w:hAnsi="Arial" w:cs="Arial"/>
          <w:bCs/>
          <w:sz w:val="28"/>
          <w:szCs w:val="28"/>
        </w:rPr>
        <w:t xml:space="preserve">Por el contrario, ambas personas muestran un interés particular para que este órgano jurisdiccional resuelva en un sentido específico, demostrando que su pretensión es contraria —por lo que hace al Juicio de la Ciudadanía </w:t>
      </w:r>
      <w:r w:rsidRPr="00F32542">
        <w:rPr>
          <w:rFonts w:ascii="Arial" w:eastAsia="Calibri" w:hAnsi="Arial" w:cs="Arial"/>
          <w:b/>
          <w:sz w:val="28"/>
          <w:szCs w:val="28"/>
        </w:rPr>
        <w:t>TECDMX-JLDC-088/2021</w:t>
      </w:r>
      <w:r w:rsidRPr="00F32542">
        <w:rPr>
          <w:rFonts w:ascii="Arial" w:eastAsia="Calibri" w:hAnsi="Arial" w:cs="Arial"/>
          <w:bCs/>
          <w:sz w:val="28"/>
          <w:szCs w:val="28"/>
        </w:rPr>
        <w:t xml:space="preserve">— o bien, coincidente —en el Juicio de la Ciudadanía </w:t>
      </w:r>
      <w:r w:rsidRPr="00F32542">
        <w:rPr>
          <w:rFonts w:ascii="Arial" w:eastAsia="Calibri" w:hAnsi="Arial" w:cs="Arial"/>
          <w:b/>
          <w:sz w:val="28"/>
          <w:szCs w:val="28"/>
        </w:rPr>
        <w:t>TECDMX-JLDC-097/2021</w:t>
      </w:r>
      <w:r w:rsidRPr="00F32542">
        <w:rPr>
          <w:rFonts w:ascii="Arial" w:eastAsia="Calibri" w:hAnsi="Arial" w:cs="Arial"/>
          <w:bCs/>
          <w:sz w:val="28"/>
          <w:szCs w:val="28"/>
        </w:rPr>
        <w:t xml:space="preserve">— con la de las </w:t>
      </w:r>
      <w:r w:rsidRPr="00F32542">
        <w:rPr>
          <w:rFonts w:ascii="Arial" w:eastAsia="Calibri" w:hAnsi="Arial" w:cs="Arial"/>
          <w:bCs/>
          <w:i/>
          <w:iCs/>
          <w:sz w:val="28"/>
          <w:szCs w:val="28"/>
        </w:rPr>
        <w:t>partes actoras</w:t>
      </w:r>
      <w:r w:rsidRPr="00F32542">
        <w:rPr>
          <w:rFonts w:ascii="Arial" w:eastAsia="Calibri" w:hAnsi="Arial" w:cs="Arial"/>
          <w:bCs/>
          <w:sz w:val="28"/>
          <w:szCs w:val="28"/>
        </w:rPr>
        <w:t>.</w:t>
      </w:r>
    </w:p>
    <w:p w14:paraId="5F3653B3" w14:textId="77777777" w:rsidR="001B7E4B" w:rsidRPr="00F32542" w:rsidRDefault="001B7E4B" w:rsidP="003D29D2">
      <w:pPr>
        <w:spacing w:after="0" w:line="360" w:lineRule="auto"/>
        <w:jc w:val="both"/>
        <w:rPr>
          <w:rFonts w:ascii="Arial" w:eastAsia="Calibri" w:hAnsi="Arial" w:cs="Arial"/>
          <w:bCs/>
          <w:sz w:val="28"/>
          <w:szCs w:val="28"/>
        </w:rPr>
      </w:pPr>
    </w:p>
    <w:p w14:paraId="4235D777" w14:textId="77777777" w:rsidR="001B7E4B" w:rsidRPr="00F32542" w:rsidRDefault="001B7E4B" w:rsidP="003D29D2">
      <w:pPr>
        <w:spacing w:after="0" w:line="360" w:lineRule="auto"/>
        <w:jc w:val="both"/>
        <w:rPr>
          <w:rFonts w:ascii="Arial" w:eastAsia="Calibri" w:hAnsi="Arial" w:cs="Arial"/>
          <w:bCs/>
          <w:sz w:val="28"/>
          <w:szCs w:val="28"/>
        </w:rPr>
      </w:pPr>
      <w:r w:rsidRPr="00F32542">
        <w:rPr>
          <w:rFonts w:ascii="Arial" w:eastAsia="Calibri" w:hAnsi="Arial" w:cs="Arial"/>
          <w:bCs/>
          <w:sz w:val="28"/>
          <w:szCs w:val="28"/>
        </w:rPr>
        <w:t xml:space="preserve">Así es, en el caso del expediente </w:t>
      </w:r>
      <w:r w:rsidRPr="00F32542">
        <w:rPr>
          <w:rFonts w:ascii="Arial" w:eastAsia="Calibri" w:hAnsi="Arial" w:cs="Arial"/>
          <w:b/>
          <w:sz w:val="28"/>
          <w:szCs w:val="28"/>
        </w:rPr>
        <w:t>TECDMX-JLDC-088/2021</w:t>
      </w:r>
      <w:r w:rsidRPr="00F32542">
        <w:rPr>
          <w:rFonts w:ascii="Arial" w:eastAsia="Calibri" w:hAnsi="Arial" w:cs="Arial"/>
          <w:bCs/>
          <w:sz w:val="28"/>
          <w:szCs w:val="28"/>
        </w:rPr>
        <w:t xml:space="preserve">, la persona que comparece como </w:t>
      </w:r>
      <w:proofErr w:type="spellStart"/>
      <w:r w:rsidRPr="00F32542">
        <w:rPr>
          <w:rFonts w:ascii="Arial" w:eastAsia="Calibri" w:hAnsi="Arial" w:cs="Arial"/>
          <w:bCs/>
          <w:i/>
          <w:iCs/>
          <w:sz w:val="28"/>
          <w:szCs w:val="28"/>
        </w:rPr>
        <w:t>amicus</w:t>
      </w:r>
      <w:proofErr w:type="spellEnd"/>
      <w:r w:rsidRPr="00F32542">
        <w:rPr>
          <w:rFonts w:ascii="Arial" w:eastAsia="Calibri" w:hAnsi="Arial" w:cs="Arial"/>
          <w:bCs/>
          <w:i/>
          <w:iCs/>
          <w:sz w:val="28"/>
          <w:szCs w:val="28"/>
        </w:rPr>
        <w:t xml:space="preserve"> </w:t>
      </w:r>
      <w:proofErr w:type="spellStart"/>
      <w:r w:rsidRPr="00F32542">
        <w:rPr>
          <w:rFonts w:ascii="Arial" w:eastAsia="Calibri" w:hAnsi="Arial" w:cs="Arial"/>
          <w:bCs/>
          <w:i/>
          <w:iCs/>
          <w:sz w:val="28"/>
          <w:szCs w:val="28"/>
        </w:rPr>
        <w:t>curiae</w:t>
      </w:r>
      <w:proofErr w:type="spellEnd"/>
      <w:r w:rsidRPr="00F32542">
        <w:rPr>
          <w:rFonts w:ascii="Arial" w:eastAsia="Calibri" w:hAnsi="Arial" w:cs="Arial"/>
          <w:bCs/>
          <w:sz w:val="28"/>
          <w:szCs w:val="28"/>
        </w:rPr>
        <w:t xml:space="preserve"> tiene la intención de que no se le dé la razón a la </w:t>
      </w:r>
      <w:r w:rsidRPr="00F32542">
        <w:rPr>
          <w:rFonts w:ascii="Arial" w:eastAsia="Calibri" w:hAnsi="Arial" w:cs="Arial"/>
          <w:bCs/>
          <w:i/>
          <w:iCs/>
          <w:sz w:val="28"/>
          <w:szCs w:val="28"/>
        </w:rPr>
        <w:t>parte actora</w:t>
      </w:r>
      <w:r w:rsidRPr="00F32542">
        <w:rPr>
          <w:rFonts w:ascii="Arial" w:eastAsia="Calibri" w:hAnsi="Arial" w:cs="Arial"/>
          <w:bCs/>
          <w:sz w:val="28"/>
          <w:szCs w:val="28"/>
        </w:rPr>
        <w:t xml:space="preserve">, pues considera —básicamente— que su impugnación se basa en la solicitud de aplicar una norma estatutaria contraria a la </w:t>
      </w:r>
      <w:r w:rsidRPr="00F32542">
        <w:rPr>
          <w:rFonts w:ascii="Arial" w:eastAsia="Calibri" w:hAnsi="Arial" w:cs="Arial"/>
          <w:bCs/>
          <w:i/>
          <w:iCs/>
          <w:sz w:val="28"/>
          <w:szCs w:val="28"/>
        </w:rPr>
        <w:t>Constitución Federal</w:t>
      </w:r>
      <w:r w:rsidRPr="00F32542">
        <w:rPr>
          <w:rFonts w:ascii="Arial" w:eastAsia="Calibri" w:hAnsi="Arial" w:cs="Arial"/>
          <w:bCs/>
          <w:sz w:val="28"/>
          <w:szCs w:val="28"/>
        </w:rPr>
        <w:t xml:space="preserve">; mientras que en el caso del expediente </w:t>
      </w:r>
      <w:r w:rsidRPr="00F32542">
        <w:rPr>
          <w:rFonts w:ascii="Arial" w:eastAsia="Calibri" w:hAnsi="Arial" w:cs="Arial"/>
          <w:b/>
          <w:sz w:val="28"/>
          <w:szCs w:val="28"/>
        </w:rPr>
        <w:t>TECDMX-JLDC-097/2021</w:t>
      </w:r>
      <w:r w:rsidRPr="00F32542">
        <w:rPr>
          <w:rFonts w:ascii="Arial" w:eastAsia="Calibri" w:hAnsi="Arial" w:cs="Arial"/>
          <w:bCs/>
          <w:sz w:val="28"/>
          <w:szCs w:val="28"/>
        </w:rPr>
        <w:t xml:space="preserve">, quien pretende acudir en calidad de </w:t>
      </w:r>
      <w:proofErr w:type="spellStart"/>
      <w:r w:rsidRPr="00F32542">
        <w:rPr>
          <w:rFonts w:ascii="Arial" w:eastAsia="Calibri" w:hAnsi="Arial" w:cs="Arial"/>
          <w:bCs/>
          <w:i/>
          <w:iCs/>
          <w:sz w:val="28"/>
          <w:szCs w:val="28"/>
        </w:rPr>
        <w:t>amicus</w:t>
      </w:r>
      <w:proofErr w:type="spellEnd"/>
      <w:r w:rsidRPr="00F32542">
        <w:rPr>
          <w:rFonts w:ascii="Arial" w:eastAsia="Calibri" w:hAnsi="Arial" w:cs="Arial"/>
          <w:bCs/>
          <w:i/>
          <w:iCs/>
          <w:sz w:val="28"/>
          <w:szCs w:val="28"/>
        </w:rPr>
        <w:t xml:space="preserve"> </w:t>
      </w:r>
      <w:proofErr w:type="spellStart"/>
      <w:r w:rsidRPr="00F32542">
        <w:rPr>
          <w:rFonts w:ascii="Arial" w:eastAsia="Calibri" w:hAnsi="Arial" w:cs="Arial"/>
          <w:bCs/>
          <w:i/>
          <w:iCs/>
          <w:sz w:val="28"/>
          <w:szCs w:val="28"/>
        </w:rPr>
        <w:t>curiae</w:t>
      </w:r>
      <w:proofErr w:type="spellEnd"/>
      <w:r w:rsidRPr="00F32542">
        <w:rPr>
          <w:rFonts w:ascii="Arial" w:eastAsia="Calibri" w:hAnsi="Arial" w:cs="Arial"/>
          <w:bCs/>
          <w:sz w:val="28"/>
          <w:szCs w:val="28"/>
        </w:rPr>
        <w:t xml:space="preserve"> apoya expresamente a la </w:t>
      </w:r>
      <w:r w:rsidRPr="00F32542">
        <w:rPr>
          <w:rFonts w:ascii="Arial" w:eastAsia="Calibri" w:hAnsi="Arial" w:cs="Arial"/>
          <w:bCs/>
          <w:i/>
          <w:iCs/>
          <w:sz w:val="28"/>
          <w:szCs w:val="28"/>
        </w:rPr>
        <w:t>parte actora</w:t>
      </w:r>
      <w:r w:rsidRPr="00F32542">
        <w:rPr>
          <w:rFonts w:ascii="Arial" w:eastAsia="Calibri" w:hAnsi="Arial" w:cs="Arial"/>
          <w:bCs/>
          <w:sz w:val="28"/>
          <w:szCs w:val="28"/>
        </w:rPr>
        <w:t>, bajo el argumento de que el espacio dedicado a la diversidad “</w:t>
      </w:r>
      <w:r w:rsidRPr="00F32542">
        <w:rPr>
          <w:rFonts w:ascii="Arial" w:eastAsia="Calibri" w:hAnsi="Arial" w:cs="Arial"/>
          <w:bCs/>
          <w:i/>
          <w:iCs/>
          <w:sz w:val="28"/>
          <w:szCs w:val="28"/>
        </w:rPr>
        <w:t>sólo sería posible materializarse con un legislador como José Luis Rodríguez Díaz de León</w:t>
      </w:r>
      <w:r w:rsidRPr="00F32542">
        <w:rPr>
          <w:rFonts w:ascii="Arial" w:eastAsia="Calibri" w:hAnsi="Arial" w:cs="Arial"/>
          <w:bCs/>
          <w:sz w:val="28"/>
          <w:szCs w:val="28"/>
        </w:rPr>
        <w:t>”.</w:t>
      </w:r>
    </w:p>
    <w:p w14:paraId="2697B71D" w14:textId="77777777" w:rsidR="001B7E4B" w:rsidRPr="00F32542" w:rsidRDefault="001B7E4B" w:rsidP="003D29D2">
      <w:pPr>
        <w:spacing w:after="0" w:line="360" w:lineRule="auto"/>
        <w:jc w:val="both"/>
        <w:rPr>
          <w:rFonts w:ascii="Arial" w:eastAsia="Calibri" w:hAnsi="Arial" w:cs="Arial"/>
          <w:bCs/>
          <w:sz w:val="28"/>
          <w:szCs w:val="28"/>
        </w:rPr>
      </w:pPr>
    </w:p>
    <w:p w14:paraId="2558A6EF" w14:textId="77777777" w:rsidR="001B7E4B" w:rsidRPr="00F32542" w:rsidRDefault="001B7E4B" w:rsidP="003D29D2">
      <w:pPr>
        <w:spacing w:after="0" w:line="360" w:lineRule="auto"/>
        <w:jc w:val="both"/>
        <w:rPr>
          <w:rFonts w:ascii="Arial" w:eastAsia="Calibri" w:hAnsi="Arial" w:cs="Arial"/>
          <w:bCs/>
          <w:sz w:val="28"/>
          <w:szCs w:val="28"/>
        </w:rPr>
      </w:pPr>
      <w:r w:rsidRPr="00F32542">
        <w:rPr>
          <w:rFonts w:ascii="Arial" w:eastAsia="Calibri" w:hAnsi="Arial" w:cs="Arial"/>
          <w:bCs/>
          <w:sz w:val="28"/>
          <w:szCs w:val="28"/>
        </w:rPr>
        <w:t xml:space="preserve">De este modo, no es posible que esta autoridad jurisdiccional admita los escritos de </w:t>
      </w:r>
      <w:proofErr w:type="spellStart"/>
      <w:r w:rsidRPr="00F32542">
        <w:rPr>
          <w:rFonts w:ascii="Arial" w:eastAsia="Calibri" w:hAnsi="Arial" w:cs="Arial"/>
          <w:bCs/>
          <w:i/>
          <w:iCs/>
          <w:sz w:val="28"/>
          <w:szCs w:val="28"/>
        </w:rPr>
        <w:t>amicus</w:t>
      </w:r>
      <w:proofErr w:type="spellEnd"/>
      <w:r w:rsidRPr="00F32542">
        <w:rPr>
          <w:rFonts w:ascii="Arial" w:eastAsia="Calibri" w:hAnsi="Arial" w:cs="Arial"/>
          <w:bCs/>
          <w:i/>
          <w:iCs/>
          <w:sz w:val="28"/>
          <w:szCs w:val="28"/>
        </w:rPr>
        <w:t xml:space="preserve"> </w:t>
      </w:r>
      <w:proofErr w:type="spellStart"/>
      <w:r w:rsidRPr="00F32542">
        <w:rPr>
          <w:rFonts w:ascii="Arial" w:eastAsia="Calibri" w:hAnsi="Arial" w:cs="Arial"/>
          <w:bCs/>
          <w:i/>
          <w:iCs/>
          <w:sz w:val="28"/>
          <w:szCs w:val="28"/>
        </w:rPr>
        <w:t>curiae</w:t>
      </w:r>
      <w:proofErr w:type="spellEnd"/>
      <w:r w:rsidRPr="00F32542">
        <w:rPr>
          <w:rFonts w:ascii="Arial" w:eastAsia="Calibri" w:hAnsi="Arial" w:cs="Arial"/>
          <w:bCs/>
          <w:sz w:val="28"/>
          <w:szCs w:val="28"/>
        </w:rPr>
        <w:t xml:space="preserve">, pues lo contrario implicaría un efecto pernicioso, en el sentido de permitir la intervención de personas terceras ajenas con evidente pretensión similar o contraria a las de las </w:t>
      </w:r>
      <w:r w:rsidRPr="00F32542">
        <w:rPr>
          <w:rFonts w:ascii="Arial" w:eastAsia="Calibri" w:hAnsi="Arial" w:cs="Arial"/>
          <w:bCs/>
          <w:i/>
          <w:iCs/>
          <w:sz w:val="28"/>
          <w:szCs w:val="28"/>
        </w:rPr>
        <w:t>partes actoras</w:t>
      </w:r>
      <w:r w:rsidRPr="00F32542">
        <w:rPr>
          <w:rFonts w:ascii="Arial" w:eastAsia="Calibri" w:hAnsi="Arial" w:cs="Arial"/>
          <w:bCs/>
          <w:sz w:val="28"/>
          <w:szCs w:val="28"/>
        </w:rPr>
        <w:t xml:space="preserve">, en contravención al debido proceso regulado en la </w:t>
      </w:r>
      <w:r w:rsidRPr="00F32542">
        <w:rPr>
          <w:rFonts w:ascii="Arial" w:eastAsia="Calibri" w:hAnsi="Arial" w:cs="Arial"/>
          <w:bCs/>
          <w:i/>
          <w:iCs/>
          <w:sz w:val="28"/>
          <w:szCs w:val="28"/>
        </w:rPr>
        <w:t>CPEUM</w:t>
      </w:r>
      <w:r w:rsidRPr="00F32542">
        <w:rPr>
          <w:rFonts w:ascii="Arial" w:eastAsia="Calibri" w:hAnsi="Arial" w:cs="Arial"/>
          <w:bCs/>
          <w:sz w:val="28"/>
          <w:szCs w:val="28"/>
        </w:rPr>
        <w:t>.</w:t>
      </w:r>
    </w:p>
    <w:p w14:paraId="5508D8AB" w14:textId="77777777" w:rsidR="001B7E4B" w:rsidRPr="00F32542" w:rsidRDefault="001B7E4B" w:rsidP="003D29D2">
      <w:pPr>
        <w:spacing w:after="0" w:line="360" w:lineRule="auto"/>
        <w:jc w:val="both"/>
        <w:rPr>
          <w:rFonts w:ascii="Arial" w:eastAsia="Calibri" w:hAnsi="Arial" w:cs="Arial"/>
          <w:bCs/>
          <w:sz w:val="28"/>
          <w:szCs w:val="28"/>
        </w:rPr>
      </w:pPr>
    </w:p>
    <w:p w14:paraId="4F6CFAA7" w14:textId="77777777" w:rsidR="001B7E4B" w:rsidRPr="00F32542" w:rsidRDefault="001B7E4B" w:rsidP="003D29D2">
      <w:pPr>
        <w:spacing w:after="0" w:line="360" w:lineRule="auto"/>
        <w:jc w:val="both"/>
        <w:rPr>
          <w:rFonts w:ascii="Arial" w:eastAsia="Calibri" w:hAnsi="Arial" w:cs="Arial"/>
          <w:bCs/>
          <w:sz w:val="28"/>
          <w:szCs w:val="28"/>
        </w:rPr>
      </w:pPr>
      <w:r w:rsidRPr="00F32542">
        <w:rPr>
          <w:rFonts w:ascii="Arial" w:eastAsia="Calibri" w:hAnsi="Arial" w:cs="Arial"/>
          <w:bCs/>
          <w:sz w:val="28"/>
          <w:szCs w:val="28"/>
        </w:rPr>
        <w:t xml:space="preserve">Sin perderse de vista, que tanto Jesús Carmona Garibay como Amado Jonathan Hernández </w:t>
      </w:r>
      <w:proofErr w:type="spellStart"/>
      <w:r w:rsidRPr="00F32542">
        <w:rPr>
          <w:rFonts w:ascii="Arial" w:eastAsia="Calibri" w:hAnsi="Arial" w:cs="Arial"/>
          <w:bCs/>
          <w:sz w:val="28"/>
          <w:szCs w:val="28"/>
        </w:rPr>
        <w:t>Hernández</w:t>
      </w:r>
      <w:proofErr w:type="spellEnd"/>
      <w:r w:rsidRPr="00F32542">
        <w:rPr>
          <w:rFonts w:ascii="Arial" w:eastAsia="Calibri" w:hAnsi="Arial" w:cs="Arial"/>
          <w:bCs/>
          <w:sz w:val="28"/>
          <w:szCs w:val="28"/>
        </w:rPr>
        <w:t xml:space="preserve">, alegan diversas cuestiones que corresponden al estudio de fondo de la controversia, lo que </w:t>
      </w:r>
      <w:r w:rsidRPr="00F32542">
        <w:rPr>
          <w:rFonts w:ascii="Arial" w:eastAsia="Calibri" w:hAnsi="Arial" w:cs="Arial"/>
          <w:bCs/>
          <w:sz w:val="28"/>
          <w:szCs w:val="28"/>
        </w:rPr>
        <w:lastRenderedPageBreak/>
        <w:t>evidencia que las personas mencionadas no tienen como única finalidad comparecer para coadyuvar en la administración de justicia a la que este Tribunal está constreñido.</w:t>
      </w:r>
    </w:p>
    <w:p w14:paraId="22D8AD0A" w14:textId="77777777" w:rsidR="001B7E4B" w:rsidRPr="00F32542" w:rsidRDefault="001B7E4B" w:rsidP="003D29D2">
      <w:pPr>
        <w:spacing w:after="0" w:line="360" w:lineRule="auto"/>
        <w:jc w:val="both"/>
        <w:rPr>
          <w:rFonts w:ascii="Arial" w:eastAsia="Calibri" w:hAnsi="Arial" w:cs="Arial"/>
          <w:bCs/>
          <w:sz w:val="28"/>
          <w:szCs w:val="28"/>
        </w:rPr>
      </w:pPr>
    </w:p>
    <w:p w14:paraId="6D732056" w14:textId="77777777" w:rsidR="001B7E4B" w:rsidRPr="00F32542" w:rsidRDefault="001B7E4B" w:rsidP="003D29D2">
      <w:pPr>
        <w:spacing w:after="0" w:line="360" w:lineRule="auto"/>
        <w:jc w:val="both"/>
        <w:rPr>
          <w:rFonts w:ascii="Arial" w:eastAsia="Calibri" w:hAnsi="Arial" w:cs="Arial"/>
          <w:bCs/>
          <w:sz w:val="28"/>
          <w:szCs w:val="28"/>
        </w:rPr>
      </w:pPr>
      <w:r w:rsidRPr="00F32542">
        <w:rPr>
          <w:rFonts w:ascii="Arial" w:eastAsia="Calibri" w:hAnsi="Arial" w:cs="Arial"/>
          <w:bCs/>
          <w:sz w:val="28"/>
          <w:szCs w:val="28"/>
        </w:rPr>
        <w:t xml:space="preserve">Por ende, toda vez que los escritos presentados por las personas comparecientes no atienden de ninguna forma a la naturaleza jurídica de </w:t>
      </w:r>
      <w:proofErr w:type="spellStart"/>
      <w:r w:rsidRPr="00F32542">
        <w:rPr>
          <w:rFonts w:ascii="Arial" w:eastAsia="Calibri" w:hAnsi="Arial" w:cs="Arial"/>
          <w:bCs/>
          <w:i/>
          <w:iCs/>
          <w:sz w:val="28"/>
          <w:szCs w:val="28"/>
        </w:rPr>
        <w:t>amicus</w:t>
      </w:r>
      <w:proofErr w:type="spellEnd"/>
      <w:r w:rsidRPr="00F32542">
        <w:rPr>
          <w:rFonts w:ascii="Arial" w:eastAsia="Calibri" w:hAnsi="Arial" w:cs="Arial"/>
          <w:bCs/>
          <w:i/>
          <w:iCs/>
          <w:sz w:val="28"/>
          <w:szCs w:val="28"/>
        </w:rPr>
        <w:t xml:space="preserve"> </w:t>
      </w:r>
      <w:proofErr w:type="spellStart"/>
      <w:r w:rsidRPr="00F32542">
        <w:rPr>
          <w:rFonts w:ascii="Arial" w:eastAsia="Calibri" w:hAnsi="Arial" w:cs="Arial"/>
          <w:bCs/>
          <w:i/>
          <w:iCs/>
          <w:sz w:val="28"/>
          <w:szCs w:val="28"/>
        </w:rPr>
        <w:t>curiae</w:t>
      </w:r>
      <w:proofErr w:type="spellEnd"/>
      <w:r w:rsidRPr="00F32542">
        <w:rPr>
          <w:rFonts w:ascii="Arial" w:eastAsia="Calibri" w:hAnsi="Arial" w:cs="Arial"/>
          <w:bCs/>
          <w:sz w:val="28"/>
          <w:szCs w:val="28"/>
        </w:rPr>
        <w:t xml:space="preserve">, lo procedente es declarar su improcedencia. </w:t>
      </w:r>
    </w:p>
    <w:p w14:paraId="74AC7CEC" w14:textId="77777777" w:rsidR="001B7E4B" w:rsidRPr="00F32542" w:rsidRDefault="001B7E4B" w:rsidP="003D29D2">
      <w:pPr>
        <w:spacing w:after="0" w:line="360" w:lineRule="auto"/>
        <w:jc w:val="both"/>
        <w:rPr>
          <w:rFonts w:ascii="Arial" w:eastAsia="Calibri" w:hAnsi="Arial" w:cs="Arial"/>
          <w:bCs/>
          <w:sz w:val="28"/>
          <w:szCs w:val="28"/>
        </w:rPr>
      </w:pPr>
    </w:p>
    <w:p w14:paraId="18416957" w14:textId="77777777" w:rsidR="001B7E4B" w:rsidRPr="00F32542" w:rsidRDefault="001B7E4B" w:rsidP="003D29D2">
      <w:pPr>
        <w:spacing w:after="0" w:line="360" w:lineRule="auto"/>
        <w:jc w:val="both"/>
        <w:rPr>
          <w:rFonts w:ascii="Arial" w:eastAsia="Calibri" w:hAnsi="Arial" w:cs="Arial"/>
          <w:bCs/>
          <w:sz w:val="28"/>
          <w:szCs w:val="28"/>
        </w:rPr>
      </w:pPr>
      <w:r w:rsidRPr="00F32542">
        <w:rPr>
          <w:rFonts w:ascii="Arial" w:eastAsia="Calibri" w:hAnsi="Arial" w:cs="Arial"/>
          <w:bCs/>
          <w:sz w:val="28"/>
          <w:szCs w:val="28"/>
        </w:rPr>
        <w:t>Con independencia de lo anterior, este medio de impugnación se resolverá bajo los principios que conforme a Derecho correspondan, y con base en las normas que resulten aplicables al caso concreto.</w:t>
      </w:r>
    </w:p>
    <w:p w14:paraId="2072EEF9" w14:textId="77777777" w:rsidR="00467906" w:rsidRPr="00F32542" w:rsidRDefault="00467906" w:rsidP="003D29D2">
      <w:pPr>
        <w:spacing w:after="0" w:line="360" w:lineRule="auto"/>
        <w:jc w:val="both"/>
        <w:rPr>
          <w:rFonts w:ascii="Arial" w:hAnsi="Arial" w:cs="Arial"/>
          <w:bCs/>
          <w:sz w:val="28"/>
          <w:szCs w:val="28"/>
        </w:rPr>
      </w:pPr>
    </w:p>
    <w:p w14:paraId="74467B0E" w14:textId="77777777" w:rsidR="00B45880" w:rsidRPr="00F32542" w:rsidRDefault="00BF2806" w:rsidP="003D29D2">
      <w:pPr>
        <w:pStyle w:val="Prrafodelista"/>
        <w:numPr>
          <w:ilvl w:val="0"/>
          <w:numId w:val="2"/>
        </w:numPr>
        <w:spacing w:line="360" w:lineRule="auto"/>
        <w:rPr>
          <w:rFonts w:ascii="Arial" w:hAnsi="Arial" w:cs="Arial"/>
          <w:b/>
          <w:szCs w:val="28"/>
        </w:rPr>
      </w:pPr>
      <w:r w:rsidRPr="00F32542">
        <w:rPr>
          <w:rFonts w:ascii="Arial" w:hAnsi="Arial" w:cs="Arial"/>
          <w:b/>
          <w:szCs w:val="28"/>
        </w:rPr>
        <w:t>Inelegibilidad de candidaturas.</w:t>
      </w:r>
    </w:p>
    <w:p w14:paraId="4EEBB58E" w14:textId="77777777" w:rsidR="00BF2806" w:rsidRPr="00F32542" w:rsidRDefault="00BF2806" w:rsidP="003D29D2">
      <w:pPr>
        <w:spacing w:after="0" w:line="360" w:lineRule="auto"/>
        <w:jc w:val="both"/>
        <w:rPr>
          <w:rFonts w:ascii="Arial" w:eastAsia="Times New Roman" w:hAnsi="Arial" w:cs="Arial"/>
          <w:sz w:val="28"/>
          <w:szCs w:val="28"/>
          <w:lang w:eastAsia="es-MX"/>
        </w:rPr>
      </w:pPr>
    </w:p>
    <w:p w14:paraId="43A0F0F6" w14:textId="77777777" w:rsidR="00BF2806" w:rsidRPr="00F32542" w:rsidRDefault="00BF2806" w:rsidP="003D29D2">
      <w:pPr>
        <w:spacing w:after="0" w:line="360" w:lineRule="auto"/>
        <w:jc w:val="both"/>
        <w:rPr>
          <w:rFonts w:ascii="Arial" w:eastAsia="Times New Roman" w:hAnsi="Arial" w:cs="Arial"/>
          <w:b/>
          <w:bCs/>
          <w:sz w:val="28"/>
          <w:szCs w:val="28"/>
          <w:lang w:eastAsia="es-MX"/>
        </w:rPr>
      </w:pPr>
      <w:bookmarkStart w:id="39" w:name="_Hlk78172455"/>
      <w:r w:rsidRPr="00F32542">
        <w:rPr>
          <w:rFonts w:ascii="Arial" w:hAnsi="Arial" w:cs="Arial"/>
          <w:b/>
          <w:bCs/>
          <w:sz w:val="28"/>
          <w:szCs w:val="28"/>
          <w:lang w:eastAsia="es-MX"/>
        </w:rPr>
        <w:t>TECDMX-JLDC-088/2021 (Mucio Israel Hernández Guerrero</w:t>
      </w:r>
      <w:r w:rsidR="00810942" w:rsidRPr="00F32542">
        <w:rPr>
          <w:rFonts w:ascii="Arial" w:hAnsi="Arial" w:cs="Arial"/>
          <w:b/>
          <w:bCs/>
          <w:sz w:val="28"/>
          <w:szCs w:val="28"/>
          <w:lang w:eastAsia="es-MX"/>
        </w:rPr>
        <w:t>)</w:t>
      </w:r>
    </w:p>
    <w:p w14:paraId="1048E82F" w14:textId="77777777" w:rsidR="00BF2806" w:rsidRPr="00F32542" w:rsidRDefault="00BF2806" w:rsidP="003D29D2">
      <w:pPr>
        <w:pStyle w:val="Prrafodelista"/>
        <w:spacing w:line="360" w:lineRule="auto"/>
        <w:ind w:left="720"/>
        <w:rPr>
          <w:rFonts w:ascii="Arial" w:hAnsi="Arial" w:cs="Arial"/>
          <w:b/>
          <w:bCs/>
          <w:szCs w:val="28"/>
          <w:lang w:eastAsia="es-MX"/>
        </w:rPr>
      </w:pPr>
    </w:p>
    <w:p w14:paraId="58000C3E" w14:textId="77777777" w:rsidR="00BF2806" w:rsidRPr="00F32542" w:rsidRDefault="00BF2806" w:rsidP="003D29D2">
      <w:pPr>
        <w:spacing w:after="0" w:line="360" w:lineRule="auto"/>
        <w:jc w:val="both"/>
        <w:rPr>
          <w:rFonts w:ascii="Arial" w:hAnsi="Arial" w:cs="Arial"/>
          <w:sz w:val="28"/>
          <w:szCs w:val="28"/>
          <w:lang w:eastAsia="es-MX"/>
        </w:rPr>
      </w:pPr>
      <w:r w:rsidRPr="00F32542">
        <w:rPr>
          <w:rFonts w:ascii="Arial" w:hAnsi="Arial" w:cs="Arial"/>
          <w:bCs/>
          <w:sz w:val="28"/>
          <w:szCs w:val="28"/>
        </w:rPr>
        <w:t xml:space="preserve">La </w:t>
      </w:r>
      <w:r w:rsidRPr="00F32542">
        <w:rPr>
          <w:rFonts w:ascii="Arial" w:hAnsi="Arial" w:cs="Arial"/>
          <w:bCs/>
          <w:i/>
          <w:iCs/>
          <w:sz w:val="28"/>
          <w:szCs w:val="28"/>
        </w:rPr>
        <w:t xml:space="preserve">demandante </w:t>
      </w:r>
      <w:r w:rsidRPr="00F32542">
        <w:rPr>
          <w:rFonts w:ascii="Arial" w:hAnsi="Arial" w:cs="Arial"/>
          <w:bCs/>
          <w:sz w:val="28"/>
          <w:szCs w:val="28"/>
        </w:rPr>
        <w:t xml:space="preserve">alega que </w:t>
      </w:r>
      <w:bookmarkStart w:id="40" w:name="_Hlk78536868"/>
      <w:r w:rsidRPr="00F32542">
        <w:rPr>
          <w:rFonts w:ascii="Arial" w:hAnsi="Arial" w:cs="Arial"/>
          <w:bCs/>
          <w:sz w:val="28"/>
          <w:szCs w:val="28"/>
        </w:rPr>
        <w:t>José Martín Padilla Sánchez</w:t>
      </w:r>
      <w:bookmarkEnd w:id="40"/>
      <w:r w:rsidRPr="00F32542">
        <w:rPr>
          <w:rFonts w:ascii="Arial" w:hAnsi="Arial" w:cs="Arial"/>
          <w:bCs/>
          <w:sz w:val="28"/>
          <w:szCs w:val="28"/>
        </w:rPr>
        <w:t xml:space="preserve">, ubicado en la novena posición de la lista definitiva de MORENA, es inelegible para ocupar una diputación por el principio de representación proporcional en la segunda legislatura del </w:t>
      </w:r>
      <w:r w:rsidRPr="00F32542">
        <w:rPr>
          <w:rFonts w:ascii="Arial" w:hAnsi="Arial" w:cs="Arial"/>
          <w:bCs/>
          <w:i/>
          <w:iCs/>
          <w:sz w:val="28"/>
          <w:szCs w:val="28"/>
        </w:rPr>
        <w:t>Congreso local</w:t>
      </w:r>
      <w:r w:rsidRPr="00F32542">
        <w:rPr>
          <w:rFonts w:ascii="Arial" w:hAnsi="Arial" w:cs="Arial"/>
          <w:bCs/>
          <w:sz w:val="28"/>
          <w:szCs w:val="28"/>
        </w:rPr>
        <w:t>.</w:t>
      </w:r>
    </w:p>
    <w:p w14:paraId="14E29712" w14:textId="77777777" w:rsidR="00BF2806" w:rsidRPr="00F32542" w:rsidRDefault="00BF2806" w:rsidP="003D29D2">
      <w:pPr>
        <w:spacing w:after="0" w:line="360" w:lineRule="auto"/>
        <w:rPr>
          <w:rFonts w:ascii="Arial" w:hAnsi="Arial" w:cs="Arial"/>
          <w:bCs/>
          <w:sz w:val="28"/>
          <w:szCs w:val="28"/>
        </w:rPr>
      </w:pPr>
    </w:p>
    <w:p w14:paraId="53CA3A45" w14:textId="77777777" w:rsidR="00BF2806" w:rsidRPr="00F32542" w:rsidRDefault="00BF2806" w:rsidP="003D29D2">
      <w:pPr>
        <w:spacing w:after="0" w:line="360" w:lineRule="auto"/>
        <w:jc w:val="both"/>
        <w:rPr>
          <w:rFonts w:ascii="Arial" w:hAnsi="Arial" w:cs="Arial"/>
          <w:sz w:val="28"/>
          <w:szCs w:val="28"/>
          <w:lang w:eastAsia="es-MX"/>
        </w:rPr>
      </w:pPr>
      <w:r w:rsidRPr="00F32542">
        <w:rPr>
          <w:rFonts w:ascii="Arial" w:hAnsi="Arial" w:cs="Arial"/>
          <w:bCs/>
          <w:sz w:val="28"/>
          <w:szCs w:val="28"/>
        </w:rPr>
        <w:t>Lo anterior, toda vez que dicha persona se desempeña actualmente como diputado electo bajo este principio, lo cual está prohibido de conformidad con el artículo 13 del Estatuto de MORENA, en el que se establece que “</w:t>
      </w:r>
      <w:r w:rsidRPr="00F32542">
        <w:rPr>
          <w:rFonts w:ascii="Arial" w:hAnsi="Arial" w:cs="Arial"/>
          <w:bCs/>
          <w:i/>
          <w:iCs/>
          <w:sz w:val="28"/>
          <w:szCs w:val="28"/>
        </w:rPr>
        <w:t>si el origen de un cargo de legislador es la vía plurinominal, no podrá postularse por la misma vía a ningún otro cargo de manera consecutiva</w:t>
      </w:r>
      <w:r w:rsidRPr="00F32542">
        <w:rPr>
          <w:rFonts w:ascii="Arial" w:hAnsi="Arial" w:cs="Arial"/>
          <w:bCs/>
          <w:sz w:val="28"/>
          <w:szCs w:val="28"/>
        </w:rPr>
        <w:t>”.</w:t>
      </w:r>
    </w:p>
    <w:p w14:paraId="102A53C4" w14:textId="77777777" w:rsidR="00BF2806" w:rsidRPr="00F32542" w:rsidRDefault="00BF2806" w:rsidP="003D29D2">
      <w:pPr>
        <w:pStyle w:val="Prrafodelista"/>
        <w:spacing w:line="360" w:lineRule="auto"/>
        <w:ind w:left="720"/>
        <w:rPr>
          <w:rFonts w:ascii="Arial" w:hAnsi="Arial" w:cs="Arial"/>
          <w:b/>
          <w:bCs/>
          <w:szCs w:val="28"/>
          <w:lang w:eastAsia="es-MX"/>
        </w:rPr>
      </w:pPr>
    </w:p>
    <w:p w14:paraId="42DC52DB" w14:textId="77777777" w:rsidR="00BF2806" w:rsidRPr="00F32542" w:rsidRDefault="00BF2806" w:rsidP="003D29D2">
      <w:pPr>
        <w:spacing w:after="0" w:line="360" w:lineRule="auto"/>
        <w:rPr>
          <w:rFonts w:ascii="Arial" w:hAnsi="Arial" w:cs="Arial"/>
          <w:b/>
          <w:bCs/>
          <w:sz w:val="28"/>
          <w:szCs w:val="28"/>
          <w:lang w:eastAsia="es-MX"/>
        </w:rPr>
      </w:pPr>
      <w:r w:rsidRPr="00F32542">
        <w:rPr>
          <w:rFonts w:ascii="Arial" w:hAnsi="Arial" w:cs="Arial"/>
          <w:b/>
          <w:bCs/>
          <w:sz w:val="28"/>
          <w:szCs w:val="28"/>
          <w:lang w:eastAsia="es-MX"/>
        </w:rPr>
        <w:t>TECDMX-JLDC-092/2021</w:t>
      </w:r>
      <w:r w:rsidR="00810942" w:rsidRPr="00F32542">
        <w:rPr>
          <w:rFonts w:ascii="Arial" w:hAnsi="Arial" w:cs="Arial"/>
          <w:b/>
          <w:bCs/>
          <w:sz w:val="28"/>
          <w:szCs w:val="28"/>
          <w:lang w:eastAsia="es-MX"/>
        </w:rPr>
        <w:t xml:space="preserve"> (Elizabeth Hernández Mateos)</w:t>
      </w:r>
    </w:p>
    <w:p w14:paraId="19636E6F" w14:textId="77777777" w:rsidR="00BF2806" w:rsidRPr="00F32542" w:rsidRDefault="00BF2806" w:rsidP="003D29D2">
      <w:pPr>
        <w:spacing w:after="0" w:line="360" w:lineRule="auto"/>
        <w:rPr>
          <w:rFonts w:ascii="Arial" w:hAnsi="Arial" w:cs="Arial"/>
          <w:b/>
          <w:bCs/>
          <w:sz w:val="28"/>
          <w:szCs w:val="28"/>
          <w:lang w:eastAsia="es-MX"/>
        </w:rPr>
      </w:pPr>
    </w:p>
    <w:p w14:paraId="169047C2" w14:textId="77777777" w:rsidR="00810942" w:rsidRPr="00F32542" w:rsidRDefault="00BF2806" w:rsidP="003D29D2">
      <w:pPr>
        <w:spacing w:after="0" w:line="360" w:lineRule="auto"/>
        <w:jc w:val="both"/>
        <w:rPr>
          <w:rFonts w:ascii="Arial" w:hAnsi="Arial" w:cs="Arial"/>
          <w:b/>
          <w:bCs/>
          <w:sz w:val="28"/>
          <w:szCs w:val="28"/>
          <w:lang w:eastAsia="es-MX"/>
        </w:rPr>
      </w:pPr>
      <w:r w:rsidRPr="00F32542">
        <w:rPr>
          <w:rFonts w:ascii="Arial" w:hAnsi="Arial" w:cs="Arial"/>
          <w:bCs/>
          <w:sz w:val="28"/>
          <w:szCs w:val="28"/>
        </w:rPr>
        <w:t xml:space="preserve">La </w:t>
      </w:r>
      <w:r w:rsidRPr="00F32542">
        <w:rPr>
          <w:rFonts w:ascii="Arial" w:hAnsi="Arial" w:cs="Arial"/>
          <w:bCs/>
          <w:i/>
          <w:iCs/>
          <w:sz w:val="28"/>
          <w:szCs w:val="28"/>
        </w:rPr>
        <w:t>parte demandante</w:t>
      </w:r>
      <w:r w:rsidRPr="00F32542">
        <w:rPr>
          <w:rFonts w:ascii="Arial" w:hAnsi="Arial" w:cs="Arial"/>
          <w:bCs/>
          <w:sz w:val="28"/>
          <w:szCs w:val="28"/>
        </w:rPr>
        <w:t xml:space="preserve"> manifiesta que el </w:t>
      </w:r>
      <w:r w:rsidRPr="00F32542">
        <w:rPr>
          <w:rFonts w:ascii="Arial" w:hAnsi="Arial" w:cs="Arial"/>
          <w:bCs/>
          <w:i/>
          <w:iCs/>
          <w:sz w:val="28"/>
          <w:szCs w:val="28"/>
        </w:rPr>
        <w:t>IECM</w:t>
      </w:r>
      <w:r w:rsidRPr="00F32542">
        <w:rPr>
          <w:rFonts w:ascii="Arial" w:hAnsi="Arial" w:cs="Arial"/>
          <w:bCs/>
          <w:sz w:val="28"/>
          <w:szCs w:val="28"/>
        </w:rPr>
        <w:t xml:space="preserve"> fue omiso en observar lo previsto en el artículo 22 del </w:t>
      </w:r>
      <w:r w:rsidRPr="00F32542">
        <w:rPr>
          <w:rFonts w:ascii="Arial" w:hAnsi="Arial" w:cs="Arial"/>
          <w:bCs/>
          <w:i/>
          <w:iCs/>
          <w:sz w:val="28"/>
          <w:szCs w:val="28"/>
        </w:rPr>
        <w:t>Código Electoral</w:t>
      </w:r>
      <w:r w:rsidRPr="00F32542">
        <w:rPr>
          <w:rFonts w:ascii="Arial" w:hAnsi="Arial" w:cs="Arial"/>
          <w:bCs/>
          <w:sz w:val="28"/>
          <w:szCs w:val="28"/>
        </w:rPr>
        <w:t xml:space="preserve">, en el cual se prevé que los partidos políticos podrán registrar hasta cinco fórmulas de candidaturas al </w:t>
      </w:r>
      <w:r w:rsidRPr="00F32542">
        <w:rPr>
          <w:rFonts w:ascii="Arial" w:hAnsi="Arial" w:cs="Arial"/>
          <w:bCs/>
          <w:i/>
          <w:iCs/>
          <w:sz w:val="28"/>
          <w:szCs w:val="28"/>
        </w:rPr>
        <w:t>Congreso</w:t>
      </w:r>
      <w:r w:rsidRPr="00F32542">
        <w:rPr>
          <w:rFonts w:ascii="Arial" w:hAnsi="Arial" w:cs="Arial"/>
          <w:bCs/>
          <w:sz w:val="28"/>
          <w:szCs w:val="28"/>
        </w:rPr>
        <w:t xml:space="preserve"> que contiendan “</w:t>
      </w:r>
      <w:r w:rsidRPr="00F32542">
        <w:rPr>
          <w:rFonts w:ascii="Arial" w:hAnsi="Arial" w:cs="Arial"/>
          <w:bCs/>
          <w:i/>
          <w:iCs/>
          <w:sz w:val="28"/>
          <w:szCs w:val="28"/>
        </w:rPr>
        <w:t>simultáneamente</w:t>
      </w:r>
      <w:r w:rsidRPr="00F32542">
        <w:rPr>
          <w:rFonts w:ascii="Arial" w:hAnsi="Arial" w:cs="Arial"/>
          <w:bCs/>
          <w:sz w:val="28"/>
          <w:szCs w:val="28"/>
        </w:rPr>
        <w:t>” por los principios de mayoría relativa y representación proporcional; y que el lugar que deje vacante la fórmula asignada —al estar en una mejor posición— por el principio de representación proporcional, “</w:t>
      </w:r>
      <w:r w:rsidRPr="00F32542">
        <w:rPr>
          <w:rFonts w:ascii="Arial" w:hAnsi="Arial" w:cs="Arial"/>
          <w:bCs/>
          <w:i/>
          <w:iCs/>
          <w:sz w:val="28"/>
          <w:szCs w:val="28"/>
        </w:rPr>
        <w:t>será ocupado por la fórmula siguiente en el orden de prelación de la lista definitiva</w:t>
      </w:r>
      <w:r w:rsidRPr="00F32542">
        <w:rPr>
          <w:rFonts w:ascii="Arial" w:hAnsi="Arial" w:cs="Arial"/>
          <w:bCs/>
          <w:sz w:val="28"/>
          <w:szCs w:val="28"/>
        </w:rPr>
        <w:t xml:space="preserve">”. </w:t>
      </w:r>
    </w:p>
    <w:p w14:paraId="381D9021" w14:textId="77777777" w:rsidR="00810942" w:rsidRPr="00F32542" w:rsidRDefault="00810942" w:rsidP="003D29D2">
      <w:pPr>
        <w:spacing w:after="0" w:line="360" w:lineRule="auto"/>
        <w:jc w:val="both"/>
        <w:rPr>
          <w:rFonts w:ascii="Arial" w:hAnsi="Arial" w:cs="Arial"/>
          <w:b/>
          <w:bCs/>
          <w:sz w:val="28"/>
          <w:szCs w:val="28"/>
          <w:lang w:eastAsia="es-MX"/>
        </w:rPr>
      </w:pPr>
    </w:p>
    <w:p w14:paraId="612F13BC" w14:textId="77777777" w:rsidR="00810942" w:rsidRPr="00F32542" w:rsidRDefault="00BF2806" w:rsidP="003D29D2">
      <w:pPr>
        <w:spacing w:after="0" w:line="360" w:lineRule="auto"/>
        <w:jc w:val="both"/>
        <w:rPr>
          <w:rFonts w:ascii="Arial" w:hAnsi="Arial" w:cs="Arial"/>
          <w:b/>
          <w:bCs/>
          <w:sz w:val="28"/>
          <w:szCs w:val="28"/>
          <w:lang w:eastAsia="es-MX"/>
        </w:rPr>
      </w:pPr>
      <w:r w:rsidRPr="00F32542">
        <w:rPr>
          <w:rFonts w:ascii="Arial" w:hAnsi="Arial" w:cs="Arial"/>
          <w:bCs/>
          <w:sz w:val="28"/>
          <w:szCs w:val="28"/>
        </w:rPr>
        <w:t xml:space="preserve">En ese sentido, según la perspectiva de la </w:t>
      </w:r>
      <w:r w:rsidRPr="00F32542">
        <w:rPr>
          <w:rFonts w:ascii="Arial" w:hAnsi="Arial" w:cs="Arial"/>
          <w:bCs/>
          <w:i/>
          <w:iCs/>
          <w:sz w:val="28"/>
          <w:szCs w:val="28"/>
        </w:rPr>
        <w:t>parte inconforme</w:t>
      </w:r>
      <w:r w:rsidRPr="00F32542">
        <w:rPr>
          <w:rFonts w:ascii="Arial" w:hAnsi="Arial" w:cs="Arial"/>
          <w:bCs/>
          <w:sz w:val="28"/>
          <w:szCs w:val="28"/>
        </w:rPr>
        <w:t xml:space="preserve">, el </w:t>
      </w:r>
      <w:r w:rsidRPr="00F32542">
        <w:rPr>
          <w:rFonts w:ascii="Arial" w:hAnsi="Arial" w:cs="Arial"/>
          <w:bCs/>
          <w:i/>
          <w:iCs/>
          <w:sz w:val="28"/>
          <w:szCs w:val="28"/>
        </w:rPr>
        <w:t>Instituto Electoral</w:t>
      </w:r>
      <w:r w:rsidRPr="00F32542">
        <w:rPr>
          <w:rFonts w:ascii="Arial" w:hAnsi="Arial" w:cs="Arial"/>
          <w:bCs/>
          <w:sz w:val="28"/>
          <w:szCs w:val="28"/>
        </w:rPr>
        <w:t xml:space="preserve"> no acató lo ordenado en el artículo en cuestión, pues autorizó indebidamente el registro de Jesús Sesma Suárez —candidato postulado por el </w:t>
      </w:r>
      <w:r w:rsidRPr="00F32542">
        <w:rPr>
          <w:rFonts w:ascii="Arial" w:hAnsi="Arial" w:cs="Arial"/>
          <w:bCs/>
          <w:i/>
          <w:iCs/>
          <w:sz w:val="28"/>
          <w:szCs w:val="28"/>
        </w:rPr>
        <w:t>PVEM</w:t>
      </w:r>
      <w:r w:rsidRPr="00F32542">
        <w:rPr>
          <w:rFonts w:ascii="Arial" w:hAnsi="Arial" w:cs="Arial"/>
          <w:bCs/>
          <w:sz w:val="28"/>
          <w:szCs w:val="28"/>
        </w:rPr>
        <w:t xml:space="preserve"> por el principio de mayoría relativa— con dos personas sustitutas diferentes, una para la elección de las diputaciones por el principio de mayoría relativa —Javier Ramos Franco—, y otra para la elección de diputaciones por el principio de representación proporcional —Manuel </w:t>
      </w:r>
      <w:proofErr w:type="spellStart"/>
      <w:r w:rsidRPr="00F32542">
        <w:rPr>
          <w:rFonts w:ascii="Arial" w:hAnsi="Arial" w:cs="Arial"/>
          <w:bCs/>
          <w:sz w:val="28"/>
          <w:szCs w:val="28"/>
        </w:rPr>
        <w:t>Talayero</w:t>
      </w:r>
      <w:proofErr w:type="spellEnd"/>
      <w:r w:rsidRPr="00F32542">
        <w:rPr>
          <w:rFonts w:ascii="Arial" w:hAnsi="Arial" w:cs="Arial"/>
          <w:bCs/>
          <w:sz w:val="28"/>
          <w:szCs w:val="28"/>
        </w:rPr>
        <w:t xml:space="preserve"> Pariente—.</w:t>
      </w:r>
    </w:p>
    <w:p w14:paraId="6614F3A7" w14:textId="77777777" w:rsidR="00810942" w:rsidRPr="00F32542" w:rsidRDefault="00810942" w:rsidP="003D29D2">
      <w:pPr>
        <w:spacing w:after="0" w:line="360" w:lineRule="auto"/>
        <w:jc w:val="both"/>
        <w:rPr>
          <w:rFonts w:ascii="Arial" w:hAnsi="Arial" w:cs="Arial"/>
          <w:b/>
          <w:bCs/>
          <w:sz w:val="28"/>
          <w:szCs w:val="28"/>
          <w:lang w:eastAsia="es-MX"/>
        </w:rPr>
      </w:pPr>
    </w:p>
    <w:p w14:paraId="4CD43E23" w14:textId="77777777" w:rsidR="00810942" w:rsidRPr="00F32542" w:rsidRDefault="00BF2806" w:rsidP="003D29D2">
      <w:pPr>
        <w:spacing w:after="0" w:line="360" w:lineRule="auto"/>
        <w:jc w:val="both"/>
        <w:rPr>
          <w:rFonts w:ascii="Arial" w:hAnsi="Arial" w:cs="Arial"/>
          <w:b/>
          <w:bCs/>
          <w:sz w:val="28"/>
          <w:szCs w:val="28"/>
          <w:lang w:eastAsia="es-MX"/>
        </w:rPr>
      </w:pPr>
      <w:r w:rsidRPr="00F32542">
        <w:rPr>
          <w:rFonts w:ascii="Arial" w:hAnsi="Arial" w:cs="Arial"/>
          <w:bCs/>
          <w:sz w:val="28"/>
          <w:szCs w:val="28"/>
        </w:rPr>
        <w:t xml:space="preserve">Así las cosas, para la </w:t>
      </w:r>
      <w:r w:rsidRPr="00F32542">
        <w:rPr>
          <w:rFonts w:ascii="Arial" w:hAnsi="Arial" w:cs="Arial"/>
          <w:bCs/>
          <w:i/>
          <w:iCs/>
          <w:sz w:val="28"/>
          <w:szCs w:val="28"/>
        </w:rPr>
        <w:t>actora</w:t>
      </w:r>
      <w:r w:rsidRPr="00F32542">
        <w:rPr>
          <w:rFonts w:ascii="Arial" w:hAnsi="Arial" w:cs="Arial"/>
          <w:bCs/>
          <w:sz w:val="28"/>
          <w:szCs w:val="28"/>
        </w:rPr>
        <w:t xml:space="preserve"> resultó indebido que en el momento en que Jesús Sesma Suárez obtuvo el triunfo en la elección de diputaciones por el principio de mayoría relativa, su suplente en la candidatura por representación proporcional, o sea, Manuel </w:t>
      </w:r>
      <w:proofErr w:type="spellStart"/>
      <w:r w:rsidRPr="00F32542">
        <w:rPr>
          <w:rFonts w:ascii="Arial" w:hAnsi="Arial" w:cs="Arial"/>
          <w:bCs/>
          <w:sz w:val="28"/>
          <w:szCs w:val="28"/>
        </w:rPr>
        <w:t>Talayero</w:t>
      </w:r>
      <w:proofErr w:type="spellEnd"/>
      <w:r w:rsidRPr="00F32542">
        <w:rPr>
          <w:rFonts w:ascii="Arial" w:hAnsi="Arial" w:cs="Arial"/>
          <w:bCs/>
          <w:sz w:val="28"/>
          <w:szCs w:val="28"/>
        </w:rPr>
        <w:t xml:space="preserve"> Pariente, ocupara el lugar de aquél como candidato propietario en la elección de diputaciones plurinominales, cuando en realidad debió declararse desierta esa fórmula y darle prioridad a la que integraba la propia promovente.</w:t>
      </w:r>
    </w:p>
    <w:p w14:paraId="056090D9" w14:textId="77777777" w:rsidR="00810942" w:rsidRPr="00F32542" w:rsidRDefault="00810942" w:rsidP="003D29D2">
      <w:pPr>
        <w:spacing w:after="0" w:line="360" w:lineRule="auto"/>
        <w:jc w:val="both"/>
        <w:rPr>
          <w:rFonts w:ascii="Arial" w:hAnsi="Arial" w:cs="Arial"/>
          <w:b/>
          <w:bCs/>
          <w:sz w:val="28"/>
          <w:szCs w:val="28"/>
          <w:lang w:eastAsia="es-MX"/>
        </w:rPr>
      </w:pPr>
    </w:p>
    <w:p w14:paraId="64A176EC" w14:textId="77777777" w:rsidR="00810942" w:rsidRPr="00F32542" w:rsidRDefault="00810942" w:rsidP="003D29D2">
      <w:pPr>
        <w:spacing w:after="0" w:line="360" w:lineRule="auto"/>
        <w:jc w:val="both"/>
        <w:rPr>
          <w:rFonts w:ascii="Arial" w:hAnsi="Arial" w:cs="Arial"/>
          <w:b/>
          <w:bCs/>
          <w:sz w:val="28"/>
          <w:szCs w:val="28"/>
          <w:lang w:eastAsia="es-MX"/>
        </w:rPr>
      </w:pPr>
      <w:r w:rsidRPr="00F32542">
        <w:rPr>
          <w:rFonts w:ascii="Arial" w:hAnsi="Arial" w:cs="Arial"/>
          <w:b/>
          <w:bCs/>
          <w:sz w:val="28"/>
          <w:szCs w:val="28"/>
          <w:lang w:eastAsia="es-MX"/>
        </w:rPr>
        <w:t>Estudio de los anteriores planteamientos.</w:t>
      </w:r>
    </w:p>
    <w:p w14:paraId="215C2E60" w14:textId="77777777" w:rsidR="00810942" w:rsidRPr="00F32542" w:rsidRDefault="00810942" w:rsidP="003D29D2">
      <w:pPr>
        <w:spacing w:after="0" w:line="360" w:lineRule="auto"/>
        <w:jc w:val="both"/>
        <w:rPr>
          <w:rFonts w:ascii="Arial" w:hAnsi="Arial" w:cs="Arial"/>
          <w:bCs/>
          <w:sz w:val="28"/>
          <w:szCs w:val="28"/>
        </w:rPr>
      </w:pPr>
    </w:p>
    <w:p w14:paraId="686BEF44" w14:textId="77777777" w:rsidR="00BF2806" w:rsidRPr="00F32542" w:rsidRDefault="00810942" w:rsidP="003D29D2">
      <w:pPr>
        <w:spacing w:after="0" w:line="360" w:lineRule="auto"/>
        <w:jc w:val="both"/>
        <w:rPr>
          <w:rFonts w:ascii="Arial" w:hAnsi="Arial" w:cs="Arial"/>
          <w:bCs/>
          <w:sz w:val="28"/>
          <w:szCs w:val="28"/>
        </w:rPr>
      </w:pPr>
      <w:r w:rsidRPr="00F32542">
        <w:rPr>
          <w:rFonts w:ascii="Arial" w:eastAsia="Calibri" w:hAnsi="Arial" w:cs="Arial"/>
          <w:sz w:val="28"/>
          <w:szCs w:val="28"/>
        </w:rPr>
        <w:t>L</w:t>
      </w:r>
      <w:r w:rsidR="00BF2806" w:rsidRPr="00F32542">
        <w:rPr>
          <w:rFonts w:ascii="Arial" w:eastAsia="Calibri" w:hAnsi="Arial" w:cs="Arial"/>
          <w:sz w:val="28"/>
          <w:szCs w:val="28"/>
        </w:rPr>
        <w:t xml:space="preserve">a </w:t>
      </w:r>
      <w:r w:rsidR="00BF2806" w:rsidRPr="00F32542">
        <w:rPr>
          <w:rFonts w:ascii="Arial" w:eastAsia="Calibri" w:hAnsi="Arial" w:cs="Arial"/>
          <w:b/>
          <w:sz w:val="28"/>
          <w:szCs w:val="28"/>
        </w:rPr>
        <w:t xml:space="preserve">pretensión </w:t>
      </w:r>
      <w:r w:rsidR="00BF2806" w:rsidRPr="00F32542">
        <w:rPr>
          <w:rFonts w:ascii="Arial" w:eastAsia="Calibri" w:hAnsi="Arial" w:cs="Arial"/>
          <w:sz w:val="28"/>
          <w:szCs w:val="28"/>
        </w:rPr>
        <w:t xml:space="preserve">de las </w:t>
      </w:r>
      <w:r w:rsidR="00BF2806" w:rsidRPr="00F32542">
        <w:rPr>
          <w:rFonts w:ascii="Arial" w:eastAsia="Calibri" w:hAnsi="Arial" w:cs="Arial"/>
          <w:i/>
          <w:sz w:val="28"/>
          <w:szCs w:val="28"/>
        </w:rPr>
        <w:t>demandantes</w:t>
      </w:r>
      <w:r w:rsidR="00BF2806" w:rsidRPr="00F32542">
        <w:rPr>
          <w:rFonts w:ascii="Arial" w:eastAsia="Calibri" w:hAnsi="Arial" w:cs="Arial"/>
          <w:iCs/>
          <w:sz w:val="28"/>
          <w:szCs w:val="28"/>
        </w:rPr>
        <w:t>, respectivamente,</w:t>
      </w:r>
      <w:r w:rsidR="00BF2806" w:rsidRPr="00F32542">
        <w:rPr>
          <w:rFonts w:ascii="Arial" w:eastAsia="Calibri" w:hAnsi="Arial" w:cs="Arial"/>
          <w:sz w:val="28"/>
          <w:szCs w:val="28"/>
        </w:rPr>
        <w:t xml:space="preserve"> </w:t>
      </w:r>
      <w:r w:rsidR="00BF2806" w:rsidRPr="00F32542">
        <w:rPr>
          <w:rFonts w:ascii="Arial" w:hAnsi="Arial" w:cs="Arial"/>
          <w:sz w:val="28"/>
          <w:szCs w:val="28"/>
        </w:rPr>
        <w:t xml:space="preserve">radica en que esta autoridad jurisdiccional </w:t>
      </w:r>
      <w:r w:rsidRPr="00F32542">
        <w:rPr>
          <w:rFonts w:ascii="Arial" w:hAnsi="Arial" w:cs="Arial"/>
          <w:bCs/>
          <w:sz w:val="28"/>
          <w:szCs w:val="28"/>
        </w:rPr>
        <w:t>modifique</w:t>
      </w:r>
      <w:r w:rsidR="00BF2806" w:rsidRPr="00F32542">
        <w:rPr>
          <w:rFonts w:ascii="Arial" w:hAnsi="Arial" w:cs="Arial"/>
          <w:bCs/>
          <w:sz w:val="28"/>
          <w:szCs w:val="28"/>
        </w:rPr>
        <w:t xml:space="preserve"> el </w:t>
      </w:r>
      <w:r w:rsidRPr="00F32542">
        <w:rPr>
          <w:rFonts w:ascii="Arial" w:eastAsia="Calibri" w:hAnsi="Arial" w:cs="Arial"/>
          <w:i/>
          <w:iCs/>
          <w:sz w:val="28"/>
          <w:szCs w:val="28"/>
        </w:rPr>
        <w:t>acuerdo impugnado</w:t>
      </w:r>
      <w:r w:rsidRPr="00F32542">
        <w:rPr>
          <w:rFonts w:ascii="Arial" w:eastAsia="Calibri" w:hAnsi="Arial" w:cs="Arial"/>
          <w:b/>
          <w:bCs/>
          <w:sz w:val="28"/>
          <w:szCs w:val="28"/>
        </w:rPr>
        <w:t xml:space="preserve">, </w:t>
      </w:r>
      <w:r w:rsidRPr="00F32542">
        <w:rPr>
          <w:rFonts w:ascii="Arial" w:eastAsia="Calibri" w:hAnsi="Arial" w:cs="Arial"/>
          <w:sz w:val="28"/>
          <w:szCs w:val="28"/>
        </w:rPr>
        <w:t>en la parte que interesa,</w:t>
      </w:r>
      <w:r w:rsidRPr="00F32542">
        <w:rPr>
          <w:rFonts w:ascii="Arial" w:eastAsia="Calibri" w:hAnsi="Arial" w:cs="Arial"/>
          <w:b/>
          <w:bCs/>
          <w:sz w:val="28"/>
          <w:szCs w:val="28"/>
        </w:rPr>
        <w:t xml:space="preserve"> </w:t>
      </w:r>
      <w:r w:rsidR="00BF2806" w:rsidRPr="00F32542">
        <w:rPr>
          <w:rFonts w:ascii="Arial" w:eastAsia="Calibri" w:hAnsi="Arial" w:cs="Arial"/>
          <w:sz w:val="28"/>
          <w:szCs w:val="28"/>
        </w:rPr>
        <w:t xml:space="preserve">y </w:t>
      </w:r>
      <w:r w:rsidR="00BF2806" w:rsidRPr="00F32542">
        <w:rPr>
          <w:rFonts w:ascii="Arial" w:hAnsi="Arial" w:cs="Arial"/>
          <w:sz w:val="28"/>
          <w:szCs w:val="28"/>
        </w:rPr>
        <w:t xml:space="preserve">declare la inelegibilidad de los ciudadanos </w:t>
      </w:r>
      <w:r w:rsidR="00BF2806" w:rsidRPr="00F32542">
        <w:rPr>
          <w:rFonts w:ascii="Arial" w:hAnsi="Arial" w:cs="Arial"/>
          <w:bCs/>
          <w:sz w:val="28"/>
          <w:szCs w:val="28"/>
        </w:rPr>
        <w:t xml:space="preserve">José Martín Padilla Sánchez y Manuel </w:t>
      </w:r>
      <w:proofErr w:type="spellStart"/>
      <w:r w:rsidR="00BF2806" w:rsidRPr="00F32542">
        <w:rPr>
          <w:rFonts w:ascii="Arial" w:hAnsi="Arial" w:cs="Arial"/>
          <w:bCs/>
          <w:sz w:val="28"/>
          <w:szCs w:val="28"/>
        </w:rPr>
        <w:t>Talayero</w:t>
      </w:r>
      <w:proofErr w:type="spellEnd"/>
      <w:r w:rsidR="00BF2806" w:rsidRPr="00F32542">
        <w:rPr>
          <w:rFonts w:ascii="Arial" w:hAnsi="Arial" w:cs="Arial"/>
          <w:bCs/>
          <w:sz w:val="28"/>
          <w:szCs w:val="28"/>
        </w:rPr>
        <w:t xml:space="preserve"> Pariente, como candidatos electos para ocupar una diputación por el principio de representación proporcional; lo anterior, con el objeto de que se declare la nulidad de </w:t>
      </w:r>
      <w:r w:rsidR="00AA6984" w:rsidRPr="00F32542">
        <w:rPr>
          <w:rFonts w:ascii="Arial" w:hAnsi="Arial" w:cs="Arial"/>
          <w:bCs/>
          <w:sz w:val="28"/>
          <w:szCs w:val="28"/>
        </w:rPr>
        <w:t>la elección de dichas candidaturas</w:t>
      </w:r>
      <w:r w:rsidR="00BF2806" w:rsidRPr="00F32542">
        <w:rPr>
          <w:rFonts w:ascii="Arial" w:hAnsi="Arial" w:cs="Arial"/>
          <w:bCs/>
          <w:sz w:val="28"/>
          <w:szCs w:val="28"/>
        </w:rPr>
        <w:t>.</w:t>
      </w:r>
    </w:p>
    <w:bookmarkEnd w:id="39"/>
    <w:p w14:paraId="0FC6EE1B" w14:textId="77777777" w:rsidR="00BF2806" w:rsidRPr="00F32542" w:rsidRDefault="00BF2806" w:rsidP="003D29D2">
      <w:pPr>
        <w:spacing w:after="0" w:line="360" w:lineRule="auto"/>
        <w:jc w:val="both"/>
        <w:rPr>
          <w:rFonts w:ascii="Arial" w:eastAsia="Calibri" w:hAnsi="Arial" w:cs="Arial"/>
          <w:sz w:val="28"/>
          <w:szCs w:val="28"/>
        </w:rPr>
      </w:pPr>
    </w:p>
    <w:p w14:paraId="5DA93296" w14:textId="77777777" w:rsidR="00AA6984" w:rsidRPr="00F32542" w:rsidRDefault="00BF2806" w:rsidP="003D29D2">
      <w:pPr>
        <w:spacing w:after="0" w:line="360" w:lineRule="auto"/>
        <w:contextualSpacing/>
        <w:jc w:val="both"/>
        <w:rPr>
          <w:rFonts w:ascii="Arial" w:eastAsia="Calibri" w:hAnsi="Arial" w:cs="Arial"/>
          <w:sz w:val="28"/>
          <w:szCs w:val="28"/>
        </w:rPr>
      </w:pPr>
      <w:r w:rsidRPr="00F32542">
        <w:rPr>
          <w:rFonts w:ascii="Arial" w:eastAsia="Calibri" w:hAnsi="Arial" w:cs="Arial"/>
          <w:sz w:val="28"/>
          <w:szCs w:val="28"/>
        </w:rPr>
        <w:t xml:space="preserve">Asimismo, la </w:t>
      </w:r>
      <w:r w:rsidRPr="00F32542">
        <w:rPr>
          <w:rFonts w:ascii="Arial" w:eastAsia="Calibri" w:hAnsi="Arial" w:cs="Arial"/>
          <w:b/>
          <w:sz w:val="28"/>
          <w:szCs w:val="28"/>
        </w:rPr>
        <w:t>causa de pedir</w:t>
      </w:r>
      <w:r w:rsidRPr="00F32542">
        <w:rPr>
          <w:rFonts w:ascii="Arial" w:eastAsia="Calibri" w:hAnsi="Arial" w:cs="Arial"/>
          <w:sz w:val="28"/>
          <w:szCs w:val="28"/>
        </w:rPr>
        <w:t xml:space="preserve"> la hacen consistir en el incumplimiento de los requisitos de elegibilidad de los candidatos ganadores de la elección.</w:t>
      </w:r>
    </w:p>
    <w:p w14:paraId="3F0687D9" w14:textId="77777777" w:rsidR="00AA6984" w:rsidRPr="00F32542" w:rsidRDefault="00AA6984" w:rsidP="003D29D2">
      <w:pPr>
        <w:spacing w:after="0" w:line="360" w:lineRule="auto"/>
        <w:contextualSpacing/>
        <w:jc w:val="both"/>
        <w:rPr>
          <w:rFonts w:ascii="Arial" w:eastAsia="Calibri" w:hAnsi="Arial" w:cs="Arial"/>
          <w:sz w:val="28"/>
          <w:szCs w:val="28"/>
        </w:rPr>
      </w:pPr>
    </w:p>
    <w:p w14:paraId="78966420" w14:textId="77777777" w:rsidR="00BF2806" w:rsidRPr="00F32542" w:rsidRDefault="00BF2806" w:rsidP="003D29D2">
      <w:pPr>
        <w:spacing w:after="0" w:line="360" w:lineRule="auto"/>
        <w:contextualSpacing/>
        <w:jc w:val="both"/>
        <w:rPr>
          <w:rFonts w:ascii="Arial" w:eastAsia="Calibri" w:hAnsi="Arial" w:cs="Arial"/>
          <w:sz w:val="28"/>
          <w:szCs w:val="28"/>
        </w:rPr>
      </w:pPr>
      <w:r w:rsidRPr="00F32542">
        <w:rPr>
          <w:rFonts w:ascii="Arial" w:hAnsi="Arial" w:cs="Arial"/>
          <w:b/>
          <w:sz w:val="28"/>
          <w:szCs w:val="28"/>
          <w:lang w:eastAsia="es-MX"/>
        </w:rPr>
        <w:t>Prohibición de reelección (TECDMX-JLDC-088/2021).</w:t>
      </w:r>
    </w:p>
    <w:p w14:paraId="3C8C06BA" w14:textId="77777777" w:rsidR="00BF2806" w:rsidRPr="00F32542" w:rsidRDefault="00BF2806" w:rsidP="003D29D2">
      <w:pPr>
        <w:spacing w:after="0" w:line="360" w:lineRule="auto"/>
        <w:jc w:val="both"/>
        <w:rPr>
          <w:rFonts w:ascii="Arial" w:hAnsi="Arial" w:cs="Arial"/>
          <w:bCs/>
          <w:sz w:val="28"/>
          <w:szCs w:val="28"/>
          <w:lang w:eastAsia="es-MX"/>
        </w:rPr>
      </w:pPr>
    </w:p>
    <w:p w14:paraId="62EAE503"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 xml:space="preserve">Resulta </w:t>
      </w:r>
      <w:r w:rsidRPr="00F32542">
        <w:rPr>
          <w:rFonts w:ascii="Arial" w:hAnsi="Arial" w:cs="Arial"/>
          <w:b/>
          <w:sz w:val="28"/>
          <w:szCs w:val="28"/>
          <w:lang w:eastAsia="es-MX"/>
        </w:rPr>
        <w:t>infundado</w:t>
      </w:r>
      <w:r w:rsidRPr="00F32542">
        <w:rPr>
          <w:rFonts w:ascii="Arial" w:hAnsi="Arial" w:cs="Arial"/>
          <w:bCs/>
          <w:sz w:val="28"/>
          <w:szCs w:val="28"/>
          <w:lang w:eastAsia="es-MX"/>
        </w:rPr>
        <w:t xml:space="preserve"> lo esgrimido por la </w:t>
      </w:r>
      <w:r w:rsidRPr="00F32542">
        <w:rPr>
          <w:rFonts w:ascii="Arial" w:hAnsi="Arial" w:cs="Arial"/>
          <w:bCs/>
          <w:i/>
          <w:iCs/>
          <w:sz w:val="28"/>
          <w:szCs w:val="28"/>
          <w:lang w:eastAsia="es-MX"/>
        </w:rPr>
        <w:t>parte actora</w:t>
      </w:r>
      <w:r w:rsidRPr="00F32542">
        <w:rPr>
          <w:rFonts w:ascii="Arial" w:hAnsi="Arial" w:cs="Arial"/>
          <w:bCs/>
          <w:sz w:val="28"/>
          <w:szCs w:val="28"/>
          <w:lang w:eastAsia="es-MX"/>
        </w:rPr>
        <w:t xml:space="preserve">, en el sentido de que si el artículo 13 del Estatuto de MORENA prohibía la reelección para quienes ocupan cargos electos por el principio de representación proporcional, entonces el </w:t>
      </w:r>
      <w:r w:rsidRPr="00F32542">
        <w:rPr>
          <w:rFonts w:ascii="Arial" w:hAnsi="Arial" w:cs="Arial"/>
          <w:bCs/>
          <w:i/>
          <w:iCs/>
          <w:sz w:val="28"/>
          <w:szCs w:val="28"/>
          <w:lang w:eastAsia="es-MX"/>
        </w:rPr>
        <w:t>IECM</w:t>
      </w:r>
      <w:r w:rsidRPr="00F32542">
        <w:rPr>
          <w:rFonts w:ascii="Arial" w:hAnsi="Arial" w:cs="Arial"/>
          <w:bCs/>
          <w:sz w:val="28"/>
          <w:szCs w:val="28"/>
          <w:lang w:eastAsia="es-MX"/>
        </w:rPr>
        <w:t xml:space="preserve"> debió declarar la inelegibilidad de José Martín Padilla Sánchez.</w:t>
      </w:r>
    </w:p>
    <w:p w14:paraId="68607CF4" w14:textId="77777777" w:rsidR="00BF2806" w:rsidRPr="00F32542" w:rsidRDefault="00BF2806" w:rsidP="003D29D2">
      <w:pPr>
        <w:spacing w:after="0" w:line="360" w:lineRule="auto"/>
        <w:jc w:val="both"/>
        <w:rPr>
          <w:rFonts w:ascii="Arial" w:hAnsi="Arial" w:cs="Arial"/>
          <w:bCs/>
          <w:sz w:val="28"/>
          <w:szCs w:val="28"/>
          <w:lang w:eastAsia="es-MX"/>
        </w:rPr>
      </w:pPr>
    </w:p>
    <w:p w14:paraId="58A686D0"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 xml:space="preserve">En principio, es importante transcribir el artículo estatutario que la </w:t>
      </w:r>
      <w:r w:rsidRPr="00F32542">
        <w:rPr>
          <w:rFonts w:ascii="Arial" w:hAnsi="Arial" w:cs="Arial"/>
          <w:bCs/>
          <w:i/>
          <w:iCs/>
          <w:sz w:val="28"/>
          <w:szCs w:val="28"/>
          <w:lang w:eastAsia="es-MX"/>
        </w:rPr>
        <w:t>demandante</w:t>
      </w:r>
      <w:r w:rsidRPr="00F32542">
        <w:rPr>
          <w:rFonts w:ascii="Arial" w:hAnsi="Arial" w:cs="Arial"/>
          <w:bCs/>
          <w:sz w:val="28"/>
          <w:szCs w:val="28"/>
          <w:lang w:eastAsia="es-MX"/>
        </w:rPr>
        <w:t xml:space="preserve"> considera debe aplicarse al caso concreto; a saber:</w:t>
      </w:r>
    </w:p>
    <w:p w14:paraId="078EC22B" w14:textId="77777777" w:rsidR="00BF2806" w:rsidRPr="00F32542" w:rsidRDefault="00BF2806" w:rsidP="003D29D2">
      <w:pPr>
        <w:spacing w:after="0" w:line="360" w:lineRule="auto"/>
        <w:jc w:val="both"/>
        <w:rPr>
          <w:rFonts w:ascii="Arial" w:hAnsi="Arial" w:cs="Arial"/>
          <w:bCs/>
          <w:sz w:val="28"/>
          <w:szCs w:val="28"/>
          <w:lang w:eastAsia="es-MX"/>
        </w:rPr>
      </w:pPr>
    </w:p>
    <w:p w14:paraId="0ABB8E9E" w14:textId="77777777" w:rsidR="00BF2806" w:rsidRPr="00F32542" w:rsidRDefault="00BF2806" w:rsidP="00BF2806">
      <w:pPr>
        <w:spacing w:after="0" w:line="240" w:lineRule="auto"/>
        <w:ind w:left="708" w:right="616"/>
        <w:jc w:val="both"/>
        <w:rPr>
          <w:rFonts w:ascii="Arial" w:hAnsi="Arial" w:cs="Arial"/>
          <w:bCs/>
          <w:sz w:val="24"/>
          <w:szCs w:val="24"/>
          <w:lang w:eastAsia="es-MX"/>
        </w:rPr>
      </w:pPr>
      <w:r w:rsidRPr="00F32542">
        <w:rPr>
          <w:rFonts w:ascii="Arial" w:hAnsi="Arial" w:cs="Arial"/>
          <w:sz w:val="24"/>
          <w:szCs w:val="24"/>
          <w:lang w:eastAsia="es-MX"/>
        </w:rPr>
        <w:t>“</w:t>
      </w:r>
      <w:r w:rsidRPr="00F32542">
        <w:rPr>
          <w:rFonts w:ascii="Arial" w:hAnsi="Arial" w:cs="Arial"/>
          <w:b/>
          <w:bCs/>
          <w:i/>
          <w:iCs/>
          <w:sz w:val="24"/>
          <w:szCs w:val="24"/>
          <w:lang w:eastAsia="es-MX"/>
        </w:rPr>
        <w:t>Artículo 13.</w:t>
      </w:r>
      <w:r w:rsidRPr="00F32542">
        <w:rPr>
          <w:rFonts w:ascii="Arial" w:hAnsi="Arial" w:cs="Arial"/>
          <w:bCs/>
          <w:i/>
          <w:iCs/>
          <w:sz w:val="24"/>
          <w:szCs w:val="24"/>
          <w:lang w:eastAsia="es-MX"/>
        </w:rPr>
        <w:t xml:space="preserve"> Si el origen de un cargo de legislador es la vía plurinominal, no podrá postularse por la misma vía a ningún otro cargo de manera consecutiva</w:t>
      </w:r>
      <w:r w:rsidRPr="00F32542">
        <w:rPr>
          <w:rFonts w:ascii="Arial" w:hAnsi="Arial" w:cs="Arial"/>
          <w:bCs/>
          <w:sz w:val="24"/>
          <w:szCs w:val="24"/>
          <w:lang w:eastAsia="es-MX"/>
        </w:rPr>
        <w:t>”.</w:t>
      </w:r>
    </w:p>
    <w:p w14:paraId="585AF034" w14:textId="77777777" w:rsidR="00BF2806" w:rsidRPr="00F32542" w:rsidRDefault="00BF2806" w:rsidP="003D29D2">
      <w:pPr>
        <w:spacing w:after="0" w:line="360" w:lineRule="auto"/>
        <w:jc w:val="both"/>
        <w:rPr>
          <w:rFonts w:ascii="Arial" w:hAnsi="Arial" w:cs="Arial"/>
          <w:bCs/>
          <w:sz w:val="28"/>
          <w:szCs w:val="28"/>
          <w:lang w:eastAsia="es-MX"/>
        </w:rPr>
      </w:pPr>
    </w:p>
    <w:p w14:paraId="33BDEC8F"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lastRenderedPageBreak/>
        <w:t xml:space="preserve">De lo transcrito, este órgano jurisdiccional advierte que, efectivamente, la norma estatutaria prohíbe la reelección para aquellas personas </w:t>
      </w:r>
      <w:proofErr w:type="gramStart"/>
      <w:r w:rsidRPr="00F32542">
        <w:rPr>
          <w:rFonts w:ascii="Arial" w:hAnsi="Arial" w:cs="Arial"/>
          <w:bCs/>
          <w:sz w:val="28"/>
          <w:szCs w:val="28"/>
          <w:lang w:eastAsia="es-MX"/>
        </w:rPr>
        <w:t>que</w:t>
      </w:r>
      <w:proofErr w:type="gramEnd"/>
      <w:r w:rsidRPr="00F32542">
        <w:rPr>
          <w:rFonts w:ascii="Arial" w:hAnsi="Arial" w:cs="Arial"/>
          <w:bCs/>
          <w:sz w:val="28"/>
          <w:szCs w:val="28"/>
          <w:lang w:eastAsia="es-MX"/>
        </w:rPr>
        <w:t xml:space="preserve"> al haber sido electas por el principio de representación proporcional, tengan la intención de postularse nuevamente para cualquier cargo de elección popular.</w:t>
      </w:r>
    </w:p>
    <w:p w14:paraId="1828F27C" w14:textId="77777777" w:rsidR="00BF2806" w:rsidRPr="00F32542" w:rsidRDefault="00BF2806" w:rsidP="003D29D2">
      <w:pPr>
        <w:spacing w:after="0" w:line="360" w:lineRule="auto"/>
        <w:jc w:val="both"/>
        <w:rPr>
          <w:rFonts w:ascii="Arial" w:hAnsi="Arial" w:cs="Arial"/>
          <w:bCs/>
          <w:sz w:val="28"/>
          <w:szCs w:val="28"/>
          <w:lang w:eastAsia="es-MX"/>
        </w:rPr>
      </w:pPr>
    </w:p>
    <w:p w14:paraId="75EB2BED"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 xml:space="preserve">Sin embargo, la </w:t>
      </w:r>
      <w:r w:rsidRPr="00F32542">
        <w:rPr>
          <w:rFonts w:ascii="Arial" w:hAnsi="Arial" w:cs="Arial"/>
          <w:bCs/>
          <w:i/>
          <w:iCs/>
          <w:sz w:val="28"/>
          <w:szCs w:val="28"/>
          <w:lang w:eastAsia="es-MX"/>
        </w:rPr>
        <w:t>demandante</w:t>
      </w:r>
      <w:r w:rsidRPr="00F32542">
        <w:rPr>
          <w:rFonts w:ascii="Arial" w:hAnsi="Arial" w:cs="Arial"/>
          <w:bCs/>
          <w:sz w:val="28"/>
          <w:szCs w:val="28"/>
          <w:lang w:eastAsia="es-MX"/>
        </w:rPr>
        <w:t xml:space="preserve"> parte de una premisa falsa al considerar que, por el mero hecho de que los Estatutos de MORENA establezcan esta prohibición, ello constreñía a la autoridad administrativa electoral para acatar la disposición contenida en ellos al momento de realizar las asignaciones de las diputaciones plurinominales del </w:t>
      </w:r>
      <w:r w:rsidRPr="00F32542">
        <w:rPr>
          <w:rFonts w:ascii="Arial" w:hAnsi="Arial" w:cs="Arial"/>
          <w:bCs/>
          <w:i/>
          <w:iCs/>
          <w:sz w:val="28"/>
          <w:szCs w:val="28"/>
          <w:lang w:eastAsia="es-MX"/>
        </w:rPr>
        <w:t>Congreso</w:t>
      </w:r>
      <w:r w:rsidRPr="00F32542">
        <w:rPr>
          <w:rFonts w:ascii="Arial" w:hAnsi="Arial" w:cs="Arial"/>
          <w:bCs/>
          <w:sz w:val="28"/>
          <w:szCs w:val="28"/>
          <w:lang w:eastAsia="es-MX"/>
        </w:rPr>
        <w:t>.</w:t>
      </w:r>
    </w:p>
    <w:p w14:paraId="5A011BBB" w14:textId="77777777" w:rsidR="00BF2806" w:rsidRPr="00F32542" w:rsidRDefault="00BF2806" w:rsidP="003D29D2">
      <w:pPr>
        <w:spacing w:after="0" w:line="360" w:lineRule="auto"/>
        <w:jc w:val="both"/>
        <w:rPr>
          <w:rFonts w:ascii="Arial" w:hAnsi="Arial" w:cs="Arial"/>
          <w:bCs/>
          <w:sz w:val="28"/>
          <w:szCs w:val="28"/>
          <w:lang w:eastAsia="es-MX"/>
        </w:rPr>
      </w:pPr>
    </w:p>
    <w:p w14:paraId="7791BFDA"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 xml:space="preserve">Sobre el particular, es importante señalar que en el sistema constitucional mexicano —en particular, en el artículo 133 de la </w:t>
      </w:r>
      <w:r w:rsidRPr="00F32542">
        <w:rPr>
          <w:rFonts w:ascii="Arial" w:hAnsi="Arial" w:cs="Arial"/>
          <w:bCs/>
          <w:i/>
          <w:iCs/>
          <w:sz w:val="28"/>
          <w:szCs w:val="28"/>
          <w:lang w:eastAsia="es-MX"/>
        </w:rPr>
        <w:t>Constitución Federal</w:t>
      </w:r>
      <w:r w:rsidRPr="00F32542">
        <w:rPr>
          <w:rFonts w:ascii="Arial" w:hAnsi="Arial" w:cs="Arial"/>
          <w:bCs/>
          <w:sz w:val="28"/>
          <w:szCs w:val="28"/>
          <w:lang w:eastAsia="es-MX"/>
        </w:rPr>
        <w:t xml:space="preserve">— está previsto el </w:t>
      </w:r>
      <w:r w:rsidRPr="00F32542">
        <w:rPr>
          <w:rFonts w:ascii="Arial" w:hAnsi="Arial" w:cs="Arial"/>
          <w:bCs/>
          <w:i/>
          <w:iCs/>
          <w:sz w:val="28"/>
          <w:szCs w:val="28"/>
          <w:lang w:eastAsia="es-MX"/>
        </w:rPr>
        <w:t>principio de jerarquía normativa</w:t>
      </w:r>
      <w:r w:rsidRPr="00F32542">
        <w:rPr>
          <w:rFonts w:ascii="Arial" w:hAnsi="Arial" w:cs="Arial"/>
          <w:bCs/>
          <w:sz w:val="28"/>
          <w:szCs w:val="28"/>
          <w:lang w:eastAsia="es-MX"/>
        </w:rPr>
        <w:t xml:space="preserve">, conforme al cual las normas de la </w:t>
      </w:r>
      <w:r w:rsidRPr="00F32542">
        <w:rPr>
          <w:rFonts w:ascii="Arial" w:hAnsi="Arial" w:cs="Arial"/>
          <w:bCs/>
          <w:i/>
          <w:iCs/>
          <w:sz w:val="28"/>
          <w:szCs w:val="28"/>
          <w:lang w:eastAsia="es-MX"/>
        </w:rPr>
        <w:t>CPEUM</w:t>
      </w:r>
      <w:r w:rsidRPr="00F32542">
        <w:rPr>
          <w:rFonts w:ascii="Arial" w:hAnsi="Arial" w:cs="Arial"/>
          <w:bCs/>
          <w:sz w:val="28"/>
          <w:szCs w:val="28"/>
          <w:lang w:eastAsia="es-MX"/>
        </w:rPr>
        <w:t>, las leyes que emanen de ella y todos los tratados internaciones que estén de acuerdo con aquélla, serán la Ley Suprema de toda la Unión.</w:t>
      </w:r>
    </w:p>
    <w:p w14:paraId="2D7A161E" w14:textId="77777777" w:rsidR="00BF2806" w:rsidRPr="00F32542" w:rsidRDefault="00BF2806" w:rsidP="003D29D2">
      <w:pPr>
        <w:spacing w:after="0" w:line="360" w:lineRule="auto"/>
        <w:jc w:val="both"/>
        <w:rPr>
          <w:rFonts w:ascii="Arial" w:hAnsi="Arial" w:cs="Arial"/>
          <w:bCs/>
          <w:sz w:val="28"/>
          <w:szCs w:val="28"/>
          <w:lang w:eastAsia="es-MX"/>
        </w:rPr>
      </w:pPr>
    </w:p>
    <w:p w14:paraId="3FAF438E"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 xml:space="preserve">En armonía con lo anterior, el artículo 1 constitucional prevé que todas las personas gozarán de los derechos humanos reconocidos en la </w:t>
      </w:r>
      <w:r w:rsidRPr="00F32542">
        <w:rPr>
          <w:rFonts w:ascii="Arial" w:hAnsi="Arial" w:cs="Arial"/>
          <w:bCs/>
          <w:i/>
          <w:iCs/>
          <w:sz w:val="28"/>
          <w:szCs w:val="28"/>
          <w:lang w:eastAsia="es-MX"/>
        </w:rPr>
        <w:t>Constitución Federal</w:t>
      </w:r>
      <w:r w:rsidRPr="00F32542">
        <w:rPr>
          <w:rFonts w:ascii="Arial" w:hAnsi="Arial" w:cs="Arial"/>
          <w:bCs/>
          <w:sz w:val="28"/>
          <w:szCs w:val="28"/>
          <w:lang w:eastAsia="es-MX"/>
        </w:rPr>
        <w:t xml:space="preserve"> y en los tratados internacionales en materia de derechos humanos celebrados por el Estado Mexicano, cuyo ejercicio no podrá restringirse ni suspenderse, salvo en casos y bajo las condiciones que la propia </w:t>
      </w:r>
      <w:r w:rsidRPr="00F32542">
        <w:rPr>
          <w:rFonts w:ascii="Arial" w:hAnsi="Arial" w:cs="Arial"/>
          <w:bCs/>
          <w:i/>
          <w:iCs/>
          <w:sz w:val="28"/>
          <w:szCs w:val="28"/>
          <w:lang w:eastAsia="es-MX"/>
        </w:rPr>
        <w:t>CPEUM</w:t>
      </w:r>
      <w:r w:rsidRPr="00F32542">
        <w:rPr>
          <w:rFonts w:ascii="Arial" w:hAnsi="Arial" w:cs="Arial"/>
          <w:bCs/>
          <w:sz w:val="28"/>
          <w:szCs w:val="28"/>
          <w:lang w:eastAsia="es-MX"/>
        </w:rPr>
        <w:t xml:space="preserve"> establezca.</w:t>
      </w:r>
    </w:p>
    <w:p w14:paraId="41BF8371" w14:textId="77777777" w:rsidR="00BF2806" w:rsidRPr="00F32542" w:rsidRDefault="00BF2806" w:rsidP="003D29D2">
      <w:pPr>
        <w:spacing w:after="0" w:line="360" w:lineRule="auto"/>
        <w:jc w:val="both"/>
        <w:rPr>
          <w:rFonts w:ascii="Arial" w:hAnsi="Arial" w:cs="Arial"/>
          <w:bCs/>
          <w:sz w:val="28"/>
          <w:szCs w:val="28"/>
          <w:lang w:eastAsia="es-MX"/>
        </w:rPr>
      </w:pPr>
    </w:p>
    <w:p w14:paraId="6B224C42"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 xml:space="preserve">Así las cosas, la Norma Fundamental y los tratados internacionales forman un verdadero bloque de regularidad constitucional y convencional, que establece los parámetros mínimos bajo los cuales </w:t>
      </w:r>
      <w:r w:rsidRPr="00F32542">
        <w:rPr>
          <w:rFonts w:ascii="Arial" w:hAnsi="Arial" w:cs="Arial"/>
          <w:bCs/>
          <w:sz w:val="28"/>
          <w:szCs w:val="28"/>
          <w:lang w:eastAsia="es-MX"/>
        </w:rPr>
        <w:lastRenderedPageBreak/>
        <w:t>deben regirse las actuaciones de cualquier autoridad administrativa o jurisdiccional.</w:t>
      </w:r>
    </w:p>
    <w:p w14:paraId="1DD46163" w14:textId="77777777" w:rsidR="00BF2806" w:rsidRPr="00F32542" w:rsidRDefault="00BF2806" w:rsidP="003D29D2">
      <w:pPr>
        <w:spacing w:after="0" w:line="360" w:lineRule="auto"/>
        <w:jc w:val="both"/>
        <w:rPr>
          <w:rFonts w:ascii="Arial" w:hAnsi="Arial" w:cs="Arial"/>
          <w:bCs/>
          <w:sz w:val="28"/>
          <w:szCs w:val="28"/>
          <w:lang w:eastAsia="es-MX"/>
        </w:rPr>
      </w:pPr>
    </w:p>
    <w:p w14:paraId="77A8CB88"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 xml:space="preserve">Ahora, de acuerdo con el artículo 122, apartado A, base II, párrafo tercero de la </w:t>
      </w:r>
      <w:r w:rsidRPr="00F32542">
        <w:rPr>
          <w:rFonts w:ascii="Arial" w:hAnsi="Arial" w:cs="Arial"/>
          <w:bCs/>
          <w:i/>
          <w:iCs/>
          <w:sz w:val="28"/>
          <w:szCs w:val="28"/>
          <w:lang w:eastAsia="es-MX"/>
        </w:rPr>
        <w:t>Constitución Federal</w:t>
      </w:r>
      <w:r w:rsidRPr="00F32542">
        <w:rPr>
          <w:rFonts w:ascii="Arial" w:hAnsi="Arial" w:cs="Arial"/>
          <w:bCs/>
          <w:sz w:val="28"/>
          <w:szCs w:val="28"/>
          <w:lang w:eastAsia="es-MX"/>
        </w:rPr>
        <w:t>, el ejercicio del Poder Legislativo en esta entidad federativa se deposita en la Legislatura de la Ciudad de México, la cual se integrará por personas electas mediante sufragio universal, libre y secreto y directo, según los principios de mayoría relativa y representación proporcional, y durarán en su encargo por un periodo de tres años.</w:t>
      </w:r>
    </w:p>
    <w:p w14:paraId="219525EE" w14:textId="77777777" w:rsidR="00BF2806" w:rsidRPr="00F32542" w:rsidRDefault="00BF2806" w:rsidP="003D29D2">
      <w:pPr>
        <w:spacing w:after="0" w:line="360" w:lineRule="auto"/>
        <w:jc w:val="both"/>
        <w:rPr>
          <w:rFonts w:ascii="Arial" w:hAnsi="Arial" w:cs="Arial"/>
          <w:bCs/>
          <w:sz w:val="28"/>
          <w:szCs w:val="28"/>
          <w:lang w:eastAsia="es-MX"/>
        </w:rPr>
      </w:pPr>
    </w:p>
    <w:p w14:paraId="71DCE94F"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 xml:space="preserve">Sobre este punto en particular, la propia norma constitucional ordena que la </w:t>
      </w:r>
      <w:r w:rsidRPr="00F32542">
        <w:rPr>
          <w:rFonts w:ascii="Arial" w:hAnsi="Arial" w:cs="Arial"/>
          <w:bCs/>
          <w:i/>
          <w:iCs/>
          <w:sz w:val="28"/>
          <w:szCs w:val="28"/>
          <w:lang w:eastAsia="es-MX"/>
        </w:rPr>
        <w:t>Constitución Local</w:t>
      </w:r>
      <w:r w:rsidRPr="00F32542">
        <w:rPr>
          <w:rFonts w:ascii="Arial" w:hAnsi="Arial" w:cs="Arial"/>
          <w:bCs/>
          <w:sz w:val="28"/>
          <w:szCs w:val="28"/>
          <w:lang w:eastAsia="es-MX"/>
        </w:rPr>
        <w:t xml:space="preserve"> establecerá que las personas diputadas al </w:t>
      </w:r>
      <w:r w:rsidRPr="00F32542">
        <w:rPr>
          <w:rFonts w:ascii="Arial" w:hAnsi="Arial" w:cs="Arial"/>
          <w:bCs/>
          <w:i/>
          <w:iCs/>
          <w:sz w:val="28"/>
          <w:szCs w:val="28"/>
          <w:lang w:eastAsia="es-MX"/>
        </w:rPr>
        <w:t>Congreso</w:t>
      </w:r>
      <w:r w:rsidRPr="00F32542">
        <w:rPr>
          <w:rFonts w:ascii="Arial" w:hAnsi="Arial" w:cs="Arial"/>
          <w:bCs/>
          <w:sz w:val="28"/>
          <w:szCs w:val="28"/>
          <w:lang w:eastAsia="es-MX"/>
        </w:rPr>
        <w:t xml:space="preserve"> podrán ser electos hasta por cuatro periodos consecutivos.</w:t>
      </w:r>
    </w:p>
    <w:p w14:paraId="42EF7156" w14:textId="77777777" w:rsidR="00BF2806" w:rsidRPr="00F32542" w:rsidRDefault="00BF2806" w:rsidP="003D29D2">
      <w:pPr>
        <w:spacing w:after="0" w:line="360" w:lineRule="auto"/>
        <w:jc w:val="both"/>
        <w:rPr>
          <w:rFonts w:ascii="Arial" w:hAnsi="Arial" w:cs="Arial"/>
          <w:bCs/>
          <w:sz w:val="28"/>
          <w:szCs w:val="28"/>
          <w:lang w:eastAsia="es-MX"/>
        </w:rPr>
      </w:pPr>
    </w:p>
    <w:p w14:paraId="76DBD0F9"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 xml:space="preserve">Por lo que hace a la </w:t>
      </w:r>
      <w:r w:rsidRPr="00F32542">
        <w:rPr>
          <w:rFonts w:ascii="Arial" w:hAnsi="Arial" w:cs="Arial"/>
          <w:bCs/>
          <w:i/>
          <w:iCs/>
          <w:sz w:val="28"/>
          <w:szCs w:val="28"/>
          <w:lang w:eastAsia="es-MX"/>
        </w:rPr>
        <w:t>Constitución Local</w:t>
      </w:r>
      <w:r w:rsidRPr="00F32542">
        <w:rPr>
          <w:rFonts w:ascii="Arial" w:hAnsi="Arial" w:cs="Arial"/>
          <w:bCs/>
          <w:sz w:val="28"/>
          <w:szCs w:val="28"/>
          <w:lang w:eastAsia="es-MX"/>
        </w:rPr>
        <w:t xml:space="preserve">, el artículo 29, apartado B, párrafo 3 dispone que las personas diputadas al </w:t>
      </w:r>
      <w:r w:rsidRPr="00F32542">
        <w:rPr>
          <w:rFonts w:ascii="Arial" w:hAnsi="Arial" w:cs="Arial"/>
          <w:bCs/>
          <w:i/>
          <w:iCs/>
          <w:sz w:val="28"/>
          <w:szCs w:val="28"/>
          <w:lang w:eastAsia="es-MX"/>
        </w:rPr>
        <w:t>Congreso</w:t>
      </w:r>
      <w:r w:rsidRPr="00F32542">
        <w:rPr>
          <w:rFonts w:ascii="Arial" w:hAnsi="Arial" w:cs="Arial"/>
          <w:bCs/>
          <w:sz w:val="28"/>
          <w:szCs w:val="28"/>
          <w:lang w:eastAsia="es-MX"/>
        </w:rPr>
        <w:t xml:space="preserve"> podrán ser reelectas, para lo cual, la postulación deberá ser realizada por el mismo partido o por cualquiera de los partidos integrantes de la coalición que los hubiera postulado, salvo que renuncien o pierden su militancia antes de su mandato.</w:t>
      </w:r>
    </w:p>
    <w:p w14:paraId="69ECCD67" w14:textId="77777777" w:rsidR="00BF2806" w:rsidRPr="00F32542" w:rsidRDefault="00BF2806" w:rsidP="003D29D2">
      <w:pPr>
        <w:spacing w:after="0" w:line="360" w:lineRule="auto"/>
        <w:jc w:val="both"/>
        <w:rPr>
          <w:rFonts w:ascii="Arial" w:hAnsi="Arial" w:cs="Arial"/>
          <w:bCs/>
          <w:sz w:val="28"/>
          <w:szCs w:val="28"/>
          <w:lang w:eastAsia="es-MX"/>
        </w:rPr>
      </w:pPr>
    </w:p>
    <w:p w14:paraId="3C90C674"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 xml:space="preserve">Aspecto que se replica en el artículo 12 del </w:t>
      </w:r>
      <w:r w:rsidRPr="00F32542">
        <w:rPr>
          <w:rFonts w:ascii="Arial" w:hAnsi="Arial" w:cs="Arial"/>
          <w:bCs/>
          <w:i/>
          <w:iCs/>
          <w:sz w:val="28"/>
          <w:szCs w:val="28"/>
          <w:lang w:eastAsia="es-MX"/>
        </w:rPr>
        <w:t>Código Electoral</w:t>
      </w:r>
      <w:r w:rsidRPr="00F32542">
        <w:rPr>
          <w:rFonts w:ascii="Arial" w:hAnsi="Arial" w:cs="Arial"/>
          <w:bCs/>
          <w:sz w:val="28"/>
          <w:szCs w:val="28"/>
          <w:lang w:eastAsia="es-MX"/>
        </w:rPr>
        <w:t xml:space="preserve">, que también permite la reelección de las personas diputadas que conforman el </w:t>
      </w:r>
      <w:r w:rsidRPr="00F32542">
        <w:rPr>
          <w:rFonts w:ascii="Arial" w:hAnsi="Arial" w:cs="Arial"/>
          <w:bCs/>
          <w:i/>
          <w:iCs/>
          <w:sz w:val="28"/>
          <w:szCs w:val="28"/>
          <w:lang w:eastAsia="es-MX"/>
        </w:rPr>
        <w:t>Congreso</w:t>
      </w:r>
      <w:r w:rsidRPr="00F32542">
        <w:rPr>
          <w:rFonts w:ascii="Arial" w:hAnsi="Arial" w:cs="Arial"/>
          <w:bCs/>
          <w:sz w:val="28"/>
          <w:szCs w:val="28"/>
          <w:lang w:eastAsia="es-MX"/>
        </w:rPr>
        <w:t>.</w:t>
      </w:r>
    </w:p>
    <w:p w14:paraId="191A2869" w14:textId="77777777" w:rsidR="00BF2806" w:rsidRPr="00F32542" w:rsidRDefault="00BF2806" w:rsidP="003D29D2">
      <w:pPr>
        <w:spacing w:after="0" w:line="360" w:lineRule="auto"/>
        <w:jc w:val="both"/>
        <w:rPr>
          <w:rFonts w:ascii="Arial" w:hAnsi="Arial" w:cs="Arial"/>
          <w:bCs/>
          <w:sz w:val="28"/>
          <w:szCs w:val="28"/>
          <w:lang w:eastAsia="es-MX"/>
        </w:rPr>
      </w:pPr>
    </w:p>
    <w:p w14:paraId="1B8CF693"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 xml:space="preserve">Así las cosas, como se dijo, </w:t>
      </w:r>
      <w:r w:rsidRPr="00F32542">
        <w:rPr>
          <w:rFonts w:ascii="Arial" w:hAnsi="Arial" w:cs="Arial"/>
          <w:b/>
          <w:sz w:val="28"/>
          <w:szCs w:val="28"/>
          <w:lang w:eastAsia="es-MX"/>
        </w:rPr>
        <w:t>no le asiste</w:t>
      </w:r>
      <w:r w:rsidRPr="00F32542">
        <w:rPr>
          <w:rFonts w:ascii="Arial" w:hAnsi="Arial" w:cs="Arial"/>
          <w:bCs/>
          <w:sz w:val="28"/>
          <w:szCs w:val="28"/>
          <w:lang w:eastAsia="es-MX"/>
        </w:rPr>
        <w:t xml:space="preserve"> la razón a la </w:t>
      </w:r>
      <w:r w:rsidRPr="00F32542">
        <w:rPr>
          <w:rFonts w:ascii="Arial" w:hAnsi="Arial" w:cs="Arial"/>
          <w:bCs/>
          <w:i/>
          <w:iCs/>
          <w:sz w:val="28"/>
          <w:szCs w:val="28"/>
          <w:lang w:eastAsia="es-MX"/>
        </w:rPr>
        <w:t>parte actora</w:t>
      </w:r>
      <w:r w:rsidRPr="00F32542">
        <w:rPr>
          <w:rFonts w:ascii="Arial" w:hAnsi="Arial" w:cs="Arial"/>
          <w:bCs/>
          <w:sz w:val="28"/>
          <w:szCs w:val="28"/>
          <w:lang w:eastAsia="es-MX"/>
        </w:rPr>
        <w:t xml:space="preserve"> al considerar que el </w:t>
      </w:r>
      <w:r w:rsidRPr="00F32542">
        <w:rPr>
          <w:rFonts w:ascii="Arial" w:hAnsi="Arial" w:cs="Arial"/>
          <w:bCs/>
          <w:i/>
          <w:iCs/>
          <w:sz w:val="28"/>
          <w:szCs w:val="28"/>
          <w:lang w:eastAsia="es-MX"/>
        </w:rPr>
        <w:t>Instituto Electoral</w:t>
      </w:r>
      <w:r w:rsidRPr="00F32542">
        <w:rPr>
          <w:rFonts w:ascii="Arial" w:hAnsi="Arial" w:cs="Arial"/>
          <w:bCs/>
          <w:sz w:val="28"/>
          <w:szCs w:val="28"/>
          <w:lang w:eastAsia="es-MX"/>
        </w:rPr>
        <w:t xml:space="preserve"> debió declarar la inelegibilidad de </w:t>
      </w:r>
      <w:r w:rsidRPr="00F32542">
        <w:rPr>
          <w:rFonts w:ascii="Arial" w:hAnsi="Arial" w:cs="Arial"/>
          <w:bCs/>
          <w:sz w:val="28"/>
          <w:szCs w:val="28"/>
          <w:lang w:eastAsia="es-MX"/>
        </w:rPr>
        <w:lastRenderedPageBreak/>
        <w:t>la persona cuestionada con base en lo previsto en el Estatuto de MORENA.</w:t>
      </w:r>
    </w:p>
    <w:p w14:paraId="09DC223F" w14:textId="77777777" w:rsidR="00BF2806" w:rsidRPr="00F32542" w:rsidRDefault="00BF2806" w:rsidP="003D29D2">
      <w:pPr>
        <w:spacing w:after="0" w:line="360" w:lineRule="auto"/>
        <w:jc w:val="both"/>
        <w:rPr>
          <w:rFonts w:ascii="Arial" w:hAnsi="Arial" w:cs="Arial"/>
          <w:bCs/>
          <w:sz w:val="28"/>
          <w:szCs w:val="28"/>
          <w:lang w:eastAsia="es-MX"/>
        </w:rPr>
      </w:pPr>
    </w:p>
    <w:p w14:paraId="5D1A913E"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 xml:space="preserve">Ello es así, porque para el </w:t>
      </w:r>
      <w:r w:rsidRPr="00F32542">
        <w:rPr>
          <w:rFonts w:ascii="Arial" w:hAnsi="Arial" w:cs="Arial"/>
          <w:bCs/>
          <w:i/>
          <w:iCs/>
          <w:sz w:val="28"/>
          <w:szCs w:val="28"/>
          <w:lang w:eastAsia="es-MX"/>
        </w:rPr>
        <w:t>Tribunal Electoral</w:t>
      </w:r>
      <w:r w:rsidRPr="00F32542">
        <w:rPr>
          <w:rFonts w:ascii="Arial" w:hAnsi="Arial" w:cs="Arial"/>
          <w:bCs/>
          <w:sz w:val="28"/>
          <w:szCs w:val="28"/>
          <w:lang w:eastAsia="es-MX"/>
        </w:rPr>
        <w:t xml:space="preserve"> es indudable que el marco constitucional y legal de la Ciudad de México permite que las personas diputadas puedan reelegirse, sin importar la forma en que accedieron a ese cargo; esto es, si lo hicieron por el principio de mayoría relativa, o por el principio de representación proporcional.</w:t>
      </w:r>
    </w:p>
    <w:p w14:paraId="5F42E6DE" w14:textId="77777777" w:rsidR="00BF2806" w:rsidRPr="00F32542" w:rsidRDefault="00BF2806" w:rsidP="003D29D2">
      <w:pPr>
        <w:spacing w:after="0" w:line="360" w:lineRule="auto"/>
        <w:jc w:val="both"/>
        <w:rPr>
          <w:rFonts w:ascii="Arial" w:hAnsi="Arial" w:cs="Arial"/>
          <w:bCs/>
          <w:sz w:val="28"/>
          <w:szCs w:val="28"/>
          <w:lang w:eastAsia="es-MX"/>
        </w:rPr>
      </w:pPr>
    </w:p>
    <w:p w14:paraId="249FA958"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 xml:space="preserve">Asumir una postura contraria, es decir, considerar que es válida la prohibición establecida en una norma estatutaria, no sólo implicaría una vulneración al </w:t>
      </w:r>
      <w:r w:rsidRPr="00F32542">
        <w:rPr>
          <w:rFonts w:ascii="Arial" w:hAnsi="Arial" w:cs="Arial"/>
          <w:bCs/>
          <w:i/>
          <w:iCs/>
          <w:sz w:val="28"/>
          <w:szCs w:val="28"/>
          <w:lang w:eastAsia="es-MX"/>
        </w:rPr>
        <w:t>principio de jerarquía normativa</w:t>
      </w:r>
      <w:r w:rsidRPr="00F32542">
        <w:rPr>
          <w:rFonts w:ascii="Arial" w:hAnsi="Arial" w:cs="Arial"/>
          <w:bCs/>
          <w:sz w:val="28"/>
          <w:szCs w:val="28"/>
          <w:lang w:eastAsia="es-MX"/>
        </w:rPr>
        <w:t>, sino también una restricción de los derechos fundamentales de las personas.</w:t>
      </w:r>
    </w:p>
    <w:p w14:paraId="1C304E84" w14:textId="77777777" w:rsidR="00BF2806" w:rsidRPr="00F32542" w:rsidRDefault="00BF2806" w:rsidP="003D29D2">
      <w:pPr>
        <w:spacing w:after="0" w:line="360" w:lineRule="auto"/>
        <w:jc w:val="both"/>
        <w:rPr>
          <w:rFonts w:ascii="Arial" w:hAnsi="Arial" w:cs="Arial"/>
          <w:bCs/>
          <w:sz w:val="28"/>
          <w:szCs w:val="28"/>
          <w:lang w:eastAsia="es-MX"/>
        </w:rPr>
      </w:pPr>
    </w:p>
    <w:p w14:paraId="0440E49D"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 xml:space="preserve">Por otro lado, este órgano jurisdiccional considera que aplicar el contenido del artículo 13 de los citados estatutos partidistas, en los términos pretendidos por la </w:t>
      </w:r>
      <w:r w:rsidRPr="00F32542">
        <w:rPr>
          <w:rFonts w:ascii="Arial" w:hAnsi="Arial" w:cs="Arial"/>
          <w:bCs/>
          <w:i/>
          <w:iCs/>
          <w:sz w:val="28"/>
          <w:szCs w:val="28"/>
          <w:lang w:eastAsia="es-MX"/>
        </w:rPr>
        <w:t>parte actora</w:t>
      </w:r>
      <w:r w:rsidRPr="00F32542">
        <w:rPr>
          <w:rFonts w:ascii="Arial" w:hAnsi="Arial" w:cs="Arial"/>
          <w:bCs/>
          <w:sz w:val="28"/>
          <w:szCs w:val="28"/>
          <w:lang w:eastAsia="es-MX"/>
        </w:rPr>
        <w:t>, implicaría una restricción excesiva al derecho al voto pasivo en su modalidad de elección consecutiva, respecto a las personas postuladas por MORENA como candidatas a una diputación.</w:t>
      </w:r>
    </w:p>
    <w:p w14:paraId="488F1986" w14:textId="77777777" w:rsidR="00BF2806" w:rsidRPr="00F32542" w:rsidRDefault="00BF2806" w:rsidP="003D29D2">
      <w:pPr>
        <w:spacing w:after="0" w:line="360" w:lineRule="auto"/>
        <w:jc w:val="both"/>
        <w:rPr>
          <w:rFonts w:ascii="Arial" w:hAnsi="Arial" w:cs="Arial"/>
          <w:bCs/>
          <w:sz w:val="28"/>
          <w:szCs w:val="28"/>
          <w:lang w:eastAsia="es-MX"/>
        </w:rPr>
      </w:pPr>
    </w:p>
    <w:p w14:paraId="34D31640"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 xml:space="preserve">Conclusión coincidente con lo explicado previamente, en cuanto a que el precepto estatutario en </w:t>
      </w:r>
      <w:proofErr w:type="gramStart"/>
      <w:r w:rsidRPr="00F32542">
        <w:rPr>
          <w:rFonts w:ascii="Arial" w:hAnsi="Arial" w:cs="Arial"/>
          <w:bCs/>
          <w:sz w:val="28"/>
          <w:szCs w:val="28"/>
          <w:lang w:eastAsia="es-MX"/>
        </w:rPr>
        <w:t>cuestión,</w:t>
      </w:r>
      <w:proofErr w:type="gramEnd"/>
      <w:r w:rsidRPr="00F32542">
        <w:rPr>
          <w:rFonts w:ascii="Arial" w:hAnsi="Arial" w:cs="Arial"/>
          <w:bCs/>
          <w:sz w:val="28"/>
          <w:szCs w:val="28"/>
          <w:lang w:eastAsia="es-MX"/>
        </w:rPr>
        <w:t xml:space="preserve"> impone una limitación que no encuentra respaldo a nivel constitucional.</w:t>
      </w:r>
    </w:p>
    <w:p w14:paraId="210976A9" w14:textId="77777777" w:rsidR="00BF2806" w:rsidRPr="00F32542" w:rsidRDefault="00BF2806" w:rsidP="003D29D2">
      <w:pPr>
        <w:spacing w:after="0" w:line="360" w:lineRule="auto"/>
        <w:jc w:val="both"/>
        <w:rPr>
          <w:rFonts w:ascii="Arial" w:hAnsi="Arial" w:cs="Arial"/>
          <w:bCs/>
          <w:sz w:val="28"/>
          <w:szCs w:val="28"/>
          <w:lang w:eastAsia="es-MX"/>
        </w:rPr>
      </w:pPr>
    </w:p>
    <w:p w14:paraId="0319E9F8"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 xml:space="preserve">Asimismo, este Tribunal advierte que, en todo caso, el precepto cuya aplicación pretende la </w:t>
      </w:r>
      <w:r w:rsidRPr="00F32542">
        <w:rPr>
          <w:rFonts w:ascii="Arial" w:hAnsi="Arial" w:cs="Arial"/>
          <w:bCs/>
          <w:i/>
          <w:iCs/>
          <w:sz w:val="28"/>
          <w:szCs w:val="28"/>
          <w:lang w:eastAsia="es-MX"/>
        </w:rPr>
        <w:t>demandante</w:t>
      </w:r>
      <w:r w:rsidRPr="00F32542">
        <w:rPr>
          <w:rFonts w:ascii="Arial" w:hAnsi="Arial" w:cs="Arial"/>
          <w:bCs/>
          <w:sz w:val="28"/>
          <w:szCs w:val="28"/>
          <w:lang w:eastAsia="es-MX"/>
        </w:rPr>
        <w:t xml:space="preserve">, tampoco atendería a los fines buscados con su previsión, consistente en evitar la perpetuación en los encargos públicos, tal como puede inferirse del artículo 3°, punto </w:t>
      </w:r>
      <w:r w:rsidRPr="00F32542">
        <w:rPr>
          <w:rFonts w:ascii="Arial" w:hAnsi="Arial" w:cs="Arial"/>
          <w:bCs/>
          <w:sz w:val="28"/>
          <w:szCs w:val="28"/>
          <w:lang w:eastAsia="es-MX"/>
        </w:rPr>
        <w:lastRenderedPageBreak/>
        <w:t>f., de los propios estatutos partidistas; ni por ende, sería necesaria para alcanzar dichos propósitos, al existir otras medidas posibles, válidas y menos restrictivas del derecho al voto de quienes tengan la intención de reelegirse bajo las siglas de MORENA.</w:t>
      </w:r>
    </w:p>
    <w:p w14:paraId="143187E4" w14:textId="77777777" w:rsidR="00BF2806" w:rsidRPr="00F32542" w:rsidRDefault="00BF2806" w:rsidP="003D29D2">
      <w:pPr>
        <w:spacing w:after="0" w:line="360" w:lineRule="auto"/>
        <w:jc w:val="both"/>
        <w:rPr>
          <w:rFonts w:ascii="Arial" w:hAnsi="Arial" w:cs="Arial"/>
          <w:bCs/>
          <w:sz w:val="28"/>
          <w:szCs w:val="28"/>
          <w:lang w:eastAsia="es-MX"/>
        </w:rPr>
      </w:pPr>
    </w:p>
    <w:p w14:paraId="4B370388"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 xml:space="preserve">Es más, acudir al artículo invocado como lo pide la </w:t>
      </w:r>
      <w:r w:rsidRPr="00F32542">
        <w:rPr>
          <w:rFonts w:ascii="Arial" w:hAnsi="Arial" w:cs="Arial"/>
          <w:bCs/>
          <w:i/>
          <w:iCs/>
          <w:sz w:val="28"/>
          <w:szCs w:val="28"/>
          <w:lang w:eastAsia="es-MX"/>
        </w:rPr>
        <w:t>parte actora</w:t>
      </w:r>
      <w:r w:rsidRPr="00F32542">
        <w:rPr>
          <w:rFonts w:ascii="Arial" w:hAnsi="Arial" w:cs="Arial"/>
          <w:bCs/>
          <w:sz w:val="28"/>
          <w:szCs w:val="28"/>
          <w:lang w:eastAsia="es-MX"/>
        </w:rPr>
        <w:t xml:space="preserve">, sería desproporcionado, al conferir sin justificación, un trato diferenciado a las personas legisladoras que fueron electas por el principio de representación proporcional en comparación con las electas por mayoría relativa, sacrificando así el ejercicio del derecho al voto pasivo de quienes buscan la reelección, en </w:t>
      </w:r>
      <w:proofErr w:type="spellStart"/>
      <w:r w:rsidRPr="00F32542">
        <w:rPr>
          <w:rFonts w:ascii="Arial" w:hAnsi="Arial" w:cs="Arial"/>
          <w:bCs/>
          <w:sz w:val="28"/>
          <w:szCs w:val="28"/>
          <w:lang w:eastAsia="es-MX"/>
        </w:rPr>
        <w:t>pos</w:t>
      </w:r>
      <w:proofErr w:type="spellEnd"/>
      <w:r w:rsidRPr="00F32542">
        <w:rPr>
          <w:rFonts w:ascii="Arial" w:hAnsi="Arial" w:cs="Arial"/>
          <w:bCs/>
          <w:sz w:val="28"/>
          <w:szCs w:val="28"/>
          <w:lang w:eastAsia="es-MX"/>
        </w:rPr>
        <w:t xml:space="preserve"> de una medida que termina por ser discriminadora. </w:t>
      </w:r>
    </w:p>
    <w:p w14:paraId="188F50C0" w14:textId="77777777" w:rsidR="00BF2806" w:rsidRPr="00F32542" w:rsidRDefault="00BF2806" w:rsidP="003D29D2">
      <w:pPr>
        <w:spacing w:after="0" w:line="360" w:lineRule="auto"/>
        <w:jc w:val="both"/>
        <w:rPr>
          <w:rFonts w:ascii="Arial" w:hAnsi="Arial" w:cs="Arial"/>
          <w:bCs/>
          <w:sz w:val="28"/>
          <w:szCs w:val="28"/>
          <w:lang w:eastAsia="es-MX"/>
        </w:rPr>
      </w:pPr>
    </w:p>
    <w:p w14:paraId="4D198F25"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 xml:space="preserve">Por ende, el agravio es </w:t>
      </w:r>
      <w:r w:rsidRPr="00F32542">
        <w:rPr>
          <w:rFonts w:ascii="Arial" w:hAnsi="Arial" w:cs="Arial"/>
          <w:b/>
          <w:sz w:val="28"/>
          <w:szCs w:val="28"/>
          <w:lang w:eastAsia="es-MX"/>
        </w:rPr>
        <w:t>infundado</w:t>
      </w:r>
      <w:r w:rsidRPr="00F32542">
        <w:rPr>
          <w:rFonts w:ascii="Arial" w:hAnsi="Arial" w:cs="Arial"/>
          <w:bCs/>
          <w:sz w:val="28"/>
          <w:szCs w:val="28"/>
          <w:lang w:eastAsia="es-MX"/>
        </w:rPr>
        <w:t>.</w:t>
      </w:r>
    </w:p>
    <w:p w14:paraId="68955D86" w14:textId="77777777" w:rsidR="00BF2806" w:rsidRPr="00F32542" w:rsidRDefault="00BF2806" w:rsidP="003D29D2">
      <w:pPr>
        <w:spacing w:after="0" w:line="360" w:lineRule="auto"/>
        <w:jc w:val="both"/>
        <w:rPr>
          <w:rFonts w:ascii="Arial" w:hAnsi="Arial" w:cs="Arial"/>
          <w:bCs/>
          <w:sz w:val="28"/>
          <w:szCs w:val="28"/>
          <w:lang w:eastAsia="es-MX"/>
        </w:rPr>
      </w:pPr>
    </w:p>
    <w:p w14:paraId="4531CAC6" w14:textId="77777777" w:rsidR="00BF2806" w:rsidRPr="00F32542" w:rsidRDefault="00BF2806" w:rsidP="003D29D2">
      <w:pPr>
        <w:spacing w:after="0" w:line="360" w:lineRule="auto"/>
        <w:jc w:val="both"/>
        <w:rPr>
          <w:rFonts w:ascii="Arial" w:hAnsi="Arial" w:cs="Arial"/>
          <w:b/>
          <w:sz w:val="28"/>
          <w:szCs w:val="28"/>
          <w:lang w:eastAsia="es-MX"/>
        </w:rPr>
      </w:pPr>
      <w:r w:rsidRPr="00F32542">
        <w:rPr>
          <w:rFonts w:ascii="Arial" w:hAnsi="Arial" w:cs="Arial"/>
          <w:b/>
          <w:sz w:val="28"/>
          <w:szCs w:val="28"/>
          <w:lang w:eastAsia="es-MX"/>
        </w:rPr>
        <w:t>Candidatura suplente (TECDMX-JLDC-092/2021).</w:t>
      </w:r>
    </w:p>
    <w:p w14:paraId="223CF9C1" w14:textId="77777777" w:rsidR="00BF2806" w:rsidRPr="00F32542" w:rsidRDefault="00BF2806" w:rsidP="003D29D2">
      <w:pPr>
        <w:spacing w:after="0" w:line="360" w:lineRule="auto"/>
        <w:jc w:val="both"/>
        <w:rPr>
          <w:rFonts w:ascii="Arial" w:hAnsi="Arial" w:cs="Arial"/>
          <w:bCs/>
          <w:sz w:val="28"/>
          <w:szCs w:val="28"/>
          <w:lang w:eastAsia="es-MX"/>
        </w:rPr>
      </w:pPr>
    </w:p>
    <w:p w14:paraId="18462334" w14:textId="77777777" w:rsidR="00BF2806" w:rsidRPr="00F32542" w:rsidRDefault="00BF2806" w:rsidP="003D29D2">
      <w:pPr>
        <w:spacing w:after="0" w:line="360" w:lineRule="auto"/>
        <w:jc w:val="both"/>
        <w:rPr>
          <w:rFonts w:ascii="Arial" w:hAnsi="Arial" w:cs="Arial"/>
          <w:bCs/>
          <w:sz w:val="28"/>
          <w:szCs w:val="28"/>
        </w:rPr>
      </w:pPr>
      <w:r w:rsidRPr="00F32542">
        <w:rPr>
          <w:rFonts w:ascii="Arial" w:hAnsi="Arial" w:cs="Arial"/>
          <w:bCs/>
          <w:sz w:val="28"/>
          <w:szCs w:val="28"/>
        </w:rPr>
        <w:t xml:space="preserve">La </w:t>
      </w:r>
      <w:r w:rsidRPr="00F32542">
        <w:rPr>
          <w:rFonts w:ascii="Arial" w:hAnsi="Arial" w:cs="Arial"/>
          <w:bCs/>
          <w:i/>
          <w:iCs/>
          <w:sz w:val="28"/>
          <w:szCs w:val="28"/>
        </w:rPr>
        <w:t>parte demandante</w:t>
      </w:r>
      <w:r w:rsidRPr="00F32542">
        <w:rPr>
          <w:rFonts w:ascii="Arial" w:hAnsi="Arial" w:cs="Arial"/>
          <w:bCs/>
          <w:sz w:val="28"/>
          <w:szCs w:val="28"/>
        </w:rPr>
        <w:t xml:space="preserve"> alega que la </w:t>
      </w:r>
      <w:r w:rsidRPr="00F32542">
        <w:rPr>
          <w:rFonts w:ascii="Arial" w:hAnsi="Arial" w:cs="Arial"/>
          <w:bCs/>
          <w:i/>
          <w:iCs/>
          <w:sz w:val="28"/>
          <w:szCs w:val="28"/>
        </w:rPr>
        <w:t>autoridad responsable</w:t>
      </w:r>
      <w:r w:rsidRPr="00F32542">
        <w:rPr>
          <w:rFonts w:ascii="Arial" w:hAnsi="Arial" w:cs="Arial"/>
          <w:bCs/>
          <w:sz w:val="28"/>
          <w:szCs w:val="28"/>
        </w:rPr>
        <w:t xml:space="preserve"> registró indebidamente a Jesús Sesma Suárez, pues permitió que éste participará en la elección de diputaciones por el principio de mayoría relativa y por el principio de representación proporcional con distintas personas suplentes; cuestión que, a la postre, le ocasionó un perjuicio a la enjuiciante, ya que en el momento en que aquel obtuvo el triunfo —junto a su candidato suplente— en la primera de las elecciones mencionadas, generó que Manuel </w:t>
      </w:r>
      <w:proofErr w:type="spellStart"/>
      <w:r w:rsidRPr="00F32542">
        <w:rPr>
          <w:rFonts w:ascii="Arial" w:hAnsi="Arial" w:cs="Arial"/>
          <w:bCs/>
          <w:sz w:val="28"/>
          <w:szCs w:val="28"/>
        </w:rPr>
        <w:t>Talayero</w:t>
      </w:r>
      <w:proofErr w:type="spellEnd"/>
      <w:r w:rsidRPr="00F32542">
        <w:rPr>
          <w:rFonts w:ascii="Arial" w:hAnsi="Arial" w:cs="Arial"/>
          <w:bCs/>
          <w:sz w:val="28"/>
          <w:szCs w:val="28"/>
        </w:rPr>
        <w:t xml:space="preserve"> Pariente —suplente en la segunda de las elecciones referidas— ocupara finalmente el cargo de diputado en el </w:t>
      </w:r>
      <w:r w:rsidRPr="00F32542">
        <w:rPr>
          <w:rFonts w:ascii="Arial" w:hAnsi="Arial" w:cs="Arial"/>
          <w:bCs/>
          <w:i/>
          <w:iCs/>
          <w:sz w:val="28"/>
          <w:szCs w:val="28"/>
        </w:rPr>
        <w:t>Congreso</w:t>
      </w:r>
      <w:r w:rsidR="00AA6984" w:rsidRPr="00F32542">
        <w:rPr>
          <w:rFonts w:ascii="Arial" w:hAnsi="Arial" w:cs="Arial"/>
          <w:bCs/>
          <w:i/>
          <w:iCs/>
          <w:sz w:val="28"/>
          <w:szCs w:val="28"/>
        </w:rPr>
        <w:t xml:space="preserve"> local</w:t>
      </w:r>
      <w:r w:rsidRPr="00F32542">
        <w:rPr>
          <w:rFonts w:ascii="Arial" w:hAnsi="Arial" w:cs="Arial"/>
          <w:bCs/>
          <w:sz w:val="28"/>
          <w:szCs w:val="28"/>
        </w:rPr>
        <w:t>.</w:t>
      </w:r>
    </w:p>
    <w:p w14:paraId="55C13D4F" w14:textId="77777777" w:rsidR="00BF2806" w:rsidRPr="00F32542" w:rsidRDefault="00BF2806" w:rsidP="003D29D2">
      <w:pPr>
        <w:spacing w:after="0" w:line="360" w:lineRule="auto"/>
        <w:jc w:val="both"/>
        <w:rPr>
          <w:rFonts w:ascii="Arial" w:hAnsi="Arial" w:cs="Arial"/>
          <w:bCs/>
          <w:sz w:val="28"/>
          <w:szCs w:val="28"/>
        </w:rPr>
      </w:pPr>
    </w:p>
    <w:p w14:paraId="7159DB1C" w14:textId="77777777" w:rsidR="00BF2806" w:rsidRPr="00F32542" w:rsidRDefault="00BF2806" w:rsidP="003D29D2">
      <w:pPr>
        <w:spacing w:after="0" w:line="360" w:lineRule="auto"/>
        <w:jc w:val="both"/>
        <w:rPr>
          <w:rFonts w:ascii="Arial" w:hAnsi="Arial" w:cs="Arial"/>
          <w:bCs/>
          <w:sz w:val="28"/>
          <w:szCs w:val="28"/>
        </w:rPr>
      </w:pPr>
      <w:r w:rsidRPr="00F32542">
        <w:rPr>
          <w:rFonts w:ascii="Arial" w:hAnsi="Arial" w:cs="Arial"/>
          <w:bCs/>
          <w:sz w:val="28"/>
          <w:szCs w:val="28"/>
        </w:rPr>
        <w:lastRenderedPageBreak/>
        <w:t xml:space="preserve">Al respecto, resulta </w:t>
      </w:r>
      <w:r w:rsidRPr="00F32542">
        <w:rPr>
          <w:rFonts w:ascii="Arial" w:hAnsi="Arial" w:cs="Arial"/>
          <w:b/>
          <w:sz w:val="28"/>
          <w:szCs w:val="28"/>
        </w:rPr>
        <w:t>infundado</w:t>
      </w:r>
      <w:r w:rsidRPr="00F32542">
        <w:rPr>
          <w:rFonts w:ascii="Arial" w:hAnsi="Arial" w:cs="Arial"/>
          <w:bCs/>
          <w:sz w:val="28"/>
          <w:szCs w:val="28"/>
        </w:rPr>
        <w:t xml:space="preserve"> lo expuesto por la </w:t>
      </w:r>
      <w:r w:rsidRPr="00F32542">
        <w:rPr>
          <w:rFonts w:ascii="Arial" w:hAnsi="Arial" w:cs="Arial"/>
          <w:bCs/>
          <w:i/>
          <w:iCs/>
          <w:sz w:val="28"/>
          <w:szCs w:val="28"/>
        </w:rPr>
        <w:t>demandante</w:t>
      </w:r>
      <w:r w:rsidRPr="00F32542">
        <w:rPr>
          <w:rFonts w:ascii="Arial" w:hAnsi="Arial" w:cs="Arial"/>
          <w:bCs/>
          <w:sz w:val="28"/>
          <w:szCs w:val="28"/>
        </w:rPr>
        <w:t>, tal como se explica a continuación.</w:t>
      </w:r>
    </w:p>
    <w:p w14:paraId="1F37B217" w14:textId="77777777" w:rsidR="00BF2806" w:rsidRPr="00F32542" w:rsidRDefault="00BF2806" w:rsidP="003D29D2">
      <w:pPr>
        <w:spacing w:after="0" w:line="360" w:lineRule="auto"/>
        <w:jc w:val="both"/>
        <w:rPr>
          <w:rFonts w:ascii="Arial" w:hAnsi="Arial" w:cs="Arial"/>
          <w:bCs/>
          <w:sz w:val="28"/>
          <w:szCs w:val="28"/>
        </w:rPr>
      </w:pPr>
    </w:p>
    <w:p w14:paraId="36B7EC01"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 xml:space="preserve">El motivo de disenso hecho valer por la </w:t>
      </w:r>
      <w:r w:rsidRPr="00F32542">
        <w:rPr>
          <w:rFonts w:ascii="Arial" w:hAnsi="Arial" w:cs="Arial"/>
          <w:bCs/>
          <w:i/>
          <w:iCs/>
          <w:sz w:val="28"/>
          <w:szCs w:val="28"/>
          <w:lang w:eastAsia="es-MX"/>
        </w:rPr>
        <w:t>inconforme</w:t>
      </w:r>
      <w:r w:rsidRPr="00F32542">
        <w:rPr>
          <w:rFonts w:ascii="Arial" w:hAnsi="Arial" w:cs="Arial"/>
          <w:bCs/>
          <w:sz w:val="28"/>
          <w:szCs w:val="28"/>
          <w:lang w:eastAsia="es-MX"/>
        </w:rPr>
        <w:t xml:space="preserve">, parte de la interpretación que esta última le otorga al artículo 22 del </w:t>
      </w:r>
      <w:r w:rsidRPr="00F32542">
        <w:rPr>
          <w:rFonts w:ascii="Arial" w:hAnsi="Arial" w:cs="Arial"/>
          <w:bCs/>
          <w:i/>
          <w:iCs/>
          <w:sz w:val="28"/>
          <w:szCs w:val="28"/>
          <w:lang w:eastAsia="es-MX"/>
        </w:rPr>
        <w:t>Código Electoral</w:t>
      </w:r>
      <w:r w:rsidRPr="00F32542">
        <w:rPr>
          <w:rFonts w:ascii="Arial" w:hAnsi="Arial" w:cs="Arial"/>
          <w:bCs/>
          <w:sz w:val="28"/>
          <w:szCs w:val="28"/>
          <w:lang w:eastAsia="es-MX"/>
        </w:rPr>
        <w:t>, en el que se establece lo siguiente:</w:t>
      </w:r>
    </w:p>
    <w:p w14:paraId="48E5BF6D" w14:textId="77777777" w:rsidR="00BF2806" w:rsidRPr="00F32542" w:rsidRDefault="00BF2806" w:rsidP="003D29D2">
      <w:pPr>
        <w:spacing w:after="0" w:line="360" w:lineRule="auto"/>
        <w:jc w:val="both"/>
        <w:rPr>
          <w:rFonts w:ascii="Arial" w:hAnsi="Arial" w:cs="Arial"/>
          <w:bCs/>
          <w:sz w:val="28"/>
          <w:szCs w:val="28"/>
          <w:lang w:eastAsia="es-MX"/>
        </w:rPr>
      </w:pPr>
    </w:p>
    <w:p w14:paraId="30ED8301" w14:textId="77777777" w:rsidR="00BF2806" w:rsidRPr="00F32542" w:rsidRDefault="00BF2806" w:rsidP="00BF2806">
      <w:pPr>
        <w:spacing w:after="0" w:line="240" w:lineRule="auto"/>
        <w:ind w:left="708" w:right="616"/>
        <w:jc w:val="both"/>
        <w:rPr>
          <w:rFonts w:ascii="Arial" w:hAnsi="Arial" w:cs="Arial"/>
          <w:bCs/>
          <w:i/>
          <w:iCs/>
          <w:sz w:val="24"/>
          <w:szCs w:val="24"/>
          <w:lang w:eastAsia="es-MX"/>
        </w:rPr>
      </w:pPr>
      <w:r w:rsidRPr="00F32542">
        <w:rPr>
          <w:rFonts w:ascii="Arial" w:hAnsi="Arial" w:cs="Arial"/>
          <w:bCs/>
          <w:sz w:val="24"/>
          <w:szCs w:val="24"/>
          <w:lang w:eastAsia="es-MX"/>
        </w:rPr>
        <w:t>“</w:t>
      </w:r>
      <w:r w:rsidRPr="00F32542">
        <w:rPr>
          <w:rFonts w:ascii="Arial" w:hAnsi="Arial" w:cs="Arial"/>
          <w:b/>
          <w:i/>
          <w:iCs/>
          <w:sz w:val="24"/>
          <w:szCs w:val="24"/>
          <w:lang w:eastAsia="es-MX"/>
        </w:rPr>
        <w:t>Artículo 22.</w:t>
      </w:r>
      <w:r w:rsidRPr="00F32542">
        <w:rPr>
          <w:rFonts w:ascii="Arial" w:hAnsi="Arial" w:cs="Arial"/>
          <w:bCs/>
          <w:i/>
          <w:iCs/>
          <w:sz w:val="24"/>
          <w:szCs w:val="24"/>
          <w:lang w:eastAsia="es-MX"/>
        </w:rPr>
        <w:t xml:space="preserve"> A ninguna persona podrá registrársele como candidato a distintos cargos de elección popular en el mismo proceso electoral u otros procesos simultáneos, sean federales, estatales o de la Ciudad de México. En este supuesto, si el registro para el cargo de la elección para la Ciudad de México estuviere hecho, se procederá a la cancelación automática del registro respectivo. </w:t>
      </w:r>
    </w:p>
    <w:p w14:paraId="22C77F01" w14:textId="77777777" w:rsidR="00BF2806" w:rsidRPr="00F32542" w:rsidRDefault="00BF2806" w:rsidP="00BF2806">
      <w:pPr>
        <w:spacing w:after="0" w:line="240" w:lineRule="auto"/>
        <w:ind w:left="708" w:right="616"/>
        <w:jc w:val="both"/>
        <w:rPr>
          <w:rFonts w:ascii="Arial" w:hAnsi="Arial" w:cs="Arial"/>
          <w:bCs/>
          <w:i/>
          <w:iCs/>
          <w:sz w:val="24"/>
          <w:szCs w:val="24"/>
          <w:lang w:eastAsia="es-MX"/>
        </w:rPr>
      </w:pPr>
    </w:p>
    <w:p w14:paraId="5A600155" w14:textId="77777777" w:rsidR="00BF2806" w:rsidRPr="00F32542" w:rsidRDefault="00BF2806" w:rsidP="00BF2806">
      <w:pPr>
        <w:spacing w:after="0" w:line="240" w:lineRule="auto"/>
        <w:ind w:left="708" w:right="616"/>
        <w:jc w:val="both"/>
        <w:rPr>
          <w:rFonts w:ascii="Arial" w:hAnsi="Arial" w:cs="Arial"/>
          <w:bCs/>
          <w:i/>
          <w:iCs/>
          <w:sz w:val="24"/>
          <w:szCs w:val="24"/>
          <w:u w:val="single"/>
          <w:lang w:eastAsia="es-MX"/>
        </w:rPr>
      </w:pPr>
      <w:r w:rsidRPr="00F32542">
        <w:rPr>
          <w:rFonts w:ascii="Arial" w:hAnsi="Arial" w:cs="Arial"/>
          <w:bCs/>
          <w:i/>
          <w:iCs/>
          <w:sz w:val="24"/>
          <w:szCs w:val="24"/>
          <w:u w:val="single"/>
          <w:lang w:eastAsia="es-MX"/>
        </w:rPr>
        <w:t xml:space="preserve">Los Partidos Políticos podrán registrar hasta cinco fórmulas de candidatos a </w:t>
      </w:r>
      <w:proofErr w:type="gramStart"/>
      <w:r w:rsidRPr="00F32542">
        <w:rPr>
          <w:rFonts w:ascii="Arial" w:hAnsi="Arial" w:cs="Arial"/>
          <w:bCs/>
          <w:i/>
          <w:iCs/>
          <w:sz w:val="24"/>
          <w:szCs w:val="24"/>
          <w:u w:val="single"/>
          <w:lang w:eastAsia="es-MX"/>
        </w:rPr>
        <w:t>Diputadas y Diputados</w:t>
      </w:r>
      <w:proofErr w:type="gramEnd"/>
      <w:r w:rsidRPr="00F32542">
        <w:rPr>
          <w:rFonts w:ascii="Arial" w:hAnsi="Arial" w:cs="Arial"/>
          <w:bCs/>
          <w:i/>
          <w:iCs/>
          <w:sz w:val="24"/>
          <w:szCs w:val="24"/>
          <w:u w:val="single"/>
          <w:lang w:eastAsia="es-MX"/>
        </w:rPr>
        <w:t xml:space="preserve"> del Congreso de la Ciudad de México que contiendan simultáneamente por los principios de mayoría relativa y de representación proporcional, y en un mismo proceso electoral. En el supuesto de (sic) alguna de estas cinco fórmulas tenga derecho a que le sea asignada una diputación por el principio de representación proporcional y que tal asignación se repita por aparecer en la lista “A” y en la lista “B”, será considerada en la que esté mejor posicionada. </w:t>
      </w:r>
      <w:bookmarkStart w:id="41" w:name="_Hlk78550711"/>
      <w:r w:rsidRPr="00F32542">
        <w:rPr>
          <w:rFonts w:ascii="Arial" w:hAnsi="Arial" w:cs="Arial"/>
          <w:bCs/>
          <w:i/>
          <w:iCs/>
          <w:sz w:val="24"/>
          <w:szCs w:val="24"/>
          <w:u w:val="single"/>
          <w:lang w:eastAsia="es-MX"/>
        </w:rPr>
        <w:t xml:space="preserve">El lugar que dicha fórmula deje </w:t>
      </w:r>
      <w:proofErr w:type="gramStart"/>
      <w:r w:rsidRPr="00F32542">
        <w:rPr>
          <w:rFonts w:ascii="Arial" w:hAnsi="Arial" w:cs="Arial"/>
          <w:bCs/>
          <w:i/>
          <w:iCs/>
          <w:sz w:val="24"/>
          <w:szCs w:val="24"/>
          <w:u w:val="single"/>
          <w:lang w:eastAsia="es-MX"/>
        </w:rPr>
        <w:t>vacante,</w:t>
      </w:r>
      <w:proofErr w:type="gramEnd"/>
      <w:r w:rsidRPr="00F32542">
        <w:rPr>
          <w:rFonts w:ascii="Arial" w:hAnsi="Arial" w:cs="Arial"/>
          <w:bCs/>
          <w:i/>
          <w:iCs/>
          <w:sz w:val="24"/>
          <w:szCs w:val="24"/>
          <w:u w:val="single"/>
          <w:lang w:eastAsia="es-MX"/>
        </w:rPr>
        <w:t xml:space="preserve"> será ocupado por la fórmula siguiente en el orden de prelación de la lista definitiva. </w:t>
      </w:r>
      <w:bookmarkEnd w:id="41"/>
    </w:p>
    <w:p w14:paraId="30200E05" w14:textId="77777777" w:rsidR="00BF2806" w:rsidRPr="00F32542" w:rsidRDefault="00BF2806" w:rsidP="00BF2806">
      <w:pPr>
        <w:spacing w:after="0" w:line="240" w:lineRule="auto"/>
        <w:ind w:left="708" w:right="616"/>
        <w:jc w:val="both"/>
        <w:rPr>
          <w:rFonts w:ascii="Arial" w:hAnsi="Arial" w:cs="Arial"/>
          <w:bCs/>
          <w:i/>
          <w:iCs/>
          <w:sz w:val="24"/>
          <w:szCs w:val="24"/>
          <w:lang w:eastAsia="es-MX"/>
        </w:rPr>
      </w:pPr>
    </w:p>
    <w:p w14:paraId="58C69E1F" w14:textId="77777777" w:rsidR="00BF2806" w:rsidRPr="00F32542" w:rsidRDefault="00BF2806" w:rsidP="00BF2806">
      <w:pPr>
        <w:spacing w:after="0" w:line="240" w:lineRule="auto"/>
        <w:ind w:left="708" w:right="616"/>
        <w:jc w:val="both"/>
        <w:rPr>
          <w:rFonts w:ascii="Arial" w:hAnsi="Arial" w:cs="Arial"/>
          <w:bCs/>
          <w:sz w:val="24"/>
          <w:szCs w:val="24"/>
          <w:lang w:eastAsia="es-MX"/>
        </w:rPr>
      </w:pPr>
      <w:r w:rsidRPr="00F32542">
        <w:rPr>
          <w:rFonts w:ascii="Arial" w:hAnsi="Arial" w:cs="Arial"/>
          <w:bCs/>
          <w:i/>
          <w:iCs/>
          <w:sz w:val="24"/>
          <w:szCs w:val="24"/>
          <w:lang w:eastAsia="es-MX"/>
        </w:rPr>
        <w:t xml:space="preserve">Salvo en el caso de Diputados al Congreso, los partidos políticos procurarán no registrar candidatos, </w:t>
      </w:r>
      <w:proofErr w:type="gramStart"/>
      <w:r w:rsidRPr="00F32542">
        <w:rPr>
          <w:rFonts w:ascii="Arial" w:hAnsi="Arial" w:cs="Arial"/>
          <w:bCs/>
          <w:i/>
          <w:iCs/>
          <w:sz w:val="24"/>
          <w:szCs w:val="24"/>
          <w:lang w:eastAsia="es-MX"/>
        </w:rPr>
        <w:t>que</w:t>
      </w:r>
      <w:proofErr w:type="gramEnd"/>
      <w:r w:rsidRPr="00F32542">
        <w:rPr>
          <w:rFonts w:ascii="Arial" w:hAnsi="Arial" w:cs="Arial"/>
          <w:bCs/>
          <w:i/>
          <w:iCs/>
          <w:sz w:val="24"/>
          <w:szCs w:val="24"/>
          <w:lang w:eastAsia="es-MX"/>
        </w:rPr>
        <w:t xml:space="preserve"> habiendo participado en una precampaña por un partido, pretendan ser registrados por otro en el mismo proceso electoral.</w:t>
      </w:r>
      <w:r w:rsidRPr="00F32542">
        <w:rPr>
          <w:rFonts w:ascii="Arial" w:hAnsi="Arial" w:cs="Arial"/>
          <w:bCs/>
          <w:sz w:val="24"/>
          <w:szCs w:val="24"/>
          <w:lang w:eastAsia="es-MX"/>
        </w:rPr>
        <w:t>”.</w:t>
      </w:r>
    </w:p>
    <w:p w14:paraId="56ACEFF7" w14:textId="77777777" w:rsidR="00BF2806" w:rsidRPr="00F32542" w:rsidRDefault="00BF2806" w:rsidP="003D29D2">
      <w:pPr>
        <w:spacing w:after="0" w:line="360" w:lineRule="auto"/>
        <w:jc w:val="both"/>
        <w:rPr>
          <w:rFonts w:ascii="Arial" w:hAnsi="Arial" w:cs="Arial"/>
          <w:bCs/>
          <w:sz w:val="28"/>
          <w:szCs w:val="28"/>
          <w:lang w:eastAsia="es-MX"/>
        </w:rPr>
      </w:pPr>
    </w:p>
    <w:p w14:paraId="437EB55D"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De lo transcrito, se desprende lo siguiente:</w:t>
      </w:r>
    </w:p>
    <w:p w14:paraId="6F009A6E" w14:textId="77777777" w:rsidR="00BF2806" w:rsidRPr="00F32542" w:rsidRDefault="00BF2806" w:rsidP="003D29D2">
      <w:pPr>
        <w:spacing w:after="0" w:line="360" w:lineRule="auto"/>
        <w:jc w:val="both"/>
        <w:rPr>
          <w:rFonts w:ascii="Arial" w:hAnsi="Arial" w:cs="Arial"/>
          <w:bCs/>
          <w:sz w:val="28"/>
          <w:szCs w:val="28"/>
          <w:lang w:eastAsia="es-MX"/>
        </w:rPr>
      </w:pPr>
    </w:p>
    <w:p w14:paraId="05317283" w14:textId="77777777" w:rsidR="00BF2806" w:rsidRPr="00F32542" w:rsidRDefault="00BF2806" w:rsidP="003D29D2">
      <w:pPr>
        <w:pStyle w:val="Prrafodelista"/>
        <w:numPr>
          <w:ilvl w:val="0"/>
          <w:numId w:val="6"/>
        </w:numPr>
        <w:spacing w:line="360" w:lineRule="auto"/>
        <w:rPr>
          <w:rFonts w:ascii="Arial" w:hAnsi="Arial" w:cs="Arial"/>
          <w:bCs/>
          <w:szCs w:val="28"/>
          <w:lang w:eastAsia="es-MX"/>
        </w:rPr>
      </w:pPr>
      <w:r w:rsidRPr="00F32542">
        <w:rPr>
          <w:rFonts w:ascii="Arial" w:hAnsi="Arial" w:cs="Arial"/>
          <w:bCs/>
          <w:szCs w:val="28"/>
          <w:lang w:eastAsia="es-MX"/>
        </w:rPr>
        <w:t>Las personas que aspiran a ocupar un cargo de elección popular sólo pueden contender para el cargo en el que fueron registradas.</w:t>
      </w:r>
    </w:p>
    <w:p w14:paraId="5502CB81" w14:textId="77777777" w:rsidR="00BF2806" w:rsidRPr="00F32542" w:rsidRDefault="00BF2806" w:rsidP="003D29D2">
      <w:pPr>
        <w:pStyle w:val="Prrafodelista"/>
        <w:spacing w:line="360" w:lineRule="auto"/>
        <w:ind w:left="720"/>
        <w:rPr>
          <w:rFonts w:ascii="Arial" w:hAnsi="Arial" w:cs="Arial"/>
          <w:bCs/>
          <w:szCs w:val="28"/>
          <w:lang w:eastAsia="es-MX"/>
        </w:rPr>
      </w:pPr>
    </w:p>
    <w:p w14:paraId="6745EB61" w14:textId="77777777" w:rsidR="00BF2806" w:rsidRPr="00F32542" w:rsidRDefault="00BF2806" w:rsidP="003D29D2">
      <w:pPr>
        <w:pStyle w:val="Prrafodelista"/>
        <w:numPr>
          <w:ilvl w:val="0"/>
          <w:numId w:val="6"/>
        </w:numPr>
        <w:spacing w:line="360" w:lineRule="auto"/>
        <w:rPr>
          <w:rFonts w:ascii="Arial" w:hAnsi="Arial" w:cs="Arial"/>
          <w:bCs/>
          <w:szCs w:val="28"/>
          <w:lang w:eastAsia="es-MX"/>
        </w:rPr>
      </w:pPr>
      <w:r w:rsidRPr="00F32542">
        <w:rPr>
          <w:rFonts w:ascii="Arial" w:hAnsi="Arial" w:cs="Arial"/>
          <w:bCs/>
          <w:szCs w:val="28"/>
          <w:lang w:eastAsia="es-MX"/>
        </w:rPr>
        <w:t xml:space="preserve">Los partidos políticos pueden registrar hasta cinco fórmulas de candidaturas al </w:t>
      </w:r>
      <w:r w:rsidRPr="00F32542">
        <w:rPr>
          <w:rFonts w:ascii="Arial" w:hAnsi="Arial" w:cs="Arial"/>
          <w:bCs/>
          <w:i/>
          <w:iCs/>
          <w:szCs w:val="28"/>
          <w:lang w:eastAsia="es-MX"/>
        </w:rPr>
        <w:t>Congreso</w:t>
      </w:r>
      <w:r w:rsidRPr="00F32542">
        <w:rPr>
          <w:rFonts w:ascii="Arial" w:hAnsi="Arial" w:cs="Arial"/>
          <w:bCs/>
          <w:szCs w:val="28"/>
          <w:lang w:eastAsia="es-MX"/>
        </w:rPr>
        <w:t xml:space="preserve"> que compitan al mismo tiempo por los </w:t>
      </w:r>
      <w:r w:rsidRPr="00F32542">
        <w:rPr>
          <w:rFonts w:ascii="Arial" w:hAnsi="Arial" w:cs="Arial"/>
          <w:bCs/>
          <w:szCs w:val="28"/>
          <w:lang w:eastAsia="es-MX"/>
        </w:rPr>
        <w:lastRenderedPageBreak/>
        <w:t>principios de mayoría relativa y por el principio de representación proporcional; en otras palabras, es posible registrar hasta cinco fórmulas tanto en la elección por el principio de mayoría relativa como en la elección por el principio de representación proporcional.</w:t>
      </w:r>
    </w:p>
    <w:p w14:paraId="0063C813" w14:textId="77777777" w:rsidR="00BF2806" w:rsidRPr="00F32542" w:rsidRDefault="00BF2806" w:rsidP="003D29D2">
      <w:pPr>
        <w:pStyle w:val="Prrafodelista"/>
        <w:spacing w:line="360" w:lineRule="auto"/>
        <w:rPr>
          <w:rFonts w:ascii="Arial" w:hAnsi="Arial" w:cs="Arial"/>
          <w:bCs/>
          <w:szCs w:val="28"/>
          <w:lang w:eastAsia="es-MX"/>
        </w:rPr>
      </w:pPr>
    </w:p>
    <w:p w14:paraId="0EFF4098" w14:textId="77777777" w:rsidR="00BF2806" w:rsidRPr="00F32542" w:rsidRDefault="00BF2806" w:rsidP="003D29D2">
      <w:pPr>
        <w:pStyle w:val="Prrafodelista"/>
        <w:numPr>
          <w:ilvl w:val="0"/>
          <w:numId w:val="6"/>
        </w:numPr>
        <w:spacing w:line="360" w:lineRule="auto"/>
        <w:rPr>
          <w:rFonts w:ascii="Arial" w:hAnsi="Arial" w:cs="Arial"/>
          <w:bCs/>
          <w:szCs w:val="28"/>
          <w:lang w:eastAsia="es-MX"/>
        </w:rPr>
      </w:pPr>
      <w:r w:rsidRPr="00F32542">
        <w:rPr>
          <w:rFonts w:ascii="Arial" w:hAnsi="Arial" w:cs="Arial"/>
          <w:bCs/>
          <w:szCs w:val="28"/>
          <w:lang w:eastAsia="es-MX"/>
        </w:rPr>
        <w:t>Si una de las cinco fórmulas tiene derecho a que le sea asignada una diputación por el principio de representación proporcional y, a su vez, ocupa dos posiciones en las correspondientes listas de asignación, el lugar que deje vacante será ocupado por la fórmula siguiente en el orden de prelación de la lista definitiva.</w:t>
      </w:r>
    </w:p>
    <w:p w14:paraId="715DC9D4" w14:textId="77777777" w:rsidR="00BF2806" w:rsidRPr="00F32542" w:rsidRDefault="00BF2806" w:rsidP="003D29D2">
      <w:pPr>
        <w:pStyle w:val="Prrafodelista"/>
        <w:spacing w:line="360" w:lineRule="auto"/>
        <w:rPr>
          <w:rFonts w:ascii="Arial" w:hAnsi="Arial" w:cs="Arial"/>
          <w:bCs/>
          <w:szCs w:val="28"/>
          <w:lang w:eastAsia="es-MX"/>
        </w:rPr>
      </w:pPr>
    </w:p>
    <w:p w14:paraId="3614C495" w14:textId="77777777" w:rsidR="00BF2806" w:rsidRPr="00F32542" w:rsidRDefault="00BF2806" w:rsidP="003D29D2">
      <w:pPr>
        <w:pStyle w:val="Prrafodelista"/>
        <w:numPr>
          <w:ilvl w:val="0"/>
          <w:numId w:val="6"/>
        </w:numPr>
        <w:spacing w:line="360" w:lineRule="auto"/>
        <w:rPr>
          <w:rFonts w:ascii="Arial" w:hAnsi="Arial" w:cs="Arial"/>
          <w:bCs/>
          <w:szCs w:val="28"/>
          <w:lang w:eastAsia="es-MX"/>
        </w:rPr>
      </w:pPr>
      <w:r w:rsidRPr="00F32542">
        <w:rPr>
          <w:rFonts w:ascii="Arial" w:hAnsi="Arial" w:cs="Arial"/>
          <w:bCs/>
          <w:szCs w:val="28"/>
          <w:lang w:eastAsia="es-MX"/>
        </w:rPr>
        <w:t>Conforme a la norma citada, está prohibida la participación simultánea en procesos internos de selección de candidaturas de distintos partidos políticos.</w:t>
      </w:r>
    </w:p>
    <w:p w14:paraId="55C649D7" w14:textId="77777777" w:rsidR="00BF2806" w:rsidRPr="00F32542" w:rsidRDefault="00BF2806" w:rsidP="003D29D2">
      <w:pPr>
        <w:spacing w:after="0" w:line="360" w:lineRule="auto"/>
        <w:jc w:val="both"/>
        <w:rPr>
          <w:rFonts w:ascii="Arial" w:hAnsi="Arial" w:cs="Arial"/>
          <w:bCs/>
          <w:sz w:val="28"/>
          <w:szCs w:val="28"/>
          <w:lang w:eastAsia="es-MX"/>
        </w:rPr>
      </w:pPr>
    </w:p>
    <w:p w14:paraId="330BA269"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 xml:space="preserve">Como se observa, la </w:t>
      </w:r>
      <w:r w:rsidRPr="00F32542">
        <w:rPr>
          <w:rFonts w:ascii="Arial" w:hAnsi="Arial" w:cs="Arial"/>
          <w:bCs/>
          <w:i/>
          <w:iCs/>
          <w:sz w:val="28"/>
          <w:szCs w:val="28"/>
          <w:lang w:eastAsia="es-MX"/>
        </w:rPr>
        <w:t>demandante</w:t>
      </w:r>
      <w:r w:rsidRPr="00F32542">
        <w:rPr>
          <w:rFonts w:ascii="Arial" w:hAnsi="Arial" w:cs="Arial"/>
          <w:bCs/>
          <w:sz w:val="28"/>
          <w:szCs w:val="28"/>
          <w:lang w:eastAsia="es-MX"/>
        </w:rPr>
        <w:t xml:space="preserve"> funda el motivo de su agravio en el sentido interpretativo que, desde su perspectiva, debe otorgarse al artículo 22 del </w:t>
      </w:r>
      <w:r w:rsidRPr="00F32542">
        <w:rPr>
          <w:rFonts w:ascii="Arial" w:hAnsi="Arial" w:cs="Arial"/>
          <w:bCs/>
          <w:i/>
          <w:iCs/>
          <w:sz w:val="28"/>
          <w:szCs w:val="28"/>
          <w:lang w:eastAsia="es-MX"/>
        </w:rPr>
        <w:t>Código Electoral</w:t>
      </w:r>
      <w:r w:rsidRPr="00F32542">
        <w:rPr>
          <w:rFonts w:ascii="Arial" w:hAnsi="Arial" w:cs="Arial"/>
          <w:bCs/>
          <w:sz w:val="28"/>
          <w:szCs w:val="28"/>
          <w:lang w:eastAsia="es-MX"/>
        </w:rPr>
        <w:t>; en particular, la porción normativa que establece que “</w:t>
      </w:r>
      <w:r w:rsidRPr="00F32542">
        <w:rPr>
          <w:rFonts w:ascii="Arial" w:hAnsi="Arial" w:cs="Arial"/>
          <w:bCs/>
          <w:i/>
          <w:iCs/>
          <w:sz w:val="28"/>
          <w:szCs w:val="28"/>
          <w:lang w:eastAsia="es-MX"/>
        </w:rPr>
        <w:t xml:space="preserve">los Partidos Políticos podrán registrar hasta cinco fórmulas de candidatos a </w:t>
      </w:r>
      <w:proofErr w:type="gramStart"/>
      <w:r w:rsidRPr="00F32542">
        <w:rPr>
          <w:rFonts w:ascii="Arial" w:hAnsi="Arial" w:cs="Arial"/>
          <w:bCs/>
          <w:i/>
          <w:iCs/>
          <w:sz w:val="28"/>
          <w:szCs w:val="28"/>
          <w:lang w:eastAsia="es-MX"/>
        </w:rPr>
        <w:t>Diputadas y Diputados</w:t>
      </w:r>
      <w:proofErr w:type="gramEnd"/>
      <w:r w:rsidRPr="00F32542">
        <w:rPr>
          <w:rFonts w:ascii="Arial" w:hAnsi="Arial" w:cs="Arial"/>
          <w:bCs/>
          <w:i/>
          <w:iCs/>
          <w:sz w:val="28"/>
          <w:szCs w:val="28"/>
          <w:lang w:eastAsia="es-MX"/>
        </w:rPr>
        <w:t xml:space="preserve"> del Congreso de la Ciudad de México que contiendan simultáneamente por los principios de mayoría relativa y de representación proporcional, y en un mismo proceso electoral</w:t>
      </w:r>
      <w:r w:rsidRPr="00F32542">
        <w:rPr>
          <w:rFonts w:ascii="Arial" w:hAnsi="Arial" w:cs="Arial"/>
          <w:bCs/>
          <w:sz w:val="28"/>
          <w:szCs w:val="28"/>
          <w:lang w:eastAsia="es-MX"/>
        </w:rPr>
        <w:t>”.</w:t>
      </w:r>
    </w:p>
    <w:p w14:paraId="60625FCC" w14:textId="77777777" w:rsidR="00BF2806" w:rsidRPr="00F32542" w:rsidRDefault="00BF2806" w:rsidP="003D29D2">
      <w:pPr>
        <w:spacing w:after="0" w:line="360" w:lineRule="auto"/>
        <w:jc w:val="both"/>
        <w:rPr>
          <w:rFonts w:ascii="Arial" w:hAnsi="Arial" w:cs="Arial"/>
          <w:bCs/>
          <w:sz w:val="28"/>
          <w:szCs w:val="28"/>
          <w:lang w:eastAsia="es-MX"/>
        </w:rPr>
      </w:pPr>
    </w:p>
    <w:p w14:paraId="39020427"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De este modo, para la enjuiciante el término “</w:t>
      </w:r>
      <w:r w:rsidRPr="00F32542">
        <w:rPr>
          <w:rFonts w:ascii="Arial" w:hAnsi="Arial" w:cs="Arial"/>
          <w:bCs/>
          <w:i/>
          <w:iCs/>
          <w:sz w:val="28"/>
          <w:szCs w:val="28"/>
          <w:lang w:eastAsia="es-MX"/>
        </w:rPr>
        <w:t>simultáneamente</w:t>
      </w:r>
      <w:r w:rsidRPr="00F32542">
        <w:rPr>
          <w:rFonts w:ascii="Arial" w:hAnsi="Arial" w:cs="Arial"/>
          <w:bCs/>
          <w:sz w:val="28"/>
          <w:szCs w:val="28"/>
          <w:lang w:eastAsia="es-MX"/>
        </w:rPr>
        <w:t xml:space="preserve">” debe entenderse en el sentido de que los partidos políticos tienen el deber jurídico de inscribir exactamente a las mismas personas tanto en la </w:t>
      </w:r>
      <w:r w:rsidRPr="00F32542">
        <w:rPr>
          <w:rFonts w:ascii="Arial" w:hAnsi="Arial" w:cs="Arial"/>
          <w:bCs/>
          <w:sz w:val="28"/>
          <w:szCs w:val="28"/>
          <w:lang w:eastAsia="es-MX"/>
        </w:rPr>
        <w:lastRenderedPageBreak/>
        <w:t>elección de diputaciones por el principio de mayoría relativa, como en la elección de diputaciones por el principio de representación proporcional.</w:t>
      </w:r>
    </w:p>
    <w:p w14:paraId="1D662D5A" w14:textId="77777777" w:rsidR="00BF2806" w:rsidRPr="00F32542" w:rsidRDefault="00BF2806" w:rsidP="003D29D2">
      <w:pPr>
        <w:spacing w:after="0" w:line="360" w:lineRule="auto"/>
        <w:jc w:val="both"/>
        <w:rPr>
          <w:rFonts w:ascii="Arial" w:hAnsi="Arial" w:cs="Arial"/>
          <w:bCs/>
          <w:sz w:val="28"/>
          <w:szCs w:val="28"/>
          <w:lang w:eastAsia="es-MX"/>
        </w:rPr>
      </w:pPr>
    </w:p>
    <w:p w14:paraId="73E69FB9"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Sin embargo, para este órgano jurisdiccional no es adecuada la interpretación que propone la enjuiciante, pues además de que parte de una interpretación textual que no es aplicable a la hipótesis normativa, esta interpretación implicaría también restricciones que no están previstas en la normativa atinente, generando una vulneración a los derechos fundamentales de las personas que contienen para ocupar cargos de elección popular.</w:t>
      </w:r>
    </w:p>
    <w:p w14:paraId="718A67BA" w14:textId="77777777" w:rsidR="00BF2806" w:rsidRPr="00F32542" w:rsidRDefault="00BF2806" w:rsidP="003D29D2">
      <w:pPr>
        <w:spacing w:after="0" w:line="360" w:lineRule="auto"/>
        <w:jc w:val="both"/>
        <w:rPr>
          <w:rFonts w:ascii="Arial" w:hAnsi="Arial" w:cs="Arial"/>
          <w:bCs/>
          <w:sz w:val="28"/>
          <w:szCs w:val="28"/>
          <w:lang w:eastAsia="es-MX"/>
        </w:rPr>
      </w:pPr>
    </w:p>
    <w:p w14:paraId="65BA3D95"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 xml:space="preserve">En efecto, como se dijo, la </w:t>
      </w:r>
      <w:r w:rsidRPr="00F32542">
        <w:rPr>
          <w:rFonts w:ascii="Arial" w:hAnsi="Arial" w:cs="Arial"/>
          <w:bCs/>
          <w:i/>
          <w:iCs/>
          <w:sz w:val="28"/>
          <w:szCs w:val="28"/>
          <w:lang w:eastAsia="es-MX"/>
        </w:rPr>
        <w:t>actora</w:t>
      </w:r>
      <w:r w:rsidRPr="00F32542">
        <w:rPr>
          <w:rFonts w:ascii="Arial" w:hAnsi="Arial" w:cs="Arial"/>
          <w:bCs/>
          <w:sz w:val="28"/>
          <w:szCs w:val="28"/>
          <w:lang w:eastAsia="es-MX"/>
        </w:rPr>
        <w:t xml:space="preserve"> considera que la simultaneidad que permite la norma en </w:t>
      </w:r>
      <w:proofErr w:type="gramStart"/>
      <w:r w:rsidRPr="00F32542">
        <w:rPr>
          <w:rFonts w:ascii="Arial" w:hAnsi="Arial" w:cs="Arial"/>
          <w:bCs/>
          <w:sz w:val="28"/>
          <w:szCs w:val="28"/>
          <w:lang w:eastAsia="es-MX"/>
        </w:rPr>
        <w:t>cita,</w:t>
      </w:r>
      <w:proofErr w:type="gramEnd"/>
      <w:r w:rsidRPr="00F32542">
        <w:rPr>
          <w:rFonts w:ascii="Arial" w:hAnsi="Arial" w:cs="Arial"/>
          <w:bCs/>
          <w:sz w:val="28"/>
          <w:szCs w:val="28"/>
          <w:lang w:eastAsia="es-MX"/>
        </w:rPr>
        <w:t xml:space="preserve"> se refiere a que las mismas personas deben ser registradas integrando las mismas fórmulas, por ambos principios.</w:t>
      </w:r>
    </w:p>
    <w:p w14:paraId="34D97670" w14:textId="77777777" w:rsidR="00BF2806" w:rsidRPr="00F32542" w:rsidRDefault="00BF2806" w:rsidP="003D29D2">
      <w:pPr>
        <w:spacing w:after="0" w:line="360" w:lineRule="auto"/>
        <w:jc w:val="both"/>
        <w:rPr>
          <w:rFonts w:ascii="Arial" w:hAnsi="Arial" w:cs="Arial"/>
          <w:bCs/>
          <w:sz w:val="28"/>
          <w:szCs w:val="28"/>
          <w:lang w:eastAsia="es-MX"/>
        </w:rPr>
      </w:pPr>
    </w:p>
    <w:p w14:paraId="15A18374"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 xml:space="preserve">Sin embargo, el </w:t>
      </w:r>
      <w:r w:rsidRPr="00F32542">
        <w:rPr>
          <w:rFonts w:ascii="Arial" w:hAnsi="Arial" w:cs="Arial"/>
          <w:bCs/>
          <w:i/>
          <w:iCs/>
          <w:sz w:val="28"/>
          <w:szCs w:val="28"/>
          <w:lang w:eastAsia="es-MX"/>
        </w:rPr>
        <w:t>Tribunal Electoral</w:t>
      </w:r>
      <w:r w:rsidRPr="00F32542">
        <w:rPr>
          <w:rFonts w:ascii="Arial" w:hAnsi="Arial" w:cs="Arial"/>
          <w:bCs/>
          <w:sz w:val="28"/>
          <w:szCs w:val="28"/>
          <w:lang w:eastAsia="es-MX"/>
        </w:rPr>
        <w:t xml:space="preserve"> concluye que el sentido de simultaneidad está relacionado más bien, con la autorización a los partidos políticos, para que puedan participar en ambos tipos de elecciones, uninominales o plurinominales, con un máximo de cinco fórmulas de candidaturas, con independencia de si éstas se conforman exactamente por las mismas personas como propietarias y suplentes.</w:t>
      </w:r>
    </w:p>
    <w:p w14:paraId="703CA7AB" w14:textId="77777777" w:rsidR="00BF2806" w:rsidRPr="00F32542" w:rsidRDefault="00BF2806" w:rsidP="003D29D2">
      <w:pPr>
        <w:spacing w:after="0" w:line="360" w:lineRule="auto"/>
        <w:jc w:val="both"/>
        <w:rPr>
          <w:rFonts w:ascii="Arial" w:hAnsi="Arial" w:cs="Arial"/>
          <w:bCs/>
          <w:sz w:val="28"/>
          <w:szCs w:val="28"/>
          <w:lang w:eastAsia="es-MX"/>
        </w:rPr>
      </w:pPr>
    </w:p>
    <w:p w14:paraId="61F9439B"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Lo anterior es posible inferirlo, tomando en consideración la máxima interpretativa consistente en que “</w:t>
      </w:r>
      <w:r w:rsidRPr="00F32542">
        <w:rPr>
          <w:rFonts w:ascii="Arial" w:hAnsi="Arial" w:cs="Arial"/>
          <w:bCs/>
          <w:i/>
          <w:iCs/>
          <w:sz w:val="28"/>
          <w:szCs w:val="28"/>
          <w:lang w:eastAsia="es-MX"/>
        </w:rPr>
        <w:t>donde la ley no distingue, el juzgador tampoco puede distinguir</w:t>
      </w:r>
      <w:r w:rsidRPr="00F32542">
        <w:rPr>
          <w:rFonts w:ascii="Arial" w:hAnsi="Arial" w:cs="Arial"/>
          <w:bCs/>
          <w:sz w:val="28"/>
          <w:szCs w:val="28"/>
          <w:lang w:eastAsia="es-MX"/>
        </w:rPr>
        <w:t xml:space="preserve">”; por lo que si la norma no prohíbe que los partidos políticos inscriban distintas personas suplentes en las fórmulas postuladas por mayoría relativa y por representación </w:t>
      </w:r>
      <w:r w:rsidRPr="00F32542">
        <w:rPr>
          <w:rFonts w:ascii="Arial" w:hAnsi="Arial" w:cs="Arial"/>
          <w:bCs/>
          <w:sz w:val="28"/>
          <w:szCs w:val="28"/>
          <w:lang w:eastAsia="es-MX"/>
        </w:rPr>
        <w:lastRenderedPageBreak/>
        <w:t>proporcional, entonces los operadores jurídicos no pueden interpretar una norma en sentido contrario, pues ello implicaría una restricción que además de no estar prevista en la disposición jurídica, restringiría derechos en perjuicio de sus titulares; los cuales, en la especie, se relacionan con la posibilidad de acceder a cargos de representación popular.</w:t>
      </w:r>
    </w:p>
    <w:p w14:paraId="32A36E25" w14:textId="77777777" w:rsidR="00BF2806" w:rsidRPr="00F32542" w:rsidRDefault="00BF2806" w:rsidP="003D29D2">
      <w:pPr>
        <w:spacing w:after="0" w:line="360" w:lineRule="auto"/>
        <w:jc w:val="both"/>
        <w:rPr>
          <w:rFonts w:ascii="Arial" w:hAnsi="Arial" w:cs="Arial"/>
          <w:bCs/>
          <w:sz w:val="28"/>
          <w:szCs w:val="28"/>
          <w:lang w:eastAsia="es-MX"/>
        </w:rPr>
      </w:pPr>
    </w:p>
    <w:p w14:paraId="42C55D4E" w14:textId="77777777" w:rsidR="00BF2806" w:rsidRPr="00F32542" w:rsidRDefault="00BF2806" w:rsidP="003D29D2">
      <w:pPr>
        <w:spacing w:after="0" w:line="360" w:lineRule="auto"/>
        <w:jc w:val="both"/>
        <w:rPr>
          <w:rFonts w:ascii="Arial" w:hAnsi="Arial" w:cs="Arial"/>
          <w:bCs/>
          <w:i/>
          <w:iCs/>
          <w:sz w:val="28"/>
          <w:szCs w:val="28"/>
          <w:lang w:eastAsia="es-MX"/>
        </w:rPr>
      </w:pPr>
      <w:r w:rsidRPr="00F32542">
        <w:rPr>
          <w:rFonts w:ascii="Arial" w:hAnsi="Arial" w:cs="Arial"/>
          <w:bCs/>
          <w:sz w:val="28"/>
          <w:szCs w:val="28"/>
          <w:lang w:eastAsia="es-MX"/>
        </w:rPr>
        <w:t xml:space="preserve">Consecuentemente, no es válido afirmar, como lo hace la </w:t>
      </w:r>
      <w:r w:rsidRPr="00F32542">
        <w:rPr>
          <w:rFonts w:ascii="Arial" w:hAnsi="Arial" w:cs="Arial"/>
          <w:bCs/>
          <w:i/>
          <w:iCs/>
          <w:sz w:val="28"/>
          <w:szCs w:val="28"/>
          <w:lang w:eastAsia="es-MX"/>
        </w:rPr>
        <w:t>parte actora</w:t>
      </w:r>
      <w:r w:rsidRPr="00F32542">
        <w:rPr>
          <w:rFonts w:ascii="Arial" w:hAnsi="Arial" w:cs="Arial"/>
          <w:bCs/>
          <w:sz w:val="28"/>
          <w:szCs w:val="28"/>
          <w:lang w:eastAsia="es-MX"/>
        </w:rPr>
        <w:t xml:space="preserve">, </w:t>
      </w:r>
      <w:proofErr w:type="gramStart"/>
      <w:r w:rsidRPr="00F32542">
        <w:rPr>
          <w:rFonts w:ascii="Arial" w:hAnsi="Arial" w:cs="Arial"/>
          <w:bCs/>
          <w:sz w:val="28"/>
          <w:szCs w:val="28"/>
          <w:lang w:eastAsia="es-MX"/>
        </w:rPr>
        <w:t>que</w:t>
      </w:r>
      <w:proofErr w:type="gramEnd"/>
      <w:r w:rsidRPr="00F32542">
        <w:rPr>
          <w:rFonts w:ascii="Arial" w:hAnsi="Arial" w:cs="Arial"/>
          <w:bCs/>
          <w:sz w:val="28"/>
          <w:szCs w:val="28"/>
          <w:lang w:eastAsia="es-MX"/>
        </w:rPr>
        <w:t xml:space="preserve"> ante la decisión de Jesús Sesma Suárez de permanecer en la candidatura propietaria de mayoría relativa, en la que resultó electo, y su declinación a la candidatura de representación proporcional a la que fue postulado, la fórmula que se integró por este último principio desaparecerá y, por tanto, su propietario no tendrá derecho a participar en el procedimiento de asignación respectivo.</w:t>
      </w:r>
    </w:p>
    <w:p w14:paraId="28994757" w14:textId="77777777" w:rsidR="00BF2806" w:rsidRPr="00F32542" w:rsidRDefault="00BF2806" w:rsidP="003D29D2">
      <w:pPr>
        <w:spacing w:after="0" w:line="360" w:lineRule="auto"/>
        <w:jc w:val="both"/>
        <w:rPr>
          <w:rFonts w:ascii="Arial" w:hAnsi="Arial" w:cs="Arial"/>
          <w:bCs/>
          <w:sz w:val="28"/>
          <w:szCs w:val="28"/>
          <w:lang w:eastAsia="es-MX"/>
        </w:rPr>
      </w:pPr>
    </w:p>
    <w:p w14:paraId="1B528B75"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Sobre todo, porque no debe perderse de vista que las candidaturas propuestas por fórmulas son votadas en su conjunto durante el desarrollo de la jornada electoral; esto es, de manera indivisible; lo que resulta aplicable tanto para las fórmulas de mayoría relativa como las de representación proporcional, puesto que estas últimas constituyen la protección constitucional de las minorías en el poder legislativo mediante la asignación de escaños que permite la representación política.</w:t>
      </w:r>
    </w:p>
    <w:p w14:paraId="48BCB97B" w14:textId="77777777" w:rsidR="00BF2806" w:rsidRPr="00F32542" w:rsidRDefault="00BF2806" w:rsidP="003D29D2">
      <w:pPr>
        <w:spacing w:after="0" w:line="360" w:lineRule="auto"/>
        <w:jc w:val="both"/>
        <w:rPr>
          <w:rFonts w:ascii="Arial" w:hAnsi="Arial" w:cs="Arial"/>
          <w:bCs/>
          <w:sz w:val="28"/>
          <w:szCs w:val="28"/>
          <w:lang w:eastAsia="es-MX"/>
        </w:rPr>
      </w:pPr>
    </w:p>
    <w:p w14:paraId="0B248372"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 xml:space="preserve">De este modo, si el candidato propietario de una fórmula resulta electo por el principio de mayoría relativa y, al mismo tiempo, contendió en una fórmula por el principio de representación proporcional, su declinación a la segunda de ellas no puede causarle un perjuicio al respectivo suplente, debido a que las fórmulas </w:t>
      </w:r>
      <w:r w:rsidRPr="00F32542">
        <w:rPr>
          <w:rFonts w:ascii="Arial" w:hAnsi="Arial" w:cs="Arial"/>
          <w:bCs/>
          <w:sz w:val="28"/>
          <w:szCs w:val="28"/>
          <w:lang w:eastAsia="es-MX"/>
        </w:rPr>
        <w:lastRenderedPageBreak/>
        <w:t>plurinominales también son beneficiadas de la votación captada por el partido político que las postuló, aunado a que se cumple con la finalidad de la figura del suplente, consistente en que no se queden vacantes los espacios correspondientes.</w:t>
      </w:r>
    </w:p>
    <w:p w14:paraId="12D36523" w14:textId="77777777" w:rsidR="00BF2806" w:rsidRPr="00F32542" w:rsidRDefault="00BF2806" w:rsidP="003D29D2">
      <w:pPr>
        <w:spacing w:after="0" w:line="360" w:lineRule="auto"/>
        <w:jc w:val="both"/>
        <w:rPr>
          <w:rFonts w:ascii="Arial" w:hAnsi="Arial" w:cs="Arial"/>
          <w:bCs/>
          <w:sz w:val="28"/>
          <w:szCs w:val="28"/>
          <w:lang w:eastAsia="es-MX"/>
        </w:rPr>
      </w:pPr>
    </w:p>
    <w:p w14:paraId="52DBB672"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En otras palabras, la candidatura del suplente sigue siendo válida ante la ausencia del propietario, pues tal situación excepcional que la propia norma permite —o sea, la elección por mayoría relativa del propietario— no puede acarrear pérdida de derechos a quien fue registrado y votado para el cargo en calidad de suplente.</w:t>
      </w:r>
    </w:p>
    <w:p w14:paraId="51F31F3C" w14:textId="77777777" w:rsidR="00BF2806" w:rsidRPr="00F32542" w:rsidRDefault="00BF2806" w:rsidP="003D29D2">
      <w:pPr>
        <w:spacing w:after="0" w:line="360" w:lineRule="auto"/>
        <w:jc w:val="both"/>
        <w:rPr>
          <w:rFonts w:ascii="Arial" w:hAnsi="Arial" w:cs="Arial"/>
          <w:bCs/>
          <w:sz w:val="28"/>
          <w:szCs w:val="28"/>
          <w:lang w:eastAsia="es-MX"/>
        </w:rPr>
      </w:pPr>
    </w:p>
    <w:p w14:paraId="7702293E"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Por ende, la fórmula votada o registrada, para efectos de asignación de un espacio plurinominal, adquiere derechos tanto para la persona propietaria como para la suplente, ya que en la emisión del sufragio existió voluntad ciudadana a favor de la lista de candidaturas de representación proporcional encabezada por ambas personas; lo cual, se insiste, no puede ser interpretado en modo negativo o de restricción de derechos, en el sentido de que una de las candidaturas quede insubsistente o pierda prerrogativas ante el actuar válido de un tercero.</w:t>
      </w:r>
    </w:p>
    <w:p w14:paraId="28F537AB" w14:textId="77777777" w:rsidR="00BF2806" w:rsidRPr="00F32542" w:rsidRDefault="00BF2806" w:rsidP="003D29D2">
      <w:pPr>
        <w:spacing w:after="0" w:line="360" w:lineRule="auto"/>
        <w:jc w:val="both"/>
        <w:rPr>
          <w:rFonts w:ascii="Arial" w:hAnsi="Arial" w:cs="Arial"/>
          <w:bCs/>
          <w:sz w:val="28"/>
          <w:szCs w:val="28"/>
          <w:lang w:eastAsia="es-MX"/>
        </w:rPr>
      </w:pPr>
    </w:p>
    <w:p w14:paraId="6265769B"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Adicionalmente, debe destacarse que el artículo 22, párrafo segundo, en su última porción normativa, si bien habla de cómo se ocupará la posición que quede vacante en la respectiva lista definitiva de candidaturas plurinominales, ello se refiere exclusivamente al caso de una “fórmula”, es decir, a las candidaturas propietaria y suplente que la integran en su conjunto, pero no sólo a una de ellas:</w:t>
      </w:r>
    </w:p>
    <w:p w14:paraId="69841031" w14:textId="77777777" w:rsidR="00BF2806" w:rsidRPr="00F32542" w:rsidRDefault="00BF2806" w:rsidP="003D29D2">
      <w:pPr>
        <w:spacing w:after="0" w:line="360" w:lineRule="auto"/>
        <w:ind w:left="540" w:right="607"/>
        <w:jc w:val="both"/>
        <w:rPr>
          <w:rFonts w:ascii="Arial" w:hAnsi="Arial" w:cs="Arial"/>
          <w:bCs/>
          <w:i/>
          <w:iCs/>
          <w:sz w:val="28"/>
          <w:szCs w:val="28"/>
          <w:u w:val="single"/>
          <w:lang w:eastAsia="es-MX"/>
        </w:rPr>
      </w:pPr>
    </w:p>
    <w:p w14:paraId="0A6E199F" w14:textId="77777777" w:rsidR="00BF2806" w:rsidRPr="00F32542" w:rsidRDefault="003D29D2" w:rsidP="00BF2806">
      <w:pPr>
        <w:spacing w:after="0" w:line="240" w:lineRule="auto"/>
        <w:ind w:left="540" w:right="607"/>
        <w:jc w:val="both"/>
        <w:rPr>
          <w:rFonts w:ascii="Arial" w:hAnsi="Arial" w:cs="Arial"/>
          <w:bCs/>
          <w:sz w:val="24"/>
          <w:szCs w:val="24"/>
          <w:lang w:eastAsia="es-MX"/>
        </w:rPr>
      </w:pPr>
      <w:r w:rsidRPr="00F32542">
        <w:rPr>
          <w:rFonts w:ascii="Arial" w:hAnsi="Arial" w:cs="Arial"/>
          <w:bCs/>
          <w:sz w:val="24"/>
          <w:szCs w:val="24"/>
          <w:lang w:eastAsia="es-MX"/>
        </w:rPr>
        <w:t>“</w:t>
      </w:r>
      <w:r w:rsidR="00BF2806" w:rsidRPr="00F32542">
        <w:rPr>
          <w:rFonts w:ascii="Arial" w:hAnsi="Arial" w:cs="Arial"/>
          <w:bCs/>
          <w:i/>
          <w:iCs/>
          <w:sz w:val="24"/>
          <w:szCs w:val="24"/>
          <w:u w:val="single"/>
          <w:lang w:eastAsia="es-MX"/>
        </w:rPr>
        <w:t>El lugar que dicha fórmula deje vacante, será ocupado por la fórmula siguiente en el orden de prelación de la lista definitiva</w:t>
      </w:r>
      <w:r w:rsidRPr="00F32542">
        <w:rPr>
          <w:rFonts w:ascii="Arial" w:hAnsi="Arial" w:cs="Arial"/>
          <w:bCs/>
          <w:sz w:val="24"/>
          <w:szCs w:val="24"/>
          <w:lang w:eastAsia="es-MX"/>
        </w:rPr>
        <w:t>”.</w:t>
      </w:r>
    </w:p>
    <w:p w14:paraId="3CD998DE" w14:textId="77777777" w:rsidR="00BF2806" w:rsidRPr="00F32542" w:rsidRDefault="00BF2806" w:rsidP="003D29D2">
      <w:pPr>
        <w:spacing w:after="0" w:line="360" w:lineRule="auto"/>
        <w:ind w:left="540" w:right="607"/>
        <w:jc w:val="both"/>
        <w:rPr>
          <w:rFonts w:ascii="Arial" w:hAnsi="Arial" w:cs="Arial"/>
          <w:bCs/>
          <w:sz w:val="28"/>
          <w:szCs w:val="28"/>
          <w:lang w:eastAsia="es-MX"/>
        </w:rPr>
      </w:pPr>
    </w:p>
    <w:p w14:paraId="02CA47A8"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 xml:space="preserve">Por consiguiente, otorgar una interpretación a tal porción normativa, conforme a lo planteado por la </w:t>
      </w:r>
      <w:r w:rsidRPr="00F32542">
        <w:rPr>
          <w:rFonts w:ascii="Arial" w:hAnsi="Arial" w:cs="Arial"/>
          <w:bCs/>
          <w:i/>
          <w:iCs/>
          <w:sz w:val="28"/>
          <w:szCs w:val="28"/>
          <w:lang w:eastAsia="es-MX"/>
        </w:rPr>
        <w:t>parte actora</w:t>
      </w:r>
      <w:r w:rsidRPr="00F32542">
        <w:rPr>
          <w:rFonts w:ascii="Arial" w:hAnsi="Arial" w:cs="Arial"/>
          <w:bCs/>
          <w:sz w:val="28"/>
          <w:szCs w:val="28"/>
          <w:lang w:eastAsia="es-MX"/>
        </w:rPr>
        <w:t>, conllevaría una oposición al principio pro homine, reconocido por el artículo 1° constitucional, pues implicaría atribuir a ese precepto un sentido restrictivo en perjuicio de la persona suplente.</w:t>
      </w:r>
    </w:p>
    <w:p w14:paraId="252BA4B1" w14:textId="77777777" w:rsidR="00BF2806" w:rsidRPr="00F32542" w:rsidRDefault="00BF2806" w:rsidP="003D29D2">
      <w:pPr>
        <w:spacing w:after="0" w:line="360" w:lineRule="auto"/>
        <w:jc w:val="both"/>
        <w:rPr>
          <w:rFonts w:ascii="Arial" w:hAnsi="Arial" w:cs="Arial"/>
          <w:bCs/>
          <w:sz w:val="28"/>
          <w:szCs w:val="28"/>
          <w:lang w:eastAsia="es-MX"/>
        </w:rPr>
      </w:pPr>
    </w:p>
    <w:p w14:paraId="1659D7AC"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Lejos de hacer una lectura que potencie al máximo el derecho al voto pasivo de ambas personas integrantes de una fórmula, como sería el entender que ante la falta de la propietaria no se generará una vacante, pues el lugar será ocupado por la suplente; y sólo en caso de faltar toda la fórmula, es decir, sus dos integrantes, se producirá la vacante a cubrir con la siguiente fórmula de la respectiva lista.</w:t>
      </w:r>
    </w:p>
    <w:p w14:paraId="0FB3A2E6" w14:textId="77777777" w:rsidR="00BF2806" w:rsidRPr="00F32542" w:rsidRDefault="00BF2806" w:rsidP="003D29D2">
      <w:pPr>
        <w:spacing w:after="0" w:line="360" w:lineRule="auto"/>
        <w:jc w:val="both"/>
        <w:rPr>
          <w:rFonts w:ascii="Arial" w:hAnsi="Arial" w:cs="Arial"/>
          <w:bCs/>
          <w:sz w:val="28"/>
          <w:szCs w:val="28"/>
          <w:lang w:eastAsia="es-MX"/>
        </w:rPr>
      </w:pPr>
    </w:p>
    <w:p w14:paraId="797D1AFB" w14:textId="77777777" w:rsidR="00BF2806" w:rsidRPr="00F32542" w:rsidRDefault="00BF2806" w:rsidP="003D29D2">
      <w:pPr>
        <w:spacing w:after="0" w:line="360" w:lineRule="auto"/>
        <w:jc w:val="both"/>
        <w:rPr>
          <w:rFonts w:ascii="Arial" w:hAnsi="Arial" w:cs="Arial"/>
          <w:bCs/>
          <w:sz w:val="28"/>
          <w:szCs w:val="28"/>
          <w:lang w:eastAsia="es-MX"/>
        </w:rPr>
      </w:pPr>
      <w:r w:rsidRPr="00F32542">
        <w:rPr>
          <w:rFonts w:ascii="Arial" w:hAnsi="Arial" w:cs="Arial"/>
          <w:bCs/>
          <w:sz w:val="28"/>
          <w:szCs w:val="28"/>
          <w:lang w:eastAsia="es-MX"/>
        </w:rPr>
        <w:t>Bajo esta perspectiva, desde el momento de la aprobación del registro de la lista propuesta por los institutos políticos para la asignación de diputaciones por el principio de representación proporcional, todas las candidaturas cuentan con igualdad de derecho de ser votadas y de acceder al cargo.</w:t>
      </w:r>
    </w:p>
    <w:p w14:paraId="4F810FAF" w14:textId="77777777" w:rsidR="00BF2806" w:rsidRPr="00F32542" w:rsidRDefault="00BF2806" w:rsidP="003D29D2">
      <w:pPr>
        <w:spacing w:after="0" w:line="360" w:lineRule="auto"/>
        <w:jc w:val="both"/>
        <w:rPr>
          <w:rFonts w:ascii="Arial" w:hAnsi="Arial" w:cs="Arial"/>
          <w:bCs/>
          <w:sz w:val="28"/>
          <w:szCs w:val="28"/>
          <w:lang w:eastAsia="es-MX"/>
        </w:rPr>
      </w:pPr>
    </w:p>
    <w:p w14:paraId="25439A32" w14:textId="77777777" w:rsidR="00BF2806" w:rsidRPr="00F32542" w:rsidRDefault="00BF2806" w:rsidP="003D29D2">
      <w:pPr>
        <w:spacing w:after="0" w:line="360" w:lineRule="auto"/>
        <w:jc w:val="both"/>
        <w:rPr>
          <w:rFonts w:ascii="Arial" w:hAnsi="Arial" w:cs="Arial"/>
          <w:bCs/>
          <w:sz w:val="28"/>
          <w:szCs w:val="28"/>
        </w:rPr>
      </w:pPr>
      <w:r w:rsidRPr="00F32542">
        <w:rPr>
          <w:rFonts w:ascii="Arial" w:hAnsi="Arial" w:cs="Arial"/>
          <w:bCs/>
          <w:sz w:val="28"/>
          <w:szCs w:val="28"/>
          <w:lang w:eastAsia="es-MX"/>
        </w:rPr>
        <w:t xml:space="preserve">En este orden de ideas, </w:t>
      </w:r>
      <w:r w:rsidRPr="00F32542">
        <w:rPr>
          <w:rFonts w:ascii="Arial" w:hAnsi="Arial" w:cs="Arial"/>
          <w:b/>
          <w:sz w:val="28"/>
          <w:szCs w:val="28"/>
          <w:lang w:eastAsia="es-MX"/>
        </w:rPr>
        <w:t>no le asiste la razón</w:t>
      </w:r>
      <w:r w:rsidRPr="00F32542">
        <w:rPr>
          <w:rFonts w:ascii="Arial" w:hAnsi="Arial" w:cs="Arial"/>
          <w:bCs/>
          <w:sz w:val="28"/>
          <w:szCs w:val="28"/>
          <w:lang w:eastAsia="es-MX"/>
        </w:rPr>
        <w:t xml:space="preserve"> a la </w:t>
      </w:r>
      <w:r w:rsidRPr="00F32542">
        <w:rPr>
          <w:rFonts w:ascii="Arial" w:hAnsi="Arial" w:cs="Arial"/>
          <w:bCs/>
          <w:i/>
          <w:iCs/>
          <w:sz w:val="28"/>
          <w:szCs w:val="28"/>
          <w:lang w:eastAsia="es-MX"/>
        </w:rPr>
        <w:t>demandante</w:t>
      </w:r>
      <w:r w:rsidRPr="00F32542">
        <w:rPr>
          <w:rFonts w:ascii="Arial" w:hAnsi="Arial" w:cs="Arial"/>
          <w:bCs/>
          <w:sz w:val="28"/>
          <w:szCs w:val="28"/>
          <w:lang w:eastAsia="es-MX"/>
        </w:rPr>
        <w:t>,</w:t>
      </w:r>
      <w:r w:rsidRPr="00F32542">
        <w:rPr>
          <w:rFonts w:ascii="Arial" w:hAnsi="Arial" w:cs="Arial"/>
          <w:bCs/>
          <w:i/>
          <w:iCs/>
          <w:sz w:val="28"/>
          <w:szCs w:val="28"/>
          <w:lang w:eastAsia="es-MX"/>
        </w:rPr>
        <w:t xml:space="preserve"> </w:t>
      </w:r>
      <w:r w:rsidRPr="00F32542">
        <w:rPr>
          <w:rFonts w:ascii="Arial" w:hAnsi="Arial" w:cs="Arial"/>
          <w:bCs/>
          <w:sz w:val="28"/>
          <w:szCs w:val="28"/>
          <w:lang w:eastAsia="es-MX"/>
        </w:rPr>
        <w:t xml:space="preserve">al tratar de evidenciar una irregularidad en la elegibilidad de </w:t>
      </w:r>
      <w:r w:rsidRPr="00F32542">
        <w:rPr>
          <w:rFonts w:ascii="Arial" w:hAnsi="Arial" w:cs="Arial"/>
          <w:bCs/>
          <w:sz w:val="28"/>
          <w:szCs w:val="28"/>
        </w:rPr>
        <w:t xml:space="preserve">Manuel </w:t>
      </w:r>
      <w:proofErr w:type="spellStart"/>
      <w:r w:rsidRPr="00F32542">
        <w:rPr>
          <w:rFonts w:ascii="Arial" w:hAnsi="Arial" w:cs="Arial"/>
          <w:bCs/>
          <w:sz w:val="28"/>
          <w:szCs w:val="28"/>
        </w:rPr>
        <w:t>Talayero</w:t>
      </w:r>
      <w:proofErr w:type="spellEnd"/>
      <w:r w:rsidRPr="00F32542">
        <w:rPr>
          <w:rFonts w:ascii="Arial" w:hAnsi="Arial" w:cs="Arial"/>
          <w:bCs/>
          <w:sz w:val="28"/>
          <w:szCs w:val="28"/>
        </w:rPr>
        <w:t xml:space="preserve"> Pariente, por ende, debe confirmarse la elegibilidad de esta persona.</w:t>
      </w:r>
    </w:p>
    <w:p w14:paraId="2D7F400A" w14:textId="77777777" w:rsidR="00BF2806" w:rsidRPr="00F32542" w:rsidRDefault="00BF2806" w:rsidP="003D29D2">
      <w:pPr>
        <w:spacing w:after="0" w:line="360" w:lineRule="auto"/>
        <w:jc w:val="both"/>
        <w:rPr>
          <w:rFonts w:ascii="Arial" w:hAnsi="Arial" w:cs="Arial"/>
          <w:bCs/>
          <w:sz w:val="28"/>
          <w:szCs w:val="28"/>
        </w:rPr>
      </w:pPr>
    </w:p>
    <w:p w14:paraId="05C88B3D" w14:textId="77777777" w:rsidR="00BF2806" w:rsidRPr="00F32542" w:rsidRDefault="00BF2806" w:rsidP="003D29D2">
      <w:pPr>
        <w:spacing w:after="0" w:line="360" w:lineRule="auto"/>
        <w:jc w:val="both"/>
        <w:rPr>
          <w:rFonts w:ascii="Arial" w:hAnsi="Arial" w:cs="Arial"/>
          <w:sz w:val="28"/>
          <w:szCs w:val="28"/>
          <w:lang w:eastAsia="es-MX"/>
        </w:rPr>
      </w:pPr>
      <w:r w:rsidRPr="00F32542">
        <w:rPr>
          <w:rFonts w:ascii="Arial" w:hAnsi="Arial" w:cs="Arial"/>
          <w:bCs/>
          <w:sz w:val="28"/>
          <w:szCs w:val="28"/>
        </w:rPr>
        <w:t xml:space="preserve">Robustece lo anterior, la jurisprudencia </w:t>
      </w:r>
      <w:r w:rsidRPr="00F32542">
        <w:rPr>
          <w:rFonts w:ascii="Arial" w:hAnsi="Arial" w:cs="Arial"/>
          <w:b/>
          <w:sz w:val="28"/>
          <w:szCs w:val="28"/>
        </w:rPr>
        <w:t>30/2010</w:t>
      </w:r>
      <w:r w:rsidRPr="00F32542">
        <w:rPr>
          <w:rFonts w:ascii="Arial" w:hAnsi="Arial" w:cs="Arial"/>
          <w:bCs/>
          <w:sz w:val="28"/>
          <w:szCs w:val="28"/>
        </w:rPr>
        <w:t xml:space="preserve"> de la </w:t>
      </w:r>
      <w:r w:rsidRPr="00F32542">
        <w:rPr>
          <w:rFonts w:ascii="Arial" w:hAnsi="Arial" w:cs="Arial"/>
          <w:bCs/>
          <w:i/>
          <w:iCs/>
          <w:sz w:val="28"/>
          <w:szCs w:val="28"/>
        </w:rPr>
        <w:t>Sala Superior</w:t>
      </w:r>
      <w:r w:rsidRPr="00F32542">
        <w:rPr>
          <w:rFonts w:ascii="Arial" w:hAnsi="Arial" w:cs="Arial"/>
          <w:bCs/>
          <w:sz w:val="28"/>
          <w:szCs w:val="28"/>
        </w:rPr>
        <w:t xml:space="preserve"> de rubro “</w:t>
      </w:r>
      <w:r w:rsidRPr="00F32542">
        <w:rPr>
          <w:rFonts w:ascii="Arial" w:hAnsi="Arial" w:cs="Arial"/>
          <w:b/>
          <w:bCs/>
          <w:sz w:val="28"/>
          <w:szCs w:val="28"/>
        </w:rPr>
        <w:t xml:space="preserve">CANDIDATO SUPLENTE DE UNA FÓRMULA DE REPRESENTACIÓN PROPORCIONAL. DEBE OCUPAR LA CURUL SI EL PROPIETARIO RENUNCIA A SU DERECHO DE </w:t>
      </w:r>
      <w:r w:rsidRPr="00F32542">
        <w:rPr>
          <w:rFonts w:ascii="Arial" w:hAnsi="Arial" w:cs="Arial"/>
          <w:b/>
          <w:bCs/>
          <w:sz w:val="28"/>
          <w:szCs w:val="28"/>
        </w:rPr>
        <w:lastRenderedPageBreak/>
        <w:t>HACERLO (LEGISLACIÓN DE AGUASCALIENTES, SINALOA, ESTADO DE MÉXICO Y NAYARIT)</w:t>
      </w:r>
      <w:r w:rsidRPr="00F32542">
        <w:rPr>
          <w:rFonts w:ascii="Arial" w:hAnsi="Arial" w:cs="Arial"/>
          <w:sz w:val="28"/>
          <w:szCs w:val="28"/>
        </w:rPr>
        <w:t xml:space="preserve">”, así como el precedente </w:t>
      </w:r>
      <w:r w:rsidRPr="00F32542">
        <w:rPr>
          <w:rFonts w:ascii="Arial" w:hAnsi="Arial" w:cs="Arial"/>
          <w:b/>
          <w:bCs/>
          <w:sz w:val="28"/>
          <w:szCs w:val="28"/>
        </w:rPr>
        <w:t>SUP-REC-940/2018</w:t>
      </w:r>
      <w:r w:rsidRPr="00F32542">
        <w:rPr>
          <w:rFonts w:ascii="Arial" w:hAnsi="Arial" w:cs="Arial"/>
          <w:sz w:val="28"/>
          <w:szCs w:val="28"/>
        </w:rPr>
        <w:t>, en el que tal Sala se pronunció en términos similares a los aquí razonados.</w:t>
      </w:r>
    </w:p>
    <w:p w14:paraId="79926133" w14:textId="77777777" w:rsidR="00BF2806" w:rsidRPr="00F32542" w:rsidRDefault="00BF2806" w:rsidP="003D29D2">
      <w:pPr>
        <w:spacing w:after="0" w:line="360" w:lineRule="auto"/>
        <w:jc w:val="both"/>
        <w:rPr>
          <w:rFonts w:ascii="Arial" w:hAnsi="Arial" w:cs="Arial"/>
          <w:bCs/>
          <w:sz w:val="28"/>
          <w:szCs w:val="28"/>
        </w:rPr>
      </w:pPr>
    </w:p>
    <w:p w14:paraId="7FA7CAA6" w14:textId="77777777" w:rsidR="00BF2806" w:rsidRPr="00F32542" w:rsidRDefault="00BF2806" w:rsidP="003D29D2">
      <w:pPr>
        <w:spacing w:after="0" w:line="360" w:lineRule="auto"/>
        <w:jc w:val="both"/>
        <w:rPr>
          <w:rFonts w:ascii="Arial" w:hAnsi="Arial" w:cs="Arial"/>
          <w:bCs/>
          <w:sz w:val="28"/>
          <w:szCs w:val="28"/>
        </w:rPr>
      </w:pPr>
      <w:r w:rsidRPr="00F32542">
        <w:rPr>
          <w:rFonts w:ascii="Arial" w:hAnsi="Arial" w:cs="Arial"/>
          <w:bCs/>
          <w:sz w:val="28"/>
          <w:szCs w:val="28"/>
        </w:rPr>
        <w:t xml:space="preserve">En las relatadas circunstancias, lo procedente es </w:t>
      </w:r>
      <w:r w:rsidRPr="00F32542">
        <w:rPr>
          <w:rFonts w:ascii="Arial" w:hAnsi="Arial" w:cs="Arial"/>
          <w:b/>
          <w:sz w:val="28"/>
          <w:szCs w:val="28"/>
        </w:rPr>
        <w:t>confirmar</w:t>
      </w:r>
      <w:r w:rsidRPr="00F32542">
        <w:rPr>
          <w:rFonts w:ascii="Arial" w:hAnsi="Arial" w:cs="Arial"/>
          <w:bCs/>
          <w:sz w:val="28"/>
          <w:szCs w:val="28"/>
        </w:rPr>
        <w:t xml:space="preserve"> la elegibilidad de las personas controvertidas.</w:t>
      </w:r>
    </w:p>
    <w:p w14:paraId="63163C83" w14:textId="77777777" w:rsidR="002578EC" w:rsidRPr="00F32542" w:rsidRDefault="002578EC" w:rsidP="003D29D2">
      <w:pPr>
        <w:spacing w:after="0" w:line="360" w:lineRule="auto"/>
        <w:jc w:val="both"/>
        <w:rPr>
          <w:rFonts w:ascii="Arial" w:hAnsi="Arial" w:cs="Arial"/>
          <w:b/>
          <w:spacing w:val="4"/>
          <w:sz w:val="28"/>
          <w:szCs w:val="28"/>
        </w:rPr>
      </w:pPr>
    </w:p>
    <w:p w14:paraId="671C5151" w14:textId="77777777" w:rsidR="00F94B48" w:rsidRPr="00F32542" w:rsidRDefault="00F94B48" w:rsidP="003D29D2">
      <w:pPr>
        <w:pStyle w:val="Prrafodelista"/>
        <w:numPr>
          <w:ilvl w:val="0"/>
          <w:numId w:val="2"/>
        </w:numPr>
        <w:spacing w:line="360" w:lineRule="auto"/>
        <w:rPr>
          <w:rFonts w:ascii="Arial" w:hAnsi="Arial" w:cs="Arial"/>
          <w:bCs/>
          <w:szCs w:val="28"/>
        </w:rPr>
      </w:pPr>
      <w:r w:rsidRPr="00F32542">
        <w:rPr>
          <w:rFonts w:ascii="Arial" w:hAnsi="Arial" w:cs="Arial"/>
          <w:b/>
          <w:bCs/>
          <w:color w:val="000000"/>
          <w:szCs w:val="28"/>
        </w:rPr>
        <w:t>Diputación migrante</w:t>
      </w:r>
      <w:r w:rsidR="005D5BA5" w:rsidRPr="00F32542">
        <w:rPr>
          <w:rFonts w:ascii="Arial" w:hAnsi="Arial" w:cs="Arial"/>
          <w:b/>
          <w:bCs/>
          <w:color w:val="000000"/>
          <w:szCs w:val="28"/>
        </w:rPr>
        <w:t>.</w:t>
      </w:r>
      <w:r w:rsidRPr="00F32542">
        <w:rPr>
          <w:rFonts w:ascii="Arial" w:hAnsi="Arial" w:cs="Arial"/>
          <w:b/>
          <w:bCs/>
          <w:color w:val="000000"/>
          <w:szCs w:val="28"/>
        </w:rPr>
        <w:t xml:space="preserve"> </w:t>
      </w:r>
    </w:p>
    <w:p w14:paraId="44688790" w14:textId="77777777" w:rsidR="00E27891" w:rsidRPr="00F32542" w:rsidRDefault="00E27891" w:rsidP="003D29D2">
      <w:pPr>
        <w:spacing w:after="0" w:line="360" w:lineRule="auto"/>
        <w:rPr>
          <w:rFonts w:ascii="Arial" w:hAnsi="Arial" w:cs="Arial"/>
          <w:bCs/>
          <w:sz w:val="28"/>
          <w:szCs w:val="28"/>
        </w:rPr>
      </w:pPr>
    </w:p>
    <w:p w14:paraId="792571CE" w14:textId="77777777" w:rsidR="00E27891" w:rsidRPr="00F32542" w:rsidRDefault="00DA2DE7" w:rsidP="003D29D2">
      <w:pPr>
        <w:widowControl w:val="0"/>
        <w:spacing w:after="0" w:line="360" w:lineRule="auto"/>
        <w:jc w:val="both"/>
        <w:rPr>
          <w:rFonts w:ascii="Arial" w:eastAsia="Times New Roman" w:hAnsi="Arial" w:cs="Arial"/>
          <w:b/>
          <w:bCs/>
          <w:color w:val="000000"/>
          <w:sz w:val="28"/>
          <w:szCs w:val="28"/>
        </w:rPr>
      </w:pPr>
      <w:r w:rsidRPr="00F32542">
        <w:rPr>
          <w:rFonts w:ascii="Arial" w:eastAsia="Times New Roman" w:hAnsi="Arial" w:cs="Arial"/>
          <w:b/>
          <w:bCs/>
          <w:color w:val="000000"/>
          <w:sz w:val="28"/>
          <w:szCs w:val="28"/>
        </w:rPr>
        <w:t>1</w:t>
      </w:r>
      <w:r w:rsidR="00E27891" w:rsidRPr="00F32542">
        <w:rPr>
          <w:rFonts w:ascii="Arial" w:eastAsia="Times New Roman" w:hAnsi="Arial" w:cs="Arial"/>
          <w:b/>
          <w:bCs/>
          <w:color w:val="000000"/>
          <w:sz w:val="28"/>
          <w:szCs w:val="28"/>
        </w:rPr>
        <w:t>. Implementación de la diputación migrante.</w:t>
      </w:r>
    </w:p>
    <w:p w14:paraId="2C8BEB84" w14:textId="77777777" w:rsidR="00F94B48" w:rsidRPr="00F32542" w:rsidRDefault="00F94B48" w:rsidP="003D29D2">
      <w:pPr>
        <w:widowControl w:val="0"/>
        <w:spacing w:after="0" w:line="360" w:lineRule="auto"/>
        <w:jc w:val="both"/>
        <w:rPr>
          <w:rFonts w:ascii="Arial" w:eastAsia="Times New Roman" w:hAnsi="Arial" w:cs="Arial"/>
          <w:b/>
          <w:bCs/>
          <w:color w:val="000000"/>
          <w:sz w:val="28"/>
          <w:szCs w:val="28"/>
        </w:rPr>
      </w:pPr>
    </w:p>
    <w:p w14:paraId="0ED6EE37" w14:textId="77777777" w:rsidR="00F94B48" w:rsidRPr="00F32542" w:rsidRDefault="00F94B48" w:rsidP="003D29D2">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En este apartado se analizarán los siguientes subtemas. </w:t>
      </w:r>
    </w:p>
    <w:p w14:paraId="667D5D7D" w14:textId="77777777" w:rsidR="00F94B48" w:rsidRPr="00F32542" w:rsidRDefault="00F94B48" w:rsidP="003D29D2">
      <w:pPr>
        <w:widowControl w:val="0"/>
        <w:spacing w:after="0" w:line="360" w:lineRule="auto"/>
        <w:jc w:val="both"/>
        <w:rPr>
          <w:rFonts w:ascii="Arial" w:eastAsia="Times New Roman" w:hAnsi="Arial" w:cs="Arial"/>
          <w:bCs/>
          <w:color w:val="000000"/>
          <w:sz w:val="28"/>
          <w:szCs w:val="28"/>
        </w:rPr>
      </w:pPr>
    </w:p>
    <w:p w14:paraId="72787660" w14:textId="77777777" w:rsidR="00F94B48" w:rsidRPr="00F32542" w:rsidRDefault="00DA2DE7" w:rsidP="003D29D2">
      <w:pPr>
        <w:widowControl w:val="0"/>
        <w:spacing w:after="0" w:line="360" w:lineRule="auto"/>
        <w:jc w:val="both"/>
        <w:rPr>
          <w:rFonts w:ascii="Arial" w:eastAsia="Times New Roman" w:hAnsi="Arial" w:cs="Arial"/>
          <w:b/>
          <w:bCs/>
          <w:color w:val="000000"/>
          <w:sz w:val="28"/>
          <w:szCs w:val="28"/>
        </w:rPr>
      </w:pPr>
      <w:r w:rsidRPr="00F32542">
        <w:rPr>
          <w:rFonts w:ascii="Arial" w:eastAsia="Times New Roman" w:hAnsi="Arial" w:cs="Arial"/>
          <w:b/>
          <w:bCs/>
          <w:color w:val="000000"/>
          <w:sz w:val="28"/>
          <w:szCs w:val="28"/>
        </w:rPr>
        <w:t xml:space="preserve">a) </w:t>
      </w:r>
      <w:r w:rsidR="00F94B48" w:rsidRPr="00F32542">
        <w:rPr>
          <w:rFonts w:ascii="Arial" w:eastAsia="Times New Roman" w:hAnsi="Arial" w:cs="Arial"/>
          <w:b/>
          <w:bCs/>
          <w:color w:val="000000"/>
          <w:sz w:val="28"/>
          <w:szCs w:val="28"/>
        </w:rPr>
        <w:t xml:space="preserve">Implementación de la </w:t>
      </w:r>
      <w:r w:rsidR="00E27891" w:rsidRPr="00F32542">
        <w:rPr>
          <w:rFonts w:ascii="Arial" w:eastAsia="Times New Roman" w:hAnsi="Arial" w:cs="Arial"/>
          <w:b/>
          <w:bCs/>
          <w:color w:val="000000"/>
          <w:sz w:val="28"/>
          <w:szCs w:val="28"/>
        </w:rPr>
        <w:t xml:space="preserve">figura </w:t>
      </w:r>
      <w:r w:rsidR="00F94B48" w:rsidRPr="00F32542">
        <w:rPr>
          <w:rFonts w:ascii="Arial" w:eastAsia="Times New Roman" w:hAnsi="Arial" w:cs="Arial"/>
          <w:b/>
          <w:bCs/>
          <w:color w:val="000000"/>
          <w:sz w:val="28"/>
          <w:szCs w:val="28"/>
        </w:rPr>
        <w:t>y método de elección mediante representación proporcional</w:t>
      </w:r>
      <w:r w:rsidRPr="00F32542">
        <w:rPr>
          <w:rFonts w:ascii="Arial" w:eastAsia="Times New Roman" w:hAnsi="Arial" w:cs="Arial"/>
          <w:b/>
          <w:bCs/>
          <w:color w:val="000000"/>
          <w:sz w:val="28"/>
          <w:szCs w:val="28"/>
        </w:rPr>
        <w:t>.</w:t>
      </w:r>
    </w:p>
    <w:p w14:paraId="12622548" w14:textId="77777777" w:rsidR="00F94B48" w:rsidRPr="00F32542" w:rsidRDefault="00F94B48" w:rsidP="003D29D2">
      <w:pPr>
        <w:widowControl w:val="0"/>
        <w:spacing w:after="0" w:line="360" w:lineRule="auto"/>
        <w:ind w:left="720"/>
        <w:contextualSpacing/>
        <w:jc w:val="both"/>
        <w:rPr>
          <w:rFonts w:ascii="Arial" w:eastAsia="Times New Roman" w:hAnsi="Arial" w:cs="Arial"/>
          <w:bCs/>
          <w:color w:val="000000"/>
          <w:sz w:val="28"/>
          <w:szCs w:val="28"/>
        </w:rPr>
      </w:pPr>
    </w:p>
    <w:p w14:paraId="5A3CFDEB" w14:textId="77777777" w:rsidR="00F94B48" w:rsidRPr="00F32542" w:rsidRDefault="00F94B48" w:rsidP="003D29D2">
      <w:pPr>
        <w:widowControl w:val="0"/>
        <w:spacing w:after="0" w:line="360" w:lineRule="auto"/>
        <w:contextualSpacing/>
        <w:jc w:val="both"/>
        <w:rPr>
          <w:rFonts w:ascii="Arial" w:eastAsia="Times New Roman" w:hAnsi="Arial" w:cs="Arial"/>
          <w:b/>
          <w:bCs/>
          <w:color w:val="000000"/>
          <w:sz w:val="28"/>
          <w:szCs w:val="28"/>
        </w:rPr>
      </w:pPr>
      <w:r w:rsidRPr="00F32542">
        <w:rPr>
          <w:rFonts w:ascii="Arial" w:eastAsia="Times New Roman" w:hAnsi="Arial" w:cs="Arial"/>
          <w:b/>
          <w:bCs/>
          <w:color w:val="000000"/>
          <w:sz w:val="28"/>
          <w:szCs w:val="28"/>
        </w:rPr>
        <w:t xml:space="preserve">TECDMX-JLDC-109/2021 (Nayaret </w:t>
      </w:r>
      <w:proofErr w:type="spellStart"/>
      <w:r w:rsidRPr="00F32542">
        <w:rPr>
          <w:rFonts w:ascii="Arial" w:eastAsia="Times New Roman" w:hAnsi="Arial" w:cs="Arial"/>
          <w:b/>
          <w:bCs/>
          <w:color w:val="000000"/>
          <w:sz w:val="28"/>
          <w:szCs w:val="28"/>
        </w:rPr>
        <w:t>Yazmín</w:t>
      </w:r>
      <w:proofErr w:type="spellEnd"/>
      <w:r w:rsidRPr="00F32542">
        <w:rPr>
          <w:rFonts w:ascii="Arial" w:eastAsia="Times New Roman" w:hAnsi="Arial" w:cs="Arial"/>
          <w:b/>
          <w:bCs/>
          <w:color w:val="000000"/>
          <w:sz w:val="28"/>
          <w:szCs w:val="28"/>
        </w:rPr>
        <w:t xml:space="preserve"> Calderón)</w:t>
      </w:r>
    </w:p>
    <w:p w14:paraId="70E5F423" w14:textId="77777777" w:rsidR="00F94B48" w:rsidRPr="00F32542" w:rsidRDefault="00F94B48" w:rsidP="003D29D2">
      <w:pPr>
        <w:widowControl w:val="0"/>
        <w:spacing w:after="0" w:line="360" w:lineRule="auto"/>
        <w:jc w:val="both"/>
        <w:rPr>
          <w:rFonts w:ascii="Arial" w:eastAsia="Calibri" w:hAnsi="Arial" w:cs="Arial"/>
          <w:sz w:val="28"/>
          <w:szCs w:val="28"/>
        </w:rPr>
      </w:pPr>
    </w:p>
    <w:p w14:paraId="40D3E5C4" w14:textId="77777777" w:rsidR="00F94B48" w:rsidRPr="00F32542" w:rsidRDefault="00F94B48" w:rsidP="003D29D2">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La candidata actora sostiene que la implementación de la diputación migrante es inconstitucional porque la lista A Prima no está regulada en ordenamiento alguno, se implementó tomando en cuenta tiempos demasiado cortos y no cuenta con reglas claras. Asimismo, conforme al artículo 27 del Código local, el cociente natural debió calcularse a partir de treinta y tres curules y no de treinta y dos, inconsistencia que provocó la diputación migrante. </w:t>
      </w:r>
    </w:p>
    <w:p w14:paraId="1C225E35" w14:textId="77777777" w:rsidR="00F94B48" w:rsidRPr="00F32542" w:rsidRDefault="00F94B48" w:rsidP="003D29D2">
      <w:pPr>
        <w:widowControl w:val="0"/>
        <w:spacing w:after="0" w:line="360" w:lineRule="auto"/>
        <w:jc w:val="both"/>
        <w:rPr>
          <w:rFonts w:ascii="Arial" w:eastAsia="Calibri" w:hAnsi="Arial" w:cs="Arial"/>
          <w:sz w:val="28"/>
          <w:szCs w:val="28"/>
        </w:rPr>
      </w:pPr>
    </w:p>
    <w:p w14:paraId="6D84CE19" w14:textId="77777777" w:rsidR="00F94B48" w:rsidRPr="00F32542" w:rsidRDefault="00F94B48" w:rsidP="003D29D2">
      <w:pPr>
        <w:widowControl w:val="0"/>
        <w:spacing w:after="0" w:line="360" w:lineRule="auto"/>
        <w:jc w:val="both"/>
        <w:rPr>
          <w:rFonts w:ascii="Arial" w:eastAsia="Calibri" w:hAnsi="Arial" w:cs="Arial"/>
          <w:b/>
          <w:sz w:val="28"/>
          <w:szCs w:val="28"/>
        </w:rPr>
      </w:pPr>
      <w:r w:rsidRPr="00F32542">
        <w:rPr>
          <w:rFonts w:ascii="Arial" w:eastAsia="Calibri" w:hAnsi="Arial" w:cs="Arial"/>
          <w:b/>
          <w:sz w:val="28"/>
          <w:szCs w:val="28"/>
        </w:rPr>
        <w:t>TECDMX-JEL-205/2021 (PRI)</w:t>
      </w:r>
    </w:p>
    <w:p w14:paraId="1AE393CA" w14:textId="77777777" w:rsidR="00F94B48" w:rsidRPr="00F32542" w:rsidRDefault="00F94B48" w:rsidP="003D29D2">
      <w:pPr>
        <w:widowControl w:val="0"/>
        <w:spacing w:after="0" w:line="360" w:lineRule="auto"/>
        <w:jc w:val="both"/>
        <w:rPr>
          <w:rFonts w:ascii="Arial" w:eastAsia="Calibri" w:hAnsi="Arial" w:cs="Arial"/>
          <w:sz w:val="28"/>
          <w:szCs w:val="28"/>
        </w:rPr>
      </w:pPr>
    </w:p>
    <w:p w14:paraId="27A965DB" w14:textId="77777777" w:rsidR="00F94B48" w:rsidRPr="00F32542" w:rsidRDefault="00F94B48" w:rsidP="003D29D2">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lastRenderedPageBreak/>
        <w:t xml:space="preserve">El </w:t>
      </w:r>
      <w:r w:rsidRPr="00F32542">
        <w:rPr>
          <w:rFonts w:ascii="Arial" w:eastAsia="Calibri" w:hAnsi="Arial" w:cs="Arial"/>
          <w:i/>
          <w:sz w:val="28"/>
          <w:szCs w:val="28"/>
        </w:rPr>
        <w:t>PRI</w:t>
      </w:r>
      <w:r w:rsidRPr="00F32542">
        <w:rPr>
          <w:rFonts w:ascii="Arial" w:eastAsia="Calibri" w:hAnsi="Arial" w:cs="Arial"/>
          <w:sz w:val="28"/>
          <w:szCs w:val="28"/>
        </w:rPr>
        <w:t xml:space="preserve"> aduce que, el </w:t>
      </w:r>
      <w:r w:rsidRPr="00F32542">
        <w:rPr>
          <w:rFonts w:ascii="Arial" w:eastAsia="Calibri" w:hAnsi="Arial" w:cs="Arial"/>
          <w:i/>
          <w:sz w:val="28"/>
          <w:szCs w:val="28"/>
        </w:rPr>
        <w:t>Consejo General</w:t>
      </w:r>
      <w:r w:rsidRPr="00F32542">
        <w:rPr>
          <w:rFonts w:ascii="Arial" w:eastAsia="Calibri" w:hAnsi="Arial" w:cs="Arial"/>
          <w:sz w:val="28"/>
          <w:szCs w:val="28"/>
        </w:rPr>
        <w:t>, a través del acuerdo 88/2021, determinó el límite de gastos de campaña a las candidaturas a la diputación migrante, por lo que tácitamente las consideró de mayoría relativa, mientras que, aun cuando se implementó como de representación proporcional, no puede realizar actos de campaña, ya que la jurisprudencia: “</w:t>
      </w:r>
      <w:r w:rsidRPr="00F32542">
        <w:rPr>
          <w:rFonts w:ascii="Arial" w:eastAsia="Calibri" w:hAnsi="Arial" w:cs="Arial"/>
          <w:b/>
          <w:bCs/>
          <w:sz w:val="28"/>
          <w:szCs w:val="28"/>
        </w:rPr>
        <w:t>CANDIDATOS DE REPRESENTACIÓN PROPORCIONAL. PUEDEN REALIZAR ACTOS DE CAMPAÑA EN PROCESOS ELECTORALES</w:t>
      </w:r>
      <w:r w:rsidRPr="00F32542">
        <w:rPr>
          <w:rFonts w:ascii="Arial" w:eastAsia="Calibri" w:hAnsi="Arial" w:cs="Arial"/>
          <w:sz w:val="28"/>
          <w:szCs w:val="28"/>
        </w:rPr>
        <w:t>”, no aplica a candidaturas ejercidas en el extranjero.</w:t>
      </w:r>
    </w:p>
    <w:p w14:paraId="28B54240" w14:textId="77777777" w:rsidR="00F94B48" w:rsidRPr="00F32542" w:rsidRDefault="00F94B48" w:rsidP="003D29D2">
      <w:pPr>
        <w:widowControl w:val="0"/>
        <w:spacing w:after="0" w:line="360" w:lineRule="auto"/>
        <w:jc w:val="both"/>
        <w:rPr>
          <w:rFonts w:ascii="Arial" w:eastAsia="Calibri" w:hAnsi="Arial" w:cs="Arial"/>
          <w:sz w:val="28"/>
          <w:szCs w:val="28"/>
        </w:rPr>
      </w:pPr>
    </w:p>
    <w:p w14:paraId="4CBB53DC" w14:textId="77777777" w:rsidR="00F94B48" w:rsidRPr="00F32542" w:rsidRDefault="00F94B48" w:rsidP="003D29D2">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Por tanto, si tácitamente se considera a la diputación migrante como de mayoría relativa, en oposición a las reglas que prevén ocupe una posición de representación proporcional, se puede llegar a un escenario de sobrerrepresentación e, incluso, a un acto inconstitucional, por lo que procede revisar el método de asignación en su vertiente cuantitativa. </w:t>
      </w:r>
    </w:p>
    <w:p w14:paraId="498D0B1E" w14:textId="77777777" w:rsidR="00F94B48" w:rsidRPr="00F32542" w:rsidRDefault="00F94B48" w:rsidP="003D29D2">
      <w:pPr>
        <w:widowControl w:val="0"/>
        <w:spacing w:after="0" w:line="360" w:lineRule="auto"/>
        <w:jc w:val="both"/>
        <w:rPr>
          <w:rFonts w:ascii="Arial" w:eastAsia="Calibri" w:hAnsi="Arial" w:cs="Arial"/>
          <w:sz w:val="28"/>
          <w:szCs w:val="28"/>
        </w:rPr>
      </w:pPr>
    </w:p>
    <w:p w14:paraId="42F062D4" w14:textId="77777777" w:rsidR="00F94B48" w:rsidRPr="00F32542" w:rsidRDefault="00DA2DE7" w:rsidP="003D29D2">
      <w:pPr>
        <w:widowControl w:val="0"/>
        <w:spacing w:after="0" w:line="360" w:lineRule="auto"/>
        <w:jc w:val="both"/>
        <w:rPr>
          <w:rFonts w:ascii="Arial" w:eastAsia="Calibri" w:hAnsi="Arial" w:cs="Arial"/>
          <w:b/>
          <w:i/>
          <w:sz w:val="28"/>
          <w:szCs w:val="28"/>
        </w:rPr>
      </w:pPr>
      <w:r w:rsidRPr="00F32542">
        <w:rPr>
          <w:rFonts w:ascii="Arial" w:eastAsia="Calibri" w:hAnsi="Arial" w:cs="Arial"/>
          <w:b/>
          <w:sz w:val="28"/>
          <w:szCs w:val="28"/>
        </w:rPr>
        <w:t>b)</w:t>
      </w:r>
      <w:r w:rsidR="005D5BA5" w:rsidRPr="00F32542">
        <w:rPr>
          <w:rFonts w:ascii="Arial" w:eastAsia="Calibri" w:hAnsi="Arial" w:cs="Arial"/>
          <w:b/>
          <w:sz w:val="28"/>
          <w:szCs w:val="28"/>
        </w:rPr>
        <w:t xml:space="preserve"> </w:t>
      </w:r>
      <w:r w:rsidR="00F94B48" w:rsidRPr="00F32542">
        <w:rPr>
          <w:rFonts w:ascii="Arial" w:eastAsia="Calibri" w:hAnsi="Arial" w:cs="Arial"/>
          <w:b/>
          <w:sz w:val="28"/>
          <w:szCs w:val="28"/>
        </w:rPr>
        <w:t xml:space="preserve">Solicitud </w:t>
      </w:r>
      <w:r w:rsidRPr="00F32542">
        <w:rPr>
          <w:rFonts w:ascii="Arial" w:eastAsia="Calibri" w:hAnsi="Arial" w:cs="Arial"/>
          <w:b/>
          <w:sz w:val="28"/>
          <w:szCs w:val="28"/>
        </w:rPr>
        <w:t xml:space="preserve">de </w:t>
      </w:r>
      <w:r w:rsidR="00F94B48" w:rsidRPr="00F32542">
        <w:rPr>
          <w:rFonts w:ascii="Arial" w:eastAsia="Calibri" w:hAnsi="Arial" w:cs="Arial"/>
          <w:b/>
          <w:sz w:val="28"/>
          <w:szCs w:val="28"/>
        </w:rPr>
        <w:t xml:space="preserve">inaplicación de los </w:t>
      </w:r>
      <w:r w:rsidR="00F94B48" w:rsidRPr="00F32542">
        <w:rPr>
          <w:rFonts w:ascii="Arial" w:eastAsia="Calibri" w:hAnsi="Arial" w:cs="Arial"/>
          <w:b/>
          <w:i/>
          <w:sz w:val="28"/>
          <w:szCs w:val="28"/>
        </w:rPr>
        <w:t>Lineamientos para la asignación</w:t>
      </w:r>
      <w:r w:rsidRPr="00F32542">
        <w:rPr>
          <w:rFonts w:ascii="Arial" w:eastAsia="Calibri" w:hAnsi="Arial" w:cs="Arial"/>
          <w:b/>
          <w:i/>
          <w:sz w:val="28"/>
          <w:szCs w:val="28"/>
        </w:rPr>
        <w:t>.</w:t>
      </w:r>
    </w:p>
    <w:p w14:paraId="1B0C2C32" w14:textId="77777777" w:rsidR="00F94B48" w:rsidRPr="00F32542" w:rsidRDefault="00F94B48" w:rsidP="003D29D2">
      <w:pPr>
        <w:widowControl w:val="0"/>
        <w:spacing w:after="0" w:line="360" w:lineRule="auto"/>
        <w:jc w:val="both"/>
        <w:rPr>
          <w:rFonts w:ascii="Arial" w:eastAsia="Calibri" w:hAnsi="Arial" w:cs="Arial"/>
          <w:sz w:val="28"/>
          <w:szCs w:val="28"/>
        </w:rPr>
      </w:pPr>
    </w:p>
    <w:p w14:paraId="3D083116" w14:textId="77777777" w:rsidR="00F94B48" w:rsidRPr="00F32542" w:rsidRDefault="00F94B48" w:rsidP="003D29D2">
      <w:pPr>
        <w:widowControl w:val="0"/>
        <w:spacing w:after="0" w:line="360" w:lineRule="auto"/>
        <w:jc w:val="both"/>
        <w:rPr>
          <w:rFonts w:ascii="Arial" w:eastAsia="Calibri" w:hAnsi="Arial" w:cs="Arial"/>
          <w:b/>
          <w:sz w:val="28"/>
          <w:szCs w:val="28"/>
        </w:rPr>
      </w:pPr>
      <w:r w:rsidRPr="00F32542">
        <w:rPr>
          <w:rFonts w:ascii="Arial" w:eastAsia="Calibri" w:hAnsi="Arial" w:cs="Arial"/>
          <w:b/>
          <w:sz w:val="28"/>
          <w:szCs w:val="28"/>
        </w:rPr>
        <w:t>TECDMX-JLDC-100/2021 (Rodrigo Miranda Berumen)</w:t>
      </w:r>
    </w:p>
    <w:p w14:paraId="7E4FF84C" w14:textId="77777777" w:rsidR="00F94B48" w:rsidRPr="00F32542" w:rsidRDefault="00F94B48" w:rsidP="003D29D2">
      <w:pPr>
        <w:widowControl w:val="0"/>
        <w:spacing w:after="0" w:line="360" w:lineRule="auto"/>
        <w:jc w:val="both"/>
        <w:rPr>
          <w:rFonts w:ascii="Arial" w:eastAsia="Calibri" w:hAnsi="Arial" w:cs="Arial"/>
          <w:bCs/>
          <w:sz w:val="28"/>
          <w:szCs w:val="28"/>
        </w:rPr>
      </w:pPr>
    </w:p>
    <w:p w14:paraId="5CF57D9C" w14:textId="77777777" w:rsidR="00F94B48" w:rsidRPr="00F32542" w:rsidRDefault="00F94B48" w:rsidP="003D29D2">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Solicita la inaplicación de los artículos 4, inciso c), fracción VIII, 6 y 7 de los </w:t>
      </w:r>
      <w:r w:rsidRPr="00F32542">
        <w:rPr>
          <w:rFonts w:ascii="Arial" w:eastAsia="Calibri" w:hAnsi="Arial" w:cs="Arial"/>
          <w:i/>
          <w:sz w:val="28"/>
          <w:szCs w:val="28"/>
        </w:rPr>
        <w:t>Lineamientos para la asignación</w:t>
      </w:r>
      <w:r w:rsidRPr="00F32542">
        <w:rPr>
          <w:rFonts w:ascii="Arial" w:eastAsia="Calibri" w:hAnsi="Arial" w:cs="Arial"/>
          <w:sz w:val="28"/>
          <w:szCs w:val="28"/>
        </w:rPr>
        <w:t xml:space="preserve">, al ser contrarios a la naturaleza esencial de la diputación migrante, el método por el que es elegida y el sistema de representación proporcional de la Ciudad de México, establecido en los artículos 39, 40, 41, 54, 55, 116 y 112 de la Constitución Federal. </w:t>
      </w:r>
    </w:p>
    <w:p w14:paraId="50E0A934" w14:textId="77777777" w:rsidR="00F94B48" w:rsidRPr="00F32542" w:rsidRDefault="00F94B48" w:rsidP="003D29D2">
      <w:pPr>
        <w:widowControl w:val="0"/>
        <w:spacing w:after="0" w:line="360" w:lineRule="auto"/>
        <w:jc w:val="both"/>
        <w:rPr>
          <w:rFonts w:ascii="Arial" w:eastAsia="Calibri" w:hAnsi="Arial" w:cs="Arial"/>
          <w:sz w:val="28"/>
          <w:szCs w:val="28"/>
        </w:rPr>
      </w:pPr>
    </w:p>
    <w:p w14:paraId="55C8206F" w14:textId="77777777" w:rsidR="00F94B48" w:rsidRPr="00F32542" w:rsidRDefault="00F94B48" w:rsidP="003D29D2">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lastRenderedPageBreak/>
        <w:t>En atención a que la figura de la diputación migrante fue contemplada en el primer lugar de la lista definitiva del partido político que la ganara, para la asignación de diputaciones por el principio de representación proporcional, ello propició la reconfiguración de la lista definitiva del PAN, por haber obtenido dicha diputación y, en consecuencia, que el actor no fuera considerado para la asignación de curules plurinominales.</w:t>
      </w:r>
    </w:p>
    <w:p w14:paraId="7991156B" w14:textId="77777777" w:rsidR="00F94B48" w:rsidRPr="00F32542" w:rsidRDefault="00F94B48" w:rsidP="003D29D2">
      <w:pPr>
        <w:widowControl w:val="0"/>
        <w:spacing w:after="0" w:line="360" w:lineRule="auto"/>
        <w:jc w:val="both"/>
        <w:rPr>
          <w:rFonts w:ascii="Arial" w:eastAsia="Calibri" w:hAnsi="Arial" w:cs="Arial"/>
          <w:sz w:val="28"/>
          <w:szCs w:val="28"/>
        </w:rPr>
      </w:pPr>
    </w:p>
    <w:p w14:paraId="4DEF9492" w14:textId="77777777" w:rsidR="00F94B48" w:rsidRPr="00F32542" w:rsidRDefault="00F94B48" w:rsidP="003D29D2">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Aduce que el </w:t>
      </w:r>
      <w:r w:rsidRPr="00F32542">
        <w:rPr>
          <w:rFonts w:ascii="Arial" w:eastAsia="Calibri" w:hAnsi="Arial" w:cs="Arial"/>
          <w:i/>
          <w:sz w:val="28"/>
          <w:szCs w:val="28"/>
        </w:rPr>
        <w:t>Consejo General</w:t>
      </w:r>
      <w:r w:rsidRPr="00F32542">
        <w:rPr>
          <w:rFonts w:ascii="Arial" w:eastAsia="Calibri" w:hAnsi="Arial" w:cs="Arial"/>
          <w:sz w:val="28"/>
          <w:szCs w:val="28"/>
        </w:rPr>
        <w:t xml:space="preserve"> no respetó la naturaleza de la diputación migrante, la cual radica en potenciar los derechos del grupo migrante, ante lo cual no tiene que correlacionarse con el derecho de un partido político.</w:t>
      </w:r>
    </w:p>
    <w:p w14:paraId="7B2371B0" w14:textId="77777777" w:rsidR="00F94B48" w:rsidRPr="00F32542" w:rsidRDefault="00F94B48" w:rsidP="003D29D2">
      <w:pPr>
        <w:widowControl w:val="0"/>
        <w:spacing w:after="0" w:line="360" w:lineRule="auto"/>
        <w:jc w:val="both"/>
        <w:rPr>
          <w:rFonts w:ascii="Arial" w:eastAsia="Calibri" w:hAnsi="Arial" w:cs="Arial"/>
          <w:sz w:val="28"/>
          <w:szCs w:val="28"/>
        </w:rPr>
      </w:pPr>
    </w:p>
    <w:p w14:paraId="19CD662D" w14:textId="77777777" w:rsidR="00F94B48" w:rsidRPr="00F32542" w:rsidRDefault="00F94B48" w:rsidP="003D29D2">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Además, dice se debe analizar si es proporcional y razonable que sólo un partido tenga que ceder un espacio obtenido por representación proporcional de manera auténtica y legítima, siendo que la diputación migrante debe considerarse representativa de ese sector de la población, sin que necesariamente deba responder a un vínculo partidista. </w:t>
      </w:r>
    </w:p>
    <w:p w14:paraId="77D57BED" w14:textId="77777777" w:rsidR="00F94B48" w:rsidRPr="00F32542" w:rsidRDefault="00F94B48" w:rsidP="003D29D2">
      <w:pPr>
        <w:widowControl w:val="0"/>
        <w:spacing w:after="0" w:line="360" w:lineRule="auto"/>
        <w:jc w:val="both"/>
        <w:rPr>
          <w:rFonts w:ascii="Arial" w:eastAsia="Calibri" w:hAnsi="Arial" w:cs="Arial"/>
          <w:sz w:val="28"/>
          <w:szCs w:val="28"/>
        </w:rPr>
      </w:pPr>
    </w:p>
    <w:p w14:paraId="54001A0C" w14:textId="77777777" w:rsidR="00F94B48" w:rsidRPr="00F32542" w:rsidRDefault="00F94B48" w:rsidP="003D29D2">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t>De prevaler la diputación migrante en esos términos, en un futuro, puede desplazar de manera desproporcionada a otras acciones afirmativas.</w:t>
      </w:r>
    </w:p>
    <w:p w14:paraId="22F42E61" w14:textId="77777777" w:rsidR="00F94B48" w:rsidRPr="00F32542" w:rsidRDefault="00F94B48" w:rsidP="003D29D2">
      <w:pPr>
        <w:widowControl w:val="0"/>
        <w:spacing w:after="0" w:line="360" w:lineRule="auto"/>
        <w:jc w:val="both"/>
        <w:rPr>
          <w:rFonts w:ascii="Arial" w:eastAsia="Calibri" w:hAnsi="Arial" w:cs="Arial"/>
          <w:sz w:val="28"/>
          <w:szCs w:val="28"/>
        </w:rPr>
      </w:pPr>
    </w:p>
    <w:p w14:paraId="0CA407EC" w14:textId="77777777" w:rsidR="00F94B48" w:rsidRPr="00F32542" w:rsidRDefault="00F94B48" w:rsidP="003D29D2">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Al emitir los lineamientos el </w:t>
      </w:r>
      <w:r w:rsidRPr="00F32542">
        <w:rPr>
          <w:rFonts w:ascii="Arial" w:eastAsia="Calibri" w:hAnsi="Arial" w:cs="Arial"/>
          <w:i/>
          <w:sz w:val="28"/>
          <w:szCs w:val="28"/>
        </w:rPr>
        <w:t>Instituto Electoral</w:t>
      </w:r>
      <w:r w:rsidRPr="00F32542">
        <w:rPr>
          <w:rFonts w:ascii="Arial" w:eastAsia="Calibri" w:hAnsi="Arial" w:cs="Arial"/>
          <w:sz w:val="28"/>
          <w:szCs w:val="28"/>
        </w:rPr>
        <w:t xml:space="preserve"> excedió su facultad reglamentaria, violando el principio de jerarquía normativa, ya que el artículo 24, fracción V, del </w:t>
      </w:r>
      <w:r w:rsidRPr="00F32542">
        <w:rPr>
          <w:rFonts w:ascii="Arial" w:eastAsia="Calibri" w:hAnsi="Arial" w:cs="Arial"/>
          <w:i/>
          <w:sz w:val="28"/>
          <w:szCs w:val="28"/>
        </w:rPr>
        <w:t>Código Electoral</w:t>
      </w:r>
      <w:r w:rsidRPr="00F32542">
        <w:rPr>
          <w:rFonts w:ascii="Arial" w:eastAsia="Calibri" w:hAnsi="Arial" w:cs="Arial"/>
          <w:sz w:val="28"/>
          <w:szCs w:val="28"/>
        </w:rPr>
        <w:t xml:space="preserve"> permite generar hasta dos bloques del mismo género, pero de diferente lista de origen, sin que ello afecte la integración paritaria del Congreso.</w:t>
      </w:r>
    </w:p>
    <w:p w14:paraId="0BD0A38E" w14:textId="77777777" w:rsidR="00F94B48" w:rsidRPr="00F32542" w:rsidRDefault="00F94B48" w:rsidP="003D29D2">
      <w:pPr>
        <w:widowControl w:val="0"/>
        <w:spacing w:after="0" w:line="360" w:lineRule="auto"/>
        <w:jc w:val="both"/>
        <w:rPr>
          <w:rFonts w:ascii="Arial" w:eastAsia="Calibri" w:hAnsi="Arial" w:cs="Arial"/>
          <w:sz w:val="28"/>
          <w:szCs w:val="28"/>
        </w:rPr>
      </w:pPr>
    </w:p>
    <w:p w14:paraId="5E1F489D" w14:textId="77777777" w:rsidR="00F94B48" w:rsidRPr="00F32542" w:rsidRDefault="00F94B48" w:rsidP="003D29D2">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El </w:t>
      </w:r>
      <w:r w:rsidRPr="00F32542">
        <w:rPr>
          <w:rFonts w:ascii="Arial" w:eastAsia="Calibri" w:hAnsi="Arial" w:cs="Arial"/>
          <w:i/>
          <w:sz w:val="28"/>
          <w:szCs w:val="28"/>
        </w:rPr>
        <w:t>Instituto Electoral</w:t>
      </w:r>
      <w:r w:rsidRPr="00F32542">
        <w:rPr>
          <w:rFonts w:ascii="Arial" w:eastAsia="Calibri" w:hAnsi="Arial" w:cs="Arial"/>
          <w:sz w:val="28"/>
          <w:szCs w:val="28"/>
        </w:rPr>
        <w:t xml:space="preserve"> no consideró que existían otras formas de incluir la figura de la diputación migrante, para evitar la distorsión de la voluntad popular, como pudieron ser: 1. Diputaciones por el principio de mayoría relativa, al cual debió adaptarse esa diputación al corresponder a una elección de esa naturaleza; 2. Designación directa en la Lista A; o 3. En la conformación de la lista B, considerando el porcentaje de votación, para intercalarse con la lista A, siendo válido que se generaran bloques de hasta dos fórmulas del mismo género.</w:t>
      </w:r>
    </w:p>
    <w:p w14:paraId="71319A8E" w14:textId="77777777" w:rsidR="00F94B48" w:rsidRPr="00F32542" w:rsidRDefault="00F94B48" w:rsidP="003D29D2">
      <w:pPr>
        <w:widowControl w:val="0"/>
        <w:spacing w:after="0" w:line="360" w:lineRule="auto"/>
        <w:jc w:val="both"/>
        <w:rPr>
          <w:rFonts w:ascii="Arial" w:eastAsia="Calibri" w:hAnsi="Arial" w:cs="Arial"/>
          <w:sz w:val="28"/>
          <w:szCs w:val="28"/>
        </w:rPr>
      </w:pPr>
    </w:p>
    <w:p w14:paraId="17032C87" w14:textId="77777777" w:rsidR="00F94B48" w:rsidRPr="00F32542" w:rsidRDefault="00F94B48" w:rsidP="003D29D2">
      <w:pPr>
        <w:widowControl w:val="0"/>
        <w:spacing w:after="0" w:line="360" w:lineRule="auto"/>
        <w:jc w:val="both"/>
        <w:rPr>
          <w:rFonts w:ascii="Arial" w:eastAsia="Calibri" w:hAnsi="Arial" w:cs="Arial"/>
          <w:b/>
          <w:sz w:val="28"/>
          <w:szCs w:val="28"/>
        </w:rPr>
      </w:pPr>
      <w:r w:rsidRPr="00F32542">
        <w:rPr>
          <w:rFonts w:ascii="Arial" w:eastAsia="Calibri" w:hAnsi="Arial" w:cs="Arial"/>
          <w:b/>
          <w:sz w:val="28"/>
          <w:szCs w:val="28"/>
        </w:rPr>
        <w:t>TECDMX-JLDC-102/2021 (Guillermo Sánchez Torres)</w:t>
      </w:r>
    </w:p>
    <w:p w14:paraId="6FD00318" w14:textId="77777777" w:rsidR="00F94B48" w:rsidRPr="00F32542" w:rsidRDefault="00F94B48" w:rsidP="003D29D2">
      <w:pPr>
        <w:widowControl w:val="0"/>
        <w:spacing w:after="0" w:line="360" w:lineRule="auto"/>
        <w:jc w:val="both"/>
        <w:rPr>
          <w:rFonts w:ascii="Arial" w:eastAsia="Calibri" w:hAnsi="Arial" w:cs="Arial"/>
          <w:sz w:val="28"/>
          <w:szCs w:val="28"/>
        </w:rPr>
      </w:pPr>
    </w:p>
    <w:p w14:paraId="1A139792" w14:textId="77777777" w:rsidR="00F94B48" w:rsidRPr="00F32542" w:rsidRDefault="00F94B48" w:rsidP="003D29D2">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Los </w:t>
      </w:r>
      <w:r w:rsidRPr="00F32542">
        <w:rPr>
          <w:rFonts w:ascii="Arial" w:eastAsia="Calibri" w:hAnsi="Arial" w:cs="Arial"/>
          <w:i/>
          <w:sz w:val="28"/>
          <w:szCs w:val="28"/>
          <w:lang w:val="es-ES"/>
        </w:rPr>
        <w:t>Lineamientos para la asignación</w:t>
      </w:r>
      <w:r w:rsidRPr="00F32542">
        <w:rPr>
          <w:rFonts w:ascii="Arial" w:eastAsia="Calibri" w:hAnsi="Arial" w:cs="Arial"/>
          <w:sz w:val="28"/>
          <w:szCs w:val="28"/>
          <w:lang w:val="es-ES"/>
        </w:rPr>
        <w:t xml:space="preserve"> vulneran disposiciones de la </w:t>
      </w:r>
      <w:r w:rsidRPr="00F32542">
        <w:rPr>
          <w:rFonts w:ascii="Arial" w:eastAsia="Calibri" w:hAnsi="Arial" w:cs="Arial"/>
          <w:i/>
          <w:sz w:val="28"/>
          <w:szCs w:val="28"/>
          <w:lang w:val="es-ES"/>
        </w:rPr>
        <w:t>Constitución Federal</w:t>
      </w:r>
      <w:r w:rsidRPr="00F32542">
        <w:rPr>
          <w:rFonts w:ascii="Arial" w:eastAsia="Calibri" w:hAnsi="Arial" w:cs="Arial"/>
          <w:sz w:val="28"/>
          <w:szCs w:val="28"/>
          <w:lang w:val="es-ES"/>
        </w:rPr>
        <w:t xml:space="preserve">, la </w:t>
      </w:r>
      <w:r w:rsidRPr="00F32542">
        <w:rPr>
          <w:rFonts w:ascii="Arial" w:eastAsia="Calibri" w:hAnsi="Arial" w:cs="Arial"/>
          <w:i/>
          <w:sz w:val="28"/>
          <w:szCs w:val="28"/>
          <w:lang w:val="es-ES"/>
        </w:rPr>
        <w:t>Constitución Local</w:t>
      </w:r>
      <w:r w:rsidRPr="00F32542">
        <w:rPr>
          <w:rFonts w:ascii="Arial" w:eastAsia="Calibri" w:hAnsi="Arial" w:cs="Arial"/>
          <w:sz w:val="28"/>
          <w:szCs w:val="28"/>
          <w:lang w:val="es-ES"/>
        </w:rPr>
        <w:t xml:space="preserve"> y el </w:t>
      </w:r>
      <w:r w:rsidRPr="00F32542">
        <w:rPr>
          <w:rFonts w:ascii="Arial" w:eastAsia="Calibri" w:hAnsi="Arial" w:cs="Arial"/>
          <w:i/>
          <w:sz w:val="28"/>
          <w:szCs w:val="28"/>
          <w:lang w:val="es-ES"/>
        </w:rPr>
        <w:t>Código Electoral</w:t>
      </w:r>
      <w:r w:rsidRPr="00F32542">
        <w:rPr>
          <w:rFonts w:ascii="Arial" w:eastAsia="Calibri" w:hAnsi="Arial" w:cs="Arial"/>
          <w:sz w:val="28"/>
          <w:szCs w:val="28"/>
          <w:lang w:val="es-ES"/>
        </w:rPr>
        <w:t xml:space="preserve"> relativas que la distribución de diputaciones de representación será partiendo de treinta y tres lugares y no de un número menor, como lo realizó la responsable, lo que provocó una afectación determinante en la representación de minorías.</w:t>
      </w:r>
    </w:p>
    <w:p w14:paraId="7CAA8C95" w14:textId="77777777" w:rsidR="00F94B48" w:rsidRPr="00F32542" w:rsidRDefault="00F94B48" w:rsidP="003D29D2">
      <w:pPr>
        <w:widowControl w:val="0"/>
        <w:spacing w:after="0" w:line="360" w:lineRule="auto"/>
        <w:jc w:val="both"/>
        <w:rPr>
          <w:rFonts w:ascii="Arial" w:eastAsia="Calibri" w:hAnsi="Arial" w:cs="Arial"/>
          <w:sz w:val="28"/>
          <w:szCs w:val="28"/>
          <w:lang w:val="es-ES"/>
        </w:rPr>
      </w:pPr>
    </w:p>
    <w:p w14:paraId="35E03A73" w14:textId="77777777" w:rsidR="00F94B48" w:rsidRPr="00F32542" w:rsidRDefault="00F94B48" w:rsidP="003D29D2">
      <w:pPr>
        <w:widowControl w:val="0"/>
        <w:spacing w:after="0" w:line="360" w:lineRule="auto"/>
        <w:jc w:val="both"/>
        <w:rPr>
          <w:rFonts w:ascii="Arial" w:eastAsia="Calibri" w:hAnsi="Arial" w:cs="Arial"/>
          <w:b/>
          <w:bCs/>
          <w:sz w:val="28"/>
          <w:szCs w:val="28"/>
          <w:lang w:val="es-ES"/>
        </w:rPr>
      </w:pPr>
      <w:r w:rsidRPr="00F32542">
        <w:rPr>
          <w:rFonts w:ascii="Arial" w:eastAsia="Calibri" w:hAnsi="Arial" w:cs="Arial"/>
          <w:b/>
          <w:bCs/>
          <w:sz w:val="28"/>
          <w:szCs w:val="28"/>
          <w:lang w:val="es-ES"/>
        </w:rPr>
        <w:t>Estudio de los anteriores planteamientos.</w:t>
      </w:r>
    </w:p>
    <w:p w14:paraId="762F0D3D" w14:textId="77777777" w:rsidR="00F94B48" w:rsidRPr="00F32542" w:rsidRDefault="00F94B48" w:rsidP="003D29D2">
      <w:pPr>
        <w:widowControl w:val="0"/>
        <w:spacing w:after="0" w:line="360" w:lineRule="auto"/>
        <w:jc w:val="both"/>
        <w:rPr>
          <w:rFonts w:ascii="Arial" w:eastAsia="Calibri" w:hAnsi="Arial" w:cs="Arial"/>
          <w:sz w:val="28"/>
          <w:szCs w:val="28"/>
          <w:lang w:val="es-ES"/>
        </w:rPr>
      </w:pPr>
    </w:p>
    <w:p w14:paraId="061BD799" w14:textId="77777777" w:rsidR="00F94B48" w:rsidRPr="00F32542" w:rsidRDefault="00F94B48" w:rsidP="003D29D2">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De los agravios sintetizados se advierte que esencialmente las </w:t>
      </w:r>
      <w:r w:rsidRPr="00F32542">
        <w:rPr>
          <w:rFonts w:ascii="Arial" w:eastAsia="Times New Roman" w:hAnsi="Arial" w:cs="Arial"/>
          <w:bCs/>
          <w:i/>
          <w:color w:val="000000"/>
          <w:sz w:val="28"/>
          <w:szCs w:val="28"/>
        </w:rPr>
        <w:t xml:space="preserve">partes actoras </w:t>
      </w:r>
      <w:r w:rsidRPr="00F32542">
        <w:rPr>
          <w:rFonts w:ascii="Arial" w:eastAsia="Times New Roman" w:hAnsi="Arial" w:cs="Arial"/>
          <w:bCs/>
          <w:color w:val="000000"/>
          <w:sz w:val="28"/>
          <w:szCs w:val="28"/>
        </w:rPr>
        <w:t xml:space="preserve">se inconforman con varios aspectos de la diputación migrante, consistentes en: </w:t>
      </w:r>
    </w:p>
    <w:p w14:paraId="752AB490" w14:textId="77777777" w:rsidR="00F94B48" w:rsidRPr="00F32542" w:rsidRDefault="00F94B48" w:rsidP="003D29D2">
      <w:pPr>
        <w:widowControl w:val="0"/>
        <w:spacing w:after="0" w:line="360" w:lineRule="auto"/>
        <w:jc w:val="both"/>
        <w:rPr>
          <w:rFonts w:ascii="Arial" w:eastAsia="Times New Roman" w:hAnsi="Arial" w:cs="Arial"/>
          <w:bCs/>
          <w:color w:val="000000"/>
          <w:sz w:val="28"/>
          <w:szCs w:val="28"/>
        </w:rPr>
      </w:pPr>
    </w:p>
    <w:p w14:paraId="025DEA0F" w14:textId="77777777" w:rsidR="00F94B48" w:rsidRPr="00F32542" w:rsidRDefault="00F94B48" w:rsidP="003D29D2">
      <w:pPr>
        <w:widowControl w:val="0"/>
        <w:numPr>
          <w:ilvl w:val="0"/>
          <w:numId w:val="10"/>
        </w:num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Su creación e implementación;</w:t>
      </w:r>
    </w:p>
    <w:p w14:paraId="67E8EABC" w14:textId="77777777" w:rsidR="003D29D2" w:rsidRPr="00F32542" w:rsidRDefault="003D29D2" w:rsidP="003D29D2">
      <w:pPr>
        <w:widowControl w:val="0"/>
        <w:spacing w:after="0" w:line="360" w:lineRule="auto"/>
        <w:ind w:left="720"/>
        <w:contextualSpacing/>
        <w:jc w:val="both"/>
        <w:rPr>
          <w:rFonts w:ascii="Arial" w:eastAsia="Times New Roman" w:hAnsi="Arial" w:cs="Arial"/>
          <w:bCs/>
          <w:color w:val="000000"/>
          <w:sz w:val="28"/>
          <w:szCs w:val="28"/>
        </w:rPr>
      </w:pPr>
    </w:p>
    <w:p w14:paraId="6D820B5C" w14:textId="77777777" w:rsidR="00F94B48" w:rsidRPr="00F32542" w:rsidRDefault="00F94B48" w:rsidP="003D29D2">
      <w:pPr>
        <w:widowControl w:val="0"/>
        <w:numPr>
          <w:ilvl w:val="0"/>
          <w:numId w:val="10"/>
        </w:numPr>
        <w:spacing w:after="0" w:line="360" w:lineRule="auto"/>
        <w:contextualSpacing/>
        <w:jc w:val="both"/>
        <w:rPr>
          <w:rFonts w:ascii="Arial" w:eastAsia="Times New Roman" w:hAnsi="Arial" w:cs="Arial"/>
          <w:bCs/>
          <w:i/>
          <w:color w:val="000000"/>
          <w:sz w:val="28"/>
          <w:szCs w:val="28"/>
        </w:rPr>
      </w:pPr>
      <w:r w:rsidRPr="00F32542">
        <w:rPr>
          <w:rFonts w:ascii="Arial" w:eastAsia="Times New Roman" w:hAnsi="Arial" w:cs="Arial"/>
          <w:bCs/>
          <w:color w:val="000000"/>
          <w:sz w:val="28"/>
          <w:szCs w:val="28"/>
        </w:rPr>
        <w:t xml:space="preserve">Su método de elección mediante el principio de representación </w:t>
      </w:r>
      <w:r w:rsidRPr="00F32542">
        <w:rPr>
          <w:rFonts w:ascii="Arial" w:eastAsia="Times New Roman" w:hAnsi="Arial" w:cs="Arial"/>
          <w:bCs/>
          <w:color w:val="000000"/>
          <w:sz w:val="28"/>
          <w:szCs w:val="28"/>
        </w:rPr>
        <w:lastRenderedPageBreak/>
        <w:t xml:space="preserve">proporcional, tema del que deriva la solicitud de inaplicación de los </w:t>
      </w:r>
      <w:r w:rsidRPr="00F32542">
        <w:rPr>
          <w:rFonts w:ascii="Arial" w:eastAsia="Times New Roman" w:hAnsi="Arial" w:cs="Arial"/>
          <w:bCs/>
          <w:i/>
          <w:color w:val="000000"/>
          <w:sz w:val="28"/>
          <w:szCs w:val="28"/>
        </w:rPr>
        <w:t>Lineamientos para la asignación;</w:t>
      </w:r>
    </w:p>
    <w:p w14:paraId="30FAA9D4" w14:textId="77777777" w:rsidR="003D29D2" w:rsidRPr="00F32542" w:rsidRDefault="003D29D2" w:rsidP="003D29D2">
      <w:pPr>
        <w:widowControl w:val="0"/>
        <w:spacing w:after="0" w:line="360" w:lineRule="auto"/>
        <w:contextualSpacing/>
        <w:jc w:val="both"/>
        <w:rPr>
          <w:rFonts w:ascii="Arial" w:eastAsia="Times New Roman" w:hAnsi="Arial" w:cs="Arial"/>
          <w:bCs/>
          <w:i/>
          <w:color w:val="000000"/>
          <w:sz w:val="28"/>
          <w:szCs w:val="28"/>
        </w:rPr>
      </w:pPr>
    </w:p>
    <w:p w14:paraId="1B5208F4" w14:textId="77777777" w:rsidR="00F94B48" w:rsidRPr="00F32542" w:rsidRDefault="00F94B48" w:rsidP="003D29D2">
      <w:pPr>
        <w:widowControl w:val="0"/>
        <w:numPr>
          <w:ilvl w:val="0"/>
          <w:numId w:val="10"/>
        </w:numPr>
        <w:spacing w:after="0" w:line="360" w:lineRule="auto"/>
        <w:contextualSpacing/>
        <w:jc w:val="both"/>
        <w:rPr>
          <w:rFonts w:ascii="Arial" w:eastAsia="Times New Roman" w:hAnsi="Arial" w:cs="Arial"/>
          <w:bCs/>
          <w:i/>
          <w:color w:val="000000"/>
          <w:sz w:val="28"/>
          <w:szCs w:val="28"/>
        </w:rPr>
      </w:pPr>
      <w:r w:rsidRPr="00F32542">
        <w:rPr>
          <w:rFonts w:ascii="Arial" w:eastAsia="Times New Roman" w:hAnsi="Arial" w:cs="Arial"/>
          <w:bCs/>
          <w:color w:val="000000"/>
          <w:sz w:val="28"/>
          <w:szCs w:val="28"/>
        </w:rPr>
        <w:t xml:space="preserve">La facultad reglamentaria del </w:t>
      </w:r>
      <w:r w:rsidRPr="00F32542">
        <w:rPr>
          <w:rFonts w:ascii="Arial" w:eastAsia="Times New Roman" w:hAnsi="Arial" w:cs="Arial"/>
          <w:bCs/>
          <w:i/>
          <w:color w:val="000000"/>
          <w:sz w:val="28"/>
          <w:szCs w:val="28"/>
        </w:rPr>
        <w:t>Instituto Electoral</w:t>
      </w:r>
      <w:r w:rsidRPr="00F32542">
        <w:rPr>
          <w:rFonts w:ascii="Arial" w:eastAsia="Times New Roman" w:hAnsi="Arial" w:cs="Arial"/>
          <w:bCs/>
          <w:color w:val="000000"/>
          <w:sz w:val="28"/>
          <w:szCs w:val="28"/>
        </w:rPr>
        <w:t xml:space="preserve"> para expedir los </w:t>
      </w:r>
      <w:r w:rsidRPr="00F32542">
        <w:rPr>
          <w:rFonts w:ascii="Arial" w:eastAsia="Times New Roman" w:hAnsi="Arial" w:cs="Arial"/>
          <w:bCs/>
          <w:i/>
          <w:color w:val="000000"/>
          <w:sz w:val="28"/>
          <w:szCs w:val="28"/>
        </w:rPr>
        <w:t xml:space="preserve">Lineamientos para la asignación; </w:t>
      </w:r>
      <w:r w:rsidRPr="00F32542">
        <w:rPr>
          <w:rFonts w:ascii="Arial" w:eastAsia="Times New Roman" w:hAnsi="Arial" w:cs="Arial"/>
          <w:bCs/>
          <w:color w:val="000000"/>
          <w:sz w:val="28"/>
          <w:szCs w:val="28"/>
        </w:rPr>
        <w:t xml:space="preserve">y, </w:t>
      </w:r>
    </w:p>
    <w:p w14:paraId="352E3170" w14:textId="77777777" w:rsidR="003D29D2" w:rsidRPr="00F32542" w:rsidRDefault="003D29D2" w:rsidP="003D29D2">
      <w:pPr>
        <w:widowControl w:val="0"/>
        <w:spacing w:after="0" w:line="360" w:lineRule="auto"/>
        <w:contextualSpacing/>
        <w:jc w:val="both"/>
        <w:rPr>
          <w:rFonts w:ascii="Arial" w:eastAsia="Times New Roman" w:hAnsi="Arial" w:cs="Arial"/>
          <w:bCs/>
          <w:i/>
          <w:color w:val="000000"/>
          <w:sz w:val="28"/>
          <w:szCs w:val="28"/>
        </w:rPr>
      </w:pPr>
    </w:p>
    <w:p w14:paraId="482B6363" w14:textId="77777777" w:rsidR="00F94B48" w:rsidRPr="00F32542" w:rsidRDefault="00F94B48" w:rsidP="003D29D2">
      <w:pPr>
        <w:widowControl w:val="0"/>
        <w:numPr>
          <w:ilvl w:val="0"/>
          <w:numId w:val="10"/>
        </w:num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El número de curules a asignar por representación proporcional.</w:t>
      </w:r>
    </w:p>
    <w:p w14:paraId="4390B4AA" w14:textId="77777777" w:rsidR="00F94B48" w:rsidRPr="00F32542" w:rsidRDefault="00F94B48" w:rsidP="003D29D2">
      <w:pPr>
        <w:widowControl w:val="0"/>
        <w:spacing w:after="0" w:line="360" w:lineRule="auto"/>
        <w:jc w:val="both"/>
        <w:rPr>
          <w:rFonts w:ascii="Arial" w:eastAsia="Times New Roman" w:hAnsi="Arial" w:cs="Arial"/>
          <w:bCs/>
          <w:color w:val="000000"/>
          <w:sz w:val="28"/>
          <w:szCs w:val="28"/>
        </w:rPr>
      </w:pPr>
    </w:p>
    <w:p w14:paraId="216FC696" w14:textId="77777777" w:rsidR="00F94B48" w:rsidRPr="00F32542" w:rsidRDefault="00F94B48" w:rsidP="003D29D2">
      <w:pPr>
        <w:widowControl w:val="0"/>
        <w:spacing w:after="0" w:line="360" w:lineRule="auto"/>
        <w:jc w:val="both"/>
        <w:rPr>
          <w:rFonts w:ascii="Arial" w:eastAsia="Times New Roman" w:hAnsi="Arial" w:cs="Arial"/>
          <w:sz w:val="28"/>
          <w:szCs w:val="28"/>
          <w:lang w:eastAsia="es-ES"/>
        </w:rPr>
      </w:pPr>
      <w:r w:rsidRPr="00F32542">
        <w:rPr>
          <w:rFonts w:ascii="Arial" w:eastAsia="Times New Roman" w:hAnsi="Arial" w:cs="Arial"/>
          <w:bCs/>
          <w:color w:val="000000"/>
          <w:sz w:val="28"/>
          <w:szCs w:val="28"/>
        </w:rPr>
        <w:t>Dado que los planteamientos de las partes actoras versan sobre la elección de la diputación migrante, por lo que están estrechamente vinculados, se analizarán en conjunto</w:t>
      </w:r>
      <w:r w:rsidRPr="00F32542">
        <w:rPr>
          <w:rFonts w:ascii="Arial" w:eastAsia="Times New Roman" w:hAnsi="Arial" w:cs="Arial"/>
          <w:sz w:val="28"/>
          <w:szCs w:val="28"/>
          <w:lang w:eastAsia="es-ES"/>
        </w:rPr>
        <w:t xml:space="preserve">, sin que ello genere afectación alguna a las </w:t>
      </w:r>
      <w:r w:rsidRPr="00F32542">
        <w:rPr>
          <w:rFonts w:ascii="Arial" w:eastAsia="Times New Roman" w:hAnsi="Arial" w:cs="Arial"/>
          <w:i/>
          <w:sz w:val="28"/>
          <w:szCs w:val="28"/>
          <w:lang w:eastAsia="es-ES"/>
        </w:rPr>
        <w:t>partes promoventes</w:t>
      </w:r>
      <w:r w:rsidRPr="00F32542">
        <w:rPr>
          <w:rFonts w:ascii="Arial" w:eastAsia="Times New Roman" w:hAnsi="Arial" w:cs="Arial"/>
          <w:sz w:val="28"/>
          <w:szCs w:val="28"/>
          <w:lang w:eastAsia="es-ES"/>
        </w:rPr>
        <w:t xml:space="preserve">, pues lo trascendente es que los agravios sean estudiados en su totalidad. </w:t>
      </w:r>
    </w:p>
    <w:p w14:paraId="58222063" w14:textId="77777777" w:rsidR="00F94B48" w:rsidRPr="00F32542" w:rsidRDefault="00F94B48" w:rsidP="003D29D2">
      <w:pPr>
        <w:widowControl w:val="0"/>
        <w:spacing w:after="0" w:line="360" w:lineRule="auto"/>
        <w:jc w:val="both"/>
        <w:rPr>
          <w:rFonts w:ascii="Arial" w:eastAsia="Times New Roman" w:hAnsi="Arial" w:cs="Arial"/>
          <w:sz w:val="28"/>
          <w:szCs w:val="28"/>
          <w:lang w:eastAsia="es-ES"/>
        </w:rPr>
      </w:pPr>
    </w:p>
    <w:p w14:paraId="30416323" w14:textId="77777777" w:rsidR="00F94B48" w:rsidRPr="00F32542" w:rsidRDefault="00F94B48" w:rsidP="003D29D2">
      <w:pPr>
        <w:widowControl w:val="0"/>
        <w:spacing w:after="0" w:line="360" w:lineRule="auto"/>
        <w:jc w:val="both"/>
        <w:rPr>
          <w:rFonts w:ascii="Arial" w:eastAsia="Times New Roman" w:hAnsi="Arial" w:cs="Arial"/>
          <w:sz w:val="28"/>
          <w:szCs w:val="28"/>
          <w:lang w:eastAsia="es-ES"/>
        </w:rPr>
      </w:pPr>
      <w:r w:rsidRPr="00F32542">
        <w:rPr>
          <w:rFonts w:ascii="Arial" w:eastAsia="Times New Roman" w:hAnsi="Arial" w:cs="Arial"/>
          <w:sz w:val="28"/>
          <w:szCs w:val="28"/>
          <w:lang w:eastAsia="es-ES"/>
        </w:rPr>
        <w:t xml:space="preserve">Al respecto, es aplicable la jurisprudencia 4/2000, de la </w:t>
      </w:r>
      <w:r w:rsidRPr="00F32542">
        <w:rPr>
          <w:rFonts w:ascii="Arial" w:eastAsia="Times New Roman" w:hAnsi="Arial" w:cs="Arial"/>
          <w:i/>
          <w:sz w:val="28"/>
          <w:szCs w:val="28"/>
          <w:lang w:eastAsia="es-ES"/>
        </w:rPr>
        <w:t>Sala Superior</w:t>
      </w:r>
      <w:r w:rsidRPr="00F32542">
        <w:rPr>
          <w:rFonts w:ascii="Arial" w:eastAsia="Times New Roman" w:hAnsi="Arial" w:cs="Arial"/>
          <w:sz w:val="28"/>
          <w:szCs w:val="28"/>
          <w:lang w:eastAsia="es-ES"/>
        </w:rPr>
        <w:t xml:space="preserve"> </w:t>
      </w:r>
      <w:r w:rsidRPr="00F32542">
        <w:rPr>
          <w:rFonts w:ascii="Arial" w:eastAsia="Times New Roman" w:hAnsi="Arial" w:cs="Arial"/>
          <w:i/>
          <w:sz w:val="28"/>
          <w:szCs w:val="28"/>
          <w:lang w:eastAsia="es-ES"/>
        </w:rPr>
        <w:t>del TEPJF</w:t>
      </w:r>
      <w:r w:rsidRPr="00F32542">
        <w:rPr>
          <w:rFonts w:ascii="Arial" w:eastAsia="Times New Roman" w:hAnsi="Arial" w:cs="Arial"/>
          <w:sz w:val="28"/>
          <w:szCs w:val="28"/>
          <w:lang w:eastAsia="es-ES"/>
        </w:rPr>
        <w:t xml:space="preserve">, de rubro: </w:t>
      </w:r>
      <w:r w:rsidRPr="00F32542">
        <w:rPr>
          <w:rFonts w:ascii="Arial" w:eastAsia="Times New Roman" w:hAnsi="Arial" w:cs="Arial"/>
          <w:b/>
          <w:i/>
          <w:sz w:val="28"/>
          <w:szCs w:val="28"/>
          <w:lang w:eastAsia="es-ES"/>
        </w:rPr>
        <w:t>“AGRAVIOS, SU EXAMEN EN CONJUNTO O SEPARADO, NO CAUSA LESIÓN”</w:t>
      </w:r>
      <w:r w:rsidRPr="00F32542">
        <w:rPr>
          <w:rFonts w:ascii="Arial" w:eastAsia="Times New Roman" w:hAnsi="Arial" w:cs="Arial"/>
          <w:sz w:val="28"/>
          <w:szCs w:val="28"/>
          <w:vertAlign w:val="superscript"/>
          <w:lang w:eastAsia="es-ES"/>
        </w:rPr>
        <w:footnoteReference w:id="24"/>
      </w:r>
      <w:r w:rsidRPr="00F32542">
        <w:rPr>
          <w:rFonts w:ascii="Arial" w:eastAsia="Times New Roman" w:hAnsi="Arial" w:cs="Arial"/>
          <w:sz w:val="28"/>
          <w:szCs w:val="28"/>
          <w:lang w:eastAsia="es-ES"/>
        </w:rPr>
        <w:t>.</w:t>
      </w:r>
    </w:p>
    <w:p w14:paraId="57850224" w14:textId="77777777" w:rsidR="00F94B48" w:rsidRPr="00F32542" w:rsidRDefault="00F94B48" w:rsidP="003D29D2">
      <w:pPr>
        <w:widowControl w:val="0"/>
        <w:spacing w:after="0" w:line="360" w:lineRule="auto"/>
        <w:jc w:val="both"/>
        <w:rPr>
          <w:rFonts w:ascii="Arial" w:eastAsia="Times New Roman" w:hAnsi="Arial" w:cs="Arial"/>
          <w:bCs/>
          <w:color w:val="000000"/>
          <w:sz w:val="28"/>
          <w:szCs w:val="28"/>
        </w:rPr>
      </w:pPr>
    </w:p>
    <w:p w14:paraId="24B00369" w14:textId="77777777" w:rsidR="00F94B48" w:rsidRPr="00F32542" w:rsidRDefault="00F94B48" w:rsidP="003D29D2">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Los agravios son </w:t>
      </w:r>
      <w:r w:rsidRPr="00F32542">
        <w:rPr>
          <w:rFonts w:ascii="Arial" w:eastAsia="Times New Roman" w:hAnsi="Arial" w:cs="Arial"/>
          <w:b/>
          <w:bCs/>
          <w:color w:val="000000"/>
          <w:sz w:val="28"/>
          <w:szCs w:val="28"/>
        </w:rPr>
        <w:t xml:space="preserve">inoperantes, </w:t>
      </w:r>
      <w:r w:rsidRPr="00F32542">
        <w:rPr>
          <w:rFonts w:ascii="Arial" w:eastAsia="Times New Roman" w:hAnsi="Arial" w:cs="Arial"/>
          <w:bCs/>
          <w:color w:val="000000"/>
          <w:sz w:val="28"/>
          <w:szCs w:val="28"/>
        </w:rPr>
        <w:t>acorde con las siguientes consideraciones.</w:t>
      </w:r>
    </w:p>
    <w:p w14:paraId="0F7F8EF1" w14:textId="77777777" w:rsidR="00F94B48" w:rsidRPr="00F32542" w:rsidRDefault="00F94B48" w:rsidP="003D29D2">
      <w:pPr>
        <w:widowControl w:val="0"/>
        <w:spacing w:after="0" w:line="360" w:lineRule="auto"/>
        <w:jc w:val="both"/>
        <w:rPr>
          <w:rFonts w:ascii="Arial" w:eastAsia="Times New Roman" w:hAnsi="Arial" w:cs="Arial"/>
          <w:bCs/>
          <w:color w:val="000000"/>
          <w:sz w:val="28"/>
          <w:szCs w:val="28"/>
        </w:rPr>
      </w:pPr>
    </w:p>
    <w:p w14:paraId="2B9B6514" w14:textId="77777777" w:rsidR="00F94B48" w:rsidRPr="00F32542" w:rsidRDefault="00F94B48" w:rsidP="003D29D2">
      <w:pPr>
        <w:widowControl w:val="0"/>
        <w:spacing w:after="0" w:line="360" w:lineRule="auto"/>
        <w:jc w:val="both"/>
        <w:rPr>
          <w:rFonts w:ascii="Arial" w:eastAsia="Calibri" w:hAnsi="Arial" w:cs="Arial"/>
          <w:sz w:val="28"/>
          <w:szCs w:val="28"/>
        </w:rPr>
      </w:pPr>
      <w:r w:rsidRPr="00F32542">
        <w:rPr>
          <w:rFonts w:ascii="Arial" w:eastAsia="Times New Roman" w:hAnsi="Arial" w:cs="Arial"/>
          <w:bCs/>
          <w:color w:val="000000"/>
          <w:sz w:val="28"/>
          <w:szCs w:val="28"/>
        </w:rPr>
        <w:t xml:space="preserve">En primer lugar, es importante precisar que el </w:t>
      </w:r>
      <w:r w:rsidRPr="00F32542">
        <w:rPr>
          <w:rFonts w:ascii="Arial" w:eastAsia="Calibri" w:hAnsi="Arial" w:cs="Arial"/>
          <w:sz w:val="28"/>
          <w:szCs w:val="28"/>
        </w:rPr>
        <w:t xml:space="preserve">artículo 7, inciso F, párrafo 3, de la </w:t>
      </w:r>
      <w:r w:rsidRPr="00F32542">
        <w:rPr>
          <w:rFonts w:ascii="Arial" w:eastAsia="Calibri" w:hAnsi="Arial" w:cs="Arial"/>
          <w:i/>
          <w:sz w:val="28"/>
          <w:szCs w:val="28"/>
        </w:rPr>
        <w:t>Constitución Local</w:t>
      </w:r>
      <w:r w:rsidRPr="00F32542">
        <w:rPr>
          <w:rFonts w:ascii="Arial" w:eastAsia="Calibri" w:hAnsi="Arial" w:cs="Arial"/>
          <w:sz w:val="28"/>
          <w:szCs w:val="28"/>
        </w:rPr>
        <w:t xml:space="preserve"> reconoce el derecho de las personas originarias de la Ciudad de México que residen fuera del país, de votar y ser votadas en las elecciones locales, según lo previsto en la </w:t>
      </w:r>
      <w:r w:rsidRPr="00F32542">
        <w:rPr>
          <w:rFonts w:ascii="Arial" w:eastAsia="Calibri" w:hAnsi="Arial" w:cs="Arial"/>
          <w:i/>
          <w:sz w:val="28"/>
          <w:szCs w:val="28"/>
        </w:rPr>
        <w:t>Constitución Federal</w:t>
      </w:r>
      <w:r w:rsidRPr="00F32542">
        <w:rPr>
          <w:rFonts w:ascii="Arial" w:eastAsia="Calibri" w:hAnsi="Arial" w:cs="Arial"/>
          <w:sz w:val="28"/>
          <w:szCs w:val="28"/>
        </w:rPr>
        <w:t xml:space="preserve">, la propia </w:t>
      </w:r>
      <w:r w:rsidRPr="00F32542">
        <w:rPr>
          <w:rFonts w:ascii="Arial" w:eastAsia="Calibri" w:hAnsi="Arial" w:cs="Arial"/>
          <w:i/>
          <w:sz w:val="28"/>
          <w:szCs w:val="28"/>
        </w:rPr>
        <w:t>Constitución Local</w:t>
      </w:r>
      <w:r w:rsidRPr="00F32542">
        <w:rPr>
          <w:rFonts w:ascii="Arial" w:eastAsia="Calibri" w:hAnsi="Arial" w:cs="Arial"/>
          <w:sz w:val="28"/>
          <w:szCs w:val="28"/>
        </w:rPr>
        <w:t xml:space="preserve"> y en las leyes locales.</w:t>
      </w:r>
    </w:p>
    <w:p w14:paraId="03818C95" w14:textId="77777777" w:rsidR="00F94B48" w:rsidRPr="00F32542" w:rsidRDefault="00F94B48" w:rsidP="003D29D2">
      <w:pPr>
        <w:widowControl w:val="0"/>
        <w:spacing w:after="0" w:line="360" w:lineRule="auto"/>
        <w:jc w:val="both"/>
        <w:rPr>
          <w:rFonts w:ascii="Arial" w:eastAsia="Calibri" w:hAnsi="Arial" w:cs="Arial"/>
          <w:sz w:val="28"/>
          <w:szCs w:val="28"/>
        </w:rPr>
      </w:pPr>
    </w:p>
    <w:p w14:paraId="1BFADB37" w14:textId="77777777" w:rsidR="00F94B48" w:rsidRPr="00F32542" w:rsidRDefault="00F94B48" w:rsidP="003D29D2">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La figura de la diputación migrante fue creada mediante decreto de reforma al </w:t>
      </w:r>
      <w:r w:rsidRPr="00F32542">
        <w:rPr>
          <w:rFonts w:ascii="Arial" w:eastAsia="Times New Roman" w:hAnsi="Arial" w:cs="Arial"/>
          <w:bCs/>
          <w:i/>
          <w:color w:val="000000"/>
          <w:sz w:val="28"/>
          <w:szCs w:val="28"/>
        </w:rPr>
        <w:t>Código Electoral</w:t>
      </w:r>
      <w:r w:rsidRPr="00F32542">
        <w:rPr>
          <w:rFonts w:ascii="Arial" w:eastAsia="Times New Roman" w:hAnsi="Arial" w:cs="Arial"/>
          <w:bCs/>
          <w:color w:val="000000"/>
          <w:sz w:val="28"/>
          <w:szCs w:val="28"/>
        </w:rPr>
        <w:t xml:space="preserve">, publicado el siete de junio de dos mil diecisiete, en donde se ordenó dar materialidad a dicha figura para el actual proceso electoral 2020-2021; sin embargo, posteriormente, el </w:t>
      </w:r>
      <w:r w:rsidRPr="00F32542">
        <w:rPr>
          <w:rFonts w:ascii="Arial" w:eastAsia="Times New Roman" w:hAnsi="Arial" w:cs="Arial"/>
          <w:bCs/>
          <w:i/>
          <w:color w:val="000000"/>
          <w:sz w:val="28"/>
          <w:szCs w:val="28"/>
        </w:rPr>
        <w:t>Congreso local</w:t>
      </w:r>
      <w:r w:rsidRPr="00F32542">
        <w:rPr>
          <w:rFonts w:ascii="Arial" w:eastAsia="Times New Roman" w:hAnsi="Arial" w:cs="Arial"/>
          <w:bCs/>
          <w:color w:val="000000"/>
          <w:sz w:val="28"/>
          <w:szCs w:val="28"/>
        </w:rPr>
        <w:t xml:space="preserve">, mediante decreto publicado el nueve de enero de dos mil veinte, eliminó dicha diputación. </w:t>
      </w:r>
    </w:p>
    <w:p w14:paraId="01B89178" w14:textId="77777777" w:rsidR="00F94B48" w:rsidRPr="00F32542" w:rsidRDefault="00F94B48" w:rsidP="003D29D2">
      <w:pPr>
        <w:widowControl w:val="0"/>
        <w:spacing w:after="0" w:line="360" w:lineRule="auto"/>
        <w:jc w:val="both"/>
        <w:rPr>
          <w:rFonts w:ascii="Arial" w:eastAsia="Times New Roman" w:hAnsi="Arial" w:cs="Arial"/>
          <w:bCs/>
          <w:color w:val="000000"/>
          <w:sz w:val="28"/>
          <w:szCs w:val="28"/>
        </w:rPr>
      </w:pPr>
    </w:p>
    <w:p w14:paraId="20B15CD2" w14:textId="77777777" w:rsidR="00F94B48" w:rsidRPr="00F32542" w:rsidRDefault="00F94B48" w:rsidP="003D29D2">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Luego de impugnarse esa decisión y una vez agotada la cadena impugnativa correspondiente</w:t>
      </w:r>
      <w:r w:rsidRPr="00F32542">
        <w:rPr>
          <w:rFonts w:ascii="Arial" w:eastAsia="Times New Roman" w:hAnsi="Arial" w:cs="Arial"/>
          <w:bCs/>
          <w:color w:val="000000"/>
          <w:sz w:val="28"/>
          <w:szCs w:val="28"/>
          <w:vertAlign w:val="superscript"/>
        </w:rPr>
        <w:footnoteReference w:id="25"/>
      </w:r>
      <w:r w:rsidRPr="00F32542">
        <w:rPr>
          <w:rFonts w:ascii="Arial" w:eastAsia="Times New Roman" w:hAnsi="Arial" w:cs="Arial"/>
          <w:bCs/>
          <w:color w:val="000000"/>
          <w:sz w:val="28"/>
          <w:szCs w:val="28"/>
        </w:rPr>
        <w:t xml:space="preserve">, en sentencia de catorce de agosto de dos mil veinte, la </w:t>
      </w:r>
      <w:r w:rsidRPr="00F32542">
        <w:rPr>
          <w:rFonts w:ascii="Arial" w:eastAsia="Times New Roman" w:hAnsi="Arial" w:cs="Arial"/>
          <w:bCs/>
          <w:i/>
          <w:color w:val="000000"/>
          <w:sz w:val="28"/>
          <w:szCs w:val="28"/>
        </w:rPr>
        <w:t>Sala Superior</w:t>
      </w:r>
      <w:r w:rsidRPr="00F32542">
        <w:rPr>
          <w:rFonts w:ascii="Arial" w:eastAsia="Times New Roman" w:hAnsi="Arial" w:cs="Arial"/>
          <w:bCs/>
          <w:color w:val="000000"/>
          <w:sz w:val="28"/>
          <w:szCs w:val="28"/>
        </w:rPr>
        <w:t xml:space="preserve"> determinó que la diputación migrante recobrara vigencia; ello, al determinar lo siguiente:</w:t>
      </w:r>
    </w:p>
    <w:p w14:paraId="4F42AEEB" w14:textId="77777777" w:rsidR="00F94B48" w:rsidRPr="00F32542" w:rsidRDefault="00F94B48" w:rsidP="003D29D2">
      <w:pPr>
        <w:widowControl w:val="0"/>
        <w:spacing w:after="0" w:line="360" w:lineRule="auto"/>
        <w:jc w:val="both"/>
        <w:rPr>
          <w:rFonts w:ascii="Arial" w:eastAsia="Times New Roman" w:hAnsi="Arial" w:cs="Arial"/>
          <w:bCs/>
          <w:color w:val="000000"/>
          <w:sz w:val="28"/>
          <w:szCs w:val="28"/>
        </w:rPr>
      </w:pPr>
    </w:p>
    <w:p w14:paraId="4C3D5AEA" w14:textId="77777777" w:rsidR="00F94B48" w:rsidRPr="00F32542" w:rsidRDefault="00F94B48" w:rsidP="00F43BF1">
      <w:pPr>
        <w:widowControl w:val="0"/>
        <w:numPr>
          <w:ilvl w:val="0"/>
          <w:numId w:val="7"/>
        </w:numPr>
        <w:spacing w:after="0" w:line="240" w:lineRule="auto"/>
        <w:ind w:left="924" w:right="567" w:hanging="357"/>
        <w:contextualSpacing/>
        <w:jc w:val="both"/>
        <w:rPr>
          <w:rFonts w:ascii="Arial" w:eastAsia="Calibri" w:hAnsi="Arial" w:cs="Arial"/>
          <w:i/>
          <w:sz w:val="24"/>
          <w:szCs w:val="24"/>
          <w:lang w:eastAsia="es-MX"/>
        </w:rPr>
      </w:pPr>
      <w:r w:rsidRPr="00F32542">
        <w:rPr>
          <w:rFonts w:ascii="Arial" w:eastAsia="Calibri" w:hAnsi="Arial" w:cs="Arial"/>
          <w:i/>
          <w:sz w:val="24"/>
          <w:szCs w:val="24"/>
          <w:lang w:eastAsia="es-MX"/>
        </w:rPr>
        <w:t xml:space="preserve">Se </w:t>
      </w:r>
      <w:r w:rsidRPr="00F32542">
        <w:rPr>
          <w:rFonts w:ascii="Arial" w:eastAsia="Calibri" w:hAnsi="Arial" w:cs="Arial"/>
          <w:b/>
          <w:bCs/>
          <w:i/>
          <w:sz w:val="24"/>
          <w:szCs w:val="24"/>
          <w:lang w:eastAsia="es-MX"/>
        </w:rPr>
        <w:t>inaplica</w:t>
      </w:r>
      <w:r w:rsidRPr="00F32542">
        <w:rPr>
          <w:rFonts w:ascii="Arial" w:eastAsia="Calibri" w:hAnsi="Arial" w:cs="Arial"/>
          <w:i/>
          <w:sz w:val="24"/>
          <w:szCs w:val="24"/>
          <w:lang w:eastAsia="es-MX"/>
        </w:rPr>
        <w:t xml:space="preserve">, para el proceso electoral 2020-2021, el decreto legislativo que derogó la figura de diputación migrante, por considerarlo inconstitucional; </w:t>
      </w:r>
    </w:p>
    <w:p w14:paraId="68D5B246" w14:textId="77777777" w:rsidR="00F94B48" w:rsidRPr="00F32542" w:rsidRDefault="00F94B48" w:rsidP="00F43BF1">
      <w:pPr>
        <w:widowControl w:val="0"/>
        <w:numPr>
          <w:ilvl w:val="0"/>
          <w:numId w:val="7"/>
        </w:numPr>
        <w:spacing w:after="0" w:line="240" w:lineRule="auto"/>
        <w:ind w:left="924" w:right="567" w:hanging="357"/>
        <w:contextualSpacing/>
        <w:jc w:val="both"/>
        <w:rPr>
          <w:rFonts w:ascii="Arial" w:eastAsia="Calibri" w:hAnsi="Arial" w:cs="Arial"/>
          <w:i/>
          <w:sz w:val="24"/>
          <w:szCs w:val="24"/>
          <w:lang w:eastAsia="es-MX"/>
        </w:rPr>
      </w:pPr>
      <w:r w:rsidRPr="00F32542">
        <w:rPr>
          <w:rFonts w:ascii="Arial" w:eastAsia="Calibri" w:hAnsi="Arial" w:cs="Arial"/>
          <w:i/>
          <w:sz w:val="24"/>
          <w:szCs w:val="24"/>
          <w:lang w:eastAsia="es-MX"/>
        </w:rPr>
        <w:t xml:space="preserve">Se dispone la </w:t>
      </w:r>
      <w:r w:rsidRPr="00F32542">
        <w:rPr>
          <w:rFonts w:ascii="Arial" w:eastAsia="Calibri" w:hAnsi="Arial" w:cs="Arial"/>
          <w:b/>
          <w:bCs/>
          <w:i/>
          <w:sz w:val="24"/>
          <w:szCs w:val="24"/>
          <w:lang w:eastAsia="es-MX"/>
        </w:rPr>
        <w:t>reviviscencia</w:t>
      </w:r>
      <w:r w:rsidRPr="00F32542">
        <w:rPr>
          <w:rFonts w:ascii="Arial" w:eastAsia="Calibri" w:hAnsi="Arial" w:cs="Arial"/>
          <w:i/>
          <w:sz w:val="24"/>
          <w:szCs w:val="24"/>
          <w:lang w:eastAsia="es-MX"/>
        </w:rPr>
        <w:t xml:space="preserve"> de los artículos 4, apartado B, fracción III; 6, fracción I, 13, 76 y Vigésimo Quinto Transitorio del </w:t>
      </w:r>
      <w:r w:rsidRPr="00F32542">
        <w:rPr>
          <w:rFonts w:ascii="Arial" w:eastAsia="Calibri" w:hAnsi="Arial" w:cs="Arial"/>
          <w:i/>
          <w:sz w:val="24"/>
          <w:szCs w:val="24"/>
        </w:rPr>
        <w:t>Código de Instituciones y Procedimientos Electorales de la Ciudad de Méxic</w:t>
      </w:r>
      <w:r w:rsidR="00F30F23" w:rsidRPr="00F32542">
        <w:rPr>
          <w:rFonts w:ascii="Arial" w:eastAsia="Calibri" w:hAnsi="Arial" w:cs="Arial"/>
          <w:i/>
          <w:sz w:val="24"/>
          <w:szCs w:val="24"/>
        </w:rPr>
        <w:t>o</w:t>
      </w:r>
      <w:r w:rsidRPr="00F32542">
        <w:rPr>
          <w:rFonts w:ascii="Arial" w:eastAsia="Calibri" w:hAnsi="Arial" w:cs="Arial"/>
          <w:i/>
          <w:sz w:val="24"/>
          <w:szCs w:val="24"/>
          <w:vertAlign w:val="superscript"/>
        </w:rPr>
        <w:footnoteReference w:id="26"/>
      </w:r>
      <w:r w:rsidRPr="00F32542">
        <w:rPr>
          <w:rFonts w:ascii="Arial" w:eastAsia="Calibri" w:hAnsi="Arial" w:cs="Arial"/>
          <w:i/>
          <w:sz w:val="24"/>
          <w:szCs w:val="24"/>
          <w:lang w:eastAsia="es-MX"/>
        </w:rPr>
        <w:t xml:space="preserve"> únicamente para el proceso electoral 2020-2021, y </w:t>
      </w:r>
    </w:p>
    <w:p w14:paraId="69251D84" w14:textId="77777777" w:rsidR="00F94B48" w:rsidRPr="00F32542" w:rsidRDefault="00F94B48" w:rsidP="00F43BF1">
      <w:pPr>
        <w:widowControl w:val="0"/>
        <w:numPr>
          <w:ilvl w:val="0"/>
          <w:numId w:val="7"/>
        </w:numPr>
        <w:spacing w:after="0" w:line="240" w:lineRule="auto"/>
        <w:ind w:left="924" w:right="567" w:hanging="357"/>
        <w:contextualSpacing/>
        <w:jc w:val="both"/>
        <w:rPr>
          <w:rFonts w:ascii="Arial" w:eastAsia="Calibri" w:hAnsi="Arial" w:cs="Arial"/>
          <w:i/>
          <w:sz w:val="24"/>
          <w:szCs w:val="24"/>
          <w:lang w:eastAsia="es-MX"/>
        </w:rPr>
      </w:pPr>
      <w:r w:rsidRPr="00F32542">
        <w:rPr>
          <w:rFonts w:ascii="Arial" w:eastAsia="Calibri" w:hAnsi="Arial" w:cs="Arial"/>
          <w:i/>
          <w:sz w:val="24"/>
          <w:szCs w:val="24"/>
          <w:lang w:eastAsia="es-MX"/>
        </w:rPr>
        <w:lastRenderedPageBreak/>
        <w:t xml:space="preserve">Se </w:t>
      </w:r>
      <w:r w:rsidRPr="00F32542">
        <w:rPr>
          <w:rFonts w:ascii="Arial" w:eastAsia="Calibri" w:hAnsi="Arial" w:cs="Arial"/>
          <w:b/>
          <w:bCs/>
          <w:i/>
          <w:sz w:val="24"/>
          <w:szCs w:val="24"/>
          <w:lang w:eastAsia="es-MX"/>
        </w:rPr>
        <w:t>ordena</w:t>
      </w:r>
      <w:r w:rsidRPr="00F32542">
        <w:rPr>
          <w:rFonts w:ascii="Arial" w:eastAsia="Calibri" w:hAnsi="Arial" w:cs="Arial"/>
          <w:i/>
          <w:sz w:val="24"/>
          <w:szCs w:val="24"/>
          <w:lang w:eastAsia="es-MX"/>
        </w:rPr>
        <w:t xml:space="preserve"> al OPLE de la Ciudad de México a continuar con los trabajos que estime pertinentes, necesarios y suficientes a fin de implementar esta figura, en los términos de las normas que en virtud de la presente ejecutoria cobran reviviscencia.</w:t>
      </w:r>
    </w:p>
    <w:p w14:paraId="4FEA34FB"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p>
    <w:p w14:paraId="66FF6DD4"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En ese sentido, la vigencia de la figura de la diputación migrante, para ser aplicada en el actual proceso electoral en la Ciudad de México, atiende a la determinación de la </w:t>
      </w:r>
      <w:r w:rsidRPr="00F32542">
        <w:rPr>
          <w:rFonts w:ascii="Arial" w:eastAsia="Times New Roman" w:hAnsi="Arial" w:cs="Arial"/>
          <w:bCs/>
          <w:i/>
          <w:color w:val="000000"/>
          <w:sz w:val="28"/>
          <w:szCs w:val="28"/>
        </w:rPr>
        <w:t>Sala Superior</w:t>
      </w:r>
      <w:r w:rsidRPr="00F32542">
        <w:rPr>
          <w:rFonts w:ascii="Arial" w:eastAsia="Times New Roman" w:hAnsi="Arial" w:cs="Arial"/>
          <w:bCs/>
          <w:color w:val="000000"/>
          <w:sz w:val="28"/>
          <w:szCs w:val="28"/>
        </w:rPr>
        <w:t xml:space="preserve">, como órgano terminal, revocando el decreto mediante el cual, el órgano legislativo había suprimido esa figura del Código Local; ello, y declarando la reviviscencia de las normas que regulan a la diputación migrante, con el propósito de que prevaleciera la observancia a lo previsto en la </w:t>
      </w:r>
      <w:r w:rsidRPr="00F32542">
        <w:rPr>
          <w:rFonts w:ascii="Arial" w:eastAsia="Times New Roman" w:hAnsi="Arial" w:cs="Arial"/>
          <w:bCs/>
          <w:i/>
          <w:color w:val="000000"/>
          <w:sz w:val="28"/>
          <w:szCs w:val="28"/>
        </w:rPr>
        <w:t>Constitución Local</w:t>
      </w:r>
      <w:r w:rsidRPr="00F32542">
        <w:rPr>
          <w:rFonts w:ascii="Arial" w:eastAsia="Times New Roman" w:hAnsi="Arial" w:cs="Arial"/>
          <w:bCs/>
          <w:color w:val="000000"/>
          <w:sz w:val="28"/>
          <w:szCs w:val="28"/>
        </w:rPr>
        <w:t>.</w:t>
      </w:r>
    </w:p>
    <w:p w14:paraId="70254663"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p>
    <w:p w14:paraId="610A4524"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Lo anterior, porque la </w:t>
      </w:r>
      <w:r w:rsidRPr="00F32542">
        <w:rPr>
          <w:rFonts w:ascii="Arial" w:eastAsia="Times New Roman" w:hAnsi="Arial" w:cs="Arial"/>
          <w:bCs/>
          <w:i/>
          <w:color w:val="000000"/>
          <w:sz w:val="28"/>
          <w:szCs w:val="28"/>
        </w:rPr>
        <w:t>Constitución Federal</w:t>
      </w:r>
      <w:r w:rsidRPr="00F32542">
        <w:rPr>
          <w:rFonts w:ascii="Arial" w:eastAsia="Times New Roman" w:hAnsi="Arial" w:cs="Arial"/>
          <w:bCs/>
          <w:color w:val="000000"/>
          <w:sz w:val="28"/>
          <w:szCs w:val="28"/>
        </w:rPr>
        <w:t xml:space="preserve"> y la Ley General del Sistema de Medios de Impugnación en Materia Electoral, en los </w:t>
      </w:r>
      <w:r w:rsidRPr="00F32542">
        <w:rPr>
          <w:rFonts w:ascii="Arial" w:eastAsia="Times New Roman" w:hAnsi="Arial" w:cs="Arial"/>
          <w:bCs/>
          <w:color w:val="000000"/>
          <w:sz w:val="28"/>
          <w:szCs w:val="28"/>
        </w:rPr>
        <w:lastRenderedPageBreak/>
        <w:t xml:space="preserve">artículos 99, párrafos primero y cuarto, y 25, párrafo 1, establecen que las sentencias de la </w:t>
      </w:r>
      <w:r w:rsidRPr="00F32542">
        <w:rPr>
          <w:rFonts w:ascii="Arial" w:eastAsia="Times New Roman" w:hAnsi="Arial" w:cs="Arial"/>
          <w:bCs/>
          <w:i/>
          <w:color w:val="000000"/>
          <w:sz w:val="28"/>
          <w:szCs w:val="28"/>
        </w:rPr>
        <w:t>Sala Superior</w:t>
      </w:r>
      <w:r w:rsidRPr="00F32542">
        <w:rPr>
          <w:rFonts w:ascii="Arial" w:eastAsia="Times New Roman" w:hAnsi="Arial" w:cs="Arial"/>
          <w:bCs/>
          <w:color w:val="000000"/>
          <w:sz w:val="28"/>
          <w:szCs w:val="28"/>
        </w:rPr>
        <w:t xml:space="preserve"> son definitivas e inatacables, de manera que una vez emitida una resolución por dicho órgano, no admite ser cuestionada.</w:t>
      </w:r>
    </w:p>
    <w:p w14:paraId="620B559C" w14:textId="77777777" w:rsidR="00F94B48" w:rsidRPr="00F32542" w:rsidRDefault="00F94B48" w:rsidP="004217D4">
      <w:pPr>
        <w:widowControl w:val="0"/>
        <w:spacing w:after="0" w:line="360" w:lineRule="auto"/>
        <w:jc w:val="both"/>
        <w:rPr>
          <w:rFonts w:ascii="Arial" w:eastAsia="Calibri" w:hAnsi="Arial" w:cs="Arial"/>
          <w:sz w:val="28"/>
          <w:szCs w:val="28"/>
        </w:rPr>
      </w:pPr>
    </w:p>
    <w:p w14:paraId="67E03236" w14:textId="77777777" w:rsidR="00F94B48" w:rsidRPr="00F32542" w:rsidRDefault="00F94B48" w:rsidP="004217D4">
      <w:pPr>
        <w:widowControl w:val="0"/>
        <w:spacing w:after="0" w:line="360" w:lineRule="auto"/>
        <w:jc w:val="both"/>
        <w:rPr>
          <w:rFonts w:ascii="Arial" w:eastAsia="Calibri" w:hAnsi="Arial" w:cs="Arial"/>
          <w:sz w:val="28"/>
          <w:szCs w:val="28"/>
          <w:shd w:val="clear" w:color="auto" w:fill="FFFFFF"/>
        </w:rPr>
      </w:pPr>
      <w:r w:rsidRPr="00F32542">
        <w:rPr>
          <w:rFonts w:ascii="Arial" w:eastAsia="Calibri" w:hAnsi="Arial" w:cs="Arial"/>
          <w:sz w:val="28"/>
          <w:szCs w:val="28"/>
          <w:shd w:val="clear" w:color="auto" w:fill="FFFFFF"/>
        </w:rPr>
        <w:t>Esto es, no existe la posibilidad jurídica, ni material para que, mediante la presentación de una nueva petición u otro medio de impugnación, mucho menos en el ámbito local, se pueda reexaminar un tópico que fue ya fue analizado y resuelto por la Sala Superior, alcanzando firmeza y, por ende, la calidad de cosa juzgada.</w:t>
      </w:r>
    </w:p>
    <w:p w14:paraId="1EF33B14" w14:textId="77777777" w:rsidR="00F94B48" w:rsidRPr="00F32542" w:rsidRDefault="00F94B48" w:rsidP="004217D4">
      <w:pPr>
        <w:widowControl w:val="0"/>
        <w:spacing w:after="0" w:line="360" w:lineRule="auto"/>
        <w:jc w:val="both"/>
        <w:rPr>
          <w:rFonts w:ascii="Arial" w:eastAsia="Calibri" w:hAnsi="Arial" w:cs="Arial"/>
          <w:sz w:val="28"/>
          <w:szCs w:val="28"/>
          <w:shd w:val="clear" w:color="auto" w:fill="FFFFFF"/>
        </w:rPr>
      </w:pPr>
    </w:p>
    <w:p w14:paraId="742E3299" w14:textId="77777777" w:rsidR="00F94B48" w:rsidRPr="00F32542" w:rsidRDefault="00F94B48" w:rsidP="004217D4">
      <w:pPr>
        <w:widowControl w:val="0"/>
        <w:spacing w:after="0" w:line="360" w:lineRule="auto"/>
        <w:jc w:val="both"/>
        <w:rPr>
          <w:rFonts w:ascii="Arial" w:eastAsia="Calibri" w:hAnsi="Arial" w:cs="Arial"/>
          <w:sz w:val="28"/>
          <w:szCs w:val="28"/>
          <w:shd w:val="clear" w:color="auto" w:fill="FFFFFF"/>
        </w:rPr>
      </w:pPr>
      <w:r w:rsidRPr="00F32542">
        <w:rPr>
          <w:rFonts w:ascii="Arial" w:eastAsia="Calibri" w:hAnsi="Arial" w:cs="Arial"/>
          <w:sz w:val="28"/>
          <w:szCs w:val="28"/>
          <w:shd w:val="clear" w:color="auto" w:fill="FFFFFF"/>
        </w:rPr>
        <w:t>Al respecto, es orientador el criterio contenido en la tesis P. X/2008, del Pleno de la Suprema Corte, con rubro:</w:t>
      </w:r>
      <w:r w:rsidRPr="00F32542">
        <w:rPr>
          <w:rFonts w:ascii="Arial" w:eastAsia="Calibri" w:hAnsi="Arial" w:cs="Arial"/>
          <w:b/>
          <w:i/>
          <w:sz w:val="28"/>
          <w:szCs w:val="28"/>
          <w:shd w:val="clear" w:color="auto" w:fill="FFFFFF"/>
        </w:rPr>
        <w:t xml:space="preserve"> </w:t>
      </w:r>
      <w:r w:rsidRPr="00F32542">
        <w:rPr>
          <w:rFonts w:ascii="Arial" w:eastAsia="Calibri" w:hAnsi="Arial" w:cs="Arial"/>
          <w:b/>
          <w:sz w:val="28"/>
          <w:szCs w:val="28"/>
          <w:shd w:val="clear" w:color="auto" w:fill="FFFFFF"/>
        </w:rPr>
        <w:t>“AMPARO DIRECTO. ES IMPROCEDENTE CONTRA LAS SENTENCIAS DICTADAS POR EL TRIBUNAL ELECTORAL DEL PODER JUDICIAL DE LA FEDERACIÓN</w:t>
      </w:r>
      <w:r w:rsidRPr="00F32542">
        <w:rPr>
          <w:rFonts w:ascii="Arial" w:eastAsia="Calibri" w:hAnsi="Arial" w:cs="Arial"/>
          <w:b/>
          <w:sz w:val="28"/>
          <w:szCs w:val="28"/>
          <w:shd w:val="clear" w:color="auto" w:fill="FFFFFF"/>
          <w:vertAlign w:val="superscript"/>
        </w:rPr>
        <w:footnoteReference w:id="27"/>
      </w:r>
      <w:r w:rsidRPr="00F32542">
        <w:rPr>
          <w:rFonts w:ascii="Arial" w:eastAsia="Calibri" w:hAnsi="Arial" w:cs="Arial"/>
          <w:b/>
          <w:sz w:val="28"/>
          <w:szCs w:val="28"/>
          <w:shd w:val="clear" w:color="auto" w:fill="FFFFFF"/>
        </w:rPr>
        <w:t>”.</w:t>
      </w:r>
    </w:p>
    <w:p w14:paraId="2B580A99" w14:textId="77777777" w:rsidR="00F94B48" w:rsidRPr="00F32542" w:rsidRDefault="00F94B48" w:rsidP="004217D4">
      <w:pPr>
        <w:widowControl w:val="0"/>
        <w:spacing w:after="0" w:line="360" w:lineRule="auto"/>
        <w:jc w:val="both"/>
        <w:rPr>
          <w:rFonts w:ascii="Arial" w:eastAsia="Calibri" w:hAnsi="Arial" w:cs="Arial"/>
          <w:sz w:val="28"/>
          <w:szCs w:val="28"/>
          <w:shd w:val="clear" w:color="auto" w:fill="FFFFFF"/>
        </w:rPr>
      </w:pPr>
    </w:p>
    <w:p w14:paraId="6B9B6286" w14:textId="77777777" w:rsidR="00F94B48" w:rsidRPr="00F32542" w:rsidRDefault="00F94B48" w:rsidP="004217D4">
      <w:pPr>
        <w:widowControl w:val="0"/>
        <w:spacing w:after="0" w:line="360" w:lineRule="auto"/>
        <w:jc w:val="both"/>
        <w:rPr>
          <w:rFonts w:ascii="Arial" w:eastAsia="Calibri" w:hAnsi="Arial" w:cs="Arial"/>
          <w:sz w:val="28"/>
          <w:szCs w:val="28"/>
        </w:rPr>
      </w:pPr>
      <w:r w:rsidRPr="00F32542">
        <w:rPr>
          <w:rFonts w:ascii="Arial" w:eastAsia="Times New Roman" w:hAnsi="Arial" w:cs="Arial"/>
          <w:bCs/>
          <w:color w:val="000000"/>
          <w:sz w:val="28"/>
          <w:szCs w:val="28"/>
        </w:rPr>
        <w:t xml:space="preserve">Ahora, dado que la </w:t>
      </w:r>
      <w:r w:rsidRPr="00F32542">
        <w:rPr>
          <w:rFonts w:ascii="Arial" w:eastAsia="Times New Roman" w:hAnsi="Arial" w:cs="Arial"/>
          <w:bCs/>
          <w:i/>
          <w:color w:val="000000"/>
          <w:sz w:val="28"/>
          <w:szCs w:val="28"/>
        </w:rPr>
        <w:t>Sala Superior</w:t>
      </w:r>
      <w:r w:rsidRPr="00F32542">
        <w:rPr>
          <w:rFonts w:ascii="Arial" w:eastAsia="Times New Roman" w:hAnsi="Arial" w:cs="Arial"/>
          <w:bCs/>
          <w:color w:val="000000"/>
          <w:sz w:val="28"/>
          <w:szCs w:val="28"/>
        </w:rPr>
        <w:t xml:space="preserve"> ordenó al </w:t>
      </w:r>
      <w:r w:rsidRPr="00F32542">
        <w:rPr>
          <w:rFonts w:ascii="Arial" w:eastAsia="Times New Roman" w:hAnsi="Arial" w:cs="Arial"/>
          <w:bCs/>
          <w:i/>
          <w:color w:val="000000"/>
          <w:sz w:val="28"/>
          <w:szCs w:val="28"/>
        </w:rPr>
        <w:t>Instituto Electoral</w:t>
      </w:r>
      <w:r w:rsidRPr="00F32542">
        <w:rPr>
          <w:rFonts w:ascii="Arial" w:eastAsia="Times New Roman" w:hAnsi="Arial" w:cs="Arial"/>
          <w:bCs/>
          <w:color w:val="000000"/>
          <w:sz w:val="28"/>
          <w:szCs w:val="28"/>
        </w:rPr>
        <w:t xml:space="preserve"> realizar los trabajos conducentes para implementar la diputación migrante, éste quedó obligado a llevar a cabo diversas acciones, incluyendo la </w:t>
      </w:r>
      <w:r w:rsidRPr="00F32542">
        <w:rPr>
          <w:rFonts w:ascii="Arial" w:eastAsia="Calibri" w:hAnsi="Arial" w:cs="Arial"/>
          <w:sz w:val="28"/>
          <w:szCs w:val="28"/>
        </w:rPr>
        <w:t>creación del Comité Especializado en torno a la figura de la Diputación Migrante, encargado de definir los elementos básicos para implementar la elección de la diputación migrante.</w:t>
      </w:r>
    </w:p>
    <w:p w14:paraId="431FB1CE"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r w:rsidRPr="00F32542">
        <w:rPr>
          <w:rFonts w:ascii="Arial" w:eastAsia="Calibri" w:hAnsi="Arial" w:cs="Arial"/>
          <w:sz w:val="28"/>
          <w:szCs w:val="28"/>
        </w:rPr>
        <w:t xml:space="preserve"> </w:t>
      </w:r>
    </w:p>
    <w:p w14:paraId="31F500E1"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Así, a través del acuerdo </w:t>
      </w:r>
      <w:r w:rsidRPr="00F32542">
        <w:rPr>
          <w:rFonts w:ascii="Arial" w:eastAsia="Times New Roman" w:hAnsi="Arial" w:cs="Arial"/>
          <w:b/>
          <w:bCs/>
          <w:color w:val="000000"/>
          <w:sz w:val="28"/>
          <w:szCs w:val="28"/>
        </w:rPr>
        <w:t>IECM/ACU-CG-060/2020</w:t>
      </w:r>
      <w:r w:rsidRPr="00F32542">
        <w:rPr>
          <w:rFonts w:ascii="Arial" w:eastAsia="Times New Roman" w:hAnsi="Arial" w:cs="Arial"/>
          <w:b/>
          <w:bCs/>
          <w:color w:val="000000"/>
          <w:sz w:val="28"/>
          <w:szCs w:val="28"/>
          <w:vertAlign w:val="superscript"/>
        </w:rPr>
        <w:footnoteReference w:id="28"/>
      </w:r>
      <w:r w:rsidRPr="00F32542">
        <w:rPr>
          <w:rFonts w:ascii="Arial" w:eastAsia="Times New Roman" w:hAnsi="Arial" w:cs="Arial"/>
          <w:bCs/>
          <w:color w:val="000000"/>
          <w:sz w:val="28"/>
          <w:szCs w:val="28"/>
        </w:rPr>
        <w:t xml:space="preserve">, de dieciocho de septiembre de dos mil veinte, el Instituto Electoral aprobó los </w:t>
      </w:r>
      <w:r w:rsidRPr="00F32542">
        <w:rPr>
          <w:rFonts w:ascii="Arial" w:eastAsia="Times New Roman" w:hAnsi="Arial" w:cs="Arial"/>
          <w:bCs/>
          <w:i/>
          <w:color w:val="000000"/>
          <w:sz w:val="28"/>
          <w:szCs w:val="28"/>
        </w:rPr>
        <w:lastRenderedPageBreak/>
        <w:t>Lineamientos para el registro de la diputación migrante electa por el principio de representación proporcional, para el proceso electoral 2020-2021.</w:t>
      </w:r>
    </w:p>
    <w:p w14:paraId="1F2F97CC"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p>
    <w:p w14:paraId="7FDF41B3"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En dicho acuerdo se consideró, a partir del diagnóstico elaborado por el citado Comité Especializado, que si bien, acorde con el Código Electoral, la diputación migrante debía realizarse por la vía de mayoría relativa, se advertía una imposibilidad normativa y, por tanto, técnica y operativa para instrumentarla bajo el mencionado sistema.</w:t>
      </w:r>
    </w:p>
    <w:p w14:paraId="32E87301"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p>
    <w:p w14:paraId="1A90B453"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Por tanto, a partir de una aplicación del principio </w:t>
      </w:r>
      <w:r w:rsidRPr="00F32542">
        <w:rPr>
          <w:rFonts w:ascii="Arial" w:eastAsia="Times New Roman" w:hAnsi="Arial" w:cs="Arial"/>
          <w:bCs/>
          <w:i/>
          <w:color w:val="000000"/>
          <w:sz w:val="28"/>
          <w:szCs w:val="28"/>
        </w:rPr>
        <w:t>pro homine</w:t>
      </w:r>
      <w:r w:rsidRPr="00F32542">
        <w:rPr>
          <w:rFonts w:ascii="Arial" w:eastAsia="Times New Roman" w:hAnsi="Arial" w:cs="Arial"/>
          <w:bCs/>
          <w:color w:val="000000"/>
          <w:sz w:val="28"/>
          <w:szCs w:val="28"/>
        </w:rPr>
        <w:t xml:space="preserve"> (</w:t>
      </w:r>
      <w:r w:rsidRPr="00F32542">
        <w:rPr>
          <w:rFonts w:ascii="Arial" w:eastAsia="Times New Roman" w:hAnsi="Arial" w:cs="Arial"/>
          <w:bCs/>
          <w:i/>
          <w:color w:val="000000"/>
          <w:sz w:val="28"/>
          <w:szCs w:val="28"/>
        </w:rPr>
        <w:t>pro persona)</w:t>
      </w:r>
      <w:r w:rsidRPr="00F32542">
        <w:rPr>
          <w:rFonts w:ascii="Arial" w:eastAsia="Times New Roman" w:hAnsi="Arial" w:cs="Arial"/>
          <w:bCs/>
          <w:color w:val="000000"/>
          <w:sz w:val="28"/>
          <w:szCs w:val="28"/>
        </w:rPr>
        <w:t xml:space="preserve"> consagrado en la </w:t>
      </w:r>
      <w:r w:rsidRPr="00F32542">
        <w:rPr>
          <w:rFonts w:ascii="Arial" w:eastAsia="Times New Roman" w:hAnsi="Arial" w:cs="Arial"/>
          <w:bCs/>
          <w:i/>
          <w:color w:val="000000"/>
          <w:sz w:val="28"/>
          <w:szCs w:val="28"/>
        </w:rPr>
        <w:t>Constitución Federal</w:t>
      </w:r>
      <w:r w:rsidRPr="00F32542">
        <w:rPr>
          <w:rFonts w:ascii="Arial" w:eastAsia="Times New Roman" w:hAnsi="Arial" w:cs="Arial"/>
          <w:bCs/>
          <w:color w:val="000000"/>
          <w:sz w:val="28"/>
          <w:szCs w:val="28"/>
        </w:rPr>
        <w:t>, y a fin de garantizar el derecho a ser votadas de las personas originarias de la Ciudad de México residentes en el exterior, la autoridad administrativa electoral se decantó por la vía de la representación proporcional, como la adecuada para poner en práctica la elección de la diputación migrante, en razón de que la elección bajo este principio, no ameritaba una reforma constitucional ni legal.</w:t>
      </w:r>
    </w:p>
    <w:p w14:paraId="3C628827"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p>
    <w:p w14:paraId="2B0E1C42"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Por tanto, la implementación de la diputación migrante mediante el principio de representación proporcional atendió a diversas consideraciones jurídicas, técnicas y operativas, asumidas por el Consejo General del </w:t>
      </w:r>
      <w:r w:rsidRPr="00F32542">
        <w:rPr>
          <w:rFonts w:ascii="Arial" w:eastAsia="Times New Roman" w:hAnsi="Arial" w:cs="Arial"/>
          <w:bCs/>
          <w:i/>
          <w:iCs/>
          <w:color w:val="000000"/>
          <w:sz w:val="28"/>
          <w:szCs w:val="28"/>
        </w:rPr>
        <w:t>IECM</w:t>
      </w:r>
      <w:r w:rsidRPr="00F32542">
        <w:rPr>
          <w:rFonts w:ascii="Arial" w:eastAsia="Times New Roman" w:hAnsi="Arial" w:cs="Arial"/>
          <w:bCs/>
          <w:color w:val="000000"/>
          <w:sz w:val="28"/>
          <w:szCs w:val="28"/>
        </w:rPr>
        <w:t xml:space="preserve"> mediante el citado acuerdo </w:t>
      </w:r>
      <w:r w:rsidRPr="00F32542">
        <w:rPr>
          <w:rFonts w:ascii="Arial" w:eastAsia="Times New Roman" w:hAnsi="Arial" w:cs="Arial"/>
          <w:b/>
          <w:color w:val="000000"/>
          <w:sz w:val="28"/>
          <w:szCs w:val="28"/>
        </w:rPr>
        <w:t>IECM/ACU-CG-060/2020,</w:t>
      </w:r>
      <w:r w:rsidRPr="00F32542">
        <w:rPr>
          <w:rFonts w:ascii="Arial" w:eastAsia="Times New Roman" w:hAnsi="Arial" w:cs="Arial"/>
          <w:bCs/>
          <w:color w:val="000000"/>
          <w:sz w:val="28"/>
          <w:szCs w:val="28"/>
        </w:rPr>
        <w:t xml:space="preserve"> con el objetivo de dar pleno cumplimiento a un mandato de la Sala Superior y permitir la efectiva reviviscencia de las normas legales concernientes a la figura en cuestión </w:t>
      </w:r>
    </w:p>
    <w:p w14:paraId="575ECC84"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p>
    <w:p w14:paraId="6AD8DB29"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Así, en los </w:t>
      </w:r>
      <w:r w:rsidRPr="00F32542">
        <w:rPr>
          <w:rFonts w:ascii="Arial" w:eastAsia="Times New Roman" w:hAnsi="Arial" w:cs="Arial"/>
          <w:bCs/>
          <w:i/>
          <w:color w:val="000000"/>
          <w:sz w:val="28"/>
          <w:szCs w:val="28"/>
        </w:rPr>
        <w:t>Lineamientos para el registro de la diputación migrante por el principio de representación proporcional</w:t>
      </w:r>
      <w:r w:rsidRPr="00F32542">
        <w:rPr>
          <w:rFonts w:ascii="Arial" w:eastAsia="Times New Roman" w:hAnsi="Arial" w:cs="Arial"/>
          <w:bCs/>
          <w:color w:val="000000"/>
          <w:sz w:val="28"/>
          <w:szCs w:val="28"/>
        </w:rPr>
        <w:t xml:space="preserve">, se establecieron las </w:t>
      </w:r>
      <w:r w:rsidRPr="00F32542">
        <w:rPr>
          <w:rFonts w:ascii="Arial" w:eastAsia="Times New Roman" w:hAnsi="Arial" w:cs="Arial"/>
          <w:bCs/>
          <w:color w:val="000000"/>
          <w:sz w:val="28"/>
          <w:szCs w:val="28"/>
        </w:rPr>
        <w:lastRenderedPageBreak/>
        <w:t xml:space="preserve">siguientes reglas:  </w:t>
      </w:r>
    </w:p>
    <w:p w14:paraId="1C5CB3BA"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p>
    <w:p w14:paraId="2B67958D" w14:textId="77777777" w:rsidR="00F94B48" w:rsidRPr="00F32542" w:rsidRDefault="00F94B48" w:rsidP="004217D4">
      <w:pPr>
        <w:widowControl w:val="0"/>
        <w:numPr>
          <w:ilvl w:val="0"/>
          <w:numId w:val="9"/>
        </w:num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La diputada o diputado migrante es la persona candidata ganadora al obtener la mayoría de votación total válida emitida en el extranjero; será electa por un periodo de tres años [artículo 5, fracción IV, inciso b)].</w:t>
      </w:r>
    </w:p>
    <w:p w14:paraId="3FE117CB" w14:textId="77777777" w:rsidR="00F94B48" w:rsidRPr="00F32542" w:rsidRDefault="00F94B48" w:rsidP="004217D4">
      <w:pPr>
        <w:widowControl w:val="0"/>
        <w:spacing w:after="0" w:line="360" w:lineRule="auto"/>
        <w:ind w:left="720"/>
        <w:contextualSpacing/>
        <w:jc w:val="both"/>
        <w:rPr>
          <w:rFonts w:ascii="Arial" w:eastAsia="Times New Roman" w:hAnsi="Arial" w:cs="Arial"/>
          <w:bCs/>
          <w:color w:val="000000"/>
          <w:sz w:val="28"/>
          <w:szCs w:val="28"/>
        </w:rPr>
      </w:pPr>
    </w:p>
    <w:p w14:paraId="395A8ADB" w14:textId="77777777" w:rsidR="00F94B48" w:rsidRPr="00F32542" w:rsidRDefault="00F94B48" w:rsidP="004217D4">
      <w:pPr>
        <w:widowControl w:val="0"/>
        <w:numPr>
          <w:ilvl w:val="0"/>
          <w:numId w:val="9"/>
        </w:num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Es derecho de la ciudadanía originaria de la Ciudad de México, que reside en el extranjero y cuente con credencial para votar vigente, expediente en el lugar de residencia o en la Ciudad de México, votar en la elección de la diputación migrante (artículo 7).</w:t>
      </w:r>
    </w:p>
    <w:p w14:paraId="618DD1AB"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p>
    <w:p w14:paraId="18B16C5C" w14:textId="77777777" w:rsidR="00F94B48" w:rsidRPr="00F32542" w:rsidRDefault="00F94B48" w:rsidP="004217D4">
      <w:pPr>
        <w:widowControl w:val="0"/>
        <w:numPr>
          <w:ilvl w:val="0"/>
          <w:numId w:val="9"/>
        </w:num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Es derecho de la ciudadanía originaria de la Ciudad de México que resida en el extranjero, ser votada para la elección de la diputación migrante, conforme la normativa aplicable en la materia y siempre que se acredite la calidad de migrante (artículo 8).</w:t>
      </w:r>
    </w:p>
    <w:p w14:paraId="6996B3BA"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p>
    <w:p w14:paraId="5579CA26" w14:textId="77777777" w:rsidR="00F94B48" w:rsidRPr="00F32542" w:rsidRDefault="00F94B48" w:rsidP="004217D4">
      <w:pPr>
        <w:widowControl w:val="0"/>
        <w:numPr>
          <w:ilvl w:val="0"/>
          <w:numId w:val="9"/>
        </w:num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El </w:t>
      </w:r>
      <w:r w:rsidRPr="00F32542">
        <w:rPr>
          <w:rFonts w:ascii="Arial" w:eastAsia="Times New Roman" w:hAnsi="Arial" w:cs="Arial"/>
          <w:b/>
          <w:bCs/>
          <w:color w:val="000000"/>
          <w:sz w:val="28"/>
          <w:szCs w:val="28"/>
        </w:rPr>
        <w:t>registro de candidaturas a la diputación migrante es un derecho exclusivo de los partidos políticos</w:t>
      </w:r>
      <w:r w:rsidRPr="00F32542">
        <w:rPr>
          <w:rFonts w:ascii="Arial" w:eastAsia="Times New Roman" w:hAnsi="Arial" w:cs="Arial"/>
          <w:bCs/>
          <w:color w:val="000000"/>
          <w:sz w:val="28"/>
          <w:szCs w:val="28"/>
        </w:rPr>
        <w:t xml:space="preserve"> y su </w:t>
      </w:r>
      <w:r w:rsidRPr="00F32542">
        <w:rPr>
          <w:rFonts w:ascii="Arial" w:eastAsia="Times New Roman" w:hAnsi="Arial" w:cs="Arial"/>
          <w:b/>
          <w:bCs/>
          <w:color w:val="000000"/>
          <w:sz w:val="28"/>
          <w:szCs w:val="28"/>
          <w:u w:val="single"/>
        </w:rPr>
        <w:t>forma de elección será a través del principio de representación proporcional</w:t>
      </w:r>
      <w:r w:rsidRPr="00F32542">
        <w:rPr>
          <w:rFonts w:ascii="Arial" w:eastAsia="Times New Roman" w:hAnsi="Arial" w:cs="Arial"/>
          <w:bCs/>
          <w:color w:val="000000"/>
          <w:sz w:val="28"/>
          <w:szCs w:val="28"/>
        </w:rPr>
        <w:t xml:space="preserve"> (artículo 12). </w:t>
      </w:r>
    </w:p>
    <w:p w14:paraId="3C4CFD01"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p>
    <w:p w14:paraId="7092EA19"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Cabe precisar que el mencionado acuerdo, por el cual se emitieron los citados lineamientos, fue publicado en la Gaceta Oficial de la Ciudad de México el veinticinco de septiembre de dos mil veinte</w:t>
      </w:r>
      <w:r w:rsidRPr="00F32542">
        <w:rPr>
          <w:rFonts w:ascii="Arial" w:eastAsia="Times New Roman" w:hAnsi="Arial" w:cs="Arial"/>
          <w:bCs/>
          <w:color w:val="000000"/>
          <w:sz w:val="28"/>
          <w:szCs w:val="28"/>
          <w:vertAlign w:val="superscript"/>
        </w:rPr>
        <w:footnoteReference w:id="29"/>
      </w:r>
      <w:r w:rsidRPr="00F32542">
        <w:rPr>
          <w:rFonts w:ascii="Arial" w:eastAsia="Times New Roman" w:hAnsi="Arial" w:cs="Arial"/>
          <w:bCs/>
          <w:color w:val="000000"/>
          <w:sz w:val="28"/>
          <w:szCs w:val="28"/>
        </w:rPr>
        <w:t xml:space="preserve">, lo </w:t>
      </w:r>
      <w:r w:rsidRPr="00F32542">
        <w:rPr>
          <w:rFonts w:ascii="Arial" w:eastAsia="Times New Roman" w:hAnsi="Arial" w:cs="Arial"/>
          <w:bCs/>
          <w:color w:val="000000"/>
          <w:sz w:val="28"/>
          <w:szCs w:val="28"/>
        </w:rPr>
        <w:lastRenderedPageBreak/>
        <w:t>que constituye el acto de notificación formal del propio acuerdo, para toda la ciudadanía de la Ciudad de México</w:t>
      </w:r>
      <w:r w:rsidRPr="00F32542">
        <w:rPr>
          <w:rFonts w:ascii="Arial" w:eastAsia="Times New Roman" w:hAnsi="Arial" w:cs="Arial"/>
          <w:bCs/>
          <w:color w:val="000000"/>
          <w:sz w:val="28"/>
          <w:szCs w:val="28"/>
          <w:vertAlign w:val="superscript"/>
        </w:rPr>
        <w:footnoteReference w:id="30"/>
      </w:r>
      <w:r w:rsidRPr="00F32542">
        <w:rPr>
          <w:rFonts w:ascii="Arial" w:eastAsia="Times New Roman" w:hAnsi="Arial" w:cs="Arial"/>
          <w:bCs/>
          <w:color w:val="000000"/>
          <w:sz w:val="28"/>
          <w:szCs w:val="28"/>
        </w:rPr>
        <w:t>, sin que, dentro de la temporalidad establecida en la Ley Procesal, hubiese sido impugnado</w:t>
      </w:r>
      <w:r w:rsidRPr="00F32542">
        <w:rPr>
          <w:rFonts w:ascii="Arial" w:eastAsia="Times New Roman" w:hAnsi="Arial" w:cs="Arial"/>
          <w:bCs/>
          <w:color w:val="000000"/>
          <w:sz w:val="28"/>
          <w:szCs w:val="28"/>
          <w:vertAlign w:val="superscript"/>
        </w:rPr>
        <w:footnoteReference w:id="31"/>
      </w:r>
      <w:r w:rsidRPr="00F32542">
        <w:rPr>
          <w:rFonts w:ascii="Arial" w:eastAsia="Times New Roman" w:hAnsi="Arial" w:cs="Arial"/>
          <w:bCs/>
          <w:color w:val="000000"/>
          <w:sz w:val="28"/>
          <w:szCs w:val="28"/>
        </w:rPr>
        <w:t xml:space="preserve">, de manera que, con anticipación a su puesta en práctica, la legalidad o constitucionalidad de los lineamientos en comento no fue desvirtuada en sede jurisdiccional. </w:t>
      </w:r>
    </w:p>
    <w:p w14:paraId="4F2BC003"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p>
    <w:p w14:paraId="5C72018A"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Por ende, constituye una determinación que ha alcanzado definitividad y firmeza, al no haber sido controvertida, la implementación de la diputación migrante mediante el sistema de representación proporcional, con base en lo regulado por los referidos </w:t>
      </w:r>
      <w:r w:rsidRPr="00F32542">
        <w:rPr>
          <w:rFonts w:ascii="Arial" w:eastAsia="Times New Roman" w:hAnsi="Arial" w:cs="Arial"/>
          <w:bCs/>
          <w:i/>
          <w:iCs/>
          <w:color w:val="000000"/>
          <w:sz w:val="28"/>
          <w:szCs w:val="28"/>
        </w:rPr>
        <w:t>Lineamientos para el registro</w:t>
      </w:r>
      <w:r w:rsidRPr="00F32542">
        <w:rPr>
          <w:rFonts w:ascii="Arial" w:eastAsia="Times New Roman" w:hAnsi="Arial" w:cs="Arial"/>
          <w:bCs/>
          <w:color w:val="000000"/>
          <w:sz w:val="28"/>
          <w:szCs w:val="28"/>
        </w:rPr>
        <w:t xml:space="preserve">, razón por la cual, no puede ahora ser sujeta a examen la idoneidad de dicho sistema, para materializar la elección de dicha diputación. </w:t>
      </w:r>
    </w:p>
    <w:p w14:paraId="1CB1EBCB"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p>
    <w:p w14:paraId="70AF8A5C"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Robustece lo anterior, el hecho de que una vez que el Consejo General del Instituto Electoral emitió los </w:t>
      </w:r>
      <w:r w:rsidRPr="00F32542">
        <w:rPr>
          <w:rFonts w:ascii="Arial" w:eastAsia="Times New Roman" w:hAnsi="Arial" w:cs="Arial"/>
          <w:bCs/>
          <w:i/>
          <w:color w:val="000000"/>
          <w:sz w:val="28"/>
          <w:szCs w:val="28"/>
        </w:rPr>
        <w:t xml:space="preserve">Lineamientos para la postulación </w:t>
      </w:r>
      <w:r w:rsidRPr="00F32542">
        <w:rPr>
          <w:rFonts w:ascii="Arial" w:eastAsia="Times New Roman" w:hAnsi="Arial" w:cs="Arial"/>
          <w:bCs/>
          <w:iCs/>
          <w:color w:val="000000"/>
          <w:sz w:val="28"/>
          <w:szCs w:val="28"/>
        </w:rPr>
        <w:t xml:space="preserve">y los </w:t>
      </w:r>
      <w:r w:rsidRPr="00F32542">
        <w:rPr>
          <w:rFonts w:ascii="Arial" w:eastAsia="Times New Roman" w:hAnsi="Arial" w:cs="Arial"/>
          <w:bCs/>
          <w:i/>
          <w:color w:val="000000"/>
          <w:sz w:val="28"/>
          <w:szCs w:val="28"/>
        </w:rPr>
        <w:t>Lineamientos para la asignación</w:t>
      </w:r>
      <w:r w:rsidRPr="00F32542">
        <w:rPr>
          <w:rFonts w:ascii="Arial" w:eastAsia="Times New Roman" w:hAnsi="Arial" w:cs="Arial"/>
          <w:bCs/>
          <w:color w:val="000000"/>
          <w:sz w:val="28"/>
          <w:szCs w:val="28"/>
        </w:rPr>
        <w:t xml:space="preserve"> —</w:t>
      </w:r>
      <w:r w:rsidRPr="00F32542">
        <w:rPr>
          <w:rFonts w:ascii="Arial" w:eastAsia="Calibri" w:hAnsi="Arial" w:cs="Arial"/>
          <w:sz w:val="28"/>
          <w:szCs w:val="28"/>
        </w:rPr>
        <w:t xml:space="preserve">mediante el acuerdo </w:t>
      </w:r>
      <w:r w:rsidRPr="00F32542">
        <w:rPr>
          <w:rFonts w:ascii="Arial" w:eastAsia="Calibri" w:hAnsi="Arial" w:cs="Arial"/>
          <w:b/>
          <w:bCs/>
          <w:sz w:val="28"/>
          <w:szCs w:val="28"/>
        </w:rPr>
        <w:t>IECM/ACU-CG-110/2020</w:t>
      </w:r>
      <w:r w:rsidRPr="00F32542">
        <w:rPr>
          <w:rFonts w:ascii="Arial" w:eastAsia="Calibri" w:hAnsi="Arial" w:cs="Arial"/>
          <w:sz w:val="28"/>
          <w:szCs w:val="28"/>
        </w:rPr>
        <w:t>, en sesión de nueve de diciembre de dos mil veinte—</w:t>
      </w:r>
      <w:r w:rsidRPr="00F32542">
        <w:rPr>
          <w:rFonts w:ascii="Arial" w:eastAsia="Times New Roman" w:hAnsi="Arial" w:cs="Arial"/>
          <w:bCs/>
          <w:color w:val="000000"/>
          <w:sz w:val="28"/>
          <w:szCs w:val="28"/>
        </w:rPr>
        <w:t xml:space="preserve"> este Tribunal Electoral conoció de diversas impugnaciones, resueltas en sentencia emitida el once de febrero de dos mil veintiuno, en el expediente </w:t>
      </w:r>
      <w:bookmarkStart w:id="42" w:name="_Hlk78100931"/>
      <w:r w:rsidRPr="00F32542">
        <w:rPr>
          <w:rFonts w:ascii="Arial" w:eastAsia="Times New Roman" w:hAnsi="Arial" w:cs="Arial"/>
          <w:b/>
          <w:bCs/>
          <w:color w:val="000000"/>
          <w:sz w:val="28"/>
          <w:szCs w:val="28"/>
        </w:rPr>
        <w:t xml:space="preserve">TECDMX-JEL-416/2020 </w:t>
      </w:r>
      <w:bookmarkEnd w:id="42"/>
      <w:r w:rsidRPr="00F32542">
        <w:rPr>
          <w:rFonts w:ascii="Arial" w:eastAsia="Times New Roman" w:hAnsi="Arial" w:cs="Arial"/>
          <w:b/>
          <w:bCs/>
          <w:color w:val="000000"/>
          <w:sz w:val="28"/>
          <w:szCs w:val="28"/>
        </w:rPr>
        <w:t>y sus acumulados</w:t>
      </w:r>
      <w:r w:rsidRPr="00F32542">
        <w:rPr>
          <w:rFonts w:ascii="Arial" w:eastAsia="Times New Roman" w:hAnsi="Arial" w:cs="Arial"/>
          <w:b/>
          <w:bCs/>
          <w:color w:val="000000"/>
          <w:sz w:val="28"/>
          <w:szCs w:val="28"/>
          <w:vertAlign w:val="superscript"/>
        </w:rPr>
        <w:footnoteReference w:id="32"/>
      </w:r>
      <w:r w:rsidRPr="00F32542">
        <w:rPr>
          <w:rFonts w:ascii="Arial" w:eastAsia="Times New Roman" w:hAnsi="Arial" w:cs="Arial"/>
          <w:bCs/>
          <w:color w:val="000000"/>
          <w:sz w:val="28"/>
          <w:szCs w:val="28"/>
        </w:rPr>
        <w:t xml:space="preserve">, en la cual, entre otros aspectos, se determinó: </w:t>
      </w:r>
    </w:p>
    <w:p w14:paraId="195BCD6E"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p>
    <w:p w14:paraId="71E4BEEA" w14:textId="77777777" w:rsidR="00F94B48" w:rsidRPr="00F32542" w:rsidRDefault="00F94B48" w:rsidP="004217D4">
      <w:pPr>
        <w:widowControl w:val="0"/>
        <w:numPr>
          <w:ilvl w:val="0"/>
          <w:numId w:val="8"/>
        </w:num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Que, derivado de la ejecutoria dictada por la </w:t>
      </w:r>
      <w:r w:rsidRPr="00F32542">
        <w:rPr>
          <w:rFonts w:ascii="Arial" w:eastAsia="Times New Roman" w:hAnsi="Arial" w:cs="Arial"/>
          <w:bCs/>
          <w:i/>
          <w:color w:val="000000"/>
          <w:sz w:val="28"/>
          <w:szCs w:val="28"/>
        </w:rPr>
        <w:t>Sala Superior</w:t>
      </w:r>
      <w:r w:rsidRPr="00F32542">
        <w:rPr>
          <w:rFonts w:ascii="Arial" w:eastAsia="Times New Roman" w:hAnsi="Arial" w:cs="Arial"/>
          <w:bCs/>
          <w:color w:val="000000"/>
          <w:sz w:val="28"/>
          <w:szCs w:val="28"/>
        </w:rPr>
        <w:t xml:space="preserve">, </w:t>
      </w:r>
      <w:r w:rsidRPr="00F32542">
        <w:rPr>
          <w:rFonts w:ascii="Arial" w:eastAsia="Times New Roman" w:hAnsi="Arial" w:cs="Arial"/>
          <w:b/>
          <w:bCs/>
          <w:color w:val="000000"/>
          <w:sz w:val="28"/>
          <w:szCs w:val="28"/>
        </w:rPr>
        <w:t xml:space="preserve">el </w:t>
      </w:r>
      <w:r w:rsidRPr="00F32542">
        <w:rPr>
          <w:rFonts w:ascii="Arial" w:eastAsia="Times New Roman" w:hAnsi="Arial" w:cs="Arial"/>
          <w:b/>
          <w:bCs/>
          <w:i/>
          <w:color w:val="000000"/>
          <w:sz w:val="28"/>
          <w:szCs w:val="28"/>
        </w:rPr>
        <w:lastRenderedPageBreak/>
        <w:t>Instituto Electoral</w:t>
      </w:r>
      <w:r w:rsidRPr="00F32542">
        <w:rPr>
          <w:rFonts w:ascii="Arial" w:eastAsia="Times New Roman" w:hAnsi="Arial" w:cs="Arial"/>
          <w:b/>
          <w:bCs/>
          <w:color w:val="000000"/>
          <w:sz w:val="28"/>
          <w:szCs w:val="28"/>
        </w:rPr>
        <w:t xml:space="preserve"> tenía la obligación de llevar a cabo las acciones pertinentes con el fin de implementar de nueva cuenta la figura de la diputación migrante</w:t>
      </w:r>
      <w:r w:rsidRPr="00F32542">
        <w:rPr>
          <w:rFonts w:ascii="Arial" w:eastAsia="Times New Roman" w:hAnsi="Arial" w:cs="Arial"/>
          <w:bCs/>
          <w:color w:val="000000"/>
          <w:sz w:val="28"/>
          <w:szCs w:val="28"/>
        </w:rPr>
        <w:t xml:space="preserve"> para el proceso electoral local 2020-2021.</w:t>
      </w:r>
    </w:p>
    <w:p w14:paraId="6F7CFB8F" w14:textId="77777777" w:rsidR="00F94B48" w:rsidRPr="00F32542" w:rsidRDefault="00F94B48" w:rsidP="004217D4">
      <w:pPr>
        <w:widowControl w:val="0"/>
        <w:spacing w:after="0" w:line="360" w:lineRule="auto"/>
        <w:ind w:left="720"/>
        <w:contextualSpacing/>
        <w:jc w:val="both"/>
        <w:rPr>
          <w:rFonts w:ascii="Arial" w:eastAsia="Times New Roman" w:hAnsi="Arial" w:cs="Arial"/>
          <w:bCs/>
          <w:color w:val="000000"/>
          <w:sz w:val="28"/>
          <w:szCs w:val="28"/>
        </w:rPr>
      </w:pPr>
    </w:p>
    <w:p w14:paraId="28CB9429" w14:textId="77777777" w:rsidR="00F94B48" w:rsidRPr="00F32542" w:rsidRDefault="00F94B48" w:rsidP="004217D4">
      <w:pPr>
        <w:widowControl w:val="0"/>
        <w:numPr>
          <w:ilvl w:val="0"/>
          <w:numId w:val="8"/>
        </w:num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De conformidad con el artículo 13 del </w:t>
      </w:r>
      <w:r w:rsidRPr="00F32542">
        <w:rPr>
          <w:rFonts w:ascii="Arial" w:eastAsia="Times New Roman" w:hAnsi="Arial" w:cs="Arial"/>
          <w:bCs/>
          <w:i/>
          <w:color w:val="000000"/>
          <w:sz w:val="28"/>
          <w:szCs w:val="28"/>
        </w:rPr>
        <w:t>Código Electoral,</w:t>
      </w:r>
      <w:r w:rsidRPr="00F32542">
        <w:rPr>
          <w:rFonts w:ascii="Arial" w:eastAsia="Times New Roman" w:hAnsi="Arial" w:cs="Arial"/>
          <w:bCs/>
          <w:color w:val="000000"/>
          <w:sz w:val="28"/>
          <w:szCs w:val="28"/>
        </w:rPr>
        <w:t xml:space="preserve"> la regulación de la figura de la diputación migrante se haría conforme a lo dispuesto en dicha norma, así como en los lineamientos que al efecto emitiera el propio </w:t>
      </w:r>
      <w:r w:rsidRPr="00F32542">
        <w:rPr>
          <w:rFonts w:ascii="Arial" w:eastAsia="Times New Roman" w:hAnsi="Arial" w:cs="Arial"/>
          <w:bCs/>
          <w:i/>
          <w:color w:val="000000"/>
          <w:sz w:val="28"/>
          <w:szCs w:val="28"/>
        </w:rPr>
        <w:t>Instituto Electoral</w:t>
      </w:r>
      <w:r w:rsidRPr="00F32542">
        <w:rPr>
          <w:rFonts w:ascii="Arial" w:eastAsia="Times New Roman" w:hAnsi="Arial" w:cs="Arial"/>
          <w:bCs/>
          <w:color w:val="000000"/>
          <w:sz w:val="28"/>
          <w:szCs w:val="28"/>
        </w:rPr>
        <w:t>, por lo que dicha autoridad estaba obligada a desplegar las acciones necesarias para llevar a cabo su materialización.</w:t>
      </w:r>
    </w:p>
    <w:p w14:paraId="24FFC270" w14:textId="77777777" w:rsidR="00F94B48" w:rsidRPr="00F32542" w:rsidRDefault="00F94B48" w:rsidP="004217D4">
      <w:pPr>
        <w:widowControl w:val="0"/>
        <w:spacing w:after="0" w:line="360" w:lineRule="auto"/>
        <w:ind w:left="720"/>
        <w:contextualSpacing/>
        <w:jc w:val="both"/>
        <w:rPr>
          <w:rFonts w:ascii="Arial" w:eastAsia="Calibri" w:hAnsi="Arial" w:cs="Arial"/>
          <w:sz w:val="28"/>
          <w:szCs w:val="28"/>
        </w:rPr>
      </w:pPr>
    </w:p>
    <w:p w14:paraId="02D2F87D" w14:textId="77777777" w:rsidR="00F94B48" w:rsidRPr="00F32542" w:rsidRDefault="00F94B48" w:rsidP="004217D4">
      <w:pPr>
        <w:widowControl w:val="0"/>
        <w:numPr>
          <w:ilvl w:val="0"/>
          <w:numId w:val="8"/>
        </w:numPr>
        <w:spacing w:after="0" w:line="360" w:lineRule="auto"/>
        <w:contextualSpacing/>
        <w:jc w:val="both"/>
        <w:rPr>
          <w:rFonts w:ascii="Arial" w:eastAsia="Times New Roman" w:hAnsi="Arial" w:cs="Arial"/>
          <w:bCs/>
          <w:color w:val="000000"/>
          <w:sz w:val="28"/>
          <w:szCs w:val="28"/>
        </w:rPr>
      </w:pPr>
      <w:r w:rsidRPr="00F32542">
        <w:rPr>
          <w:rFonts w:ascii="Arial" w:eastAsia="Calibri" w:hAnsi="Arial" w:cs="Arial"/>
          <w:sz w:val="28"/>
          <w:szCs w:val="28"/>
        </w:rPr>
        <w:t xml:space="preserve">El </w:t>
      </w:r>
      <w:r w:rsidRPr="00F32542">
        <w:rPr>
          <w:rFonts w:ascii="Arial" w:eastAsia="Calibri" w:hAnsi="Arial" w:cs="Arial"/>
          <w:i/>
          <w:sz w:val="28"/>
          <w:szCs w:val="28"/>
        </w:rPr>
        <w:t>Instituto Electoral</w:t>
      </w:r>
      <w:r w:rsidRPr="00F32542">
        <w:rPr>
          <w:rFonts w:ascii="Arial" w:eastAsia="Calibri" w:hAnsi="Arial" w:cs="Arial"/>
          <w:sz w:val="28"/>
          <w:szCs w:val="28"/>
        </w:rPr>
        <w:t xml:space="preserve"> </w:t>
      </w:r>
      <w:proofErr w:type="gramStart"/>
      <w:r w:rsidRPr="00F32542">
        <w:rPr>
          <w:rFonts w:ascii="Arial" w:eastAsia="Calibri" w:hAnsi="Arial" w:cs="Arial"/>
          <w:sz w:val="28"/>
          <w:szCs w:val="28"/>
        </w:rPr>
        <w:t>bajo ninguna circunstancia</w:t>
      </w:r>
      <w:proofErr w:type="gramEnd"/>
      <w:r w:rsidRPr="00F32542">
        <w:rPr>
          <w:rFonts w:ascii="Arial" w:eastAsia="Calibri" w:hAnsi="Arial" w:cs="Arial"/>
          <w:sz w:val="28"/>
          <w:szCs w:val="28"/>
        </w:rPr>
        <w:t xml:space="preserve"> legisló sobre la figura de la diputación migrante, sino que, con motivo de la ejecutoria dictada por la </w:t>
      </w:r>
      <w:r w:rsidRPr="00F32542">
        <w:rPr>
          <w:rFonts w:ascii="Arial" w:eastAsia="Calibri" w:hAnsi="Arial" w:cs="Arial"/>
          <w:i/>
          <w:sz w:val="28"/>
          <w:szCs w:val="28"/>
        </w:rPr>
        <w:t>Sala Superior</w:t>
      </w:r>
      <w:r w:rsidRPr="00F32542">
        <w:rPr>
          <w:rFonts w:ascii="Arial" w:eastAsia="Calibri" w:hAnsi="Arial" w:cs="Arial"/>
          <w:sz w:val="28"/>
          <w:szCs w:val="28"/>
        </w:rPr>
        <w:t xml:space="preserve"> </w:t>
      </w:r>
      <w:r w:rsidRPr="00F32542">
        <w:rPr>
          <w:rFonts w:ascii="Arial" w:eastAsia="Calibri" w:hAnsi="Arial" w:cs="Arial"/>
          <w:b/>
          <w:sz w:val="28"/>
          <w:szCs w:val="28"/>
        </w:rPr>
        <w:t>ejerció su facultad reglamentaria</w:t>
      </w:r>
      <w:r w:rsidRPr="00F32542">
        <w:rPr>
          <w:rFonts w:ascii="Arial" w:eastAsia="Calibri" w:hAnsi="Arial" w:cs="Arial"/>
          <w:sz w:val="28"/>
          <w:szCs w:val="28"/>
        </w:rPr>
        <w:t xml:space="preserve"> con el fin de llevar a cabo la figura de la diputación migrante en el actual proceso electoral, tal como le fue ordenado por la autoridad federal.</w:t>
      </w:r>
    </w:p>
    <w:p w14:paraId="729396EB" w14:textId="77777777" w:rsidR="00F94B48" w:rsidRPr="00F32542" w:rsidRDefault="00F94B48" w:rsidP="004217D4">
      <w:pPr>
        <w:widowControl w:val="0"/>
        <w:spacing w:after="0" w:line="360" w:lineRule="auto"/>
        <w:ind w:left="720"/>
        <w:contextualSpacing/>
        <w:jc w:val="both"/>
        <w:rPr>
          <w:rFonts w:ascii="Arial" w:eastAsia="Times New Roman" w:hAnsi="Arial" w:cs="Arial"/>
          <w:bCs/>
          <w:color w:val="000000"/>
          <w:sz w:val="28"/>
          <w:szCs w:val="28"/>
        </w:rPr>
      </w:pPr>
    </w:p>
    <w:p w14:paraId="2311A877" w14:textId="77777777" w:rsidR="00F94B48" w:rsidRPr="00F32542" w:rsidRDefault="00F94B48" w:rsidP="004217D4">
      <w:pPr>
        <w:widowControl w:val="0"/>
        <w:numPr>
          <w:ilvl w:val="0"/>
          <w:numId w:val="8"/>
        </w:num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En términos de los artículos 50 de la </w:t>
      </w:r>
      <w:r w:rsidRPr="00F32542">
        <w:rPr>
          <w:rFonts w:ascii="Arial" w:eastAsia="Times New Roman" w:hAnsi="Arial" w:cs="Arial"/>
          <w:bCs/>
          <w:i/>
          <w:color w:val="000000"/>
          <w:sz w:val="28"/>
          <w:szCs w:val="28"/>
        </w:rPr>
        <w:t>Constitución Local</w:t>
      </w:r>
      <w:r w:rsidRPr="00F32542">
        <w:rPr>
          <w:rFonts w:ascii="Arial" w:eastAsia="Times New Roman" w:hAnsi="Arial" w:cs="Arial"/>
          <w:bCs/>
          <w:color w:val="000000"/>
          <w:sz w:val="28"/>
          <w:szCs w:val="28"/>
        </w:rPr>
        <w:t xml:space="preserve">, 31 y 36 del </w:t>
      </w:r>
      <w:r w:rsidRPr="00F32542">
        <w:rPr>
          <w:rFonts w:ascii="Arial" w:eastAsia="Times New Roman" w:hAnsi="Arial" w:cs="Arial"/>
          <w:bCs/>
          <w:i/>
          <w:color w:val="000000"/>
          <w:sz w:val="28"/>
          <w:szCs w:val="28"/>
        </w:rPr>
        <w:t>Código Electoral</w:t>
      </w:r>
      <w:r w:rsidRPr="00F32542">
        <w:rPr>
          <w:rFonts w:ascii="Arial" w:eastAsia="Times New Roman" w:hAnsi="Arial" w:cs="Arial"/>
          <w:bCs/>
          <w:color w:val="000000"/>
          <w:sz w:val="28"/>
          <w:szCs w:val="28"/>
        </w:rPr>
        <w:t xml:space="preserve">, regulan la facultad reglamentaria del Instituto Electoral, por lo que la </w:t>
      </w:r>
      <w:r w:rsidRPr="00F32542">
        <w:rPr>
          <w:rFonts w:ascii="Arial" w:eastAsia="Times New Roman" w:hAnsi="Arial" w:cs="Arial"/>
          <w:bCs/>
          <w:i/>
          <w:color w:val="000000"/>
          <w:sz w:val="28"/>
          <w:szCs w:val="28"/>
        </w:rPr>
        <w:t>autoridad responsable</w:t>
      </w:r>
      <w:r w:rsidRPr="00F32542">
        <w:rPr>
          <w:rFonts w:ascii="Arial" w:eastAsia="Times New Roman" w:hAnsi="Arial" w:cs="Arial"/>
          <w:bCs/>
          <w:color w:val="000000"/>
          <w:sz w:val="28"/>
          <w:szCs w:val="28"/>
        </w:rPr>
        <w:t xml:space="preserve"> sólo se ajustó a la previsto en el numeral 13 del aludido código, tomando como base de la facultad reglamentaria de la que goza administrativamente. </w:t>
      </w:r>
    </w:p>
    <w:p w14:paraId="7778A7C8" w14:textId="77777777" w:rsidR="00F94B48" w:rsidRPr="00F32542" w:rsidRDefault="00F94B48" w:rsidP="004217D4">
      <w:pPr>
        <w:widowControl w:val="0"/>
        <w:spacing w:after="0" w:line="360" w:lineRule="auto"/>
        <w:ind w:left="720"/>
        <w:contextualSpacing/>
        <w:jc w:val="both"/>
        <w:rPr>
          <w:rFonts w:ascii="Arial" w:eastAsia="Calibri" w:hAnsi="Arial" w:cs="Arial"/>
          <w:sz w:val="28"/>
          <w:szCs w:val="28"/>
        </w:rPr>
      </w:pPr>
    </w:p>
    <w:p w14:paraId="6AC99997" w14:textId="77777777" w:rsidR="00F94B48" w:rsidRPr="00F32542" w:rsidRDefault="00F94B48" w:rsidP="004217D4">
      <w:pPr>
        <w:widowControl w:val="0"/>
        <w:numPr>
          <w:ilvl w:val="0"/>
          <w:numId w:val="8"/>
        </w:num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El </w:t>
      </w:r>
      <w:r w:rsidRPr="00F32542">
        <w:rPr>
          <w:rFonts w:ascii="Arial" w:eastAsia="Times New Roman" w:hAnsi="Arial" w:cs="Arial"/>
          <w:bCs/>
          <w:i/>
          <w:color w:val="000000"/>
          <w:sz w:val="28"/>
          <w:szCs w:val="28"/>
        </w:rPr>
        <w:t xml:space="preserve">Instituto Electoral, </w:t>
      </w:r>
      <w:r w:rsidRPr="00F32542">
        <w:rPr>
          <w:rFonts w:ascii="Arial" w:eastAsia="Times New Roman" w:hAnsi="Arial" w:cs="Arial"/>
          <w:b/>
          <w:bCs/>
          <w:color w:val="000000"/>
          <w:sz w:val="28"/>
          <w:szCs w:val="28"/>
        </w:rPr>
        <w:t>de manera justificada, determinó cambiar el método de asignación de la diputación migrante</w:t>
      </w:r>
      <w:r w:rsidRPr="00F32542">
        <w:rPr>
          <w:rFonts w:ascii="Arial" w:eastAsia="Times New Roman" w:hAnsi="Arial" w:cs="Arial"/>
          <w:bCs/>
          <w:color w:val="000000"/>
          <w:sz w:val="28"/>
          <w:szCs w:val="28"/>
        </w:rPr>
        <w:t xml:space="preserve">, derivado de la imposibilidad material y jurídica para aplicar la </w:t>
      </w:r>
      <w:r w:rsidRPr="00F32542">
        <w:rPr>
          <w:rFonts w:ascii="Arial" w:eastAsia="Times New Roman" w:hAnsi="Arial" w:cs="Arial"/>
          <w:bCs/>
          <w:color w:val="000000"/>
          <w:sz w:val="28"/>
          <w:szCs w:val="28"/>
        </w:rPr>
        <w:lastRenderedPageBreak/>
        <w:t xml:space="preserve">elección en los términos que la concibió la legislatura, es decir, por el principio de mayoría relativa. </w:t>
      </w:r>
    </w:p>
    <w:p w14:paraId="53163276" w14:textId="77777777" w:rsidR="00F94B48" w:rsidRPr="00F32542" w:rsidRDefault="00F94B48" w:rsidP="004217D4">
      <w:pPr>
        <w:widowControl w:val="0"/>
        <w:spacing w:after="0" w:line="360" w:lineRule="auto"/>
        <w:ind w:left="720"/>
        <w:contextualSpacing/>
        <w:jc w:val="both"/>
        <w:rPr>
          <w:rFonts w:ascii="Arial" w:eastAsia="Times New Roman" w:hAnsi="Arial" w:cs="Arial"/>
          <w:bCs/>
          <w:color w:val="000000"/>
          <w:sz w:val="28"/>
          <w:szCs w:val="28"/>
        </w:rPr>
      </w:pPr>
    </w:p>
    <w:p w14:paraId="159AB568" w14:textId="77777777" w:rsidR="00F94B48" w:rsidRPr="00F32542" w:rsidRDefault="00F94B48" w:rsidP="004217D4">
      <w:pPr>
        <w:widowControl w:val="0"/>
        <w:numPr>
          <w:ilvl w:val="0"/>
          <w:numId w:val="8"/>
        </w:num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El acuerdo </w:t>
      </w:r>
      <w:r w:rsidRPr="00F32542">
        <w:rPr>
          <w:rFonts w:ascii="Arial" w:eastAsia="Times New Roman" w:hAnsi="Arial" w:cs="Arial"/>
          <w:b/>
          <w:color w:val="000000"/>
          <w:sz w:val="28"/>
          <w:szCs w:val="28"/>
        </w:rPr>
        <w:t>IECM/ACU-CG-060/2020</w:t>
      </w:r>
      <w:r w:rsidRPr="00F32542">
        <w:rPr>
          <w:rFonts w:ascii="Arial" w:eastAsia="Times New Roman" w:hAnsi="Arial" w:cs="Arial"/>
          <w:bCs/>
          <w:color w:val="000000"/>
          <w:sz w:val="28"/>
          <w:szCs w:val="28"/>
        </w:rPr>
        <w:t xml:space="preserve">, mediante el cual el </w:t>
      </w:r>
      <w:r w:rsidRPr="00F32542">
        <w:rPr>
          <w:rFonts w:ascii="Arial" w:eastAsia="Times New Roman" w:hAnsi="Arial" w:cs="Arial"/>
          <w:bCs/>
          <w:i/>
          <w:color w:val="000000"/>
          <w:sz w:val="28"/>
          <w:szCs w:val="28"/>
        </w:rPr>
        <w:t xml:space="preserve">Consejo General </w:t>
      </w:r>
      <w:r w:rsidRPr="00F32542">
        <w:rPr>
          <w:rFonts w:ascii="Arial" w:eastAsia="Times New Roman" w:hAnsi="Arial" w:cs="Arial"/>
          <w:bCs/>
          <w:color w:val="000000"/>
          <w:sz w:val="28"/>
          <w:szCs w:val="28"/>
        </w:rPr>
        <w:t xml:space="preserve">aprobó los Lineamientos para el registro de la diputación migrante mediante el principio de representación proporcional, no fue impugnado por lo que adquirió definitividad y firmeza. </w:t>
      </w:r>
    </w:p>
    <w:p w14:paraId="6B2E16C5" w14:textId="77777777" w:rsidR="00F94B48" w:rsidRPr="00F32542" w:rsidRDefault="00F94B48" w:rsidP="004217D4">
      <w:pPr>
        <w:widowControl w:val="0"/>
        <w:spacing w:after="0" w:line="360" w:lineRule="auto"/>
        <w:ind w:left="720"/>
        <w:contextualSpacing/>
        <w:jc w:val="both"/>
        <w:rPr>
          <w:rFonts w:ascii="Arial" w:eastAsia="Times New Roman" w:hAnsi="Arial" w:cs="Arial"/>
          <w:bCs/>
          <w:color w:val="000000"/>
          <w:sz w:val="28"/>
          <w:szCs w:val="28"/>
        </w:rPr>
      </w:pPr>
    </w:p>
    <w:p w14:paraId="622C620D" w14:textId="77777777" w:rsidR="00F94B48" w:rsidRPr="00F32542" w:rsidRDefault="00F94B48" w:rsidP="004217D4">
      <w:pPr>
        <w:widowControl w:val="0"/>
        <w:numPr>
          <w:ilvl w:val="0"/>
          <w:numId w:val="8"/>
        </w:numPr>
        <w:spacing w:after="0" w:line="360" w:lineRule="auto"/>
        <w:contextualSpacing/>
        <w:jc w:val="both"/>
        <w:rPr>
          <w:rFonts w:ascii="Arial" w:eastAsia="Times New Roman" w:hAnsi="Arial" w:cs="Arial"/>
          <w:bCs/>
          <w:color w:val="000000"/>
          <w:sz w:val="28"/>
          <w:szCs w:val="28"/>
        </w:rPr>
      </w:pPr>
      <w:r w:rsidRPr="00F32542">
        <w:rPr>
          <w:rFonts w:ascii="Arial" w:eastAsia="Calibri" w:hAnsi="Arial" w:cs="Arial"/>
          <w:sz w:val="28"/>
          <w:szCs w:val="28"/>
        </w:rPr>
        <w:t xml:space="preserve">Las razones del </w:t>
      </w:r>
      <w:r w:rsidRPr="00F32542">
        <w:rPr>
          <w:rFonts w:ascii="Arial" w:eastAsia="Calibri" w:hAnsi="Arial" w:cs="Arial"/>
          <w:i/>
          <w:sz w:val="28"/>
          <w:szCs w:val="28"/>
        </w:rPr>
        <w:t>Instituto Electoral</w:t>
      </w:r>
      <w:r w:rsidRPr="00F32542">
        <w:rPr>
          <w:rFonts w:ascii="Arial" w:eastAsia="Calibri" w:hAnsi="Arial" w:cs="Arial"/>
          <w:sz w:val="28"/>
          <w:szCs w:val="28"/>
        </w:rPr>
        <w:t xml:space="preserve"> para justificar la forma de asignación de la diputación migrante fueron conforme a derecho, ya que las normas vigentes que la regulan eran incompatibles para llevarla a cabo mediante mayoría relativa, acorde con lo siguiente: </w:t>
      </w:r>
    </w:p>
    <w:p w14:paraId="5BBA6882" w14:textId="77777777" w:rsidR="00F94B48" w:rsidRPr="00F32542" w:rsidRDefault="00F94B48" w:rsidP="004217D4">
      <w:pPr>
        <w:widowControl w:val="0"/>
        <w:spacing w:after="0" w:line="360" w:lineRule="auto"/>
        <w:ind w:left="720"/>
        <w:contextualSpacing/>
        <w:jc w:val="both"/>
        <w:rPr>
          <w:rFonts w:ascii="Arial" w:eastAsia="Times New Roman" w:hAnsi="Arial" w:cs="Arial"/>
          <w:bCs/>
          <w:color w:val="000000"/>
          <w:sz w:val="28"/>
          <w:szCs w:val="28"/>
        </w:rPr>
      </w:pPr>
    </w:p>
    <w:p w14:paraId="194830A0" w14:textId="77777777" w:rsidR="00F94B48" w:rsidRPr="00F32542" w:rsidRDefault="00F94B48" w:rsidP="004217D4">
      <w:pPr>
        <w:widowControl w:val="0"/>
        <w:numPr>
          <w:ilvl w:val="1"/>
          <w:numId w:val="8"/>
        </w:num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El </w:t>
      </w:r>
      <w:r w:rsidRPr="00F32542">
        <w:rPr>
          <w:rFonts w:ascii="Arial" w:eastAsia="Times New Roman" w:hAnsi="Arial" w:cs="Arial"/>
          <w:bCs/>
          <w:i/>
          <w:color w:val="000000"/>
          <w:sz w:val="28"/>
          <w:szCs w:val="28"/>
        </w:rPr>
        <w:t>Instituto Electoral</w:t>
      </w:r>
      <w:r w:rsidRPr="00F32542">
        <w:rPr>
          <w:rFonts w:ascii="Arial" w:eastAsia="Times New Roman" w:hAnsi="Arial" w:cs="Arial"/>
          <w:bCs/>
          <w:color w:val="000000"/>
          <w:sz w:val="28"/>
          <w:szCs w:val="28"/>
        </w:rPr>
        <w:t xml:space="preserve"> no </w:t>
      </w:r>
      <w:r w:rsidRPr="00F32542">
        <w:rPr>
          <w:rFonts w:ascii="Arial" w:eastAsia="Calibri" w:hAnsi="Arial" w:cs="Arial"/>
          <w:sz w:val="28"/>
          <w:szCs w:val="28"/>
        </w:rPr>
        <w:t xml:space="preserve">podía modificar la forma de integración del </w:t>
      </w:r>
      <w:r w:rsidRPr="00F32542">
        <w:rPr>
          <w:rFonts w:ascii="Arial" w:eastAsia="Calibri" w:hAnsi="Arial" w:cs="Arial"/>
          <w:i/>
          <w:sz w:val="28"/>
          <w:szCs w:val="28"/>
        </w:rPr>
        <w:t>Congreso</w:t>
      </w:r>
      <w:r w:rsidRPr="00F32542">
        <w:rPr>
          <w:rFonts w:ascii="Arial" w:eastAsia="Calibri" w:hAnsi="Arial" w:cs="Arial"/>
          <w:sz w:val="28"/>
          <w:szCs w:val="28"/>
        </w:rPr>
        <w:t xml:space="preserve"> en términos cuantitativos, porque la configuración de los sistemas de mayoría relativa y representación proporcional le corresponde a la Legislatura local. </w:t>
      </w:r>
    </w:p>
    <w:p w14:paraId="017E2519" w14:textId="77777777" w:rsidR="00F94B48" w:rsidRPr="00F32542" w:rsidRDefault="00F94B48" w:rsidP="004217D4">
      <w:pPr>
        <w:widowControl w:val="0"/>
        <w:spacing w:after="0" w:line="360" w:lineRule="auto"/>
        <w:ind w:left="1440"/>
        <w:contextualSpacing/>
        <w:jc w:val="both"/>
        <w:rPr>
          <w:rFonts w:ascii="Arial" w:eastAsia="Times New Roman" w:hAnsi="Arial" w:cs="Arial"/>
          <w:bCs/>
          <w:color w:val="000000"/>
          <w:sz w:val="28"/>
          <w:szCs w:val="28"/>
        </w:rPr>
      </w:pPr>
    </w:p>
    <w:p w14:paraId="5F61E1AF" w14:textId="77777777" w:rsidR="00F94B48" w:rsidRPr="00F32542" w:rsidRDefault="00F94B48" w:rsidP="004217D4">
      <w:pPr>
        <w:widowControl w:val="0"/>
        <w:numPr>
          <w:ilvl w:val="1"/>
          <w:numId w:val="8"/>
        </w:numPr>
        <w:spacing w:after="0" w:line="360" w:lineRule="auto"/>
        <w:contextualSpacing/>
        <w:jc w:val="both"/>
        <w:rPr>
          <w:rFonts w:ascii="Arial" w:eastAsia="Times New Roman" w:hAnsi="Arial" w:cs="Arial"/>
          <w:bCs/>
          <w:color w:val="000000"/>
          <w:sz w:val="28"/>
          <w:szCs w:val="28"/>
        </w:rPr>
      </w:pPr>
      <w:r w:rsidRPr="00F32542">
        <w:rPr>
          <w:rFonts w:ascii="Arial" w:eastAsia="Calibri" w:hAnsi="Arial" w:cs="Arial"/>
          <w:sz w:val="28"/>
          <w:szCs w:val="28"/>
        </w:rPr>
        <w:t>El Instituto Electoral estaba imposibilitado para delimitar un distrito exclusivo para la ciudadanía residente en el extranjero, ya que esa atribución corresponde al Instituto Nacional Electoral.</w:t>
      </w:r>
    </w:p>
    <w:p w14:paraId="491BD9DB" w14:textId="77777777" w:rsidR="00F94B48" w:rsidRPr="00F32542" w:rsidRDefault="00F94B48" w:rsidP="004217D4">
      <w:pPr>
        <w:widowControl w:val="0"/>
        <w:spacing w:after="0" w:line="360" w:lineRule="auto"/>
        <w:ind w:left="720"/>
        <w:contextualSpacing/>
        <w:jc w:val="both"/>
        <w:rPr>
          <w:rFonts w:ascii="Arial" w:eastAsia="Times New Roman" w:hAnsi="Arial" w:cs="Arial"/>
          <w:bCs/>
          <w:color w:val="000000"/>
          <w:sz w:val="28"/>
          <w:szCs w:val="28"/>
        </w:rPr>
      </w:pPr>
    </w:p>
    <w:p w14:paraId="4C817F59" w14:textId="77777777" w:rsidR="00F94B48" w:rsidRPr="00F32542" w:rsidRDefault="00F94B48" w:rsidP="004217D4">
      <w:pPr>
        <w:widowControl w:val="0"/>
        <w:numPr>
          <w:ilvl w:val="1"/>
          <w:numId w:val="8"/>
        </w:num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Los ajustes legislativos o de </w:t>
      </w:r>
      <w:proofErr w:type="spellStart"/>
      <w:r w:rsidRPr="00F32542">
        <w:rPr>
          <w:rFonts w:ascii="Arial" w:eastAsia="Times New Roman" w:hAnsi="Arial" w:cs="Arial"/>
          <w:bCs/>
          <w:color w:val="000000"/>
          <w:sz w:val="28"/>
          <w:szCs w:val="28"/>
        </w:rPr>
        <w:t>distritación</w:t>
      </w:r>
      <w:proofErr w:type="spellEnd"/>
      <w:r w:rsidRPr="00F32542">
        <w:rPr>
          <w:rFonts w:ascii="Arial" w:eastAsia="Times New Roman" w:hAnsi="Arial" w:cs="Arial"/>
          <w:bCs/>
          <w:color w:val="000000"/>
          <w:sz w:val="28"/>
          <w:szCs w:val="28"/>
        </w:rPr>
        <w:t xml:space="preserve"> requieren para su válida implementación por lo menos noventa días antes del inicio del proceso electoral. </w:t>
      </w:r>
    </w:p>
    <w:p w14:paraId="1EFF5C8A" w14:textId="77777777" w:rsidR="00F94B48" w:rsidRPr="00F32542" w:rsidRDefault="00F94B48" w:rsidP="004217D4">
      <w:pPr>
        <w:widowControl w:val="0"/>
        <w:spacing w:after="0" w:line="360" w:lineRule="auto"/>
        <w:ind w:left="720"/>
        <w:contextualSpacing/>
        <w:jc w:val="both"/>
        <w:rPr>
          <w:rFonts w:ascii="Arial" w:eastAsia="Times New Roman" w:hAnsi="Arial" w:cs="Arial"/>
          <w:bCs/>
          <w:color w:val="000000"/>
          <w:sz w:val="28"/>
          <w:szCs w:val="28"/>
        </w:rPr>
      </w:pPr>
    </w:p>
    <w:p w14:paraId="458DE07E" w14:textId="77777777" w:rsidR="00F94B48" w:rsidRPr="00F32542" w:rsidRDefault="00F94B48" w:rsidP="004217D4">
      <w:pPr>
        <w:widowControl w:val="0"/>
        <w:numPr>
          <w:ilvl w:val="1"/>
          <w:numId w:val="8"/>
        </w:num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Hay imposibilidad de vincular las credenciales de elector tramitadas desde el extranjero a un distrito en específico de la Ciudad de México, ya que las mismas muchas veces sólo se circunscriben a la entidad federativa.</w:t>
      </w:r>
    </w:p>
    <w:p w14:paraId="6EEA0AC0" w14:textId="77777777" w:rsidR="00F94B48" w:rsidRPr="00F32542" w:rsidRDefault="00F94B48" w:rsidP="004217D4">
      <w:pPr>
        <w:widowControl w:val="0"/>
        <w:spacing w:after="0" w:line="360" w:lineRule="auto"/>
        <w:ind w:left="720"/>
        <w:contextualSpacing/>
        <w:jc w:val="both"/>
        <w:rPr>
          <w:rFonts w:ascii="Arial" w:eastAsia="Times New Roman" w:hAnsi="Arial" w:cs="Arial"/>
          <w:bCs/>
          <w:color w:val="000000"/>
          <w:sz w:val="28"/>
          <w:szCs w:val="28"/>
        </w:rPr>
      </w:pPr>
    </w:p>
    <w:p w14:paraId="23AB64CF" w14:textId="77777777" w:rsidR="00F94B48" w:rsidRPr="00F32542" w:rsidRDefault="00F94B48" w:rsidP="004217D4">
      <w:pPr>
        <w:widowControl w:val="0"/>
        <w:numPr>
          <w:ilvl w:val="1"/>
          <w:numId w:val="8"/>
        </w:num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Se limitaría el derecho a ser votado, ante la existencia de credenciales expedidas en el extranjero que no identifican un distrito electoral de la Ciudad y no existen distritos trasnacionales.</w:t>
      </w:r>
    </w:p>
    <w:p w14:paraId="014712D3" w14:textId="77777777" w:rsidR="00F94B48" w:rsidRPr="00F32542" w:rsidRDefault="00F94B48" w:rsidP="004217D4">
      <w:pPr>
        <w:widowControl w:val="0"/>
        <w:spacing w:after="0" w:line="360" w:lineRule="auto"/>
        <w:ind w:left="720"/>
        <w:contextualSpacing/>
        <w:jc w:val="both"/>
        <w:rPr>
          <w:rFonts w:ascii="Arial" w:eastAsia="Calibri" w:hAnsi="Arial" w:cs="Arial"/>
          <w:sz w:val="28"/>
          <w:szCs w:val="28"/>
        </w:rPr>
      </w:pPr>
    </w:p>
    <w:p w14:paraId="1EA9CFEB" w14:textId="77777777" w:rsidR="00F94B48" w:rsidRPr="00F32542" w:rsidRDefault="00F94B48" w:rsidP="004217D4">
      <w:pPr>
        <w:widowControl w:val="0"/>
        <w:numPr>
          <w:ilvl w:val="1"/>
          <w:numId w:val="8"/>
        </w:numPr>
        <w:spacing w:after="0" w:line="360" w:lineRule="auto"/>
        <w:contextualSpacing/>
        <w:jc w:val="both"/>
        <w:rPr>
          <w:rFonts w:ascii="Arial" w:eastAsia="Times New Roman" w:hAnsi="Arial" w:cs="Arial"/>
          <w:bCs/>
          <w:color w:val="000000"/>
          <w:sz w:val="28"/>
          <w:szCs w:val="28"/>
        </w:rPr>
      </w:pPr>
      <w:r w:rsidRPr="00F32542">
        <w:rPr>
          <w:rFonts w:ascii="Arial" w:eastAsia="Calibri" w:hAnsi="Arial" w:cs="Arial"/>
          <w:sz w:val="28"/>
          <w:szCs w:val="28"/>
        </w:rPr>
        <w:t xml:space="preserve">Sería imposible canalizar los votos de los connacionales a un distrito electoral específico, toda vez que la ciudadanía que reside en el extranjero no se adscribe de manera concreta a un distrito federal o local, sino únicamente a una entidad federativa. </w:t>
      </w:r>
    </w:p>
    <w:p w14:paraId="739A24BD" w14:textId="77777777" w:rsidR="00F94B48" w:rsidRPr="00F32542" w:rsidRDefault="00F94B48" w:rsidP="004217D4">
      <w:pPr>
        <w:widowControl w:val="0"/>
        <w:spacing w:after="0" w:line="360" w:lineRule="auto"/>
        <w:ind w:left="720"/>
        <w:contextualSpacing/>
        <w:jc w:val="both"/>
        <w:rPr>
          <w:rFonts w:ascii="Arial" w:eastAsia="Calibri" w:hAnsi="Arial" w:cs="Arial"/>
          <w:sz w:val="28"/>
          <w:szCs w:val="28"/>
        </w:rPr>
      </w:pPr>
    </w:p>
    <w:p w14:paraId="7B805F1B" w14:textId="77777777" w:rsidR="00F94B48" w:rsidRPr="00F32542" w:rsidRDefault="00F94B48" w:rsidP="004217D4">
      <w:pPr>
        <w:widowControl w:val="0"/>
        <w:numPr>
          <w:ilvl w:val="1"/>
          <w:numId w:val="8"/>
        </w:numPr>
        <w:spacing w:after="0" w:line="360" w:lineRule="auto"/>
        <w:contextualSpacing/>
        <w:jc w:val="both"/>
        <w:rPr>
          <w:rFonts w:ascii="Arial" w:eastAsia="Times New Roman" w:hAnsi="Arial" w:cs="Arial"/>
          <w:bCs/>
          <w:color w:val="000000"/>
          <w:sz w:val="28"/>
          <w:szCs w:val="28"/>
        </w:rPr>
      </w:pPr>
      <w:r w:rsidRPr="00F32542">
        <w:rPr>
          <w:rFonts w:ascii="Arial" w:eastAsia="Calibri" w:hAnsi="Arial" w:cs="Arial"/>
          <w:sz w:val="28"/>
          <w:szCs w:val="28"/>
        </w:rPr>
        <w:t xml:space="preserve">Hay imposibilidad de participar como candidatura independiente o sin partido, porque sólo se prevén para mayoría relativa, además, de la falta de </w:t>
      </w:r>
      <w:proofErr w:type="spellStart"/>
      <w:r w:rsidRPr="00F32542">
        <w:rPr>
          <w:rFonts w:ascii="Arial" w:eastAsia="Calibri" w:hAnsi="Arial" w:cs="Arial"/>
          <w:sz w:val="28"/>
          <w:szCs w:val="28"/>
        </w:rPr>
        <w:t>distritación</w:t>
      </w:r>
      <w:proofErr w:type="spellEnd"/>
      <w:r w:rsidRPr="00F32542">
        <w:rPr>
          <w:rFonts w:ascii="Arial" w:eastAsia="Calibri" w:hAnsi="Arial" w:cs="Arial"/>
          <w:sz w:val="28"/>
          <w:szCs w:val="28"/>
        </w:rPr>
        <w:t xml:space="preserve"> trasnacional a efecto de establecer un número de firmas de apoyo ciudadano de las diásporas, así como varios requisitos legales no podrían cumplirse desde el extranjero, como la verificación de firmas de apoyo, que se hace en forma física por parte del </w:t>
      </w:r>
      <w:r w:rsidRPr="00F32542">
        <w:rPr>
          <w:rFonts w:ascii="Arial" w:eastAsia="Calibri" w:hAnsi="Arial" w:cs="Arial"/>
          <w:i/>
          <w:sz w:val="28"/>
          <w:szCs w:val="28"/>
        </w:rPr>
        <w:t>Instituto Electoral</w:t>
      </w:r>
      <w:r w:rsidRPr="00F32542">
        <w:rPr>
          <w:rFonts w:ascii="Arial" w:eastAsia="Calibri" w:hAnsi="Arial" w:cs="Arial"/>
          <w:sz w:val="28"/>
          <w:szCs w:val="28"/>
        </w:rPr>
        <w:t>.</w:t>
      </w:r>
    </w:p>
    <w:p w14:paraId="06CD7B62" w14:textId="77777777" w:rsidR="00F94B48" w:rsidRPr="00F32542" w:rsidRDefault="00F94B48" w:rsidP="004217D4">
      <w:pPr>
        <w:widowControl w:val="0"/>
        <w:spacing w:after="0" w:line="360" w:lineRule="auto"/>
        <w:ind w:left="720"/>
        <w:contextualSpacing/>
        <w:jc w:val="both"/>
        <w:rPr>
          <w:rFonts w:ascii="Arial" w:eastAsia="Times New Roman" w:hAnsi="Arial" w:cs="Arial"/>
          <w:bCs/>
          <w:color w:val="000000"/>
          <w:sz w:val="28"/>
          <w:szCs w:val="28"/>
        </w:rPr>
      </w:pPr>
    </w:p>
    <w:p w14:paraId="140319B9" w14:textId="77777777" w:rsidR="00F94B48" w:rsidRPr="00F32542" w:rsidRDefault="00F94B48" w:rsidP="004217D4">
      <w:pPr>
        <w:widowControl w:val="0"/>
        <w:numPr>
          <w:ilvl w:val="1"/>
          <w:numId w:val="8"/>
        </w:num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Las candidaturas independientes sólo se prevén para mayoría relativa, aunado a que la asignación de diputaciones de representación proporcional es un </w:t>
      </w:r>
      <w:r w:rsidRPr="00F32542">
        <w:rPr>
          <w:rFonts w:ascii="Arial" w:eastAsia="Times New Roman" w:hAnsi="Arial" w:cs="Arial"/>
          <w:bCs/>
          <w:color w:val="000000"/>
          <w:sz w:val="28"/>
          <w:szCs w:val="28"/>
        </w:rPr>
        <w:lastRenderedPageBreak/>
        <w:t>derecho exclusivo de los partidos políticos.</w:t>
      </w:r>
    </w:p>
    <w:p w14:paraId="55FE8DBF" w14:textId="77777777" w:rsidR="00F94B48" w:rsidRPr="00F32542" w:rsidRDefault="00F94B48" w:rsidP="004217D4">
      <w:pPr>
        <w:widowControl w:val="0"/>
        <w:spacing w:after="0" w:line="360" w:lineRule="auto"/>
        <w:ind w:left="720"/>
        <w:contextualSpacing/>
        <w:jc w:val="both"/>
        <w:rPr>
          <w:rFonts w:ascii="Arial" w:eastAsia="Times New Roman" w:hAnsi="Arial" w:cs="Arial"/>
          <w:bCs/>
          <w:color w:val="000000"/>
          <w:sz w:val="28"/>
          <w:szCs w:val="28"/>
        </w:rPr>
      </w:pPr>
    </w:p>
    <w:p w14:paraId="2190B36D" w14:textId="77777777" w:rsidR="00F94B48" w:rsidRPr="00F32542" w:rsidRDefault="00F94B48" w:rsidP="004217D4">
      <w:pPr>
        <w:widowControl w:val="0"/>
        <w:numPr>
          <w:ilvl w:val="1"/>
          <w:numId w:val="8"/>
        </w:num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El marco constitucional y legal vigente prohíbe a los partidos políticos nacionales y locales, así como a sus candidaturas, realizar campaña electoral en el extranjero.</w:t>
      </w:r>
    </w:p>
    <w:p w14:paraId="47402AAC" w14:textId="77777777" w:rsidR="00F94B48" w:rsidRPr="00F32542" w:rsidRDefault="00F94B48" w:rsidP="004217D4">
      <w:pPr>
        <w:widowControl w:val="0"/>
        <w:spacing w:after="0" w:line="360" w:lineRule="auto"/>
        <w:ind w:left="720"/>
        <w:contextualSpacing/>
        <w:jc w:val="both"/>
        <w:rPr>
          <w:rFonts w:ascii="Arial" w:eastAsia="Times New Roman" w:hAnsi="Arial" w:cs="Arial"/>
          <w:bCs/>
          <w:color w:val="000000"/>
          <w:sz w:val="28"/>
          <w:szCs w:val="28"/>
        </w:rPr>
      </w:pPr>
    </w:p>
    <w:p w14:paraId="03B1ECAB" w14:textId="77777777" w:rsidR="00F94B48" w:rsidRPr="00F32542" w:rsidRDefault="00F94B48" w:rsidP="004217D4">
      <w:pPr>
        <w:widowControl w:val="0"/>
        <w:numPr>
          <w:ilvl w:val="0"/>
          <w:numId w:val="8"/>
        </w:num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Atribuir a la diputación migrante alguno de los distritos uninominales de la Ciudad de México distorsionaría el principio de mayoría relativa y vulneraría el derecho al voto y el derecho de la ciudadanía a elegir a sus representantes del distrito en cuestión.</w:t>
      </w:r>
    </w:p>
    <w:p w14:paraId="5BD109FA" w14:textId="77777777" w:rsidR="00F94B48" w:rsidRPr="00F32542" w:rsidRDefault="00F94B48" w:rsidP="004217D4">
      <w:pPr>
        <w:widowControl w:val="0"/>
        <w:spacing w:after="0" w:line="360" w:lineRule="auto"/>
        <w:ind w:left="720"/>
        <w:contextualSpacing/>
        <w:jc w:val="both"/>
        <w:rPr>
          <w:rFonts w:ascii="Arial" w:eastAsia="Times New Roman" w:hAnsi="Arial" w:cs="Arial"/>
          <w:bCs/>
          <w:color w:val="000000"/>
          <w:sz w:val="28"/>
          <w:szCs w:val="28"/>
        </w:rPr>
      </w:pPr>
    </w:p>
    <w:p w14:paraId="7D789BF3" w14:textId="77777777" w:rsidR="00F94B48" w:rsidRPr="00F32542" w:rsidRDefault="00F94B48" w:rsidP="004217D4">
      <w:pPr>
        <w:widowControl w:val="0"/>
        <w:numPr>
          <w:ilvl w:val="0"/>
          <w:numId w:val="8"/>
        </w:num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La diputación migrante es más afín con el principio de representación proporcional, que tiene como base una circunscripción territorial que comprende a toda la Ciudad, de manera que, con ese diseño, podría ejercer su doble función de representación, esto es, de la diáspora en la que reside, así como de la ciudadanía de la Ciudad de México.</w:t>
      </w:r>
    </w:p>
    <w:p w14:paraId="1703BB35" w14:textId="77777777" w:rsidR="00F94B48" w:rsidRPr="00F32542" w:rsidRDefault="00F94B48" w:rsidP="004217D4">
      <w:pPr>
        <w:widowControl w:val="0"/>
        <w:spacing w:after="0" w:line="360" w:lineRule="auto"/>
        <w:ind w:left="720"/>
        <w:contextualSpacing/>
        <w:jc w:val="both"/>
        <w:rPr>
          <w:rFonts w:ascii="Arial" w:eastAsia="Times New Roman" w:hAnsi="Arial" w:cs="Arial"/>
          <w:bCs/>
          <w:color w:val="000000"/>
          <w:sz w:val="28"/>
          <w:szCs w:val="28"/>
        </w:rPr>
      </w:pPr>
    </w:p>
    <w:p w14:paraId="05319289" w14:textId="77777777" w:rsidR="00F94B48" w:rsidRPr="00F32542" w:rsidRDefault="00F94B48" w:rsidP="004217D4">
      <w:pPr>
        <w:widowControl w:val="0"/>
        <w:numPr>
          <w:ilvl w:val="0"/>
          <w:numId w:val="8"/>
        </w:numPr>
        <w:spacing w:after="0" w:line="360" w:lineRule="auto"/>
        <w:contextualSpacing/>
        <w:jc w:val="both"/>
        <w:rPr>
          <w:rFonts w:ascii="Arial" w:eastAsia="Times New Roman" w:hAnsi="Arial" w:cs="Arial"/>
          <w:bCs/>
          <w:color w:val="000000"/>
          <w:sz w:val="28"/>
          <w:szCs w:val="28"/>
        </w:rPr>
      </w:pPr>
      <w:r w:rsidRPr="00F32542">
        <w:rPr>
          <w:rFonts w:ascii="Arial" w:eastAsia="Calibri" w:hAnsi="Arial" w:cs="Arial"/>
          <w:sz w:val="28"/>
          <w:szCs w:val="28"/>
        </w:rPr>
        <w:t xml:space="preserve">La </w:t>
      </w:r>
      <w:r w:rsidRPr="00F32542">
        <w:rPr>
          <w:rFonts w:ascii="Arial" w:eastAsia="Calibri" w:hAnsi="Arial" w:cs="Arial"/>
          <w:i/>
          <w:sz w:val="28"/>
          <w:szCs w:val="28"/>
        </w:rPr>
        <w:t>Sala Superior</w:t>
      </w:r>
      <w:r w:rsidRPr="00F32542">
        <w:rPr>
          <w:rFonts w:ascii="Arial" w:eastAsia="Calibri" w:hAnsi="Arial" w:cs="Arial"/>
          <w:sz w:val="28"/>
          <w:szCs w:val="28"/>
        </w:rPr>
        <w:t xml:space="preserve"> ha considerado que el hecho de que este tipo de elecciones se lleve a cabo por representación proporcional, no implica que con ello se infrinja alguna base constitucional en materia de representación.</w:t>
      </w:r>
    </w:p>
    <w:p w14:paraId="59CF40AC" w14:textId="77777777" w:rsidR="00F94B48" w:rsidRPr="00F32542" w:rsidRDefault="00F94B48" w:rsidP="004217D4">
      <w:pPr>
        <w:widowControl w:val="0"/>
        <w:spacing w:after="0" w:line="360" w:lineRule="auto"/>
        <w:ind w:left="720"/>
        <w:contextualSpacing/>
        <w:jc w:val="both"/>
        <w:rPr>
          <w:rFonts w:ascii="Arial" w:eastAsia="Times New Roman" w:hAnsi="Arial" w:cs="Arial"/>
          <w:bCs/>
          <w:color w:val="000000"/>
          <w:sz w:val="28"/>
          <w:szCs w:val="28"/>
        </w:rPr>
      </w:pPr>
    </w:p>
    <w:p w14:paraId="7EF0FB72" w14:textId="77777777" w:rsidR="00F94B48" w:rsidRPr="00F32542" w:rsidRDefault="00F94B48" w:rsidP="004217D4">
      <w:pPr>
        <w:widowControl w:val="0"/>
        <w:numPr>
          <w:ilvl w:val="0"/>
          <w:numId w:val="8"/>
        </w:num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No se reducen el número de curules a repartir por representación proporcional, dado que está previsto elegir treinta y tres diputaciones por dicho principio, como lo dispone el artículo 29 de la </w:t>
      </w:r>
      <w:r w:rsidRPr="00F32542">
        <w:rPr>
          <w:rFonts w:ascii="Arial" w:eastAsia="Times New Roman" w:hAnsi="Arial" w:cs="Arial"/>
          <w:bCs/>
          <w:i/>
          <w:color w:val="000000"/>
          <w:sz w:val="28"/>
          <w:szCs w:val="28"/>
        </w:rPr>
        <w:t>Constitución Local</w:t>
      </w:r>
      <w:r w:rsidRPr="00F32542">
        <w:rPr>
          <w:rFonts w:ascii="Arial" w:eastAsia="Times New Roman" w:hAnsi="Arial" w:cs="Arial"/>
          <w:bCs/>
          <w:color w:val="000000"/>
          <w:sz w:val="28"/>
          <w:szCs w:val="28"/>
        </w:rPr>
        <w:t xml:space="preserve"> y 11 del </w:t>
      </w:r>
      <w:r w:rsidRPr="00F32542">
        <w:rPr>
          <w:rFonts w:ascii="Arial" w:eastAsia="Times New Roman" w:hAnsi="Arial" w:cs="Arial"/>
          <w:bCs/>
          <w:i/>
          <w:color w:val="000000"/>
          <w:sz w:val="28"/>
          <w:szCs w:val="28"/>
        </w:rPr>
        <w:t>Código Electoral</w:t>
      </w:r>
      <w:r w:rsidRPr="00F32542">
        <w:rPr>
          <w:rFonts w:ascii="Arial" w:eastAsia="Times New Roman" w:hAnsi="Arial" w:cs="Arial"/>
          <w:bCs/>
          <w:color w:val="000000"/>
          <w:sz w:val="28"/>
          <w:szCs w:val="28"/>
        </w:rPr>
        <w:t xml:space="preserve">, y si bien, uno de esos espacios se reservó para la diputación </w:t>
      </w:r>
      <w:r w:rsidRPr="00F32542">
        <w:rPr>
          <w:rFonts w:ascii="Arial" w:eastAsia="Times New Roman" w:hAnsi="Arial" w:cs="Arial"/>
          <w:bCs/>
          <w:color w:val="000000"/>
          <w:sz w:val="28"/>
          <w:szCs w:val="28"/>
        </w:rPr>
        <w:lastRenderedPageBreak/>
        <w:t xml:space="preserve">migrante, ello obedece a la imposibilidad jurídica y material de llevar a cabo la elección por mayoría relativa, lo cual se decidió en el acuerdo </w:t>
      </w:r>
      <w:r w:rsidRPr="00F32542">
        <w:rPr>
          <w:rFonts w:ascii="Arial" w:eastAsia="Times New Roman" w:hAnsi="Arial" w:cs="Arial"/>
          <w:b/>
          <w:bCs/>
          <w:color w:val="000000"/>
          <w:sz w:val="28"/>
          <w:szCs w:val="28"/>
        </w:rPr>
        <w:t>IECM-ACU-CG-060/202</w:t>
      </w:r>
      <w:r w:rsidR="00755F15" w:rsidRPr="00F32542">
        <w:rPr>
          <w:rFonts w:ascii="Arial" w:eastAsia="Times New Roman" w:hAnsi="Arial" w:cs="Arial"/>
          <w:b/>
          <w:bCs/>
          <w:color w:val="000000"/>
          <w:sz w:val="28"/>
          <w:szCs w:val="28"/>
        </w:rPr>
        <w:t>0</w:t>
      </w:r>
      <w:r w:rsidRPr="00F32542">
        <w:rPr>
          <w:rFonts w:ascii="Arial" w:eastAsia="Times New Roman" w:hAnsi="Arial" w:cs="Arial"/>
          <w:bCs/>
          <w:color w:val="000000"/>
          <w:sz w:val="28"/>
          <w:szCs w:val="28"/>
        </w:rPr>
        <w:t>, el cual adquirió definitividad.</w:t>
      </w:r>
    </w:p>
    <w:p w14:paraId="7DEB3301" w14:textId="77777777" w:rsidR="00F94B48" w:rsidRPr="00F32542" w:rsidRDefault="00F94B48" w:rsidP="004217D4">
      <w:pPr>
        <w:widowControl w:val="0"/>
        <w:spacing w:after="0" w:line="360" w:lineRule="auto"/>
        <w:ind w:left="720"/>
        <w:contextualSpacing/>
        <w:jc w:val="both"/>
        <w:rPr>
          <w:rFonts w:ascii="Arial" w:eastAsia="Times New Roman" w:hAnsi="Arial" w:cs="Arial"/>
          <w:bCs/>
          <w:color w:val="000000"/>
          <w:sz w:val="28"/>
          <w:szCs w:val="28"/>
        </w:rPr>
      </w:pPr>
    </w:p>
    <w:p w14:paraId="4310B176" w14:textId="77777777" w:rsidR="00F94B48" w:rsidRPr="00F32542" w:rsidRDefault="00F94B48" w:rsidP="004217D4">
      <w:pPr>
        <w:widowControl w:val="0"/>
        <w:numPr>
          <w:ilvl w:val="0"/>
          <w:numId w:val="8"/>
        </w:num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Los partidos políticos quedaron obligados a registrar una Lista A prima que contiene únicamente su fórmula de candidaturas a la diputación migrante, a fin de poder participar en la asignación de representación proporcional, lo cual obedeció a la necesidad de hacer funcional un sistema electoral que permitiera la elección de la diputación migrante.  </w:t>
      </w:r>
    </w:p>
    <w:p w14:paraId="7274DEB2"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p>
    <w:p w14:paraId="089042E9"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Esta sentencia fue confirmada por la Sala Regional al resolver, el doce de marzo de dos mil veintiuno, el juicio de revisión constitucional </w:t>
      </w:r>
      <w:r w:rsidRPr="00F32542">
        <w:rPr>
          <w:rFonts w:ascii="Arial" w:eastAsia="Times New Roman" w:hAnsi="Arial" w:cs="Arial"/>
          <w:b/>
          <w:bCs/>
          <w:color w:val="000000"/>
          <w:sz w:val="28"/>
          <w:szCs w:val="28"/>
        </w:rPr>
        <w:t>SCM-JRC-13/2021 y acumulado</w:t>
      </w:r>
      <w:r w:rsidRPr="00F32542">
        <w:rPr>
          <w:rFonts w:ascii="Arial" w:eastAsia="Times New Roman" w:hAnsi="Arial" w:cs="Arial"/>
          <w:bCs/>
          <w:color w:val="000000"/>
          <w:sz w:val="28"/>
          <w:szCs w:val="28"/>
          <w:vertAlign w:val="superscript"/>
        </w:rPr>
        <w:footnoteReference w:id="33"/>
      </w:r>
      <w:r w:rsidRPr="00F32542">
        <w:rPr>
          <w:rFonts w:ascii="Arial" w:eastAsia="Times New Roman" w:hAnsi="Arial" w:cs="Arial"/>
          <w:bCs/>
          <w:color w:val="000000"/>
          <w:sz w:val="28"/>
          <w:szCs w:val="28"/>
        </w:rPr>
        <w:t xml:space="preserve"> en sentencia definitiva en términos del artículo 99 de la </w:t>
      </w:r>
      <w:r w:rsidRPr="00F32542">
        <w:rPr>
          <w:rFonts w:ascii="Arial" w:eastAsia="Times New Roman" w:hAnsi="Arial" w:cs="Arial"/>
          <w:bCs/>
          <w:i/>
          <w:color w:val="000000"/>
          <w:sz w:val="28"/>
          <w:szCs w:val="28"/>
        </w:rPr>
        <w:t>Constitución Federal</w:t>
      </w:r>
      <w:r w:rsidRPr="00F32542">
        <w:rPr>
          <w:rFonts w:ascii="Arial" w:eastAsia="Times New Roman" w:hAnsi="Arial" w:cs="Arial"/>
          <w:bCs/>
          <w:color w:val="000000"/>
          <w:sz w:val="28"/>
          <w:szCs w:val="28"/>
        </w:rPr>
        <w:t>.</w:t>
      </w:r>
    </w:p>
    <w:p w14:paraId="21639C05"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p>
    <w:p w14:paraId="05652836" w14:textId="77777777" w:rsidR="00F94B48" w:rsidRPr="00F32542" w:rsidRDefault="00F94B48" w:rsidP="004217D4">
      <w:pPr>
        <w:widowControl w:val="0"/>
        <w:spacing w:after="0" w:line="360" w:lineRule="auto"/>
        <w:jc w:val="both"/>
        <w:rPr>
          <w:rFonts w:ascii="Arial" w:eastAsia="Times New Roman" w:hAnsi="Arial" w:cs="Arial"/>
          <w:bCs/>
          <w:sz w:val="28"/>
          <w:szCs w:val="28"/>
          <w:lang w:eastAsia="es-MX"/>
        </w:rPr>
      </w:pPr>
      <w:r w:rsidRPr="00F32542">
        <w:rPr>
          <w:rFonts w:ascii="Arial" w:eastAsia="Times New Roman" w:hAnsi="Arial" w:cs="Arial"/>
          <w:bCs/>
          <w:sz w:val="28"/>
          <w:szCs w:val="28"/>
          <w:lang w:eastAsia="es-MX"/>
        </w:rPr>
        <w:t>Acorde con lo expuesto, los agravios analizados en este apartado se califican como inoperantes, toda vez que se vinculan con temáticas que ya fueron determinadas por este Tribunal Electoral, en sentencia definitiva y firme, que ha alcanzado la calidad de cosa juzgada y que, por ello, no puede se</w:t>
      </w:r>
      <w:r w:rsidR="00F30F23" w:rsidRPr="00F32542">
        <w:rPr>
          <w:rFonts w:ascii="Arial" w:eastAsia="Times New Roman" w:hAnsi="Arial" w:cs="Arial"/>
          <w:bCs/>
          <w:sz w:val="28"/>
          <w:szCs w:val="28"/>
          <w:lang w:eastAsia="es-MX"/>
        </w:rPr>
        <w:t>r</w:t>
      </w:r>
      <w:r w:rsidRPr="00F32542">
        <w:rPr>
          <w:rFonts w:ascii="Arial" w:eastAsia="Times New Roman" w:hAnsi="Arial" w:cs="Arial"/>
          <w:bCs/>
          <w:sz w:val="28"/>
          <w:szCs w:val="28"/>
          <w:lang w:eastAsia="es-MX"/>
        </w:rPr>
        <w:t xml:space="preserve"> sometida nuevamente a revisión.</w:t>
      </w:r>
    </w:p>
    <w:p w14:paraId="14C46288" w14:textId="77777777" w:rsidR="00F94B48" w:rsidRPr="00F32542" w:rsidRDefault="00F94B48" w:rsidP="004217D4">
      <w:pPr>
        <w:widowControl w:val="0"/>
        <w:spacing w:after="0" w:line="360" w:lineRule="auto"/>
        <w:jc w:val="both"/>
        <w:rPr>
          <w:rFonts w:ascii="Arial" w:eastAsia="Times New Roman" w:hAnsi="Arial" w:cs="Arial"/>
          <w:bCs/>
          <w:sz w:val="28"/>
          <w:szCs w:val="28"/>
          <w:lang w:eastAsia="es-MX"/>
        </w:rPr>
      </w:pPr>
    </w:p>
    <w:p w14:paraId="4D04B6C0" w14:textId="77777777" w:rsidR="00F94B48" w:rsidRPr="00F32542" w:rsidRDefault="00F94B48" w:rsidP="004217D4">
      <w:pPr>
        <w:widowControl w:val="0"/>
        <w:spacing w:after="0" w:line="360" w:lineRule="auto"/>
        <w:jc w:val="both"/>
        <w:rPr>
          <w:rFonts w:ascii="Arial" w:eastAsia="Times New Roman" w:hAnsi="Arial" w:cs="Arial"/>
          <w:bCs/>
          <w:sz w:val="28"/>
          <w:szCs w:val="28"/>
          <w:lang w:eastAsia="es-MX"/>
        </w:rPr>
      </w:pPr>
      <w:r w:rsidRPr="00F32542">
        <w:rPr>
          <w:rFonts w:ascii="Arial" w:eastAsia="Times New Roman" w:hAnsi="Arial" w:cs="Arial"/>
          <w:bCs/>
          <w:sz w:val="28"/>
          <w:szCs w:val="28"/>
          <w:lang w:eastAsia="es-MX"/>
        </w:rPr>
        <w:t xml:space="preserve">En efecto, ya ha sido analizado y resuelto en forma definitiva lo atinente al cambio de método de elección de la diputación migrante, del principio de mayoría relativa –como lo había concebido inicialmente la legislatura– al principio de representación proporcional, como sistema más afín a las particularidades y </w:t>
      </w:r>
      <w:r w:rsidRPr="00F32542">
        <w:rPr>
          <w:rFonts w:ascii="Arial" w:eastAsia="Times New Roman" w:hAnsi="Arial" w:cs="Arial"/>
          <w:bCs/>
          <w:sz w:val="28"/>
          <w:szCs w:val="28"/>
          <w:lang w:eastAsia="es-MX"/>
        </w:rPr>
        <w:lastRenderedPageBreak/>
        <w:t>funcionalidad de la referida diputación.</w:t>
      </w:r>
    </w:p>
    <w:p w14:paraId="48E3B832" w14:textId="77777777" w:rsidR="00F94B48" w:rsidRPr="00F32542" w:rsidRDefault="00F94B48" w:rsidP="004217D4">
      <w:pPr>
        <w:widowControl w:val="0"/>
        <w:spacing w:after="0" w:line="360" w:lineRule="auto"/>
        <w:jc w:val="both"/>
        <w:rPr>
          <w:rFonts w:ascii="Arial" w:eastAsia="Times New Roman" w:hAnsi="Arial" w:cs="Arial"/>
          <w:bCs/>
          <w:sz w:val="28"/>
          <w:szCs w:val="28"/>
          <w:lang w:eastAsia="es-MX"/>
        </w:rPr>
      </w:pPr>
    </w:p>
    <w:p w14:paraId="631E24D6"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sz w:val="28"/>
          <w:szCs w:val="28"/>
          <w:lang w:eastAsia="es-MX"/>
        </w:rPr>
        <w:t xml:space="preserve">Como también ha sido confirmada la facultad reglamentaria del </w:t>
      </w:r>
      <w:r w:rsidRPr="00F32542">
        <w:rPr>
          <w:rFonts w:ascii="Arial" w:eastAsia="Times New Roman" w:hAnsi="Arial" w:cs="Arial"/>
          <w:bCs/>
          <w:i/>
          <w:sz w:val="28"/>
          <w:szCs w:val="28"/>
          <w:lang w:eastAsia="es-MX"/>
        </w:rPr>
        <w:t>Instituto Electoral</w:t>
      </w:r>
      <w:r w:rsidRPr="00F32542">
        <w:rPr>
          <w:rFonts w:ascii="Arial" w:eastAsia="Times New Roman" w:hAnsi="Arial" w:cs="Arial"/>
          <w:bCs/>
          <w:sz w:val="28"/>
          <w:szCs w:val="28"/>
          <w:lang w:eastAsia="es-MX"/>
        </w:rPr>
        <w:t xml:space="preserve"> para emitir la normativa que regula el procedimiento de elección de la diputación migrante —</w:t>
      </w:r>
      <w:r w:rsidRPr="00F32542">
        <w:rPr>
          <w:rFonts w:ascii="Arial" w:eastAsia="Times New Roman" w:hAnsi="Arial" w:cs="Arial"/>
          <w:bCs/>
          <w:i/>
          <w:sz w:val="28"/>
          <w:szCs w:val="28"/>
          <w:lang w:eastAsia="es-MX"/>
        </w:rPr>
        <w:t>Lineamientos para la postulación</w:t>
      </w:r>
      <w:r w:rsidRPr="00F32542">
        <w:rPr>
          <w:rFonts w:ascii="Arial" w:eastAsia="Times New Roman" w:hAnsi="Arial" w:cs="Arial"/>
          <w:bCs/>
          <w:sz w:val="28"/>
          <w:szCs w:val="28"/>
          <w:lang w:eastAsia="es-MX"/>
        </w:rPr>
        <w:t xml:space="preserve"> y </w:t>
      </w:r>
      <w:r w:rsidRPr="00F32542">
        <w:rPr>
          <w:rFonts w:ascii="Arial" w:eastAsia="Times New Roman" w:hAnsi="Arial" w:cs="Arial"/>
          <w:bCs/>
          <w:i/>
          <w:sz w:val="28"/>
          <w:szCs w:val="28"/>
          <w:lang w:eastAsia="es-MX"/>
        </w:rPr>
        <w:t>Lineamientos para la asignación</w:t>
      </w:r>
      <w:r w:rsidRPr="00F32542">
        <w:rPr>
          <w:rFonts w:ascii="Arial" w:eastAsia="Times New Roman" w:hAnsi="Arial" w:cs="Arial"/>
          <w:bCs/>
          <w:sz w:val="28"/>
          <w:szCs w:val="28"/>
          <w:lang w:eastAsia="es-MX"/>
        </w:rPr>
        <w:t xml:space="preserve">— así como </w:t>
      </w:r>
      <w:r w:rsidRPr="00F32542">
        <w:rPr>
          <w:rFonts w:ascii="Arial" w:eastAsia="Times New Roman" w:hAnsi="Arial" w:cs="Arial"/>
          <w:bCs/>
          <w:color w:val="000000"/>
          <w:sz w:val="28"/>
          <w:szCs w:val="28"/>
        </w:rPr>
        <w:t xml:space="preserve">las reglas de su implementación, a través de la postulación de las candidaturas atinentes, mediante la lista A prima, como derecho exclusivo de los partidos políticos. </w:t>
      </w:r>
    </w:p>
    <w:p w14:paraId="16781B4F"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p>
    <w:p w14:paraId="18BC58F4"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Luego, dado que la sentencia de este </w:t>
      </w:r>
      <w:r w:rsidRPr="00F32542">
        <w:rPr>
          <w:rFonts w:ascii="Arial" w:eastAsia="Times New Roman" w:hAnsi="Arial" w:cs="Arial"/>
          <w:bCs/>
          <w:i/>
          <w:color w:val="000000"/>
          <w:sz w:val="28"/>
          <w:szCs w:val="28"/>
        </w:rPr>
        <w:t xml:space="preserve">Tribunal Electoral </w:t>
      </w:r>
      <w:r w:rsidRPr="00F32542">
        <w:rPr>
          <w:rFonts w:ascii="Arial" w:eastAsia="Times New Roman" w:hAnsi="Arial" w:cs="Arial"/>
          <w:bCs/>
          <w:color w:val="000000"/>
          <w:sz w:val="28"/>
          <w:szCs w:val="28"/>
        </w:rPr>
        <w:t xml:space="preserve">que analizó y definió los temas mencionados, fue confirmada en su oportunidad por la </w:t>
      </w:r>
      <w:r w:rsidRPr="00F32542">
        <w:rPr>
          <w:rFonts w:ascii="Arial" w:eastAsia="Times New Roman" w:hAnsi="Arial" w:cs="Arial"/>
          <w:bCs/>
          <w:i/>
          <w:color w:val="000000"/>
          <w:sz w:val="28"/>
          <w:szCs w:val="28"/>
        </w:rPr>
        <w:t>Sala Regional</w:t>
      </w:r>
      <w:r w:rsidRPr="00F32542">
        <w:rPr>
          <w:rFonts w:ascii="Arial" w:eastAsia="Times New Roman" w:hAnsi="Arial" w:cs="Arial"/>
          <w:bCs/>
          <w:color w:val="000000"/>
          <w:sz w:val="28"/>
          <w:szCs w:val="28"/>
        </w:rPr>
        <w:t>, alcanzó la categoría de cosa juzgada, de manera que actualmente no es jurídicamente posible reexaminar tales cuestiones, ya que su eventual análisis afectaría la certeza jurídica establecida en el fallo dictado en su momento.</w:t>
      </w:r>
    </w:p>
    <w:p w14:paraId="0CAD4569"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p>
    <w:p w14:paraId="6E4C8C88"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Al respecto, cabe tener presente que la </w:t>
      </w:r>
      <w:r w:rsidRPr="00F32542">
        <w:rPr>
          <w:rFonts w:ascii="Arial" w:eastAsia="Times New Roman" w:hAnsi="Arial" w:cs="Arial"/>
          <w:bCs/>
          <w:i/>
          <w:color w:val="000000"/>
          <w:sz w:val="28"/>
          <w:szCs w:val="28"/>
        </w:rPr>
        <w:t>Suprema Corte</w:t>
      </w:r>
      <w:r w:rsidRPr="00F32542">
        <w:rPr>
          <w:rFonts w:ascii="Arial" w:eastAsia="Times New Roman" w:hAnsi="Arial" w:cs="Arial"/>
          <w:bCs/>
          <w:color w:val="000000"/>
          <w:sz w:val="28"/>
          <w:szCs w:val="28"/>
        </w:rPr>
        <w:t xml:space="preserve"> ha sustentado que la figura jurídica de cosa juzgada tiene sustento constitucional en los artículos 14, segundo párrafo, y 17, tercer párrafo, de la Constitución Federal, cuya finalidad se configura como uno de los principios esenciales de la seguridad jurídica.</w:t>
      </w:r>
    </w:p>
    <w:p w14:paraId="09B830E0"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p>
    <w:p w14:paraId="7A37B167"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Así, la cosa juzgada debe entenderse como la inmutabilidad de lo resuelto en las sentencias firmes, sin que pueda admitirse válidamente que éstas sean modificadas por circunstancias excepcionales, puesto que en esta institución descansan los principios constitucionales de certeza y seguridad jurídica; asimismo, es una expresión de la preclusión, al apoyarse en la </w:t>
      </w:r>
      <w:proofErr w:type="spellStart"/>
      <w:r w:rsidRPr="00F32542">
        <w:rPr>
          <w:rFonts w:ascii="Arial" w:eastAsia="Times New Roman" w:hAnsi="Arial" w:cs="Arial"/>
          <w:bCs/>
          <w:color w:val="000000"/>
          <w:sz w:val="28"/>
          <w:szCs w:val="28"/>
        </w:rPr>
        <w:t>inimpugnabilidad</w:t>
      </w:r>
      <w:proofErr w:type="spellEnd"/>
      <w:r w:rsidRPr="00F32542">
        <w:rPr>
          <w:rFonts w:ascii="Arial" w:eastAsia="Times New Roman" w:hAnsi="Arial" w:cs="Arial"/>
          <w:bCs/>
          <w:color w:val="000000"/>
          <w:sz w:val="28"/>
          <w:szCs w:val="28"/>
        </w:rPr>
        <w:t xml:space="preserve"> </w:t>
      </w:r>
      <w:r w:rsidRPr="00F32542">
        <w:rPr>
          <w:rFonts w:ascii="Arial" w:eastAsia="Times New Roman" w:hAnsi="Arial" w:cs="Arial"/>
          <w:bCs/>
          <w:color w:val="000000"/>
          <w:sz w:val="28"/>
          <w:szCs w:val="28"/>
        </w:rPr>
        <w:lastRenderedPageBreak/>
        <w:t>de la resolución respectiva.</w:t>
      </w:r>
    </w:p>
    <w:p w14:paraId="459DA6D1"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p>
    <w:p w14:paraId="4C157711"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La cosa juzgada en sentido estricto tiene reflejo materialmente directo respecto a juicios futuros al implicar la imposibilidad de que lo resuelto pueda discutirse posteriormente en diverso proceso y, su actualización se sujeta a la condición de que exista sentencia firme, es decir, que en su contra no proceda medio ordinario o extraordinario alguno de defensa que pueda modificarla o revocarla, con las salvedades o excepciones que los propios ordenamientos jurídicos prevén. </w:t>
      </w:r>
    </w:p>
    <w:p w14:paraId="6E85AA87"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p>
    <w:p w14:paraId="18EBF7B4"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Lo anterior, como se desprende de las jurisprudencias </w:t>
      </w:r>
      <w:r w:rsidRPr="00F32542">
        <w:rPr>
          <w:rFonts w:ascii="Arial" w:eastAsia="Times New Roman" w:hAnsi="Arial" w:cs="Arial"/>
          <w:b/>
          <w:bCs/>
          <w:color w:val="000000"/>
          <w:sz w:val="28"/>
          <w:szCs w:val="28"/>
        </w:rPr>
        <w:t>P./J. 85/2008 y P./J. 86/2008</w:t>
      </w:r>
      <w:r w:rsidRPr="00F32542">
        <w:rPr>
          <w:rFonts w:ascii="Arial" w:eastAsia="Times New Roman" w:hAnsi="Arial" w:cs="Arial"/>
          <w:bCs/>
          <w:color w:val="000000"/>
          <w:sz w:val="28"/>
          <w:szCs w:val="28"/>
          <w:vertAlign w:val="superscript"/>
        </w:rPr>
        <w:footnoteReference w:id="34"/>
      </w:r>
      <w:r w:rsidRPr="00F32542">
        <w:rPr>
          <w:rFonts w:ascii="Arial" w:eastAsia="Times New Roman" w:hAnsi="Arial" w:cs="Arial"/>
          <w:bCs/>
          <w:color w:val="000000"/>
          <w:sz w:val="28"/>
          <w:szCs w:val="28"/>
        </w:rPr>
        <w:t xml:space="preserve">, emitidas por el Pleno de la </w:t>
      </w:r>
      <w:r w:rsidRPr="00F32542">
        <w:rPr>
          <w:rFonts w:ascii="Arial" w:eastAsia="Times New Roman" w:hAnsi="Arial" w:cs="Arial"/>
          <w:bCs/>
          <w:i/>
          <w:color w:val="000000"/>
          <w:sz w:val="28"/>
          <w:szCs w:val="28"/>
        </w:rPr>
        <w:t>Suprema Corte</w:t>
      </w:r>
      <w:r w:rsidRPr="00F32542">
        <w:rPr>
          <w:rFonts w:ascii="Arial" w:eastAsia="Times New Roman" w:hAnsi="Arial" w:cs="Arial"/>
          <w:bCs/>
          <w:color w:val="000000"/>
          <w:sz w:val="28"/>
          <w:szCs w:val="28"/>
        </w:rPr>
        <w:t xml:space="preserve">, con los rubros: </w:t>
      </w:r>
      <w:r w:rsidRPr="00F32542">
        <w:rPr>
          <w:rFonts w:ascii="Arial" w:eastAsia="Times New Roman" w:hAnsi="Arial" w:cs="Arial"/>
          <w:b/>
          <w:bCs/>
          <w:color w:val="000000"/>
          <w:sz w:val="28"/>
          <w:szCs w:val="28"/>
        </w:rPr>
        <w:t>“COSA JUZGADA. EL SUSTENTO CONSTITUCIONAL DE ESA INSTITUCIÓN JURÍDICA PROCESAL SE ENCUENTRA EN LOS ARTÍCULOS 14, SEGUNDO PÁRRAFO Y 17, TERCER PÁRRAFO, DE LA CONSTITUCIÓN POLÍTICA DE LOS ESTADOS UNIDOS MEXICANOS”</w:t>
      </w:r>
      <w:r w:rsidRPr="00F32542">
        <w:rPr>
          <w:rFonts w:ascii="Arial" w:eastAsia="Times New Roman" w:hAnsi="Arial" w:cs="Arial"/>
          <w:bCs/>
          <w:color w:val="000000"/>
          <w:sz w:val="28"/>
          <w:szCs w:val="28"/>
        </w:rPr>
        <w:t xml:space="preserve"> y “</w:t>
      </w:r>
      <w:r w:rsidRPr="00F32542">
        <w:rPr>
          <w:rFonts w:ascii="Arial" w:eastAsia="Times New Roman" w:hAnsi="Arial" w:cs="Arial"/>
          <w:b/>
          <w:bCs/>
          <w:color w:val="000000"/>
          <w:sz w:val="28"/>
          <w:szCs w:val="28"/>
        </w:rPr>
        <w:t>COSA JUZGADA. SUS LÍMITES OBJETIVOS Y SUBJETIVOS”.</w:t>
      </w:r>
      <w:r w:rsidRPr="00F32542">
        <w:rPr>
          <w:rFonts w:ascii="Arial" w:eastAsia="Times New Roman" w:hAnsi="Arial" w:cs="Arial"/>
          <w:bCs/>
          <w:color w:val="000000"/>
          <w:sz w:val="28"/>
          <w:szCs w:val="28"/>
        </w:rPr>
        <w:t xml:space="preserve"> </w:t>
      </w:r>
    </w:p>
    <w:p w14:paraId="2F8A7534"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p>
    <w:p w14:paraId="6DBF2A4C"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En consecuencia, como se dijo, los agravios son inoperantes, en razón de que este </w:t>
      </w:r>
      <w:r w:rsidRPr="00F32542">
        <w:rPr>
          <w:rFonts w:ascii="Arial" w:eastAsia="Times New Roman" w:hAnsi="Arial" w:cs="Arial"/>
          <w:bCs/>
          <w:i/>
          <w:color w:val="000000"/>
          <w:sz w:val="28"/>
          <w:szCs w:val="28"/>
        </w:rPr>
        <w:t>Tribunal Electoral</w:t>
      </w:r>
      <w:r w:rsidRPr="00F32542">
        <w:rPr>
          <w:rFonts w:ascii="Arial" w:eastAsia="Times New Roman" w:hAnsi="Arial" w:cs="Arial"/>
          <w:bCs/>
          <w:color w:val="000000"/>
          <w:sz w:val="28"/>
          <w:szCs w:val="28"/>
        </w:rPr>
        <w:t xml:space="preserve"> debe regirse por sus propios precedentes, lo que imposibilita someter a un segundo estudio las cuestiones ahora planteadas, porque a pesar de que las partes actoras intenten controvertir, aun a la luz de diferentes motivos de disenso, la determinación del </w:t>
      </w:r>
      <w:r w:rsidRPr="00F32542">
        <w:rPr>
          <w:rFonts w:ascii="Arial" w:eastAsia="Times New Roman" w:hAnsi="Arial" w:cs="Arial"/>
          <w:bCs/>
          <w:i/>
          <w:color w:val="000000"/>
          <w:sz w:val="28"/>
          <w:szCs w:val="28"/>
        </w:rPr>
        <w:t>Instituto Electoral</w:t>
      </w:r>
      <w:r w:rsidRPr="00F32542">
        <w:rPr>
          <w:rFonts w:ascii="Arial" w:eastAsia="Times New Roman" w:hAnsi="Arial" w:cs="Arial"/>
          <w:bCs/>
          <w:color w:val="000000"/>
          <w:sz w:val="28"/>
          <w:szCs w:val="28"/>
        </w:rPr>
        <w:t xml:space="preserve"> para optar por el sistema de representación proporcional para materializar la elección </w:t>
      </w:r>
      <w:r w:rsidRPr="00F32542">
        <w:rPr>
          <w:rFonts w:ascii="Arial" w:eastAsia="Times New Roman" w:hAnsi="Arial" w:cs="Arial"/>
          <w:bCs/>
          <w:color w:val="000000"/>
          <w:sz w:val="28"/>
          <w:szCs w:val="28"/>
        </w:rPr>
        <w:lastRenderedPageBreak/>
        <w:t xml:space="preserve">de la diputación migrante y, además, establecer que sería mediante postulación de un partido político, este </w:t>
      </w:r>
      <w:r w:rsidRPr="00F32542">
        <w:rPr>
          <w:rFonts w:ascii="Arial" w:eastAsia="Times New Roman" w:hAnsi="Arial" w:cs="Arial"/>
          <w:bCs/>
          <w:i/>
          <w:color w:val="000000"/>
          <w:sz w:val="28"/>
          <w:szCs w:val="28"/>
        </w:rPr>
        <w:t>Órgano Jurisdiccional</w:t>
      </w:r>
      <w:r w:rsidRPr="00F32542">
        <w:rPr>
          <w:rFonts w:ascii="Arial" w:eastAsia="Times New Roman" w:hAnsi="Arial" w:cs="Arial"/>
          <w:bCs/>
          <w:color w:val="000000"/>
          <w:sz w:val="28"/>
          <w:szCs w:val="28"/>
        </w:rPr>
        <w:t xml:space="preserve"> analizó las razones de esa decisión y las encontró ajustadas a derecho. </w:t>
      </w:r>
    </w:p>
    <w:p w14:paraId="59C6A0B7"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p>
    <w:p w14:paraId="3410771B"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Por ende, a pesar de que las </w:t>
      </w:r>
      <w:r w:rsidRPr="00F32542">
        <w:rPr>
          <w:rFonts w:ascii="Arial" w:eastAsia="Times New Roman" w:hAnsi="Arial" w:cs="Arial"/>
          <w:bCs/>
          <w:i/>
          <w:color w:val="000000"/>
          <w:sz w:val="28"/>
          <w:szCs w:val="28"/>
        </w:rPr>
        <w:t>partes actoras</w:t>
      </w:r>
      <w:r w:rsidRPr="00F32542">
        <w:rPr>
          <w:rFonts w:ascii="Arial" w:eastAsia="Times New Roman" w:hAnsi="Arial" w:cs="Arial"/>
          <w:bCs/>
          <w:color w:val="000000"/>
          <w:sz w:val="28"/>
          <w:szCs w:val="28"/>
        </w:rPr>
        <w:t xml:space="preserve"> de los expedientes </w:t>
      </w:r>
      <w:r w:rsidRPr="00F32542">
        <w:rPr>
          <w:rFonts w:ascii="Arial" w:eastAsia="Times New Roman" w:hAnsi="Arial" w:cs="Arial"/>
          <w:b/>
          <w:color w:val="000000"/>
          <w:sz w:val="28"/>
          <w:szCs w:val="28"/>
        </w:rPr>
        <w:t>TECDMX-JLDC-100/2021</w:t>
      </w:r>
      <w:r w:rsidRPr="00F32542">
        <w:rPr>
          <w:rFonts w:ascii="Arial" w:eastAsia="Times New Roman" w:hAnsi="Arial" w:cs="Arial"/>
          <w:bCs/>
          <w:color w:val="000000"/>
          <w:sz w:val="28"/>
          <w:szCs w:val="28"/>
        </w:rPr>
        <w:t xml:space="preserve"> y </w:t>
      </w:r>
      <w:r w:rsidRPr="00F32542">
        <w:rPr>
          <w:rFonts w:ascii="Arial" w:eastAsia="Times New Roman" w:hAnsi="Arial" w:cs="Arial"/>
          <w:b/>
          <w:color w:val="000000"/>
          <w:sz w:val="28"/>
          <w:szCs w:val="28"/>
        </w:rPr>
        <w:t>TECDMX-JLDC-102/2021</w:t>
      </w:r>
      <w:r w:rsidRPr="00F32542">
        <w:rPr>
          <w:rFonts w:ascii="Arial" w:eastAsia="Times New Roman" w:hAnsi="Arial" w:cs="Arial"/>
          <w:bCs/>
          <w:color w:val="000000"/>
          <w:sz w:val="28"/>
          <w:szCs w:val="28"/>
        </w:rPr>
        <w:t xml:space="preserve"> soliciten la inaplicación de los </w:t>
      </w:r>
      <w:r w:rsidRPr="00F32542">
        <w:rPr>
          <w:rFonts w:ascii="Arial" w:eastAsia="Times New Roman" w:hAnsi="Arial" w:cs="Arial"/>
          <w:bCs/>
          <w:i/>
          <w:color w:val="000000"/>
          <w:sz w:val="28"/>
          <w:szCs w:val="28"/>
        </w:rPr>
        <w:t>Lineamientos para la asignación</w:t>
      </w:r>
      <w:r w:rsidRPr="00F32542">
        <w:rPr>
          <w:rFonts w:ascii="Arial" w:eastAsia="Times New Roman" w:hAnsi="Arial" w:cs="Arial"/>
          <w:bCs/>
          <w:color w:val="000000"/>
          <w:sz w:val="28"/>
          <w:szCs w:val="28"/>
        </w:rPr>
        <w:t xml:space="preserve">, por considerar que diversas disposiciones son ilegales o inconstitucionales, tal pretensión es improcedente dado que este </w:t>
      </w:r>
      <w:r w:rsidRPr="00F32542">
        <w:rPr>
          <w:rFonts w:ascii="Arial" w:eastAsia="Times New Roman" w:hAnsi="Arial" w:cs="Arial"/>
          <w:bCs/>
          <w:i/>
          <w:color w:val="000000"/>
          <w:sz w:val="28"/>
          <w:szCs w:val="28"/>
        </w:rPr>
        <w:t>Tribunal Electoral</w:t>
      </w:r>
      <w:r w:rsidRPr="00F32542">
        <w:rPr>
          <w:rFonts w:ascii="Arial" w:eastAsia="Times New Roman" w:hAnsi="Arial" w:cs="Arial"/>
          <w:bCs/>
          <w:color w:val="000000"/>
          <w:sz w:val="28"/>
          <w:szCs w:val="28"/>
        </w:rPr>
        <w:t xml:space="preserve"> ya decidió que el </w:t>
      </w:r>
      <w:r w:rsidRPr="00F32542">
        <w:rPr>
          <w:rFonts w:ascii="Arial" w:eastAsia="Times New Roman" w:hAnsi="Arial" w:cs="Arial"/>
          <w:bCs/>
          <w:i/>
          <w:color w:val="000000"/>
          <w:sz w:val="28"/>
          <w:szCs w:val="28"/>
        </w:rPr>
        <w:t>Instituto Electoral</w:t>
      </w:r>
      <w:r w:rsidRPr="00F32542">
        <w:rPr>
          <w:rFonts w:ascii="Arial" w:eastAsia="Times New Roman" w:hAnsi="Arial" w:cs="Arial"/>
          <w:bCs/>
          <w:color w:val="000000"/>
          <w:sz w:val="28"/>
          <w:szCs w:val="28"/>
        </w:rPr>
        <w:t xml:space="preserve"> sí estaba facultado en términos de la normativa local para regular la elección de la diputación migrante, además de que, se insiste, el sistema electoral determinado para la elección fue el correcto. </w:t>
      </w:r>
    </w:p>
    <w:p w14:paraId="76B60C7D"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p>
    <w:p w14:paraId="410A14C4" w14:textId="77777777" w:rsidR="00F94B48" w:rsidRPr="00F32542" w:rsidRDefault="00F94B48" w:rsidP="004217D4">
      <w:pPr>
        <w:widowControl w:val="0"/>
        <w:spacing w:after="0" w:line="360" w:lineRule="auto"/>
        <w:jc w:val="both"/>
        <w:rPr>
          <w:rFonts w:ascii="Arial" w:eastAsia="Calibri" w:hAnsi="Arial" w:cs="Arial"/>
          <w:sz w:val="28"/>
          <w:szCs w:val="28"/>
        </w:rPr>
      </w:pPr>
      <w:r w:rsidRPr="00F32542">
        <w:rPr>
          <w:rFonts w:ascii="Arial" w:eastAsia="Times New Roman" w:hAnsi="Arial" w:cs="Arial"/>
          <w:bCs/>
          <w:color w:val="000000"/>
          <w:sz w:val="28"/>
          <w:szCs w:val="28"/>
        </w:rPr>
        <w:t xml:space="preserve">En ese sentido, no podría considerarse que los </w:t>
      </w:r>
      <w:r w:rsidRPr="00F32542">
        <w:rPr>
          <w:rFonts w:ascii="Arial" w:eastAsia="Times New Roman" w:hAnsi="Arial" w:cs="Arial"/>
          <w:bCs/>
          <w:i/>
          <w:color w:val="000000"/>
          <w:sz w:val="28"/>
          <w:szCs w:val="28"/>
        </w:rPr>
        <w:t>Lineamientos para la asignación</w:t>
      </w:r>
      <w:r w:rsidRPr="00F32542">
        <w:rPr>
          <w:rFonts w:ascii="Arial" w:eastAsia="Times New Roman" w:hAnsi="Arial" w:cs="Arial"/>
          <w:bCs/>
          <w:color w:val="000000"/>
          <w:sz w:val="28"/>
          <w:szCs w:val="28"/>
        </w:rPr>
        <w:t xml:space="preserve"> sean contrarios a</w:t>
      </w:r>
      <w:r w:rsidRPr="00F32542">
        <w:rPr>
          <w:rFonts w:ascii="Arial" w:eastAsia="Calibri" w:hAnsi="Arial" w:cs="Arial"/>
          <w:sz w:val="28"/>
          <w:szCs w:val="28"/>
        </w:rPr>
        <w:t xml:space="preserve"> la naturaleza esencial de la diputación migrante o a la finalidad del sistema de representación proporcional de la Ciudad de México, ya que, por lo contrario, en términos de lo resuelto en la sentencia del expediente </w:t>
      </w:r>
      <w:r w:rsidRPr="00F32542">
        <w:rPr>
          <w:rFonts w:ascii="Arial" w:eastAsia="Calibri" w:hAnsi="Arial" w:cs="Arial"/>
          <w:b/>
          <w:bCs/>
          <w:sz w:val="28"/>
          <w:szCs w:val="28"/>
        </w:rPr>
        <w:t>TECDMX-JEL-416/2020 y sus acumulados</w:t>
      </w:r>
      <w:r w:rsidRPr="00F32542">
        <w:rPr>
          <w:rFonts w:ascii="Arial" w:eastAsia="Calibri" w:hAnsi="Arial" w:cs="Arial"/>
          <w:sz w:val="28"/>
          <w:szCs w:val="28"/>
        </w:rPr>
        <w:t xml:space="preserve">, dicha normativa sólo reguló los términos para llevar a cabo la elección de la diputación migrante en el actual proceso electoral, a fin de permitir concretar su implementación y dar plena eficacia a lo previsto en la </w:t>
      </w:r>
      <w:r w:rsidRPr="00F32542">
        <w:rPr>
          <w:rFonts w:ascii="Arial" w:eastAsia="Calibri" w:hAnsi="Arial" w:cs="Arial"/>
          <w:i/>
          <w:iCs/>
          <w:sz w:val="28"/>
          <w:szCs w:val="28"/>
        </w:rPr>
        <w:t>Constitución Local</w:t>
      </w:r>
      <w:r w:rsidRPr="00F32542">
        <w:rPr>
          <w:rFonts w:ascii="Arial" w:eastAsia="Calibri" w:hAnsi="Arial" w:cs="Arial"/>
          <w:sz w:val="28"/>
          <w:szCs w:val="28"/>
        </w:rPr>
        <w:t xml:space="preserve"> a favor de la representatividad del sector de personas migrantes.</w:t>
      </w:r>
    </w:p>
    <w:p w14:paraId="3ACB78B2" w14:textId="77777777" w:rsidR="00F94B48" w:rsidRPr="00F32542" w:rsidRDefault="00F94B48" w:rsidP="004217D4">
      <w:pPr>
        <w:widowControl w:val="0"/>
        <w:spacing w:after="0" w:line="360" w:lineRule="auto"/>
        <w:jc w:val="both"/>
        <w:rPr>
          <w:rFonts w:ascii="Arial" w:eastAsia="Calibri" w:hAnsi="Arial" w:cs="Arial"/>
          <w:sz w:val="28"/>
          <w:szCs w:val="28"/>
        </w:rPr>
      </w:pPr>
    </w:p>
    <w:p w14:paraId="2AE2282C"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r w:rsidRPr="00F32542">
        <w:rPr>
          <w:rFonts w:ascii="Arial" w:eastAsia="Calibri" w:hAnsi="Arial" w:cs="Arial"/>
          <w:sz w:val="28"/>
          <w:szCs w:val="28"/>
        </w:rPr>
        <w:t xml:space="preserve">Además de que, como se ha apuntado, fue desde el acuerdo </w:t>
      </w:r>
      <w:r w:rsidRPr="00F32542">
        <w:rPr>
          <w:rFonts w:ascii="Arial" w:eastAsia="Times New Roman" w:hAnsi="Arial" w:cs="Arial"/>
          <w:b/>
          <w:color w:val="000000"/>
          <w:sz w:val="28"/>
          <w:szCs w:val="28"/>
        </w:rPr>
        <w:t>IECM/ACU-CG-060/2020</w:t>
      </w:r>
      <w:r w:rsidRPr="00F32542">
        <w:rPr>
          <w:rFonts w:ascii="Arial" w:eastAsia="Times New Roman" w:hAnsi="Arial" w:cs="Arial"/>
          <w:bCs/>
          <w:color w:val="000000"/>
          <w:sz w:val="28"/>
          <w:szCs w:val="28"/>
        </w:rPr>
        <w:t xml:space="preserve">, el cual adquirió definitividad y firmeza al no haber sido impugnado, cuando el Instituto Electoral decidió que la diputación migrante sería electa bajo el principio de representación </w:t>
      </w:r>
      <w:r w:rsidRPr="00F32542">
        <w:rPr>
          <w:rFonts w:ascii="Arial" w:eastAsia="Times New Roman" w:hAnsi="Arial" w:cs="Arial"/>
          <w:bCs/>
          <w:color w:val="000000"/>
          <w:sz w:val="28"/>
          <w:szCs w:val="28"/>
        </w:rPr>
        <w:lastRenderedPageBreak/>
        <w:t>proporcional y con la postulación de candidaturas de los partidos políticos.</w:t>
      </w:r>
    </w:p>
    <w:p w14:paraId="412BDBDA"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p>
    <w:p w14:paraId="4A9E190E"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Por ende, tampoco es factible considerar, como pretende el actor del expediente </w:t>
      </w:r>
      <w:r w:rsidRPr="00F32542">
        <w:rPr>
          <w:rFonts w:ascii="Arial" w:eastAsia="Times New Roman" w:hAnsi="Arial" w:cs="Arial"/>
          <w:b/>
          <w:color w:val="000000"/>
          <w:sz w:val="28"/>
          <w:szCs w:val="28"/>
        </w:rPr>
        <w:t>TECDMX-JLDC-100/2021</w:t>
      </w:r>
      <w:r w:rsidRPr="00F32542">
        <w:rPr>
          <w:rFonts w:ascii="Arial" w:eastAsia="Times New Roman" w:hAnsi="Arial" w:cs="Arial"/>
          <w:bCs/>
          <w:color w:val="000000"/>
          <w:sz w:val="28"/>
          <w:szCs w:val="28"/>
        </w:rPr>
        <w:t>, que la diputación migrante no deba mantener vinculación con un partido político, ya que la postulación fue exclusiva de ese tipo de institutos, sin que se haya presentado impugnación en contra del modo como se instrumentó la elección de esa diputación, lo que generó que esa regla adquiriera firmeza y, por tanto, resultara de observancia forzosa para los contendientes.</w:t>
      </w:r>
    </w:p>
    <w:p w14:paraId="2E340647" w14:textId="77777777" w:rsidR="00F94B48" w:rsidRPr="00F32542" w:rsidRDefault="00F94B48" w:rsidP="004217D4">
      <w:pPr>
        <w:widowControl w:val="0"/>
        <w:spacing w:after="0" w:line="360" w:lineRule="auto"/>
        <w:jc w:val="both"/>
        <w:rPr>
          <w:rFonts w:ascii="Arial" w:eastAsia="Times New Roman" w:hAnsi="Arial" w:cs="Arial"/>
          <w:bCs/>
          <w:color w:val="000000"/>
          <w:sz w:val="28"/>
          <w:szCs w:val="28"/>
        </w:rPr>
      </w:pPr>
    </w:p>
    <w:p w14:paraId="1CE1A39E" w14:textId="77777777" w:rsidR="00F94B48" w:rsidRPr="00F32542" w:rsidRDefault="00F94B48" w:rsidP="004217D4">
      <w:pPr>
        <w:widowControl w:val="0"/>
        <w:spacing w:after="0" w:line="360" w:lineRule="auto"/>
        <w:jc w:val="both"/>
        <w:rPr>
          <w:rFonts w:ascii="Arial" w:eastAsia="Calibri" w:hAnsi="Arial" w:cs="Arial"/>
          <w:sz w:val="28"/>
          <w:szCs w:val="28"/>
        </w:rPr>
      </w:pPr>
      <w:r w:rsidRPr="00F32542">
        <w:rPr>
          <w:rFonts w:ascii="Arial" w:eastAsia="Times New Roman" w:hAnsi="Arial" w:cs="Arial"/>
          <w:bCs/>
          <w:color w:val="000000"/>
          <w:sz w:val="28"/>
          <w:szCs w:val="28"/>
        </w:rPr>
        <w:t xml:space="preserve">Aunado a lo anterior, es importante precisar que el pasado seis de junio tuvo verificativo la elección de la diputación migrante, respecto de la cual en el acuerdo </w:t>
      </w:r>
      <w:r w:rsidRPr="00F32542">
        <w:rPr>
          <w:rFonts w:ascii="Arial" w:eastAsia="Calibri" w:hAnsi="Arial" w:cs="Arial"/>
          <w:b/>
          <w:sz w:val="28"/>
          <w:szCs w:val="28"/>
        </w:rPr>
        <w:t>IECM/ACU-CG-323/2021</w:t>
      </w:r>
      <w:r w:rsidRPr="00F32542">
        <w:rPr>
          <w:rFonts w:ascii="Arial" w:eastAsia="Calibri" w:hAnsi="Arial" w:cs="Arial"/>
          <w:sz w:val="28"/>
          <w:szCs w:val="28"/>
        </w:rPr>
        <w:t xml:space="preserve">, de doce de junio de este año, el Consejo General determinó: </w:t>
      </w:r>
    </w:p>
    <w:p w14:paraId="174EA55D" w14:textId="77777777" w:rsidR="00F94B48" w:rsidRPr="00F32542" w:rsidRDefault="00F94B48" w:rsidP="004217D4">
      <w:pPr>
        <w:widowControl w:val="0"/>
        <w:spacing w:after="0" w:line="360" w:lineRule="auto"/>
        <w:jc w:val="both"/>
        <w:rPr>
          <w:rFonts w:ascii="Arial" w:eastAsia="Calibri" w:hAnsi="Arial" w:cs="Arial"/>
          <w:sz w:val="28"/>
          <w:szCs w:val="28"/>
        </w:rPr>
      </w:pPr>
    </w:p>
    <w:p w14:paraId="3F2AA6C5" w14:textId="77777777" w:rsidR="00F94B48" w:rsidRPr="00F32542" w:rsidRDefault="002E323F" w:rsidP="00F94B48">
      <w:pPr>
        <w:widowControl w:val="0"/>
        <w:spacing w:after="0" w:line="240" w:lineRule="auto"/>
        <w:ind w:left="567" w:right="567"/>
        <w:jc w:val="both"/>
        <w:rPr>
          <w:rFonts w:ascii="Arial" w:eastAsia="Times New Roman" w:hAnsi="Arial" w:cs="Arial"/>
          <w:bCs/>
          <w:color w:val="000000"/>
          <w:sz w:val="24"/>
          <w:szCs w:val="24"/>
        </w:rPr>
      </w:pPr>
      <w:r w:rsidRPr="00F32542">
        <w:rPr>
          <w:rFonts w:ascii="Arial" w:eastAsia="Times New Roman" w:hAnsi="Arial" w:cs="Arial"/>
          <w:color w:val="000000"/>
          <w:sz w:val="24"/>
          <w:szCs w:val="24"/>
        </w:rPr>
        <w:t>“</w:t>
      </w:r>
      <w:r w:rsidR="00F94B48" w:rsidRPr="00F32542">
        <w:rPr>
          <w:rFonts w:ascii="Arial" w:eastAsia="Times New Roman" w:hAnsi="Arial" w:cs="Arial"/>
          <w:b/>
          <w:bCs/>
          <w:color w:val="000000"/>
          <w:sz w:val="24"/>
          <w:szCs w:val="24"/>
        </w:rPr>
        <w:t>PRIMERO.</w:t>
      </w:r>
      <w:r w:rsidR="00F94B48" w:rsidRPr="00F32542">
        <w:rPr>
          <w:rFonts w:ascii="Arial" w:eastAsia="Times New Roman" w:hAnsi="Arial" w:cs="Arial"/>
          <w:bCs/>
          <w:color w:val="000000"/>
          <w:sz w:val="24"/>
          <w:szCs w:val="24"/>
        </w:rPr>
        <w:t xml:space="preserve"> Se aprueba el cómputo total correspondiente a la elección de la Diputación Migrante electa por el principio de representación proporcional, realizado por este órgano superior de dirección, en términos de lo establecido en el Considerando 36 del presente Acuerdo.</w:t>
      </w:r>
    </w:p>
    <w:p w14:paraId="624CA011" w14:textId="77777777" w:rsidR="00F94B48" w:rsidRPr="00F32542" w:rsidRDefault="00F94B48" w:rsidP="00F94B48">
      <w:pPr>
        <w:widowControl w:val="0"/>
        <w:spacing w:after="0" w:line="240" w:lineRule="auto"/>
        <w:ind w:left="567" w:right="567"/>
        <w:jc w:val="both"/>
        <w:rPr>
          <w:rFonts w:ascii="Arial" w:eastAsia="Times New Roman" w:hAnsi="Arial" w:cs="Arial"/>
          <w:bCs/>
          <w:color w:val="000000"/>
          <w:sz w:val="24"/>
          <w:szCs w:val="24"/>
        </w:rPr>
      </w:pPr>
      <w:r w:rsidRPr="00F32542">
        <w:rPr>
          <w:rFonts w:ascii="Arial" w:eastAsia="Times New Roman" w:hAnsi="Arial" w:cs="Arial"/>
          <w:b/>
          <w:bCs/>
          <w:color w:val="000000"/>
          <w:sz w:val="24"/>
          <w:szCs w:val="24"/>
        </w:rPr>
        <w:t>SEGUNDO.</w:t>
      </w:r>
      <w:r w:rsidRPr="00F32542">
        <w:rPr>
          <w:rFonts w:ascii="Arial" w:eastAsia="Times New Roman" w:hAnsi="Arial" w:cs="Arial"/>
          <w:bCs/>
          <w:color w:val="000000"/>
          <w:sz w:val="24"/>
          <w:szCs w:val="24"/>
        </w:rPr>
        <w:t xml:space="preserve"> Se declara la validez de dicha elección en términos de lo expuesto en el Considerando 37 del presente Acuerdo.</w:t>
      </w:r>
    </w:p>
    <w:p w14:paraId="30A59779" w14:textId="77777777" w:rsidR="00F94B48" w:rsidRPr="00F32542" w:rsidRDefault="00F94B48" w:rsidP="00F94B48">
      <w:pPr>
        <w:widowControl w:val="0"/>
        <w:spacing w:after="0" w:line="240" w:lineRule="auto"/>
        <w:ind w:left="567" w:right="567"/>
        <w:jc w:val="both"/>
        <w:rPr>
          <w:rFonts w:ascii="Arial" w:eastAsia="Times New Roman" w:hAnsi="Arial" w:cs="Arial"/>
          <w:bCs/>
          <w:color w:val="000000"/>
          <w:sz w:val="24"/>
          <w:szCs w:val="24"/>
        </w:rPr>
      </w:pPr>
      <w:r w:rsidRPr="00F32542">
        <w:rPr>
          <w:rFonts w:ascii="Arial" w:eastAsia="Times New Roman" w:hAnsi="Arial" w:cs="Arial"/>
          <w:b/>
          <w:bCs/>
          <w:color w:val="000000"/>
          <w:sz w:val="24"/>
          <w:szCs w:val="24"/>
        </w:rPr>
        <w:t>TERCERO.</w:t>
      </w:r>
      <w:r w:rsidRPr="00F32542">
        <w:rPr>
          <w:rFonts w:ascii="Arial" w:eastAsia="Times New Roman" w:hAnsi="Arial" w:cs="Arial"/>
          <w:bCs/>
          <w:color w:val="000000"/>
          <w:sz w:val="24"/>
          <w:szCs w:val="24"/>
        </w:rPr>
        <w:t xml:space="preserve"> En congruencia con el punto de Acuerdo anterior, el Consejo General asigna la Diputación Migrante electa por el principio de representación proporcional en términos del Considerando 36 del presente Acuerdo, por lo que se ordena al </w:t>
      </w:r>
      <w:proofErr w:type="gramStart"/>
      <w:r w:rsidRPr="00F32542">
        <w:rPr>
          <w:rFonts w:ascii="Arial" w:eastAsia="Times New Roman" w:hAnsi="Arial" w:cs="Arial"/>
          <w:bCs/>
          <w:color w:val="000000"/>
          <w:sz w:val="24"/>
          <w:szCs w:val="24"/>
        </w:rPr>
        <w:t>Consejero Presidente</w:t>
      </w:r>
      <w:proofErr w:type="gramEnd"/>
      <w:r w:rsidRPr="00F32542">
        <w:rPr>
          <w:rFonts w:ascii="Arial" w:eastAsia="Times New Roman" w:hAnsi="Arial" w:cs="Arial"/>
          <w:bCs/>
          <w:color w:val="000000"/>
          <w:sz w:val="24"/>
          <w:szCs w:val="24"/>
        </w:rPr>
        <w:t xml:space="preserve"> expida la constancia de asignación proporcional al partido político como a continuación se detalla:</w:t>
      </w:r>
    </w:p>
    <w:p w14:paraId="5BB0DAFE" w14:textId="77777777" w:rsidR="00F94B48" w:rsidRPr="00F32542" w:rsidRDefault="00F94B48" w:rsidP="00F94B48">
      <w:pPr>
        <w:widowControl w:val="0"/>
        <w:spacing w:after="0" w:line="240" w:lineRule="auto"/>
        <w:ind w:left="567" w:right="567"/>
        <w:jc w:val="both"/>
        <w:rPr>
          <w:rFonts w:ascii="Arial" w:eastAsia="Times New Roman" w:hAnsi="Arial" w:cs="Arial"/>
          <w:bCs/>
          <w:color w:val="000000"/>
          <w:sz w:val="24"/>
          <w:szCs w:val="24"/>
        </w:rPr>
      </w:pPr>
    </w:p>
    <w:tbl>
      <w:tblPr>
        <w:tblStyle w:val="Tablaconcuadrcula25"/>
        <w:tblW w:w="0" w:type="auto"/>
        <w:tblInd w:w="567" w:type="dxa"/>
        <w:tblLook w:val="04A0" w:firstRow="1" w:lastRow="0" w:firstColumn="1" w:lastColumn="0" w:noHBand="0" w:noVBand="1"/>
      </w:tblPr>
      <w:tblGrid>
        <w:gridCol w:w="1097"/>
        <w:gridCol w:w="3009"/>
        <w:gridCol w:w="3086"/>
      </w:tblGrid>
      <w:tr w:rsidR="00F94B48" w:rsidRPr="00F32542" w14:paraId="3FDCF8EC" w14:textId="77777777" w:rsidTr="00B65D24">
        <w:tc>
          <w:tcPr>
            <w:tcW w:w="7192" w:type="dxa"/>
            <w:gridSpan w:val="3"/>
            <w:shd w:val="clear" w:color="auto" w:fill="7030A0"/>
            <w:vAlign w:val="center"/>
          </w:tcPr>
          <w:p w14:paraId="2ACE1A8A" w14:textId="77777777" w:rsidR="00F94B48" w:rsidRPr="00F32542" w:rsidRDefault="00F94B48" w:rsidP="00F94B48">
            <w:pPr>
              <w:widowControl w:val="0"/>
              <w:spacing w:after="0" w:line="240" w:lineRule="auto"/>
              <w:jc w:val="center"/>
              <w:rPr>
                <w:rFonts w:ascii="Arial" w:eastAsia="Times New Roman" w:hAnsi="Arial" w:cs="Arial"/>
                <w:bCs/>
                <w:color w:val="FFFFFF"/>
                <w:sz w:val="18"/>
                <w:szCs w:val="18"/>
              </w:rPr>
            </w:pPr>
            <w:r w:rsidRPr="00F32542">
              <w:rPr>
                <w:rFonts w:ascii="Arial" w:eastAsia="Times New Roman" w:hAnsi="Arial" w:cs="Arial"/>
                <w:bCs/>
                <w:color w:val="FFFFFF"/>
                <w:sz w:val="18"/>
                <w:szCs w:val="18"/>
              </w:rPr>
              <w:t>PARTIDO ACCIÓN NACIONAL</w:t>
            </w:r>
          </w:p>
        </w:tc>
      </w:tr>
      <w:tr w:rsidR="00F94B48" w:rsidRPr="00F32542" w14:paraId="6323CAF7" w14:textId="77777777" w:rsidTr="00F94B48">
        <w:tc>
          <w:tcPr>
            <w:tcW w:w="1097" w:type="dxa"/>
            <w:shd w:val="clear" w:color="auto" w:fill="BFBFBF"/>
            <w:vAlign w:val="center"/>
          </w:tcPr>
          <w:p w14:paraId="1B4658F1" w14:textId="77777777" w:rsidR="00F94B48" w:rsidRPr="00F32542" w:rsidRDefault="00F94B48" w:rsidP="00F94B48">
            <w:pPr>
              <w:widowControl w:val="0"/>
              <w:spacing w:after="0" w:line="240" w:lineRule="auto"/>
              <w:jc w:val="center"/>
              <w:rPr>
                <w:rFonts w:ascii="Arial" w:eastAsia="Times New Roman" w:hAnsi="Arial" w:cs="Arial"/>
                <w:bCs/>
                <w:color w:val="000000"/>
                <w:sz w:val="18"/>
                <w:szCs w:val="18"/>
              </w:rPr>
            </w:pPr>
            <w:r w:rsidRPr="00F32542">
              <w:rPr>
                <w:rFonts w:ascii="Arial" w:eastAsia="Times New Roman" w:hAnsi="Arial" w:cs="Arial"/>
                <w:bCs/>
                <w:color w:val="000000"/>
                <w:sz w:val="18"/>
                <w:szCs w:val="18"/>
              </w:rPr>
              <w:t>FÓRMULA</w:t>
            </w:r>
          </w:p>
        </w:tc>
        <w:tc>
          <w:tcPr>
            <w:tcW w:w="3009" w:type="dxa"/>
            <w:shd w:val="clear" w:color="auto" w:fill="BFBFBF"/>
            <w:vAlign w:val="center"/>
          </w:tcPr>
          <w:p w14:paraId="74CEDBE8" w14:textId="77777777" w:rsidR="00F94B48" w:rsidRPr="00F32542" w:rsidRDefault="00F94B48" w:rsidP="00F94B48">
            <w:pPr>
              <w:widowControl w:val="0"/>
              <w:spacing w:after="0" w:line="240" w:lineRule="auto"/>
              <w:jc w:val="center"/>
              <w:rPr>
                <w:rFonts w:ascii="Arial" w:eastAsia="Times New Roman" w:hAnsi="Arial" w:cs="Arial"/>
                <w:bCs/>
                <w:color w:val="000000"/>
                <w:sz w:val="18"/>
                <w:szCs w:val="18"/>
              </w:rPr>
            </w:pPr>
            <w:r w:rsidRPr="00F32542">
              <w:rPr>
                <w:rFonts w:ascii="Arial" w:eastAsia="Times New Roman" w:hAnsi="Arial" w:cs="Arial"/>
                <w:bCs/>
                <w:color w:val="000000"/>
                <w:sz w:val="18"/>
                <w:szCs w:val="18"/>
              </w:rPr>
              <w:t>CANDIDATURA PROPIETARIA</w:t>
            </w:r>
          </w:p>
        </w:tc>
        <w:tc>
          <w:tcPr>
            <w:tcW w:w="3086" w:type="dxa"/>
            <w:shd w:val="clear" w:color="auto" w:fill="BFBFBF"/>
            <w:vAlign w:val="center"/>
          </w:tcPr>
          <w:p w14:paraId="3ED742A0" w14:textId="77777777" w:rsidR="00F94B48" w:rsidRPr="00F32542" w:rsidRDefault="00F94B48" w:rsidP="00F94B48">
            <w:pPr>
              <w:widowControl w:val="0"/>
              <w:spacing w:after="0" w:line="240" w:lineRule="auto"/>
              <w:jc w:val="center"/>
              <w:rPr>
                <w:rFonts w:ascii="Arial" w:eastAsia="Times New Roman" w:hAnsi="Arial" w:cs="Arial"/>
                <w:bCs/>
                <w:color w:val="000000"/>
                <w:sz w:val="18"/>
                <w:szCs w:val="18"/>
              </w:rPr>
            </w:pPr>
            <w:r w:rsidRPr="00F32542">
              <w:rPr>
                <w:rFonts w:ascii="Arial" w:eastAsia="Times New Roman" w:hAnsi="Arial" w:cs="Arial"/>
                <w:bCs/>
                <w:color w:val="000000"/>
                <w:sz w:val="18"/>
                <w:szCs w:val="18"/>
              </w:rPr>
              <w:t>CANDIDATURA SUPLENTE</w:t>
            </w:r>
          </w:p>
        </w:tc>
      </w:tr>
      <w:tr w:rsidR="00F94B48" w:rsidRPr="00F32542" w14:paraId="51AF0F76" w14:textId="77777777" w:rsidTr="00B65D24">
        <w:tc>
          <w:tcPr>
            <w:tcW w:w="1097" w:type="dxa"/>
            <w:vAlign w:val="center"/>
          </w:tcPr>
          <w:p w14:paraId="6F2E5393" w14:textId="77777777" w:rsidR="00F94B48" w:rsidRPr="00F32542" w:rsidRDefault="00F94B48" w:rsidP="00F94B48">
            <w:pPr>
              <w:widowControl w:val="0"/>
              <w:spacing w:after="0" w:line="240" w:lineRule="auto"/>
              <w:jc w:val="center"/>
              <w:rPr>
                <w:rFonts w:ascii="Arial" w:eastAsia="Times New Roman" w:hAnsi="Arial" w:cs="Arial"/>
                <w:bCs/>
                <w:color w:val="000000"/>
                <w:sz w:val="18"/>
                <w:szCs w:val="18"/>
              </w:rPr>
            </w:pPr>
            <w:r w:rsidRPr="00F32542">
              <w:rPr>
                <w:rFonts w:ascii="Arial" w:eastAsia="Times New Roman" w:hAnsi="Arial" w:cs="Arial"/>
                <w:bCs/>
                <w:color w:val="000000"/>
                <w:sz w:val="18"/>
                <w:szCs w:val="18"/>
              </w:rPr>
              <w:t>1</w:t>
            </w:r>
          </w:p>
        </w:tc>
        <w:tc>
          <w:tcPr>
            <w:tcW w:w="3009" w:type="dxa"/>
            <w:vAlign w:val="center"/>
          </w:tcPr>
          <w:p w14:paraId="5F49132E" w14:textId="77777777" w:rsidR="00F94B48" w:rsidRPr="00F32542" w:rsidRDefault="00F94B48" w:rsidP="00F94B48">
            <w:pPr>
              <w:widowControl w:val="0"/>
              <w:spacing w:after="0" w:line="240" w:lineRule="auto"/>
              <w:jc w:val="center"/>
              <w:rPr>
                <w:rFonts w:ascii="Arial" w:eastAsia="Times New Roman" w:hAnsi="Arial" w:cs="Arial"/>
                <w:bCs/>
                <w:color w:val="000000"/>
                <w:sz w:val="18"/>
                <w:szCs w:val="18"/>
              </w:rPr>
            </w:pPr>
            <w:r w:rsidRPr="00F32542">
              <w:rPr>
                <w:rFonts w:ascii="Arial" w:eastAsia="Times New Roman" w:hAnsi="Arial" w:cs="Arial"/>
                <w:bCs/>
                <w:color w:val="000000"/>
                <w:sz w:val="18"/>
                <w:szCs w:val="18"/>
              </w:rPr>
              <w:t>Raúl de Jesús Torres Guerrero</w:t>
            </w:r>
          </w:p>
        </w:tc>
        <w:tc>
          <w:tcPr>
            <w:tcW w:w="3086" w:type="dxa"/>
            <w:vAlign w:val="center"/>
          </w:tcPr>
          <w:p w14:paraId="1171B164" w14:textId="77777777" w:rsidR="00F94B48" w:rsidRPr="00F32542" w:rsidRDefault="00F94B48" w:rsidP="00F94B48">
            <w:pPr>
              <w:widowControl w:val="0"/>
              <w:spacing w:after="0" w:line="240" w:lineRule="auto"/>
              <w:jc w:val="center"/>
              <w:rPr>
                <w:rFonts w:ascii="Arial" w:eastAsia="Times New Roman" w:hAnsi="Arial" w:cs="Arial"/>
                <w:bCs/>
                <w:color w:val="000000"/>
                <w:sz w:val="18"/>
                <w:szCs w:val="18"/>
              </w:rPr>
            </w:pPr>
            <w:r w:rsidRPr="00F32542">
              <w:rPr>
                <w:rFonts w:ascii="Arial" w:eastAsia="Times New Roman" w:hAnsi="Arial" w:cs="Arial"/>
                <w:bCs/>
                <w:color w:val="000000"/>
                <w:sz w:val="18"/>
                <w:szCs w:val="18"/>
              </w:rPr>
              <w:t>Nancy Viridiana Rangel López</w:t>
            </w:r>
          </w:p>
        </w:tc>
      </w:tr>
    </w:tbl>
    <w:p w14:paraId="43F0FC4E" w14:textId="77777777" w:rsidR="00F94B48" w:rsidRPr="00F32542" w:rsidRDefault="002E323F" w:rsidP="002E323F">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ab/>
      </w:r>
    </w:p>
    <w:p w14:paraId="0F0C1F65" w14:textId="77777777" w:rsidR="00F94B48" w:rsidRPr="00F32542" w:rsidRDefault="00F94B48" w:rsidP="002E323F">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Esto es, el Consejo General declaró la validez de la elección de la diputación migrante y asignó la curul de representación proporcional </w:t>
      </w:r>
      <w:r w:rsidRPr="00F32542">
        <w:rPr>
          <w:rFonts w:ascii="Arial" w:eastAsia="Times New Roman" w:hAnsi="Arial" w:cs="Arial"/>
          <w:bCs/>
          <w:color w:val="000000"/>
          <w:sz w:val="28"/>
          <w:szCs w:val="28"/>
        </w:rPr>
        <w:lastRenderedPageBreak/>
        <w:t xml:space="preserve">correspondiente al PAN, porque la fórmula de personas candidaturas que postuló fue la que obtuvo la mayoría de </w:t>
      </w:r>
      <w:proofErr w:type="gramStart"/>
      <w:r w:rsidRPr="00F32542">
        <w:rPr>
          <w:rFonts w:ascii="Arial" w:eastAsia="Times New Roman" w:hAnsi="Arial" w:cs="Arial"/>
          <w:bCs/>
          <w:color w:val="000000"/>
          <w:sz w:val="28"/>
          <w:szCs w:val="28"/>
        </w:rPr>
        <w:t>votos</w:t>
      </w:r>
      <w:proofErr w:type="gramEnd"/>
      <w:r w:rsidRPr="00F32542">
        <w:rPr>
          <w:rFonts w:ascii="Arial" w:eastAsia="Times New Roman" w:hAnsi="Arial" w:cs="Arial"/>
          <w:bCs/>
          <w:color w:val="000000"/>
          <w:sz w:val="28"/>
          <w:szCs w:val="28"/>
        </w:rPr>
        <w:t xml:space="preserve"> emitidos. </w:t>
      </w:r>
    </w:p>
    <w:p w14:paraId="5F1D1E1C" w14:textId="77777777" w:rsidR="00F94B48" w:rsidRPr="00F32542" w:rsidRDefault="00F94B48" w:rsidP="002E323F">
      <w:pPr>
        <w:widowControl w:val="0"/>
        <w:spacing w:after="0" w:line="360" w:lineRule="auto"/>
        <w:jc w:val="both"/>
        <w:rPr>
          <w:rFonts w:ascii="Arial" w:eastAsia="Times New Roman" w:hAnsi="Arial" w:cs="Arial"/>
          <w:bCs/>
          <w:color w:val="000000"/>
          <w:sz w:val="28"/>
          <w:szCs w:val="28"/>
        </w:rPr>
      </w:pPr>
    </w:p>
    <w:p w14:paraId="7B190FC1" w14:textId="77777777" w:rsidR="00F94B48" w:rsidRPr="00F32542" w:rsidRDefault="00F94B48" w:rsidP="002E323F">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De manera que sería jurídicamente inaceptable considerar procedente la pretensión de las </w:t>
      </w:r>
      <w:r w:rsidRPr="00F32542">
        <w:rPr>
          <w:rFonts w:ascii="Arial" w:eastAsia="Times New Roman" w:hAnsi="Arial" w:cs="Arial"/>
          <w:bCs/>
          <w:i/>
          <w:color w:val="000000"/>
          <w:sz w:val="28"/>
          <w:szCs w:val="28"/>
        </w:rPr>
        <w:t xml:space="preserve">partes actoras </w:t>
      </w:r>
      <w:r w:rsidRPr="00F32542">
        <w:rPr>
          <w:rFonts w:ascii="Arial" w:eastAsia="Times New Roman" w:hAnsi="Arial" w:cs="Arial"/>
          <w:bCs/>
          <w:color w:val="000000"/>
          <w:sz w:val="28"/>
          <w:szCs w:val="28"/>
        </w:rPr>
        <w:t xml:space="preserve">de desvincular a la diputación migrante a su postulación por un partido político </w:t>
      </w:r>
      <w:r w:rsidR="005D5BA5" w:rsidRPr="00F32542">
        <w:rPr>
          <w:rFonts w:ascii="Arial" w:eastAsia="Times New Roman" w:hAnsi="Arial" w:cs="Arial"/>
          <w:bCs/>
          <w:color w:val="000000"/>
          <w:sz w:val="28"/>
          <w:szCs w:val="28"/>
        </w:rPr>
        <w:t>—</w:t>
      </w:r>
      <w:r w:rsidRPr="00F32542">
        <w:rPr>
          <w:rFonts w:ascii="Arial" w:eastAsia="Times New Roman" w:hAnsi="Arial" w:cs="Arial"/>
          <w:b/>
          <w:color w:val="000000"/>
          <w:sz w:val="28"/>
          <w:szCs w:val="28"/>
        </w:rPr>
        <w:t>TECDMX-JLDC-100/2021</w:t>
      </w:r>
      <w:r w:rsidR="005D5BA5" w:rsidRPr="00F32542">
        <w:rPr>
          <w:rFonts w:ascii="Arial" w:eastAsia="Times New Roman" w:hAnsi="Arial" w:cs="Arial"/>
          <w:bCs/>
          <w:color w:val="000000"/>
          <w:sz w:val="28"/>
          <w:szCs w:val="28"/>
        </w:rPr>
        <w:t>—</w:t>
      </w:r>
      <w:r w:rsidRPr="00F32542">
        <w:rPr>
          <w:rFonts w:ascii="Arial" w:eastAsia="Times New Roman" w:hAnsi="Arial" w:cs="Arial"/>
          <w:bCs/>
          <w:color w:val="000000"/>
          <w:sz w:val="28"/>
          <w:szCs w:val="28"/>
        </w:rPr>
        <w:t xml:space="preserve">, revisar su método de elección </w:t>
      </w:r>
      <w:r w:rsidR="005D5BA5" w:rsidRPr="00F32542">
        <w:rPr>
          <w:rFonts w:ascii="Arial" w:eastAsia="Times New Roman" w:hAnsi="Arial" w:cs="Arial"/>
          <w:bCs/>
          <w:color w:val="000000"/>
          <w:sz w:val="28"/>
          <w:szCs w:val="28"/>
        </w:rPr>
        <w:t>—</w:t>
      </w:r>
      <w:r w:rsidRPr="00F32542">
        <w:rPr>
          <w:rFonts w:ascii="Arial" w:eastAsia="Times New Roman" w:hAnsi="Arial" w:cs="Arial"/>
          <w:b/>
          <w:color w:val="000000"/>
          <w:sz w:val="28"/>
          <w:szCs w:val="28"/>
        </w:rPr>
        <w:t>TECDMX-JEL-205/2021</w:t>
      </w:r>
      <w:r w:rsidR="005D5BA5" w:rsidRPr="00F32542">
        <w:rPr>
          <w:rFonts w:ascii="Arial" w:eastAsia="Times New Roman" w:hAnsi="Arial" w:cs="Arial"/>
          <w:bCs/>
          <w:color w:val="000000"/>
          <w:sz w:val="28"/>
          <w:szCs w:val="28"/>
        </w:rPr>
        <w:t>—</w:t>
      </w:r>
      <w:r w:rsidRPr="00F32542">
        <w:rPr>
          <w:rFonts w:ascii="Arial" w:eastAsia="Times New Roman" w:hAnsi="Arial" w:cs="Arial"/>
          <w:bCs/>
          <w:color w:val="000000"/>
          <w:sz w:val="28"/>
          <w:szCs w:val="28"/>
        </w:rPr>
        <w:t xml:space="preserve"> así como de declarar la nulidad de la elección </w:t>
      </w:r>
      <w:r w:rsidR="005D5BA5" w:rsidRPr="00F32542">
        <w:rPr>
          <w:rFonts w:ascii="Arial" w:eastAsia="Times New Roman" w:hAnsi="Arial" w:cs="Arial"/>
          <w:bCs/>
          <w:color w:val="000000"/>
          <w:sz w:val="28"/>
          <w:szCs w:val="28"/>
        </w:rPr>
        <w:t>—</w:t>
      </w:r>
      <w:r w:rsidRPr="00F32542">
        <w:rPr>
          <w:rFonts w:ascii="Arial" w:eastAsia="Times New Roman" w:hAnsi="Arial" w:cs="Arial"/>
          <w:b/>
          <w:color w:val="000000"/>
          <w:sz w:val="28"/>
          <w:szCs w:val="28"/>
        </w:rPr>
        <w:t>TECDMX-JLDC-102/2021</w:t>
      </w:r>
      <w:r w:rsidR="005D5BA5" w:rsidRPr="00F32542">
        <w:rPr>
          <w:rFonts w:ascii="Arial" w:eastAsia="Times New Roman" w:hAnsi="Arial" w:cs="Arial"/>
          <w:bCs/>
          <w:color w:val="000000"/>
          <w:sz w:val="28"/>
          <w:szCs w:val="28"/>
        </w:rPr>
        <w:t>—</w:t>
      </w:r>
      <w:r w:rsidRPr="00F32542">
        <w:rPr>
          <w:rFonts w:ascii="Arial" w:eastAsia="Times New Roman" w:hAnsi="Arial" w:cs="Arial"/>
          <w:bCs/>
          <w:color w:val="000000"/>
          <w:sz w:val="28"/>
          <w:szCs w:val="28"/>
        </w:rPr>
        <w:t>.</w:t>
      </w:r>
    </w:p>
    <w:p w14:paraId="0B7E5B6C" w14:textId="77777777" w:rsidR="00F94B48" w:rsidRPr="00F32542" w:rsidRDefault="00F94B48" w:rsidP="002E323F">
      <w:pPr>
        <w:widowControl w:val="0"/>
        <w:spacing w:after="0" w:line="360" w:lineRule="auto"/>
        <w:jc w:val="both"/>
        <w:rPr>
          <w:rFonts w:ascii="Arial" w:eastAsia="Times New Roman" w:hAnsi="Arial" w:cs="Arial"/>
          <w:bCs/>
          <w:color w:val="000000"/>
          <w:sz w:val="28"/>
          <w:szCs w:val="28"/>
        </w:rPr>
      </w:pPr>
    </w:p>
    <w:p w14:paraId="0985FEE7" w14:textId="77777777" w:rsidR="00F94B48" w:rsidRPr="00F32542" w:rsidRDefault="00F94B48" w:rsidP="002E323F">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Esto, aunado a que, según se expuso, el que se reservara una posición plurinominal a la diputación migrante, para nada implicó que se dejaran de asignar las treinta y tres posiciones de representación proporcional, mismas que prevalecen en la integración del Congreso local y si bien, para correr la fórmula de asignación se partió de la repartición de treinta y dos diputaciones, ello encuentra justificación en la mencionada reserva a favor de la diputación migrante, como medida para instrumentar y hacer funcional esa figura, prevista en los </w:t>
      </w:r>
      <w:r w:rsidRPr="00F32542">
        <w:rPr>
          <w:rFonts w:ascii="Arial" w:eastAsia="Times New Roman" w:hAnsi="Arial" w:cs="Arial"/>
          <w:bCs/>
          <w:i/>
          <w:iCs/>
          <w:color w:val="000000"/>
          <w:sz w:val="28"/>
          <w:szCs w:val="28"/>
        </w:rPr>
        <w:t>Lineamientos para la postulación</w:t>
      </w:r>
      <w:r w:rsidRPr="00F32542">
        <w:rPr>
          <w:rFonts w:ascii="Arial" w:eastAsia="Times New Roman" w:hAnsi="Arial" w:cs="Arial"/>
          <w:bCs/>
          <w:color w:val="000000"/>
          <w:sz w:val="28"/>
          <w:szCs w:val="28"/>
        </w:rPr>
        <w:t xml:space="preserve"> que alcanzaron firmeza sin ser controvertidos.</w:t>
      </w:r>
    </w:p>
    <w:p w14:paraId="74908E06" w14:textId="77777777" w:rsidR="00F94B48" w:rsidRPr="00F32542" w:rsidRDefault="00F94B48" w:rsidP="002E323F">
      <w:pPr>
        <w:widowControl w:val="0"/>
        <w:spacing w:after="0" w:line="360" w:lineRule="auto"/>
        <w:jc w:val="both"/>
        <w:rPr>
          <w:rFonts w:ascii="Arial" w:eastAsia="Times New Roman" w:hAnsi="Arial" w:cs="Arial"/>
          <w:bCs/>
          <w:color w:val="000000"/>
          <w:sz w:val="28"/>
          <w:szCs w:val="28"/>
        </w:rPr>
      </w:pPr>
    </w:p>
    <w:p w14:paraId="68A57F87" w14:textId="77777777" w:rsidR="00F94B48" w:rsidRPr="00F32542" w:rsidRDefault="00F94B48" w:rsidP="002E323F">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Mientras, dado que el PAN obtuvo el derecho a la asignación de representación proporcional de la curul correspondiente, al haber obtenido la mayoría de </w:t>
      </w:r>
      <w:proofErr w:type="gramStart"/>
      <w:r w:rsidRPr="00F32542">
        <w:rPr>
          <w:rFonts w:ascii="Arial" w:eastAsia="Times New Roman" w:hAnsi="Arial" w:cs="Arial"/>
          <w:bCs/>
          <w:color w:val="000000"/>
          <w:sz w:val="28"/>
          <w:szCs w:val="28"/>
        </w:rPr>
        <w:t>votos</w:t>
      </w:r>
      <w:proofErr w:type="gramEnd"/>
      <w:r w:rsidRPr="00F32542">
        <w:rPr>
          <w:rFonts w:ascii="Arial" w:eastAsia="Times New Roman" w:hAnsi="Arial" w:cs="Arial"/>
          <w:bCs/>
          <w:color w:val="000000"/>
          <w:sz w:val="28"/>
          <w:szCs w:val="28"/>
        </w:rPr>
        <w:t xml:space="preserve"> para ello, y toda vez que ese triunfo y consecuente asignación de la diputación migrante </w:t>
      </w:r>
      <w:r w:rsidRPr="00F32542">
        <w:rPr>
          <w:rFonts w:ascii="Arial" w:eastAsia="Times New Roman" w:hAnsi="Arial" w:cs="Arial"/>
          <w:b/>
          <w:bCs/>
          <w:color w:val="000000"/>
          <w:sz w:val="28"/>
          <w:szCs w:val="28"/>
        </w:rPr>
        <w:t xml:space="preserve">no fueron combatidos por vicios propios, que, al ser analizados por este </w:t>
      </w:r>
      <w:r w:rsidRPr="00F32542">
        <w:rPr>
          <w:rFonts w:ascii="Arial" w:eastAsia="Times New Roman" w:hAnsi="Arial" w:cs="Arial"/>
          <w:b/>
          <w:bCs/>
          <w:i/>
          <w:color w:val="000000"/>
          <w:sz w:val="28"/>
          <w:szCs w:val="28"/>
        </w:rPr>
        <w:t>Tribunal Electoral</w:t>
      </w:r>
      <w:r w:rsidRPr="00F32542">
        <w:rPr>
          <w:rFonts w:ascii="Arial" w:eastAsia="Times New Roman" w:hAnsi="Arial" w:cs="Arial"/>
          <w:b/>
          <w:bCs/>
          <w:color w:val="000000"/>
          <w:sz w:val="28"/>
          <w:szCs w:val="28"/>
        </w:rPr>
        <w:t>, permitieran desvirtuar su validez,</w:t>
      </w:r>
      <w:r w:rsidRPr="00F32542">
        <w:rPr>
          <w:rFonts w:ascii="Arial" w:eastAsia="Times New Roman" w:hAnsi="Arial" w:cs="Arial"/>
          <w:bCs/>
          <w:color w:val="000000"/>
          <w:sz w:val="28"/>
          <w:szCs w:val="28"/>
        </w:rPr>
        <w:t xml:space="preserve"> tales actos deben permanece</w:t>
      </w:r>
      <w:r w:rsidR="00DA2DE7" w:rsidRPr="00F32542">
        <w:rPr>
          <w:rFonts w:ascii="Arial" w:eastAsia="Times New Roman" w:hAnsi="Arial" w:cs="Arial"/>
          <w:bCs/>
          <w:color w:val="000000"/>
          <w:sz w:val="28"/>
          <w:szCs w:val="28"/>
        </w:rPr>
        <w:t>r</w:t>
      </w:r>
      <w:r w:rsidRPr="00F32542">
        <w:rPr>
          <w:rFonts w:ascii="Arial" w:eastAsia="Times New Roman" w:hAnsi="Arial" w:cs="Arial"/>
          <w:bCs/>
          <w:color w:val="000000"/>
          <w:sz w:val="28"/>
          <w:szCs w:val="28"/>
        </w:rPr>
        <w:t xml:space="preserve"> firmes y surtir todos sus efectos legales.</w:t>
      </w:r>
    </w:p>
    <w:p w14:paraId="301A47EB" w14:textId="77777777" w:rsidR="00F94B48" w:rsidRPr="00F32542" w:rsidRDefault="00F94B48" w:rsidP="002E323F">
      <w:pPr>
        <w:widowControl w:val="0"/>
        <w:spacing w:after="0" w:line="360" w:lineRule="auto"/>
        <w:jc w:val="both"/>
        <w:rPr>
          <w:rFonts w:ascii="Arial" w:eastAsia="Times New Roman" w:hAnsi="Arial" w:cs="Arial"/>
          <w:bCs/>
          <w:color w:val="000000"/>
          <w:sz w:val="28"/>
          <w:szCs w:val="28"/>
        </w:rPr>
      </w:pPr>
    </w:p>
    <w:p w14:paraId="7B45CF18" w14:textId="77777777" w:rsidR="00F94B48" w:rsidRPr="00F32542" w:rsidRDefault="00F94B48" w:rsidP="002E323F">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lastRenderedPageBreak/>
        <w:t xml:space="preserve">Máxime, cuando cualquier pretensión de dejar sin efectos los señalados lineamientos, o bien, la implementación de esa figura recurriendo a un espacio plurinominal, significaría una vulneración al principio de certeza, rector en materia electoral, pues se alterarían las reglas de los comicios de la diputación migrante, después de celebrados los mismos, en perjuicio de la ciudadanía que ya ejerció su derecho al voto, a sabiendas de que la candidatura vencedora ocuparía una curul de representación plurinominal a fin de hacerla funcional. </w:t>
      </w:r>
    </w:p>
    <w:p w14:paraId="4026CBEC" w14:textId="77777777" w:rsidR="00F94B48" w:rsidRPr="00F32542" w:rsidRDefault="00F94B48" w:rsidP="002E323F">
      <w:pPr>
        <w:widowControl w:val="0"/>
        <w:spacing w:after="0" w:line="360" w:lineRule="auto"/>
        <w:jc w:val="both"/>
        <w:rPr>
          <w:rFonts w:ascii="Arial" w:eastAsia="Times New Roman" w:hAnsi="Arial" w:cs="Arial"/>
          <w:bCs/>
          <w:color w:val="000000"/>
          <w:sz w:val="28"/>
          <w:szCs w:val="28"/>
        </w:rPr>
      </w:pPr>
    </w:p>
    <w:p w14:paraId="2B69EE7C" w14:textId="77777777" w:rsidR="00F94B48" w:rsidRPr="00F32542" w:rsidRDefault="00F94B48" w:rsidP="002E323F">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Ello, porque a estas alturas del proceso electoral, la etapa de registro de las candidaturas a la diputación migrante, e incluso, su sometimiento a la voluntad del electorado —que ya ha emitido su voto por las diferentes alternativas contendientes por ese escaño— desde luego se han consumado.</w:t>
      </w:r>
    </w:p>
    <w:p w14:paraId="19EEC50B" w14:textId="77777777" w:rsidR="00F94B48" w:rsidRPr="00F32542" w:rsidRDefault="00F94B48" w:rsidP="002E323F">
      <w:pPr>
        <w:widowControl w:val="0"/>
        <w:spacing w:after="0" w:line="360" w:lineRule="auto"/>
        <w:jc w:val="both"/>
        <w:rPr>
          <w:rFonts w:ascii="Arial" w:eastAsia="Times New Roman" w:hAnsi="Arial" w:cs="Arial"/>
          <w:bCs/>
          <w:color w:val="000000"/>
          <w:sz w:val="28"/>
          <w:szCs w:val="28"/>
        </w:rPr>
      </w:pPr>
    </w:p>
    <w:p w14:paraId="780A0119" w14:textId="77777777" w:rsidR="00F94B48" w:rsidRPr="00F32542" w:rsidRDefault="00F94B48" w:rsidP="002E323F">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Por consiguiente, la pretensión de dejar sin efectos la elección de la diputación migrante a través del principio de representación proporcional, no puede ser concedida cuando es motivada solamente en la incidencia que la implementación de esa figura provocó en la distribución y asignación de los restantes escaños plurinominales, o en la sobrerrepresentación de algún partido político, pero no en defectos o vicios propios en la votación, los resultados o en alguna de las etapas de los comicios de tal diputación, que en razón al método como se instrumentó su elección, hayan ocasionado perjuicio a los contendientes o al electorado en el mismo proceso, o incluso, al sector migrante a favor de cuya representación se instituyó esa figura; aspectos respecto a los cuales, las </w:t>
      </w:r>
      <w:r w:rsidRPr="00F32542">
        <w:rPr>
          <w:rFonts w:ascii="Arial" w:eastAsia="Times New Roman" w:hAnsi="Arial" w:cs="Arial"/>
          <w:bCs/>
          <w:i/>
          <w:iCs/>
          <w:color w:val="000000"/>
          <w:sz w:val="28"/>
          <w:szCs w:val="28"/>
        </w:rPr>
        <w:t>partes actoras</w:t>
      </w:r>
      <w:r w:rsidRPr="00F32542">
        <w:rPr>
          <w:rFonts w:ascii="Arial" w:eastAsia="Times New Roman" w:hAnsi="Arial" w:cs="Arial"/>
          <w:bCs/>
          <w:color w:val="000000"/>
          <w:sz w:val="28"/>
          <w:szCs w:val="28"/>
        </w:rPr>
        <w:t xml:space="preserve"> no enderezan agravio alguno.</w:t>
      </w:r>
    </w:p>
    <w:p w14:paraId="32D90E93" w14:textId="77777777" w:rsidR="00F94B48" w:rsidRPr="00F32542" w:rsidRDefault="00F94B48" w:rsidP="002E323F">
      <w:pPr>
        <w:widowControl w:val="0"/>
        <w:spacing w:after="0" w:line="360" w:lineRule="auto"/>
        <w:jc w:val="both"/>
        <w:rPr>
          <w:rFonts w:ascii="Arial" w:eastAsia="Times New Roman" w:hAnsi="Arial" w:cs="Arial"/>
          <w:bCs/>
          <w:color w:val="000000"/>
          <w:sz w:val="28"/>
          <w:szCs w:val="28"/>
        </w:rPr>
      </w:pPr>
    </w:p>
    <w:p w14:paraId="4C10E5DC" w14:textId="77777777" w:rsidR="00F94B48" w:rsidRPr="00F32542" w:rsidRDefault="00F94B48" w:rsidP="002E323F">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Cuestión diferente es que, como se atenderá en apartados subsecuentes de esta sentencia, deba dilucidarse si fue correcta o no la manera como la asignación de una posición plurinominal a la candidatura ganadora de la elección de la diputación </w:t>
      </w:r>
      <w:proofErr w:type="gramStart"/>
      <w:r w:rsidRPr="00F32542">
        <w:rPr>
          <w:rFonts w:ascii="Arial" w:eastAsia="Times New Roman" w:hAnsi="Arial" w:cs="Arial"/>
          <w:bCs/>
          <w:color w:val="000000"/>
          <w:sz w:val="28"/>
          <w:szCs w:val="28"/>
        </w:rPr>
        <w:t>migrante,</w:t>
      </w:r>
      <w:proofErr w:type="gramEnd"/>
      <w:r w:rsidRPr="00F32542">
        <w:rPr>
          <w:rFonts w:ascii="Arial" w:eastAsia="Times New Roman" w:hAnsi="Arial" w:cs="Arial"/>
          <w:bCs/>
          <w:color w:val="000000"/>
          <w:sz w:val="28"/>
          <w:szCs w:val="28"/>
        </w:rPr>
        <w:t xml:space="preserve"> repercutió en la integración de las listas del partido político postulante de tal candidatura y, por ende, en la asignación de las otras curules de representación proporcional o en la sobrerrepresentación de dicho partido.</w:t>
      </w:r>
    </w:p>
    <w:p w14:paraId="3F4EF533" w14:textId="77777777" w:rsidR="00F94B48" w:rsidRPr="00F32542" w:rsidRDefault="00F94B48" w:rsidP="002E323F">
      <w:pPr>
        <w:widowControl w:val="0"/>
        <w:spacing w:after="0" w:line="360" w:lineRule="auto"/>
        <w:jc w:val="both"/>
        <w:rPr>
          <w:rFonts w:ascii="Arial" w:eastAsia="Times New Roman" w:hAnsi="Arial" w:cs="Arial"/>
          <w:bCs/>
          <w:color w:val="000000"/>
          <w:sz w:val="28"/>
          <w:szCs w:val="28"/>
        </w:rPr>
      </w:pPr>
    </w:p>
    <w:p w14:paraId="53217BEB" w14:textId="77777777" w:rsidR="00F94B48" w:rsidRPr="00F32542" w:rsidRDefault="00F94B48" w:rsidP="002E323F">
      <w:pPr>
        <w:widowControl w:val="0"/>
        <w:spacing w:after="0" w:line="360" w:lineRule="auto"/>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Aspectos que resultan independientes y, por tanto, pueden esclarecerse sin estar supeditados al presupuesto de dejar sin efectos el marco reglamentario y las acciones ejecutadas por el IECM para lograr la implementación de la elección de la diputación migrante, lo </w:t>
      </w:r>
      <w:proofErr w:type="gramStart"/>
      <w:r w:rsidRPr="00F32542">
        <w:rPr>
          <w:rFonts w:ascii="Arial" w:eastAsia="Times New Roman" w:hAnsi="Arial" w:cs="Arial"/>
          <w:bCs/>
          <w:color w:val="000000"/>
          <w:sz w:val="28"/>
          <w:szCs w:val="28"/>
        </w:rPr>
        <w:t>cual</w:t>
      </w:r>
      <w:proofErr w:type="gramEnd"/>
      <w:r w:rsidRPr="00F32542">
        <w:rPr>
          <w:rFonts w:ascii="Arial" w:eastAsia="Times New Roman" w:hAnsi="Arial" w:cs="Arial"/>
          <w:bCs/>
          <w:color w:val="000000"/>
          <w:sz w:val="28"/>
          <w:szCs w:val="28"/>
        </w:rPr>
        <w:t xml:space="preserve"> además, redundaría en desatender un mandato de la Sala Superior.</w:t>
      </w:r>
    </w:p>
    <w:p w14:paraId="469BD0C5" w14:textId="77777777" w:rsidR="00F94B48" w:rsidRPr="00F32542" w:rsidRDefault="00F94B48" w:rsidP="002E323F">
      <w:pPr>
        <w:widowControl w:val="0"/>
        <w:spacing w:after="0" w:line="360" w:lineRule="auto"/>
        <w:jc w:val="both"/>
        <w:rPr>
          <w:rFonts w:ascii="Arial" w:eastAsia="Times New Roman" w:hAnsi="Arial" w:cs="Arial"/>
          <w:bCs/>
          <w:color w:val="000000"/>
          <w:sz w:val="28"/>
          <w:szCs w:val="28"/>
        </w:rPr>
      </w:pPr>
    </w:p>
    <w:p w14:paraId="62A4ECB5" w14:textId="77777777" w:rsidR="00F94B48" w:rsidRPr="00F32542" w:rsidRDefault="00DA2DE7" w:rsidP="002E323F">
      <w:pPr>
        <w:widowControl w:val="0"/>
        <w:spacing w:after="0" w:line="360" w:lineRule="auto"/>
        <w:jc w:val="both"/>
        <w:rPr>
          <w:rFonts w:ascii="Arial" w:eastAsia="Calibri" w:hAnsi="Arial" w:cs="Arial"/>
          <w:b/>
          <w:sz w:val="28"/>
          <w:szCs w:val="28"/>
        </w:rPr>
      </w:pPr>
      <w:r w:rsidRPr="00F32542">
        <w:rPr>
          <w:rFonts w:ascii="Arial" w:eastAsia="Calibri" w:hAnsi="Arial" w:cs="Arial"/>
          <w:b/>
          <w:sz w:val="28"/>
          <w:szCs w:val="28"/>
        </w:rPr>
        <w:t>2</w:t>
      </w:r>
      <w:r w:rsidR="00F94B48" w:rsidRPr="00F32542">
        <w:rPr>
          <w:rFonts w:ascii="Arial" w:eastAsia="Calibri" w:hAnsi="Arial" w:cs="Arial"/>
          <w:b/>
          <w:sz w:val="28"/>
          <w:szCs w:val="28"/>
        </w:rPr>
        <w:t>. Procedimiento de asignación de la diputación migrante</w:t>
      </w:r>
      <w:r w:rsidR="00127B59" w:rsidRPr="00F32542">
        <w:rPr>
          <w:rFonts w:ascii="Arial" w:eastAsia="Calibri" w:hAnsi="Arial" w:cs="Arial"/>
          <w:b/>
          <w:sz w:val="28"/>
          <w:szCs w:val="28"/>
        </w:rPr>
        <w:t>.</w:t>
      </w:r>
    </w:p>
    <w:p w14:paraId="6C19BF1B" w14:textId="77777777" w:rsidR="00F94B48" w:rsidRPr="00F32542" w:rsidRDefault="00F94B48" w:rsidP="002E323F">
      <w:pPr>
        <w:widowControl w:val="0"/>
        <w:spacing w:after="0" w:line="360" w:lineRule="auto"/>
        <w:jc w:val="both"/>
        <w:rPr>
          <w:rFonts w:ascii="Arial" w:eastAsia="Calibri" w:hAnsi="Arial" w:cs="Arial"/>
          <w:sz w:val="28"/>
          <w:szCs w:val="28"/>
        </w:rPr>
      </w:pPr>
    </w:p>
    <w:p w14:paraId="32C56978" w14:textId="77777777" w:rsidR="00F94B48" w:rsidRPr="00F32542" w:rsidRDefault="00C97D23" w:rsidP="002E323F">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t>En este apartado,</w:t>
      </w:r>
      <w:r w:rsidR="00F94B48" w:rsidRPr="00F32542">
        <w:rPr>
          <w:rFonts w:ascii="Arial" w:eastAsia="Calibri" w:hAnsi="Arial" w:cs="Arial"/>
          <w:sz w:val="28"/>
          <w:szCs w:val="28"/>
        </w:rPr>
        <w:t xml:space="preserve"> se desarrollará</w:t>
      </w:r>
      <w:r w:rsidR="007C71B0" w:rsidRPr="00F32542">
        <w:rPr>
          <w:rFonts w:ascii="Arial" w:eastAsia="Calibri" w:hAnsi="Arial" w:cs="Arial"/>
          <w:sz w:val="28"/>
          <w:szCs w:val="28"/>
        </w:rPr>
        <w:t xml:space="preserve"> lo relativo al </w:t>
      </w:r>
      <w:r w:rsidR="007C71B0" w:rsidRPr="00F32542">
        <w:rPr>
          <w:rFonts w:ascii="Arial" w:eastAsia="Calibri" w:hAnsi="Arial" w:cs="Arial"/>
          <w:b/>
          <w:bCs/>
          <w:sz w:val="28"/>
          <w:szCs w:val="28"/>
        </w:rPr>
        <w:t>a</w:t>
      </w:r>
      <w:r w:rsidR="00F94B48" w:rsidRPr="00F32542">
        <w:rPr>
          <w:rFonts w:ascii="Arial" w:eastAsia="Calibri" w:hAnsi="Arial" w:cs="Arial"/>
          <w:b/>
          <w:sz w:val="28"/>
          <w:szCs w:val="28"/>
        </w:rPr>
        <w:t xml:space="preserve">juste a la lista A del </w:t>
      </w:r>
      <w:r w:rsidR="00F94B48" w:rsidRPr="00F32542">
        <w:rPr>
          <w:rFonts w:ascii="Arial" w:eastAsia="Calibri" w:hAnsi="Arial" w:cs="Arial"/>
          <w:b/>
          <w:i/>
          <w:sz w:val="28"/>
          <w:szCs w:val="28"/>
        </w:rPr>
        <w:t>PAN</w:t>
      </w:r>
      <w:r w:rsidRPr="00F32542">
        <w:rPr>
          <w:rFonts w:ascii="Arial" w:eastAsia="Calibri" w:hAnsi="Arial" w:cs="Arial"/>
          <w:b/>
          <w:sz w:val="28"/>
          <w:szCs w:val="28"/>
        </w:rPr>
        <w:t>.</w:t>
      </w:r>
    </w:p>
    <w:p w14:paraId="5A6BE168" w14:textId="77777777" w:rsidR="00F94B48" w:rsidRPr="00F32542" w:rsidRDefault="00F94B48" w:rsidP="002E323F">
      <w:pPr>
        <w:widowControl w:val="0"/>
        <w:spacing w:after="0" w:line="360" w:lineRule="auto"/>
        <w:jc w:val="both"/>
        <w:rPr>
          <w:rFonts w:ascii="Arial" w:eastAsia="Calibri" w:hAnsi="Arial" w:cs="Arial"/>
          <w:bCs/>
          <w:sz w:val="28"/>
          <w:szCs w:val="28"/>
        </w:rPr>
      </w:pPr>
    </w:p>
    <w:p w14:paraId="77B33130" w14:textId="77777777" w:rsidR="00F94B48" w:rsidRPr="00F32542" w:rsidRDefault="00F94B48" w:rsidP="002E323F">
      <w:pPr>
        <w:widowControl w:val="0"/>
        <w:spacing w:after="0" w:line="360" w:lineRule="auto"/>
        <w:jc w:val="both"/>
        <w:rPr>
          <w:rFonts w:ascii="Arial" w:eastAsia="Calibri" w:hAnsi="Arial" w:cs="Arial"/>
          <w:b/>
          <w:sz w:val="28"/>
          <w:szCs w:val="28"/>
        </w:rPr>
      </w:pPr>
      <w:r w:rsidRPr="00F32542">
        <w:rPr>
          <w:rFonts w:ascii="Arial" w:eastAsia="Calibri" w:hAnsi="Arial" w:cs="Arial"/>
          <w:b/>
          <w:sz w:val="28"/>
          <w:szCs w:val="28"/>
        </w:rPr>
        <w:t>TECDMX-JLDC-100/2021 (Rodrigo Miranda Berumen)</w:t>
      </w:r>
    </w:p>
    <w:p w14:paraId="3072F98C" w14:textId="77777777" w:rsidR="00F94B48" w:rsidRPr="00F32542" w:rsidRDefault="00F94B48" w:rsidP="002E323F">
      <w:pPr>
        <w:widowControl w:val="0"/>
        <w:spacing w:after="0" w:line="360" w:lineRule="auto"/>
        <w:jc w:val="both"/>
        <w:rPr>
          <w:rFonts w:ascii="Arial" w:eastAsia="Calibri" w:hAnsi="Arial" w:cs="Arial"/>
          <w:sz w:val="28"/>
          <w:szCs w:val="28"/>
        </w:rPr>
      </w:pPr>
    </w:p>
    <w:p w14:paraId="45DC341E" w14:textId="77777777" w:rsidR="00F94B48" w:rsidRPr="00F32542" w:rsidRDefault="00F94B48" w:rsidP="002E323F">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El </w:t>
      </w:r>
      <w:r w:rsidRPr="00F32542">
        <w:rPr>
          <w:rFonts w:ascii="Arial" w:eastAsia="Calibri" w:hAnsi="Arial" w:cs="Arial"/>
          <w:i/>
          <w:sz w:val="28"/>
          <w:szCs w:val="28"/>
        </w:rPr>
        <w:t>Consejo General</w:t>
      </w:r>
      <w:r w:rsidRPr="00F32542">
        <w:rPr>
          <w:rFonts w:ascii="Arial" w:eastAsia="Calibri" w:hAnsi="Arial" w:cs="Arial"/>
          <w:sz w:val="28"/>
          <w:szCs w:val="28"/>
        </w:rPr>
        <w:t xml:space="preserve"> indebidamente reconfiguró por género la Lista A del </w:t>
      </w:r>
      <w:r w:rsidRPr="00F32542">
        <w:rPr>
          <w:rFonts w:ascii="Arial" w:eastAsia="Calibri" w:hAnsi="Arial" w:cs="Arial"/>
          <w:i/>
          <w:sz w:val="28"/>
          <w:szCs w:val="28"/>
        </w:rPr>
        <w:t>PAN</w:t>
      </w:r>
      <w:r w:rsidRPr="00F32542">
        <w:rPr>
          <w:rFonts w:ascii="Arial" w:eastAsia="Calibri" w:hAnsi="Arial" w:cs="Arial"/>
          <w:sz w:val="28"/>
          <w:szCs w:val="28"/>
        </w:rPr>
        <w:t xml:space="preserve">, para que fuera encabezada por una mujer, sin haber verificado de manera previa la paridad de género en la integración total del </w:t>
      </w:r>
      <w:r w:rsidRPr="00F32542">
        <w:rPr>
          <w:rFonts w:ascii="Arial" w:eastAsia="Calibri" w:hAnsi="Arial" w:cs="Arial"/>
          <w:i/>
          <w:sz w:val="28"/>
          <w:szCs w:val="28"/>
        </w:rPr>
        <w:t>Congreso</w:t>
      </w:r>
      <w:r w:rsidRPr="00F32542">
        <w:rPr>
          <w:rFonts w:ascii="Arial" w:eastAsia="Calibri" w:hAnsi="Arial" w:cs="Arial"/>
          <w:sz w:val="28"/>
          <w:szCs w:val="28"/>
        </w:rPr>
        <w:t xml:space="preserve"> y, además, ese ajuste era innecesario porque la lista de ese partido ya cumplía con la paridad, la cual de cualquier </w:t>
      </w:r>
      <w:r w:rsidRPr="00F32542">
        <w:rPr>
          <w:rFonts w:ascii="Arial" w:eastAsia="Calibri" w:hAnsi="Arial" w:cs="Arial"/>
          <w:sz w:val="28"/>
          <w:szCs w:val="28"/>
        </w:rPr>
        <w:lastRenderedPageBreak/>
        <w:t>forma se hubiera cumplido en la integración el órgano legislativo.</w:t>
      </w:r>
    </w:p>
    <w:p w14:paraId="2BC84EF2" w14:textId="77777777" w:rsidR="00F94B48" w:rsidRPr="00F32542" w:rsidRDefault="00F94B48" w:rsidP="002E323F">
      <w:pPr>
        <w:widowControl w:val="0"/>
        <w:spacing w:after="0" w:line="360" w:lineRule="auto"/>
        <w:jc w:val="both"/>
        <w:rPr>
          <w:rFonts w:ascii="Arial" w:eastAsia="Calibri" w:hAnsi="Arial" w:cs="Arial"/>
          <w:sz w:val="28"/>
          <w:szCs w:val="28"/>
        </w:rPr>
      </w:pPr>
    </w:p>
    <w:p w14:paraId="3E8970E8" w14:textId="77777777" w:rsidR="00F94B48" w:rsidRPr="00F32542" w:rsidRDefault="00F94B48" w:rsidP="002E323F">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En el acuerdo </w:t>
      </w:r>
      <w:r w:rsidRPr="00F32542">
        <w:rPr>
          <w:rFonts w:ascii="Arial" w:eastAsia="Calibri" w:hAnsi="Arial" w:cs="Arial"/>
          <w:b/>
          <w:bCs/>
          <w:sz w:val="28"/>
          <w:szCs w:val="28"/>
        </w:rPr>
        <w:t>IECM/ACU-CG-115/2021</w:t>
      </w:r>
      <w:r w:rsidRPr="00F32542">
        <w:rPr>
          <w:rFonts w:ascii="Arial" w:eastAsia="Calibri" w:hAnsi="Arial" w:cs="Arial"/>
          <w:sz w:val="28"/>
          <w:szCs w:val="28"/>
        </w:rPr>
        <w:t xml:space="preserve">, por el cual el Instituto Electoral aprobó la lista A del </w:t>
      </w:r>
      <w:r w:rsidRPr="00F32542">
        <w:rPr>
          <w:rFonts w:ascii="Arial" w:eastAsia="Calibri" w:hAnsi="Arial" w:cs="Arial"/>
          <w:i/>
          <w:sz w:val="28"/>
          <w:szCs w:val="28"/>
        </w:rPr>
        <w:t>PAN</w:t>
      </w:r>
      <w:r w:rsidRPr="00F32542">
        <w:rPr>
          <w:rFonts w:ascii="Arial" w:eastAsia="Calibri" w:hAnsi="Arial" w:cs="Arial"/>
          <w:sz w:val="28"/>
          <w:szCs w:val="28"/>
        </w:rPr>
        <w:t xml:space="preserve">, se precisó que, en caso de que ese partido ganara la candidatura a la diputación migrante, en términos del artículo 7 de los </w:t>
      </w:r>
      <w:r w:rsidRPr="00F32542">
        <w:rPr>
          <w:rFonts w:ascii="Arial" w:eastAsia="Calibri" w:hAnsi="Arial" w:cs="Arial"/>
          <w:i/>
          <w:sz w:val="28"/>
          <w:szCs w:val="28"/>
        </w:rPr>
        <w:t>Lineamientos para la asignación</w:t>
      </w:r>
      <w:r w:rsidRPr="00F32542">
        <w:rPr>
          <w:rFonts w:ascii="Arial" w:eastAsia="Calibri" w:hAnsi="Arial" w:cs="Arial"/>
          <w:sz w:val="28"/>
          <w:szCs w:val="28"/>
        </w:rPr>
        <w:t xml:space="preserve"> se reordenaría la lista A, a fin de cumplir con el principio de paridad y la alternancia de género; empero, ese ajuste debió realizarse al momento en que se verificara la integración paritaria del </w:t>
      </w:r>
      <w:r w:rsidRPr="00F32542">
        <w:rPr>
          <w:rFonts w:ascii="Arial" w:eastAsia="Calibri" w:hAnsi="Arial" w:cs="Arial"/>
          <w:i/>
          <w:sz w:val="28"/>
          <w:szCs w:val="28"/>
        </w:rPr>
        <w:t>Congreso</w:t>
      </w:r>
      <w:r w:rsidRPr="00F32542">
        <w:rPr>
          <w:rFonts w:ascii="Arial" w:eastAsia="Calibri" w:hAnsi="Arial" w:cs="Arial"/>
          <w:sz w:val="28"/>
          <w:szCs w:val="28"/>
        </w:rPr>
        <w:t xml:space="preserve">, como lo prevén los artículos 27, fracción g), del Código Electoral y 15, inciso a), de los </w:t>
      </w:r>
      <w:r w:rsidRPr="00F32542">
        <w:rPr>
          <w:rFonts w:ascii="Arial" w:eastAsia="Calibri" w:hAnsi="Arial" w:cs="Arial"/>
          <w:i/>
          <w:sz w:val="28"/>
          <w:szCs w:val="28"/>
        </w:rPr>
        <w:t>Lineamientos para la asignación</w:t>
      </w:r>
      <w:r w:rsidRPr="00F32542">
        <w:rPr>
          <w:rFonts w:ascii="Arial" w:eastAsia="Calibri" w:hAnsi="Arial" w:cs="Arial"/>
          <w:sz w:val="28"/>
          <w:szCs w:val="28"/>
        </w:rPr>
        <w:t>.</w:t>
      </w:r>
    </w:p>
    <w:p w14:paraId="39BD49B3" w14:textId="77777777" w:rsidR="00F94B48" w:rsidRPr="00F32542" w:rsidRDefault="00F94B48" w:rsidP="002E323F">
      <w:pPr>
        <w:widowControl w:val="0"/>
        <w:spacing w:after="0" w:line="360" w:lineRule="auto"/>
        <w:jc w:val="both"/>
        <w:rPr>
          <w:rFonts w:ascii="Arial" w:eastAsia="Calibri" w:hAnsi="Arial" w:cs="Arial"/>
          <w:sz w:val="28"/>
          <w:szCs w:val="28"/>
        </w:rPr>
      </w:pPr>
    </w:p>
    <w:p w14:paraId="2DC13491" w14:textId="77777777" w:rsidR="00F94B48" w:rsidRPr="00F32542" w:rsidRDefault="00F94B48" w:rsidP="002E323F">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t>El actuar de la autoridad responsable infringe los principios de auto determinación y auto organización; además, la lista A fue la que apareció en la boleta electoral y, por ende, la votada por la ciudadanía, razón por la cual no es válido reordenarla.</w:t>
      </w:r>
    </w:p>
    <w:p w14:paraId="680A5EAA" w14:textId="77777777" w:rsidR="00F94B48" w:rsidRPr="00F32542" w:rsidRDefault="00F94B48" w:rsidP="002E323F">
      <w:pPr>
        <w:widowControl w:val="0"/>
        <w:spacing w:after="0" w:line="360" w:lineRule="auto"/>
        <w:jc w:val="both"/>
        <w:rPr>
          <w:rFonts w:ascii="Arial" w:eastAsia="Calibri" w:hAnsi="Arial" w:cs="Arial"/>
          <w:sz w:val="28"/>
          <w:szCs w:val="28"/>
        </w:rPr>
      </w:pPr>
    </w:p>
    <w:p w14:paraId="70DE7E3D" w14:textId="77777777" w:rsidR="00F94B48" w:rsidRPr="00F32542" w:rsidRDefault="00F94B48" w:rsidP="002E323F">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De ahí que, de someter dicha medida a </w:t>
      </w:r>
      <w:proofErr w:type="gramStart"/>
      <w:r w:rsidRPr="00F32542">
        <w:rPr>
          <w:rFonts w:ascii="Arial" w:eastAsia="Calibri" w:hAnsi="Arial" w:cs="Arial"/>
          <w:sz w:val="28"/>
          <w:szCs w:val="28"/>
        </w:rPr>
        <w:t>un test</w:t>
      </w:r>
      <w:proofErr w:type="gramEnd"/>
      <w:r w:rsidRPr="00F32542">
        <w:rPr>
          <w:rFonts w:ascii="Arial" w:eastAsia="Calibri" w:hAnsi="Arial" w:cs="Arial"/>
          <w:sz w:val="28"/>
          <w:szCs w:val="28"/>
        </w:rPr>
        <w:t xml:space="preserve"> de proporcionalidad, se concluiría que no es acorde al sistema y, en consecuencia, se tendría que decretar su inaplicación.  </w:t>
      </w:r>
    </w:p>
    <w:p w14:paraId="229DEC3D"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1F7CA03A" w14:textId="77777777" w:rsidR="00F94B48" w:rsidRPr="00F32542" w:rsidRDefault="00F94B48" w:rsidP="002E323F">
      <w:pPr>
        <w:widowControl w:val="0"/>
        <w:spacing w:after="0" w:line="360" w:lineRule="auto"/>
        <w:jc w:val="both"/>
        <w:rPr>
          <w:rFonts w:ascii="Arial" w:eastAsia="Calibri" w:hAnsi="Arial" w:cs="Arial"/>
          <w:b/>
          <w:sz w:val="28"/>
          <w:szCs w:val="28"/>
          <w:lang w:val="es-ES"/>
        </w:rPr>
      </w:pPr>
      <w:r w:rsidRPr="00F32542">
        <w:rPr>
          <w:rFonts w:ascii="Arial" w:eastAsia="Calibri" w:hAnsi="Arial" w:cs="Arial"/>
          <w:b/>
          <w:sz w:val="28"/>
          <w:szCs w:val="28"/>
        </w:rPr>
        <w:t>TECDMX-</w:t>
      </w:r>
      <w:r w:rsidRPr="00F32542">
        <w:rPr>
          <w:rFonts w:ascii="Arial" w:eastAsia="Calibri" w:hAnsi="Arial" w:cs="Arial"/>
          <w:b/>
          <w:sz w:val="28"/>
          <w:szCs w:val="28"/>
          <w:lang w:val="es-ES"/>
        </w:rPr>
        <w:t>JLDC-103/2021 (Mónica Jessica Menocal del Moral)</w:t>
      </w:r>
    </w:p>
    <w:p w14:paraId="0B1B902A"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3B764C7C" w14:textId="77777777" w:rsidR="00F94B48" w:rsidRPr="00F32542" w:rsidRDefault="00DA2DE7"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A fin de alcanzar su pretensión de ocupar una curul, la </w:t>
      </w:r>
      <w:r w:rsidRPr="00F32542">
        <w:rPr>
          <w:rFonts w:ascii="Arial" w:eastAsia="Calibri" w:hAnsi="Arial" w:cs="Arial"/>
          <w:i/>
          <w:iCs/>
          <w:sz w:val="28"/>
          <w:szCs w:val="28"/>
          <w:lang w:val="es-ES"/>
        </w:rPr>
        <w:t>parte actora</w:t>
      </w:r>
      <w:r w:rsidRPr="00F32542">
        <w:rPr>
          <w:rFonts w:ascii="Arial" w:eastAsia="Calibri" w:hAnsi="Arial" w:cs="Arial"/>
          <w:sz w:val="28"/>
          <w:szCs w:val="28"/>
          <w:lang w:val="es-ES"/>
        </w:rPr>
        <w:t xml:space="preserve"> </w:t>
      </w:r>
      <w:r w:rsidR="00127B59" w:rsidRPr="00F32542">
        <w:rPr>
          <w:rFonts w:ascii="Arial" w:eastAsia="Calibri" w:hAnsi="Arial" w:cs="Arial"/>
          <w:sz w:val="28"/>
          <w:szCs w:val="28"/>
          <w:lang w:val="es-ES"/>
        </w:rPr>
        <w:t>aduce que fue correcta la decisión tomada por l</w:t>
      </w:r>
      <w:r w:rsidR="00F94B48" w:rsidRPr="00F32542">
        <w:rPr>
          <w:rFonts w:ascii="Arial" w:eastAsia="Calibri" w:hAnsi="Arial" w:cs="Arial"/>
          <w:sz w:val="28"/>
          <w:szCs w:val="28"/>
          <w:lang w:val="es-ES"/>
        </w:rPr>
        <w:t>a autoridad responsable</w:t>
      </w:r>
      <w:r w:rsidR="00127B59" w:rsidRPr="00F32542">
        <w:rPr>
          <w:rFonts w:ascii="Arial" w:eastAsia="Calibri" w:hAnsi="Arial" w:cs="Arial"/>
          <w:sz w:val="28"/>
          <w:szCs w:val="28"/>
          <w:lang w:val="es-ES"/>
        </w:rPr>
        <w:t xml:space="preserve"> al tomar en cuenta</w:t>
      </w:r>
      <w:r w:rsidR="00F94B48" w:rsidRPr="00F32542">
        <w:rPr>
          <w:rFonts w:ascii="Arial" w:eastAsia="Calibri" w:hAnsi="Arial" w:cs="Arial"/>
          <w:sz w:val="28"/>
          <w:szCs w:val="28"/>
          <w:lang w:val="es-ES"/>
        </w:rPr>
        <w:t xml:space="preserve"> que el primer lugar de la lista A del </w:t>
      </w:r>
      <w:r w:rsidR="00F94B48" w:rsidRPr="00F32542">
        <w:rPr>
          <w:rFonts w:ascii="Arial" w:eastAsia="Calibri" w:hAnsi="Arial" w:cs="Arial"/>
          <w:i/>
          <w:sz w:val="28"/>
          <w:szCs w:val="28"/>
          <w:lang w:val="es-ES"/>
        </w:rPr>
        <w:t>PAN</w:t>
      </w:r>
      <w:r w:rsidR="00F94B48" w:rsidRPr="00F32542">
        <w:rPr>
          <w:rFonts w:ascii="Arial" w:eastAsia="Calibri" w:hAnsi="Arial" w:cs="Arial"/>
          <w:sz w:val="28"/>
          <w:szCs w:val="28"/>
          <w:lang w:val="es-ES"/>
        </w:rPr>
        <w:t xml:space="preserve"> corresponde a la candidatura migrante, al ser un apartado de la propia lista A, como lo prevé el artículo 4, fracción V, inciso C), de los </w:t>
      </w:r>
      <w:r w:rsidR="00F94B48" w:rsidRPr="00F32542">
        <w:rPr>
          <w:rFonts w:ascii="Arial" w:eastAsia="Calibri" w:hAnsi="Arial" w:cs="Arial"/>
          <w:i/>
          <w:sz w:val="28"/>
          <w:szCs w:val="28"/>
          <w:lang w:val="es-ES"/>
        </w:rPr>
        <w:t>Lineamientos para la asignación</w:t>
      </w:r>
      <w:r w:rsidR="00F94B48" w:rsidRPr="00F32542">
        <w:rPr>
          <w:rFonts w:ascii="Arial" w:eastAsia="Calibri" w:hAnsi="Arial" w:cs="Arial"/>
          <w:sz w:val="28"/>
          <w:szCs w:val="28"/>
          <w:lang w:val="es-ES"/>
        </w:rPr>
        <w:t xml:space="preserve">. </w:t>
      </w:r>
    </w:p>
    <w:p w14:paraId="446117D9"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5BDCC1C3" w14:textId="77777777" w:rsidR="00F94B48" w:rsidRPr="00F32542" w:rsidRDefault="00F94B48" w:rsidP="002E323F">
      <w:pPr>
        <w:widowControl w:val="0"/>
        <w:spacing w:after="0" w:line="360" w:lineRule="auto"/>
        <w:jc w:val="both"/>
        <w:rPr>
          <w:rFonts w:ascii="Arial" w:eastAsia="Calibri" w:hAnsi="Arial" w:cs="Arial"/>
          <w:b/>
          <w:sz w:val="28"/>
          <w:szCs w:val="28"/>
        </w:rPr>
      </w:pPr>
      <w:r w:rsidRPr="00F32542">
        <w:rPr>
          <w:rFonts w:ascii="Arial" w:eastAsia="Calibri" w:hAnsi="Arial" w:cs="Arial"/>
          <w:b/>
          <w:sz w:val="28"/>
          <w:szCs w:val="28"/>
        </w:rPr>
        <w:t>TECDMX-JEL 206/2021 (PAN)</w:t>
      </w:r>
    </w:p>
    <w:p w14:paraId="3F023F30" w14:textId="77777777" w:rsidR="00F94B48" w:rsidRPr="00F32542" w:rsidRDefault="00F94B48" w:rsidP="002E323F">
      <w:pPr>
        <w:widowControl w:val="0"/>
        <w:spacing w:after="0" w:line="360" w:lineRule="auto"/>
        <w:jc w:val="both"/>
        <w:rPr>
          <w:rFonts w:ascii="Arial" w:eastAsia="Calibri" w:hAnsi="Arial" w:cs="Arial"/>
          <w:bCs/>
          <w:sz w:val="28"/>
          <w:szCs w:val="28"/>
        </w:rPr>
      </w:pPr>
    </w:p>
    <w:p w14:paraId="543EFD1D" w14:textId="77777777" w:rsidR="00F94B48" w:rsidRPr="00F32542" w:rsidRDefault="00F94B48" w:rsidP="002E323F">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El PAN obtuvo el triunfo en la elección de diputación migrante, por tanto, el </w:t>
      </w:r>
      <w:r w:rsidRPr="00F32542">
        <w:rPr>
          <w:rFonts w:ascii="Arial" w:eastAsia="Calibri" w:hAnsi="Arial" w:cs="Arial"/>
          <w:i/>
          <w:sz w:val="28"/>
          <w:szCs w:val="28"/>
        </w:rPr>
        <w:t>Consejo General</w:t>
      </w:r>
      <w:r w:rsidRPr="00F32542">
        <w:rPr>
          <w:rFonts w:ascii="Arial" w:eastAsia="Calibri" w:hAnsi="Arial" w:cs="Arial"/>
          <w:sz w:val="28"/>
          <w:szCs w:val="28"/>
        </w:rPr>
        <w:t xml:space="preserve">, tomando como fundamento el artículo 7 de los </w:t>
      </w:r>
      <w:r w:rsidRPr="00F32542">
        <w:rPr>
          <w:rFonts w:ascii="Arial" w:eastAsia="Calibri" w:hAnsi="Arial" w:cs="Arial"/>
          <w:i/>
          <w:sz w:val="28"/>
          <w:szCs w:val="28"/>
        </w:rPr>
        <w:t>Lineamientos para la asignación</w:t>
      </w:r>
      <w:r w:rsidRPr="00F32542">
        <w:rPr>
          <w:rFonts w:ascii="Arial" w:eastAsia="Calibri" w:hAnsi="Arial" w:cs="Arial"/>
          <w:sz w:val="28"/>
          <w:szCs w:val="28"/>
        </w:rPr>
        <w:t xml:space="preserve">, reordenó la lista A, que inicialmente era encabezada por fórmula integrada por hombres, para ser encabezada por una fórmula de mujeres, lo que derivó en la modificación de la asignación de diputaciones plurinominales a ese partido. </w:t>
      </w:r>
    </w:p>
    <w:p w14:paraId="0F8111DD" w14:textId="77777777" w:rsidR="00F94B48" w:rsidRPr="00F32542" w:rsidRDefault="00F94B48" w:rsidP="002E323F">
      <w:pPr>
        <w:widowControl w:val="0"/>
        <w:spacing w:after="0" w:line="360" w:lineRule="auto"/>
        <w:jc w:val="both"/>
        <w:rPr>
          <w:rFonts w:ascii="Arial" w:eastAsia="Calibri" w:hAnsi="Arial" w:cs="Arial"/>
          <w:sz w:val="28"/>
          <w:szCs w:val="28"/>
        </w:rPr>
      </w:pPr>
    </w:p>
    <w:p w14:paraId="6596F3F8" w14:textId="77777777" w:rsidR="00F94B48" w:rsidRPr="00F32542" w:rsidRDefault="00F94B48" w:rsidP="002E323F">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t>El hecho de que la fórmula ganadora de la diputación migrante fuera mixta, ello no es violatorio del principio de paridad ni afecta la alternancia entre géneros, ya que la lista A Prima es diferente e independiente de la lista A del propio partido, así como de su prelación de fórmulas alternadas. Aparte de que no existe disposición que indique que la fórmula de la lista A Prima deba ser la que encabece la lista A.</w:t>
      </w:r>
    </w:p>
    <w:p w14:paraId="6B1A6322" w14:textId="77777777" w:rsidR="00F94B48" w:rsidRPr="00F32542" w:rsidRDefault="00F94B48" w:rsidP="002E323F">
      <w:pPr>
        <w:widowControl w:val="0"/>
        <w:spacing w:after="0" w:line="360" w:lineRule="auto"/>
        <w:jc w:val="both"/>
        <w:rPr>
          <w:rFonts w:ascii="Arial" w:eastAsia="Calibri" w:hAnsi="Arial" w:cs="Arial"/>
          <w:sz w:val="28"/>
          <w:szCs w:val="28"/>
        </w:rPr>
      </w:pPr>
    </w:p>
    <w:p w14:paraId="6E59FAB9" w14:textId="77777777" w:rsidR="00F94B48" w:rsidRPr="00F32542" w:rsidRDefault="00F94B48" w:rsidP="002E323F">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El supuesto que prevé el artículo 7 de los </w:t>
      </w:r>
      <w:r w:rsidRPr="00F32542">
        <w:rPr>
          <w:rFonts w:ascii="Arial" w:eastAsia="Calibri" w:hAnsi="Arial" w:cs="Arial"/>
          <w:i/>
          <w:sz w:val="28"/>
          <w:szCs w:val="28"/>
        </w:rPr>
        <w:t>Lineamientos para la asignación</w:t>
      </w:r>
      <w:r w:rsidRPr="00F32542">
        <w:rPr>
          <w:rFonts w:ascii="Arial" w:eastAsia="Calibri" w:hAnsi="Arial" w:cs="Arial"/>
          <w:sz w:val="28"/>
          <w:szCs w:val="28"/>
        </w:rPr>
        <w:t xml:space="preserve"> tiene como finalidad, </w:t>
      </w:r>
      <w:proofErr w:type="gramStart"/>
      <w:r w:rsidRPr="00F32542">
        <w:rPr>
          <w:rFonts w:ascii="Arial" w:eastAsia="Calibri" w:hAnsi="Arial" w:cs="Arial"/>
          <w:sz w:val="28"/>
          <w:szCs w:val="28"/>
        </w:rPr>
        <w:t>que</w:t>
      </w:r>
      <w:proofErr w:type="gramEnd"/>
      <w:r w:rsidRPr="00F32542">
        <w:rPr>
          <w:rFonts w:ascii="Arial" w:eastAsia="Calibri" w:hAnsi="Arial" w:cs="Arial"/>
          <w:sz w:val="28"/>
          <w:szCs w:val="28"/>
        </w:rPr>
        <w:t xml:space="preserve"> una vez realizada la asignación total, considerando las diputaciones alcanzadas por mayoría relativa y la diputación migrante, no se logre la paridad de género. </w:t>
      </w:r>
    </w:p>
    <w:p w14:paraId="0CF4704A" w14:textId="77777777" w:rsidR="00F94B48" w:rsidRPr="00F32542" w:rsidRDefault="00F94B48" w:rsidP="002E323F">
      <w:pPr>
        <w:widowControl w:val="0"/>
        <w:spacing w:after="0" w:line="360" w:lineRule="auto"/>
        <w:jc w:val="both"/>
        <w:rPr>
          <w:rFonts w:ascii="Arial" w:eastAsia="Calibri" w:hAnsi="Arial" w:cs="Arial"/>
          <w:sz w:val="28"/>
          <w:szCs w:val="28"/>
        </w:rPr>
      </w:pPr>
    </w:p>
    <w:p w14:paraId="18847BB6" w14:textId="77777777" w:rsidR="00F94B48" w:rsidRPr="00F32542" w:rsidRDefault="00F94B48" w:rsidP="002E323F">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Por tanto, la incorporación de la lista A Prima a la lista definitiva está sujeta a la condición suspensiva de obtener el triunfo de la votación válida emitida en el extranjero, interpretación que no resulta contraria a los lineamientos y es acorde con el principio de paridad. </w:t>
      </w:r>
    </w:p>
    <w:p w14:paraId="2D8AAAC4" w14:textId="77777777" w:rsidR="00F94B48" w:rsidRPr="00F32542" w:rsidRDefault="00F94B48" w:rsidP="002E323F">
      <w:pPr>
        <w:widowControl w:val="0"/>
        <w:spacing w:after="0" w:line="360" w:lineRule="auto"/>
        <w:jc w:val="both"/>
        <w:rPr>
          <w:rFonts w:ascii="Arial" w:eastAsia="Calibri" w:hAnsi="Arial" w:cs="Arial"/>
          <w:sz w:val="28"/>
          <w:szCs w:val="28"/>
        </w:rPr>
      </w:pPr>
    </w:p>
    <w:p w14:paraId="3BC5FD24" w14:textId="77777777" w:rsidR="00F94B48" w:rsidRPr="00F32542" w:rsidRDefault="00F94B48" w:rsidP="002E323F">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lastRenderedPageBreak/>
        <w:t xml:space="preserve">Así, </w:t>
      </w:r>
      <w:proofErr w:type="gramStart"/>
      <w:r w:rsidRPr="00F32542">
        <w:rPr>
          <w:rFonts w:ascii="Arial" w:eastAsia="Calibri" w:hAnsi="Arial" w:cs="Arial"/>
          <w:sz w:val="28"/>
          <w:szCs w:val="28"/>
        </w:rPr>
        <w:t>dado que</w:t>
      </w:r>
      <w:proofErr w:type="gramEnd"/>
      <w:r w:rsidRPr="00F32542">
        <w:rPr>
          <w:rFonts w:ascii="Arial" w:eastAsia="Calibri" w:hAnsi="Arial" w:cs="Arial"/>
          <w:sz w:val="28"/>
          <w:szCs w:val="28"/>
        </w:rPr>
        <w:t xml:space="preserve"> al asignarse la diputación migrante, intercalar la listas A y B y llevar a cabo la asignación final, no se generan bloques de más de dos fórmulas del mismo género y no se incumple con la paridad en la integración final del Congreso, es que no resulta necesario hacer el ajuste a que se refiere el artículo 7 de los </w:t>
      </w:r>
      <w:r w:rsidRPr="00F32542">
        <w:rPr>
          <w:rFonts w:ascii="Arial" w:eastAsia="Calibri" w:hAnsi="Arial" w:cs="Arial"/>
          <w:i/>
          <w:iCs/>
          <w:sz w:val="28"/>
          <w:szCs w:val="28"/>
        </w:rPr>
        <w:t>Lineamientos para la asignación</w:t>
      </w:r>
      <w:r w:rsidRPr="00F32542">
        <w:rPr>
          <w:rFonts w:ascii="Arial" w:eastAsia="Calibri" w:hAnsi="Arial" w:cs="Arial"/>
          <w:sz w:val="28"/>
          <w:szCs w:val="28"/>
        </w:rPr>
        <w:t xml:space="preserve">. </w:t>
      </w:r>
    </w:p>
    <w:p w14:paraId="358D230C" w14:textId="77777777" w:rsidR="00F94B48" w:rsidRPr="00F32542" w:rsidRDefault="00F94B48" w:rsidP="002E323F">
      <w:pPr>
        <w:widowControl w:val="0"/>
        <w:spacing w:after="0" w:line="360" w:lineRule="auto"/>
        <w:jc w:val="both"/>
        <w:rPr>
          <w:rFonts w:ascii="Arial" w:eastAsia="Calibri" w:hAnsi="Arial" w:cs="Arial"/>
          <w:sz w:val="28"/>
          <w:szCs w:val="28"/>
        </w:rPr>
      </w:pPr>
    </w:p>
    <w:p w14:paraId="02865C74" w14:textId="77777777" w:rsidR="00F94B48" w:rsidRPr="00F32542" w:rsidRDefault="00F94B48" w:rsidP="002E323F">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La interpretación de la responsable es violatoria del principio de autodeterminación, el cual sólo puede ser atenuado cuando entre en conflicto con algún otro principio como el de paridad, siendo que se requiere en el ejercicio de ponderación resulte necesario, proporcional y razonable. </w:t>
      </w:r>
    </w:p>
    <w:p w14:paraId="7795807D" w14:textId="77777777" w:rsidR="00F94B48" w:rsidRPr="00F32542" w:rsidRDefault="00F94B48" w:rsidP="002E323F">
      <w:pPr>
        <w:widowControl w:val="0"/>
        <w:spacing w:after="0" w:line="360" w:lineRule="auto"/>
        <w:jc w:val="both"/>
        <w:rPr>
          <w:rFonts w:ascii="Arial" w:eastAsia="Calibri" w:hAnsi="Arial" w:cs="Arial"/>
          <w:sz w:val="28"/>
          <w:szCs w:val="28"/>
        </w:rPr>
      </w:pPr>
    </w:p>
    <w:p w14:paraId="3D6F3E03" w14:textId="77777777" w:rsidR="00F94B48" w:rsidRPr="00F32542" w:rsidRDefault="00F94B48" w:rsidP="002E323F">
      <w:pPr>
        <w:widowControl w:val="0"/>
        <w:spacing w:after="0" w:line="360" w:lineRule="auto"/>
        <w:jc w:val="both"/>
        <w:rPr>
          <w:rFonts w:ascii="Arial" w:eastAsia="Calibri" w:hAnsi="Arial" w:cs="Arial"/>
          <w:b/>
          <w:bCs/>
          <w:sz w:val="28"/>
          <w:szCs w:val="28"/>
          <w:lang w:val="es-ES"/>
        </w:rPr>
      </w:pPr>
      <w:r w:rsidRPr="00F32542">
        <w:rPr>
          <w:rFonts w:ascii="Arial" w:eastAsia="Calibri" w:hAnsi="Arial" w:cs="Arial"/>
          <w:b/>
          <w:bCs/>
          <w:sz w:val="28"/>
          <w:szCs w:val="28"/>
          <w:lang w:val="es-ES"/>
        </w:rPr>
        <w:t>Estudio de los anteriores planteamientos.</w:t>
      </w:r>
    </w:p>
    <w:p w14:paraId="6FAADA92" w14:textId="77777777" w:rsidR="00F94B48" w:rsidRPr="00F32542" w:rsidRDefault="00F94B48" w:rsidP="002E323F">
      <w:pPr>
        <w:widowControl w:val="0"/>
        <w:spacing w:after="0" w:line="360" w:lineRule="auto"/>
        <w:jc w:val="both"/>
        <w:rPr>
          <w:rFonts w:ascii="Arial" w:eastAsia="Calibri" w:hAnsi="Arial" w:cs="Arial"/>
          <w:sz w:val="28"/>
          <w:szCs w:val="28"/>
        </w:rPr>
      </w:pPr>
    </w:p>
    <w:p w14:paraId="088FF8F2" w14:textId="77777777" w:rsidR="00F94B48" w:rsidRPr="00F32542" w:rsidRDefault="00F94B48" w:rsidP="002E323F">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Como se advierte, las </w:t>
      </w:r>
      <w:r w:rsidRPr="00F32542">
        <w:rPr>
          <w:rFonts w:ascii="Arial" w:eastAsia="Calibri" w:hAnsi="Arial" w:cs="Arial"/>
          <w:i/>
          <w:sz w:val="28"/>
          <w:szCs w:val="28"/>
        </w:rPr>
        <w:t xml:space="preserve">partes actoras </w:t>
      </w:r>
      <w:r w:rsidRPr="00F32542">
        <w:rPr>
          <w:rFonts w:ascii="Arial" w:eastAsia="Calibri" w:hAnsi="Arial" w:cs="Arial"/>
          <w:sz w:val="28"/>
          <w:szCs w:val="28"/>
        </w:rPr>
        <w:t xml:space="preserve">–personas candidatas del PAN y el propio partido político– formulan agravios vinculados con la decisión del </w:t>
      </w:r>
      <w:r w:rsidRPr="00F32542">
        <w:rPr>
          <w:rFonts w:ascii="Arial" w:eastAsia="Calibri" w:hAnsi="Arial" w:cs="Arial"/>
          <w:i/>
          <w:sz w:val="28"/>
          <w:szCs w:val="28"/>
        </w:rPr>
        <w:t>Consejo General</w:t>
      </w:r>
      <w:r w:rsidRPr="00F32542">
        <w:rPr>
          <w:rFonts w:ascii="Arial" w:eastAsia="Calibri" w:hAnsi="Arial" w:cs="Arial"/>
          <w:sz w:val="28"/>
          <w:szCs w:val="28"/>
        </w:rPr>
        <w:t xml:space="preserve">, contenida en el </w:t>
      </w:r>
      <w:r w:rsidRPr="00F32542">
        <w:rPr>
          <w:rFonts w:ascii="Arial" w:eastAsia="Calibri" w:hAnsi="Arial" w:cs="Arial"/>
          <w:i/>
          <w:sz w:val="28"/>
          <w:szCs w:val="28"/>
        </w:rPr>
        <w:t>acto impugnado</w:t>
      </w:r>
      <w:r w:rsidRPr="00F32542">
        <w:rPr>
          <w:rFonts w:ascii="Arial" w:eastAsia="Calibri" w:hAnsi="Arial" w:cs="Arial"/>
          <w:sz w:val="28"/>
          <w:szCs w:val="28"/>
        </w:rPr>
        <w:t xml:space="preserve">, de reordenar la lista A de ese instituto político; por lo cual enseguida se analizará si esa modificación se ajusta a la normativa aplicable. </w:t>
      </w:r>
    </w:p>
    <w:p w14:paraId="164E1097" w14:textId="77777777" w:rsidR="00F94B48" w:rsidRPr="00F32542" w:rsidRDefault="00F94B48" w:rsidP="002E323F">
      <w:pPr>
        <w:widowControl w:val="0"/>
        <w:spacing w:after="0" w:line="360" w:lineRule="auto"/>
        <w:jc w:val="both"/>
        <w:rPr>
          <w:rFonts w:ascii="Arial" w:eastAsia="Calibri" w:hAnsi="Arial" w:cs="Arial"/>
          <w:sz w:val="28"/>
          <w:szCs w:val="28"/>
        </w:rPr>
      </w:pPr>
    </w:p>
    <w:p w14:paraId="4BDF3EEE" w14:textId="77777777" w:rsidR="00F94B48" w:rsidRPr="00F32542" w:rsidRDefault="00F94B48" w:rsidP="002E323F">
      <w:pPr>
        <w:widowControl w:val="0"/>
        <w:spacing w:after="0" w:line="360" w:lineRule="auto"/>
        <w:jc w:val="both"/>
        <w:rPr>
          <w:rFonts w:ascii="Arial" w:eastAsia="Calibri" w:hAnsi="Arial" w:cs="Arial"/>
          <w:bCs/>
          <w:sz w:val="28"/>
          <w:szCs w:val="28"/>
          <w:lang w:val="es-ES"/>
        </w:rPr>
      </w:pPr>
      <w:r w:rsidRPr="00F32542">
        <w:rPr>
          <w:rFonts w:ascii="Arial" w:eastAsia="Calibri" w:hAnsi="Arial" w:cs="Arial"/>
          <w:bCs/>
          <w:sz w:val="28"/>
          <w:szCs w:val="28"/>
          <w:lang w:val="es-ES"/>
        </w:rPr>
        <w:t xml:space="preserve">En primer lugar, es </w:t>
      </w:r>
      <w:r w:rsidRPr="00F32542">
        <w:rPr>
          <w:rFonts w:ascii="Arial" w:eastAsia="Calibri" w:hAnsi="Arial" w:cs="Arial"/>
          <w:b/>
          <w:bCs/>
          <w:sz w:val="28"/>
          <w:szCs w:val="28"/>
          <w:lang w:val="es-ES"/>
        </w:rPr>
        <w:t>infundado</w:t>
      </w:r>
      <w:r w:rsidRPr="00F32542">
        <w:rPr>
          <w:rFonts w:ascii="Arial" w:eastAsia="Calibri" w:hAnsi="Arial" w:cs="Arial"/>
          <w:bCs/>
          <w:sz w:val="28"/>
          <w:szCs w:val="28"/>
          <w:lang w:val="es-ES"/>
        </w:rPr>
        <w:t xml:space="preserve"> el planteamiento de la parte actora en el expediente </w:t>
      </w:r>
      <w:r w:rsidRPr="00F32542">
        <w:rPr>
          <w:rFonts w:ascii="Arial" w:eastAsia="Calibri" w:hAnsi="Arial" w:cs="Arial"/>
          <w:b/>
          <w:bCs/>
          <w:sz w:val="28"/>
          <w:szCs w:val="28"/>
        </w:rPr>
        <w:t>TECDMX-</w:t>
      </w:r>
      <w:r w:rsidRPr="00F32542">
        <w:rPr>
          <w:rFonts w:ascii="Arial" w:eastAsia="Calibri" w:hAnsi="Arial" w:cs="Arial"/>
          <w:b/>
          <w:bCs/>
          <w:sz w:val="28"/>
          <w:szCs w:val="28"/>
          <w:lang w:val="es-ES"/>
        </w:rPr>
        <w:t>JLDC-103/2021</w:t>
      </w:r>
      <w:r w:rsidRPr="00F32542">
        <w:rPr>
          <w:rFonts w:ascii="Arial" w:eastAsia="Calibri" w:hAnsi="Arial" w:cs="Arial"/>
          <w:sz w:val="28"/>
          <w:szCs w:val="28"/>
          <w:lang w:val="es-ES"/>
        </w:rPr>
        <w:t>, relativo a que el primer lugar de la lista A debe ser ocupado por la fórmula de candidaturas a la diputación migrante —presupuesto que aduce la demandante, con el objeto de lograr alcanzar la asignación de una diputación plurinominal— dado que ello no tiene sustento jurídico alguno.</w:t>
      </w:r>
    </w:p>
    <w:p w14:paraId="4E7E14A4"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55EAABCC" w14:textId="77777777" w:rsidR="00F94B48" w:rsidRPr="00F32542" w:rsidRDefault="00F94B48"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Al respecto, es preciso destacar que el artículo 20, fracción II, de los </w:t>
      </w:r>
      <w:r w:rsidRPr="00F32542">
        <w:rPr>
          <w:rFonts w:ascii="Arial" w:eastAsia="Calibri" w:hAnsi="Arial" w:cs="Arial"/>
          <w:i/>
          <w:sz w:val="28"/>
          <w:szCs w:val="28"/>
          <w:lang w:val="es-ES"/>
        </w:rPr>
        <w:lastRenderedPageBreak/>
        <w:t>Lineamientos para la postulación</w:t>
      </w:r>
      <w:r w:rsidRPr="00F32542">
        <w:rPr>
          <w:rFonts w:ascii="Arial" w:eastAsia="Calibri" w:hAnsi="Arial" w:cs="Arial"/>
          <w:sz w:val="28"/>
          <w:szCs w:val="28"/>
          <w:lang w:val="es-ES"/>
        </w:rPr>
        <w:t xml:space="preserve"> dispone lo siguiente: </w:t>
      </w:r>
    </w:p>
    <w:p w14:paraId="26CD913F"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3749D316" w14:textId="77777777" w:rsidR="00F94B48" w:rsidRPr="00F32542" w:rsidRDefault="00F94B48" w:rsidP="00F94B48">
      <w:pPr>
        <w:widowControl w:val="0"/>
        <w:spacing w:after="0" w:line="240" w:lineRule="auto"/>
        <w:ind w:left="567" w:right="567"/>
        <w:jc w:val="both"/>
        <w:rPr>
          <w:rFonts w:ascii="Arial" w:eastAsia="Calibri" w:hAnsi="Arial" w:cs="Times New Roman"/>
          <w:i/>
          <w:iCs/>
          <w:sz w:val="24"/>
          <w:szCs w:val="24"/>
          <w:lang w:val="es-ES"/>
        </w:rPr>
      </w:pPr>
      <w:r w:rsidRPr="00F32542">
        <w:rPr>
          <w:rFonts w:ascii="Arial" w:eastAsia="Calibri" w:hAnsi="Arial" w:cs="Times New Roman"/>
          <w:bCs/>
          <w:sz w:val="24"/>
          <w:szCs w:val="24"/>
          <w:lang w:val="es-ES"/>
        </w:rPr>
        <w:t>“</w:t>
      </w:r>
      <w:r w:rsidRPr="00F32542">
        <w:rPr>
          <w:rFonts w:ascii="Arial" w:eastAsia="Calibri" w:hAnsi="Arial" w:cs="Times New Roman"/>
          <w:b/>
          <w:i/>
          <w:iCs/>
          <w:sz w:val="24"/>
          <w:szCs w:val="24"/>
          <w:lang w:val="es-ES"/>
        </w:rPr>
        <w:t>Artículo 20.</w:t>
      </w:r>
      <w:r w:rsidRPr="00F32542">
        <w:rPr>
          <w:rFonts w:ascii="Arial" w:eastAsia="Calibri" w:hAnsi="Arial" w:cs="Times New Roman"/>
          <w:i/>
          <w:iCs/>
          <w:sz w:val="24"/>
          <w:szCs w:val="24"/>
          <w:lang w:val="es-ES"/>
        </w:rPr>
        <w:t xml:space="preserve"> Para solicitar el registro de sus candidaturas, los partidos políticos, coaliciones y candidaturas comunes observarán las siguientes reglas: </w:t>
      </w:r>
    </w:p>
    <w:p w14:paraId="2633CB7C" w14:textId="77777777" w:rsidR="00F94B48" w:rsidRPr="00F32542" w:rsidRDefault="00F94B48" w:rsidP="00F94B48">
      <w:pPr>
        <w:widowControl w:val="0"/>
        <w:spacing w:after="0" w:line="240" w:lineRule="auto"/>
        <w:ind w:left="567" w:right="567"/>
        <w:jc w:val="both"/>
        <w:rPr>
          <w:rFonts w:ascii="Arial" w:eastAsia="Calibri" w:hAnsi="Arial" w:cs="Times New Roman"/>
          <w:i/>
          <w:iCs/>
          <w:sz w:val="24"/>
          <w:szCs w:val="24"/>
          <w:lang w:val="es-ES"/>
        </w:rPr>
      </w:pPr>
      <w:r w:rsidRPr="00F32542">
        <w:rPr>
          <w:rFonts w:ascii="Arial" w:eastAsia="Calibri" w:hAnsi="Arial" w:cs="Times New Roman"/>
          <w:i/>
          <w:iCs/>
          <w:sz w:val="24"/>
          <w:szCs w:val="24"/>
          <w:lang w:val="es-ES"/>
        </w:rPr>
        <w:t>…</w:t>
      </w:r>
    </w:p>
    <w:p w14:paraId="2C121B61" w14:textId="77777777" w:rsidR="00F94B48" w:rsidRPr="00F32542" w:rsidRDefault="00F94B48" w:rsidP="00F94B48">
      <w:pPr>
        <w:widowControl w:val="0"/>
        <w:spacing w:after="0" w:line="240" w:lineRule="auto"/>
        <w:ind w:left="567" w:right="567"/>
        <w:jc w:val="both"/>
        <w:rPr>
          <w:rFonts w:ascii="Arial" w:eastAsia="Calibri" w:hAnsi="Arial" w:cs="Times New Roman"/>
          <w:i/>
          <w:iCs/>
          <w:sz w:val="24"/>
          <w:szCs w:val="24"/>
          <w:lang w:val="es-ES"/>
        </w:rPr>
      </w:pPr>
      <w:r w:rsidRPr="00F32542">
        <w:rPr>
          <w:rFonts w:ascii="Arial" w:eastAsia="Calibri" w:hAnsi="Arial" w:cs="Times New Roman"/>
          <w:i/>
          <w:iCs/>
          <w:sz w:val="24"/>
          <w:szCs w:val="24"/>
          <w:lang w:val="es-ES"/>
        </w:rPr>
        <w:t xml:space="preserve">II. La lista de candidaturas de Diputaciones por el principio de representación proporcional al Congreso de la Ciudad de México </w:t>
      </w:r>
      <w:r w:rsidRPr="00F32542">
        <w:rPr>
          <w:rFonts w:ascii="Arial" w:eastAsia="Calibri" w:hAnsi="Arial" w:cs="Times New Roman"/>
          <w:i/>
          <w:iCs/>
          <w:sz w:val="24"/>
          <w:szCs w:val="24"/>
          <w:u w:val="single"/>
          <w:lang w:val="es-ES"/>
        </w:rPr>
        <w:t>(Lista ‘A’) se integrará por dieciséis fórmulas y cada una de ellas se conformará por una persona propietaria y una persona suplente del mismo género, listadas en orden de prelación alternando fórmulas de género distinto de manera sucesiva</w:t>
      </w:r>
      <w:r w:rsidRPr="00F32542">
        <w:rPr>
          <w:rFonts w:ascii="Arial" w:eastAsia="Calibri" w:hAnsi="Arial" w:cs="Times New Roman"/>
          <w:i/>
          <w:iCs/>
          <w:sz w:val="24"/>
          <w:szCs w:val="24"/>
          <w:lang w:val="es-ES"/>
        </w:rPr>
        <w:t xml:space="preserve"> para dar cumplimiento a la paridad vertical y la alternancia de género hasta agotar la lista. </w:t>
      </w:r>
    </w:p>
    <w:p w14:paraId="4DB12F14" w14:textId="77777777" w:rsidR="00F94B48" w:rsidRPr="00F32542" w:rsidRDefault="00F94B48" w:rsidP="00F94B48">
      <w:pPr>
        <w:widowControl w:val="0"/>
        <w:spacing w:after="0" w:line="240" w:lineRule="auto"/>
        <w:ind w:left="567" w:right="567"/>
        <w:jc w:val="both"/>
        <w:rPr>
          <w:rFonts w:ascii="Arial" w:eastAsia="Calibri" w:hAnsi="Arial" w:cs="Times New Roman"/>
          <w:i/>
          <w:iCs/>
          <w:sz w:val="24"/>
          <w:szCs w:val="24"/>
          <w:lang w:val="es-ES"/>
        </w:rPr>
      </w:pPr>
      <w:r w:rsidRPr="00F32542">
        <w:rPr>
          <w:rFonts w:ascii="Arial" w:eastAsia="Calibri" w:hAnsi="Arial" w:cs="Times New Roman"/>
          <w:i/>
          <w:iCs/>
          <w:sz w:val="24"/>
          <w:szCs w:val="24"/>
          <w:lang w:val="es-ES"/>
        </w:rPr>
        <w:t xml:space="preserve">Los partidos políticos deberán presentar una </w:t>
      </w:r>
      <w:r w:rsidRPr="00F32542">
        <w:rPr>
          <w:rFonts w:ascii="Arial" w:eastAsia="Calibri" w:hAnsi="Arial" w:cs="Times New Roman"/>
          <w:i/>
          <w:iCs/>
          <w:sz w:val="24"/>
          <w:szCs w:val="24"/>
          <w:u w:val="single"/>
          <w:lang w:val="es-ES"/>
        </w:rPr>
        <w:t>Lista que se denominará ‘A Prima’, que contendría únicamente una fórmula que corresponderá a la candidatura de Diputación Migrante, la cual, en caso de resultar ganadora será integrada de manera inmediata en el primer lugar de la asignación.</w:t>
      </w:r>
      <w:r w:rsidRPr="00F32542">
        <w:rPr>
          <w:rFonts w:ascii="Arial" w:eastAsia="Calibri" w:hAnsi="Arial" w:cs="Times New Roman"/>
          <w:i/>
          <w:iCs/>
          <w:sz w:val="24"/>
          <w:szCs w:val="24"/>
          <w:lang w:val="es-ES"/>
        </w:rPr>
        <w:t xml:space="preserve"> </w:t>
      </w:r>
    </w:p>
    <w:p w14:paraId="2168001D" w14:textId="77777777" w:rsidR="00F94B48" w:rsidRPr="00F32542" w:rsidRDefault="00F94B48" w:rsidP="00F94B48">
      <w:pPr>
        <w:widowControl w:val="0"/>
        <w:spacing w:after="0" w:line="240" w:lineRule="auto"/>
        <w:ind w:left="567" w:right="567"/>
        <w:jc w:val="both"/>
        <w:rPr>
          <w:rFonts w:ascii="Arial" w:eastAsia="Calibri" w:hAnsi="Arial" w:cs="Times New Roman"/>
          <w:sz w:val="24"/>
          <w:szCs w:val="24"/>
          <w:lang w:val="es-ES"/>
        </w:rPr>
      </w:pPr>
      <w:r w:rsidRPr="00F32542">
        <w:rPr>
          <w:rFonts w:ascii="Arial" w:eastAsia="Calibri" w:hAnsi="Arial" w:cs="Times New Roman"/>
          <w:i/>
          <w:iCs/>
          <w:sz w:val="24"/>
          <w:szCs w:val="24"/>
          <w:u w:val="single"/>
          <w:lang w:val="es-ES"/>
        </w:rPr>
        <w:t>Con ambas listas, se completan las 17 fórmulas</w:t>
      </w:r>
      <w:r w:rsidRPr="00F32542">
        <w:rPr>
          <w:rFonts w:ascii="Arial" w:eastAsia="Calibri" w:hAnsi="Arial" w:cs="Times New Roman"/>
          <w:i/>
          <w:iCs/>
          <w:sz w:val="24"/>
          <w:szCs w:val="24"/>
          <w:lang w:val="es-ES"/>
        </w:rPr>
        <w:t xml:space="preserve"> que deben registrar los partidos políticos para tener derecho a la asignación de diputaciones por el principio de representación proporcional a que se refiere el artículo 26, fracción I, del Código</w:t>
      </w:r>
      <w:r w:rsidRPr="00F32542">
        <w:rPr>
          <w:rFonts w:ascii="Arial" w:eastAsia="Calibri" w:hAnsi="Arial" w:cs="Times New Roman"/>
          <w:sz w:val="24"/>
          <w:szCs w:val="24"/>
          <w:lang w:val="es-ES"/>
        </w:rPr>
        <w:t>”.</w:t>
      </w:r>
    </w:p>
    <w:p w14:paraId="2DD916F4"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7C524DE0" w14:textId="77777777" w:rsidR="00F94B48" w:rsidRPr="00F32542" w:rsidRDefault="00F94B48"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 Mientras que el artículo 4, inciso c), fracciones v, vi, </w:t>
      </w:r>
      <w:proofErr w:type="spellStart"/>
      <w:r w:rsidRPr="00F32542">
        <w:rPr>
          <w:rFonts w:ascii="Arial" w:eastAsia="Calibri" w:hAnsi="Arial" w:cs="Arial"/>
          <w:sz w:val="28"/>
          <w:szCs w:val="28"/>
          <w:lang w:val="es-ES"/>
        </w:rPr>
        <w:t>vii</w:t>
      </w:r>
      <w:proofErr w:type="spellEnd"/>
      <w:r w:rsidRPr="00F32542">
        <w:rPr>
          <w:rFonts w:ascii="Arial" w:eastAsia="Calibri" w:hAnsi="Arial" w:cs="Arial"/>
          <w:sz w:val="28"/>
          <w:szCs w:val="28"/>
          <w:lang w:val="es-ES"/>
        </w:rPr>
        <w:t xml:space="preserve">, y </w:t>
      </w:r>
      <w:proofErr w:type="spellStart"/>
      <w:r w:rsidRPr="00F32542">
        <w:rPr>
          <w:rFonts w:ascii="Arial" w:eastAsia="Calibri" w:hAnsi="Arial" w:cs="Arial"/>
          <w:sz w:val="28"/>
          <w:szCs w:val="28"/>
          <w:lang w:val="es-ES"/>
        </w:rPr>
        <w:t>viii</w:t>
      </w:r>
      <w:proofErr w:type="spellEnd"/>
      <w:r w:rsidRPr="00F32542">
        <w:rPr>
          <w:rFonts w:ascii="Arial" w:eastAsia="Calibri" w:hAnsi="Arial" w:cs="Arial"/>
          <w:sz w:val="28"/>
          <w:szCs w:val="28"/>
          <w:lang w:val="es-ES"/>
        </w:rPr>
        <w:t xml:space="preserve">, de los </w:t>
      </w:r>
      <w:r w:rsidRPr="00F32542">
        <w:rPr>
          <w:rFonts w:ascii="Arial" w:eastAsia="Calibri" w:hAnsi="Arial" w:cs="Arial"/>
          <w:i/>
          <w:sz w:val="28"/>
          <w:szCs w:val="28"/>
          <w:lang w:val="es-ES"/>
        </w:rPr>
        <w:t>Lineamientos para la asignación</w:t>
      </w:r>
      <w:r w:rsidRPr="00F32542">
        <w:rPr>
          <w:rFonts w:ascii="Arial" w:eastAsia="Calibri" w:hAnsi="Arial" w:cs="Arial"/>
          <w:sz w:val="28"/>
          <w:szCs w:val="28"/>
          <w:lang w:val="es-ES"/>
        </w:rPr>
        <w:t xml:space="preserve"> prevén lo siguiente: </w:t>
      </w:r>
    </w:p>
    <w:p w14:paraId="7C829643" w14:textId="77777777" w:rsidR="00F94B48" w:rsidRPr="00F32542" w:rsidRDefault="00F94B48" w:rsidP="002E323F">
      <w:pPr>
        <w:widowControl w:val="0"/>
        <w:spacing w:after="0" w:line="360" w:lineRule="auto"/>
        <w:ind w:left="567" w:right="567"/>
        <w:jc w:val="both"/>
        <w:rPr>
          <w:rFonts w:ascii="Arial" w:eastAsia="Calibri" w:hAnsi="Arial" w:cs="Arial"/>
          <w:sz w:val="28"/>
          <w:szCs w:val="28"/>
          <w:lang w:val="es-ES"/>
        </w:rPr>
      </w:pPr>
    </w:p>
    <w:p w14:paraId="38CB8D57" w14:textId="77777777" w:rsidR="00F94B48" w:rsidRPr="00F32542" w:rsidRDefault="00F94B48" w:rsidP="00F94B48">
      <w:pPr>
        <w:widowControl w:val="0"/>
        <w:spacing w:after="0" w:line="240" w:lineRule="auto"/>
        <w:ind w:left="567" w:right="567"/>
        <w:jc w:val="both"/>
        <w:rPr>
          <w:rFonts w:ascii="Arial" w:eastAsia="Calibri" w:hAnsi="Arial" w:cs="Times New Roman"/>
          <w:i/>
          <w:iCs/>
          <w:sz w:val="24"/>
          <w:szCs w:val="24"/>
          <w:lang w:val="es-ES"/>
        </w:rPr>
      </w:pPr>
      <w:r w:rsidRPr="00F32542">
        <w:rPr>
          <w:rFonts w:ascii="Arial" w:eastAsia="Calibri" w:hAnsi="Arial" w:cs="Times New Roman"/>
          <w:bCs/>
          <w:sz w:val="24"/>
          <w:szCs w:val="24"/>
          <w:lang w:val="es-ES"/>
        </w:rPr>
        <w:t>“</w:t>
      </w:r>
      <w:r w:rsidRPr="00F32542">
        <w:rPr>
          <w:rFonts w:ascii="Arial" w:eastAsia="Calibri" w:hAnsi="Arial" w:cs="Times New Roman"/>
          <w:b/>
          <w:i/>
          <w:iCs/>
          <w:sz w:val="24"/>
          <w:szCs w:val="24"/>
          <w:lang w:val="es-ES"/>
        </w:rPr>
        <w:t>Artículo 4.</w:t>
      </w:r>
      <w:r w:rsidRPr="00F32542">
        <w:rPr>
          <w:rFonts w:ascii="Arial" w:eastAsia="Calibri" w:hAnsi="Arial" w:cs="Times New Roman"/>
          <w:i/>
          <w:iCs/>
          <w:sz w:val="24"/>
          <w:szCs w:val="24"/>
          <w:lang w:val="es-ES"/>
        </w:rPr>
        <w:t xml:space="preserve"> Para efectos de los presentes Lineamientos se entenderá: </w:t>
      </w:r>
    </w:p>
    <w:p w14:paraId="73FA05F7" w14:textId="77777777" w:rsidR="00F94B48" w:rsidRPr="00F32542" w:rsidRDefault="00F94B48" w:rsidP="00F94B48">
      <w:pPr>
        <w:widowControl w:val="0"/>
        <w:spacing w:after="0" w:line="240" w:lineRule="auto"/>
        <w:ind w:left="567" w:right="567"/>
        <w:jc w:val="both"/>
        <w:rPr>
          <w:rFonts w:ascii="Arial" w:eastAsia="Calibri" w:hAnsi="Arial" w:cs="Times New Roman"/>
          <w:i/>
          <w:iCs/>
          <w:sz w:val="24"/>
          <w:szCs w:val="24"/>
          <w:lang w:val="es-ES"/>
        </w:rPr>
      </w:pPr>
      <w:r w:rsidRPr="00F32542">
        <w:rPr>
          <w:rFonts w:ascii="Arial" w:eastAsia="Calibri" w:hAnsi="Arial" w:cs="Times New Roman"/>
          <w:i/>
          <w:iCs/>
          <w:sz w:val="24"/>
          <w:szCs w:val="24"/>
          <w:lang w:val="es-ES"/>
        </w:rPr>
        <w:t>…</w:t>
      </w:r>
    </w:p>
    <w:p w14:paraId="59C3B9E2" w14:textId="77777777" w:rsidR="00F94B48" w:rsidRPr="00F32542" w:rsidRDefault="00F94B48" w:rsidP="00F94B48">
      <w:pPr>
        <w:widowControl w:val="0"/>
        <w:spacing w:after="0" w:line="240" w:lineRule="auto"/>
        <w:ind w:left="567" w:right="567"/>
        <w:jc w:val="both"/>
        <w:rPr>
          <w:rFonts w:ascii="Arial" w:eastAsia="Calibri" w:hAnsi="Arial" w:cs="Times New Roman"/>
          <w:i/>
          <w:iCs/>
          <w:sz w:val="24"/>
          <w:szCs w:val="24"/>
          <w:lang w:val="es-ES"/>
        </w:rPr>
      </w:pPr>
      <w:r w:rsidRPr="00F32542">
        <w:rPr>
          <w:rFonts w:ascii="Arial" w:eastAsia="Calibri" w:hAnsi="Arial" w:cs="Times New Roman"/>
          <w:i/>
          <w:iCs/>
          <w:sz w:val="24"/>
          <w:szCs w:val="24"/>
          <w:lang w:val="es-ES"/>
        </w:rPr>
        <w:t xml:space="preserve">c) Para la asignación de Diputaciones electas por el principio de representación proporcional, se tendrían en cuenta los conceptos y principios siguientes: </w:t>
      </w:r>
    </w:p>
    <w:p w14:paraId="44BEF555" w14:textId="77777777" w:rsidR="00F94B48" w:rsidRPr="00F32542" w:rsidRDefault="00F94B48" w:rsidP="00F94B48">
      <w:pPr>
        <w:widowControl w:val="0"/>
        <w:spacing w:after="0" w:line="240" w:lineRule="auto"/>
        <w:ind w:left="567" w:right="567"/>
        <w:jc w:val="both"/>
        <w:rPr>
          <w:rFonts w:ascii="Arial" w:eastAsia="Calibri" w:hAnsi="Arial" w:cs="Times New Roman"/>
          <w:i/>
          <w:iCs/>
          <w:sz w:val="24"/>
          <w:szCs w:val="24"/>
          <w:lang w:val="es-ES"/>
        </w:rPr>
      </w:pPr>
      <w:r w:rsidRPr="00F32542">
        <w:rPr>
          <w:rFonts w:ascii="Arial" w:eastAsia="Calibri" w:hAnsi="Arial" w:cs="Times New Roman"/>
          <w:i/>
          <w:iCs/>
          <w:sz w:val="24"/>
          <w:szCs w:val="24"/>
          <w:lang w:val="es-ES"/>
        </w:rPr>
        <w:t>…</w:t>
      </w:r>
    </w:p>
    <w:p w14:paraId="6CD69CBC" w14:textId="77777777" w:rsidR="00F94B48" w:rsidRPr="00F32542" w:rsidRDefault="00F94B48" w:rsidP="00F94B48">
      <w:pPr>
        <w:widowControl w:val="0"/>
        <w:spacing w:after="0" w:line="240" w:lineRule="auto"/>
        <w:ind w:left="567" w:right="567"/>
        <w:jc w:val="both"/>
        <w:rPr>
          <w:rFonts w:ascii="Arial" w:eastAsia="Calibri" w:hAnsi="Arial" w:cs="Times New Roman"/>
          <w:i/>
          <w:iCs/>
          <w:sz w:val="24"/>
          <w:szCs w:val="24"/>
          <w:lang w:val="es-ES"/>
        </w:rPr>
      </w:pPr>
      <w:r w:rsidRPr="00F32542">
        <w:rPr>
          <w:rFonts w:ascii="Arial" w:eastAsia="Calibri" w:hAnsi="Arial" w:cs="Times New Roman"/>
          <w:i/>
          <w:iCs/>
          <w:sz w:val="24"/>
          <w:szCs w:val="24"/>
          <w:lang w:val="es-ES"/>
        </w:rPr>
        <w:t xml:space="preserve">v. </w:t>
      </w:r>
      <w:r w:rsidRPr="00F32542">
        <w:rPr>
          <w:rFonts w:ascii="Arial" w:eastAsia="Calibri" w:hAnsi="Arial" w:cs="Times New Roman"/>
          <w:i/>
          <w:iCs/>
          <w:sz w:val="24"/>
          <w:szCs w:val="24"/>
          <w:u w:val="single"/>
          <w:lang w:val="es-ES"/>
        </w:rPr>
        <w:t>Lista ‘A’: Relación de dieciséis fórmulas de candidaturas para la elección de Diputaciones plurinominales conformadas por persona propietaria y suplente del mismo género, listadas en orden de prelación alternando fórmulas de género distinto de manera sucesiva</w:t>
      </w:r>
      <w:r w:rsidRPr="00F32542">
        <w:rPr>
          <w:rFonts w:ascii="Arial" w:eastAsia="Calibri" w:hAnsi="Arial" w:cs="Times New Roman"/>
          <w:i/>
          <w:iCs/>
          <w:sz w:val="24"/>
          <w:szCs w:val="24"/>
          <w:lang w:val="es-ES"/>
        </w:rPr>
        <w:t xml:space="preserve">, a elegir por el principio de representación proporcional, de las cuales cuatro deberán integradas por jóvenes de 18 a 35 años y, al menos una por integrantes de pueblos y barrios originarios y comunidades indígenas, así como una fórmula integrada por personas con discapacidad. </w:t>
      </w:r>
    </w:p>
    <w:p w14:paraId="0047D6DB" w14:textId="77777777" w:rsidR="00F94B48" w:rsidRPr="00F32542" w:rsidRDefault="00F94B48" w:rsidP="00F94B48">
      <w:pPr>
        <w:widowControl w:val="0"/>
        <w:spacing w:after="0" w:line="240" w:lineRule="auto"/>
        <w:ind w:left="567" w:right="567"/>
        <w:jc w:val="both"/>
        <w:rPr>
          <w:rFonts w:ascii="Arial" w:eastAsia="Calibri" w:hAnsi="Arial" w:cs="Times New Roman"/>
          <w:i/>
          <w:iCs/>
          <w:sz w:val="24"/>
          <w:szCs w:val="24"/>
          <w:lang w:val="es-ES"/>
        </w:rPr>
      </w:pPr>
      <w:r w:rsidRPr="00F32542">
        <w:rPr>
          <w:rFonts w:ascii="Arial" w:eastAsia="Calibri" w:hAnsi="Arial" w:cs="Times New Roman"/>
          <w:i/>
          <w:iCs/>
          <w:sz w:val="24"/>
          <w:szCs w:val="24"/>
          <w:u w:val="single"/>
          <w:lang w:val="es-ES"/>
        </w:rPr>
        <w:t>vi. Lista ‘A Prima’: Apartado de la lista ‘A’ que se integra con la candidatura de la Diputación Migrante postulada por cada partido político</w:t>
      </w:r>
      <w:r w:rsidRPr="00F32542">
        <w:rPr>
          <w:rFonts w:ascii="Arial" w:eastAsia="Calibri" w:hAnsi="Arial" w:cs="Times New Roman"/>
          <w:i/>
          <w:iCs/>
          <w:sz w:val="24"/>
          <w:szCs w:val="24"/>
          <w:lang w:val="es-ES"/>
        </w:rPr>
        <w:t xml:space="preserve">, siendo esta una persona residente en el extranjero con calidad de originaria de la Ciudad de México, que cumple con los requisitos dispuestos por la Constitución Federal y la Ley de Nacionalidad para </w:t>
      </w:r>
      <w:r w:rsidRPr="00F32542">
        <w:rPr>
          <w:rFonts w:ascii="Arial" w:eastAsia="Calibri" w:hAnsi="Arial" w:cs="Times New Roman"/>
          <w:i/>
          <w:iCs/>
          <w:sz w:val="24"/>
          <w:szCs w:val="24"/>
          <w:lang w:val="es-ES"/>
        </w:rPr>
        <w:lastRenderedPageBreak/>
        <w:t xml:space="preserve">ocupar el cargo de Diputada o Diputado por el principio de representación proporcional en el Congreso de la Ciudad de México, así como lo establecido en los demás ordenamientos legales que resulten aplicables. </w:t>
      </w:r>
    </w:p>
    <w:p w14:paraId="5F0A3B17" w14:textId="77777777" w:rsidR="00F94B48" w:rsidRPr="00F32542" w:rsidRDefault="00F94B48" w:rsidP="00F94B48">
      <w:pPr>
        <w:widowControl w:val="0"/>
        <w:spacing w:after="0" w:line="240" w:lineRule="auto"/>
        <w:ind w:left="567" w:right="567"/>
        <w:jc w:val="both"/>
        <w:rPr>
          <w:rFonts w:ascii="Arial" w:eastAsia="Calibri" w:hAnsi="Arial" w:cs="Times New Roman"/>
          <w:i/>
          <w:iCs/>
          <w:sz w:val="24"/>
          <w:szCs w:val="24"/>
          <w:lang w:val="es-ES"/>
        </w:rPr>
      </w:pPr>
      <w:proofErr w:type="spellStart"/>
      <w:r w:rsidRPr="00F32542">
        <w:rPr>
          <w:rFonts w:ascii="Arial" w:eastAsia="Calibri" w:hAnsi="Arial" w:cs="Times New Roman"/>
          <w:i/>
          <w:iCs/>
          <w:sz w:val="24"/>
          <w:szCs w:val="24"/>
          <w:lang w:val="es-ES"/>
        </w:rPr>
        <w:t>vii</w:t>
      </w:r>
      <w:proofErr w:type="spellEnd"/>
      <w:r w:rsidRPr="00F32542">
        <w:rPr>
          <w:rFonts w:ascii="Arial" w:eastAsia="Calibri" w:hAnsi="Arial" w:cs="Times New Roman"/>
          <w:i/>
          <w:iCs/>
          <w:sz w:val="24"/>
          <w:szCs w:val="24"/>
          <w:lang w:val="es-ES"/>
        </w:rPr>
        <w:t xml:space="preserve">. Lista ‘B’: Relación de diecisiete fórmulas de candidaturas conformadas por las Diputaciones que no lograron el triunfo en la elección por el principio de mayoría relativa del distrito en que participaron, pero que alcanzaron a nivel distrital los mayores porcentajes de la votación local emitida, comparados respecto de otras fórmulas de su propio partido en esa misma elección; con la finalidad de garantizar la paridad de género, una vez que se determinó el primer lugar de esa lista, el segundo será ocupado por la fórmula por la fórmula del otro género con mayor porcentaje de la votación local emitida, e irán intercalando de esta manera hasta concluir con la integración de la lista. </w:t>
      </w:r>
    </w:p>
    <w:p w14:paraId="2689CFA7" w14:textId="77777777" w:rsidR="00F94B48" w:rsidRPr="00F32542" w:rsidRDefault="00F94B48" w:rsidP="00F94B48">
      <w:pPr>
        <w:widowControl w:val="0"/>
        <w:spacing w:after="0" w:line="240" w:lineRule="auto"/>
        <w:ind w:left="567" w:right="567"/>
        <w:jc w:val="both"/>
        <w:rPr>
          <w:rFonts w:ascii="Arial" w:eastAsia="Calibri" w:hAnsi="Arial" w:cs="Times New Roman"/>
          <w:sz w:val="24"/>
          <w:szCs w:val="24"/>
          <w:lang w:val="es-ES"/>
        </w:rPr>
      </w:pPr>
      <w:proofErr w:type="spellStart"/>
      <w:r w:rsidRPr="00F32542">
        <w:rPr>
          <w:rFonts w:ascii="Arial" w:eastAsia="Calibri" w:hAnsi="Arial" w:cs="Times New Roman"/>
          <w:i/>
          <w:iCs/>
          <w:sz w:val="24"/>
          <w:szCs w:val="24"/>
          <w:u w:val="single"/>
          <w:lang w:val="es-ES"/>
        </w:rPr>
        <w:t>viii</w:t>
      </w:r>
      <w:proofErr w:type="spellEnd"/>
      <w:r w:rsidRPr="00F32542">
        <w:rPr>
          <w:rFonts w:ascii="Arial" w:eastAsia="Calibri" w:hAnsi="Arial" w:cs="Times New Roman"/>
          <w:i/>
          <w:iCs/>
          <w:sz w:val="24"/>
          <w:szCs w:val="24"/>
          <w:u w:val="single"/>
          <w:lang w:val="es-ES"/>
        </w:rPr>
        <w:t xml:space="preserve">. Lista definitiva: Es el resultado de intercalar las fórmulas de </w:t>
      </w:r>
      <w:proofErr w:type="gramStart"/>
      <w:r w:rsidRPr="00F32542">
        <w:rPr>
          <w:rFonts w:ascii="Arial" w:eastAsia="Calibri" w:hAnsi="Arial" w:cs="Times New Roman"/>
          <w:i/>
          <w:iCs/>
          <w:sz w:val="24"/>
          <w:szCs w:val="24"/>
          <w:u w:val="single"/>
          <w:lang w:val="es-ES"/>
        </w:rPr>
        <w:t>candidatos y candidatas</w:t>
      </w:r>
      <w:proofErr w:type="gramEnd"/>
      <w:r w:rsidRPr="00F32542">
        <w:rPr>
          <w:rFonts w:ascii="Arial" w:eastAsia="Calibri" w:hAnsi="Arial" w:cs="Times New Roman"/>
          <w:i/>
          <w:iCs/>
          <w:sz w:val="24"/>
          <w:szCs w:val="24"/>
          <w:u w:val="single"/>
          <w:lang w:val="es-ES"/>
        </w:rPr>
        <w:t xml:space="preserve"> de las Listas ‘A’ y ‘B’, que será encabezada siempre por la primera fórmula de la lista ‘A’, salvo en el caso del partido que obtenga la diputación migrante, ya que, en ese supuesto, la lista definitiva estará encabezada por la fórmula en la que se postuló a la referida diputación migrante</w:t>
      </w:r>
      <w:r w:rsidRPr="00F32542">
        <w:rPr>
          <w:rFonts w:ascii="Arial" w:eastAsia="Calibri" w:hAnsi="Arial" w:cs="Times New Roman"/>
          <w:i/>
          <w:iCs/>
          <w:sz w:val="24"/>
          <w:szCs w:val="24"/>
          <w:lang w:val="es-ES"/>
        </w:rPr>
        <w:t>. Tal intercalado podrá generar bloques de hasta dos fórmulas del mismo género, pero de diferente lista de origen</w:t>
      </w:r>
      <w:r w:rsidRPr="00F32542">
        <w:rPr>
          <w:rFonts w:ascii="Arial" w:eastAsia="Calibri" w:hAnsi="Arial" w:cs="Times New Roman"/>
          <w:sz w:val="24"/>
          <w:szCs w:val="24"/>
          <w:lang w:val="es-ES"/>
        </w:rPr>
        <w:t>”.</w:t>
      </w:r>
    </w:p>
    <w:p w14:paraId="0FF009EB"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06B94475" w14:textId="77777777" w:rsidR="00F94B48" w:rsidRPr="00F32542" w:rsidRDefault="00F94B48"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Acorde con una interpretación sistemática y funcional de la normativa transcrita, en términos del artículo 30 de la Ley Procesal, se obtiene que la fórmula de personas candidatas a la diputación migrante, no forma parte de la lista A, sino que conforma un apartado independiente. </w:t>
      </w:r>
    </w:p>
    <w:p w14:paraId="0C83E5F1"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3B191330" w14:textId="77777777" w:rsidR="00F94B48" w:rsidRPr="00F32542" w:rsidRDefault="00F94B48"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En efecto, contrario a lo que sostiene la referida parte actora, la fórmula de candidaturas a la diputación migrante que obtuvo el triunfo en elección, no integra la lista A, sino que ésta se conforma únicamente con las dieciséis fórmulas de personas candidatas a diputaciones de representación proporcional, alternadas por género. </w:t>
      </w:r>
    </w:p>
    <w:p w14:paraId="4C01DA99"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7E2C0854" w14:textId="77777777" w:rsidR="00F94B48" w:rsidRPr="00F32542" w:rsidRDefault="00F94B48"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Lo anterior, habida cuenta que las dieciséis fórmulas que conforman la lista A son aquéllas que, en conjunto, son votadas por la ciudadanía como postulaciones definidas por el partido político por el principio de </w:t>
      </w:r>
      <w:r w:rsidRPr="00F32542">
        <w:rPr>
          <w:rFonts w:ascii="Arial" w:eastAsia="Calibri" w:hAnsi="Arial" w:cs="Arial"/>
          <w:sz w:val="28"/>
          <w:szCs w:val="28"/>
          <w:lang w:val="es-ES"/>
        </w:rPr>
        <w:lastRenderedPageBreak/>
        <w:t xml:space="preserve">representación proporcional, y cuya votación, en el presente proceso electoral, corresponde únicamente a la recibida en la Ciudad de México. </w:t>
      </w:r>
    </w:p>
    <w:p w14:paraId="7A487C2B"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49D06EFD" w14:textId="77777777" w:rsidR="00F94B48" w:rsidRPr="00F32542" w:rsidRDefault="00F94B48"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Mientras que la lista A prima exclusivamente contiene la fórmula de candidaturas a la diputación migrante, la cual es electa mediante el voto de las personas que residen en el extranjero, quienes sólo tuvieron como opciones para emitir su sufragio, las fórmulas únicas que cada partido político postuló. </w:t>
      </w:r>
    </w:p>
    <w:p w14:paraId="5C3EB301"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6C66180F" w14:textId="77777777" w:rsidR="00F94B48" w:rsidRPr="00F32542" w:rsidRDefault="00F94B48"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De ahí que, además de que no está previsto expresamente en los </w:t>
      </w:r>
      <w:r w:rsidRPr="00F32542">
        <w:rPr>
          <w:rFonts w:ascii="Arial" w:eastAsia="Calibri" w:hAnsi="Arial" w:cs="Arial"/>
          <w:i/>
          <w:sz w:val="28"/>
          <w:szCs w:val="28"/>
          <w:lang w:val="es-ES"/>
        </w:rPr>
        <w:t>Lineamientos para la postulación</w:t>
      </w:r>
      <w:r w:rsidRPr="00F32542">
        <w:rPr>
          <w:rFonts w:ascii="Arial" w:eastAsia="Calibri" w:hAnsi="Arial" w:cs="Arial"/>
          <w:sz w:val="28"/>
          <w:szCs w:val="28"/>
          <w:lang w:val="es-ES"/>
        </w:rPr>
        <w:t xml:space="preserve"> o en los </w:t>
      </w:r>
      <w:r w:rsidRPr="00F32542">
        <w:rPr>
          <w:rFonts w:ascii="Arial" w:eastAsia="Calibri" w:hAnsi="Arial" w:cs="Arial"/>
          <w:i/>
          <w:sz w:val="28"/>
          <w:szCs w:val="28"/>
          <w:lang w:val="es-ES"/>
        </w:rPr>
        <w:t xml:space="preserve">Lineamientos para la </w:t>
      </w:r>
      <w:r w:rsidRPr="00F32542">
        <w:rPr>
          <w:rFonts w:ascii="Arial" w:eastAsia="Calibri" w:hAnsi="Arial" w:cs="Arial"/>
          <w:iCs/>
          <w:sz w:val="28"/>
          <w:szCs w:val="28"/>
          <w:lang w:val="es-ES"/>
        </w:rPr>
        <w:t>asignación, que</w:t>
      </w:r>
      <w:r w:rsidRPr="00F32542">
        <w:rPr>
          <w:rFonts w:ascii="Arial" w:eastAsia="Calibri" w:hAnsi="Arial" w:cs="Arial"/>
          <w:sz w:val="28"/>
          <w:szCs w:val="28"/>
          <w:lang w:val="es-ES"/>
        </w:rPr>
        <w:t xml:space="preserve"> la fórmula integrante de la lista A </w:t>
      </w:r>
      <w:proofErr w:type="gramStart"/>
      <w:r w:rsidRPr="00F32542">
        <w:rPr>
          <w:rFonts w:ascii="Arial" w:eastAsia="Calibri" w:hAnsi="Arial" w:cs="Arial"/>
          <w:sz w:val="28"/>
          <w:szCs w:val="28"/>
          <w:lang w:val="es-ES"/>
        </w:rPr>
        <w:t>prima,</w:t>
      </w:r>
      <w:proofErr w:type="gramEnd"/>
      <w:r w:rsidRPr="00F32542">
        <w:rPr>
          <w:rFonts w:ascii="Arial" w:eastAsia="Calibri" w:hAnsi="Arial" w:cs="Arial"/>
          <w:sz w:val="28"/>
          <w:szCs w:val="28"/>
          <w:lang w:val="es-ES"/>
        </w:rPr>
        <w:t xml:space="preserve"> ocupe el primer lugar de la lista A, lo cierto es que no es factible asumir una postura en tal sentido, pues desvirtuaría la esencia de cada elección.</w:t>
      </w:r>
    </w:p>
    <w:p w14:paraId="23B5EA77"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14F0AA2E" w14:textId="77777777" w:rsidR="00F94B48" w:rsidRPr="00F32542" w:rsidRDefault="00F94B48"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En efecto, no podría considerarse que la fórmula de personas candidatas a la diputación migrante integra la lista A, puesto que ésta no es votada en forma integrada al conjunto de candidaturas que postuló el partido político para la asignación de representación proporcional. </w:t>
      </w:r>
    </w:p>
    <w:p w14:paraId="6FBD5D1B"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4EA9D011" w14:textId="77777777" w:rsidR="00F94B48" w:rsidRPr="00F32542" w:rsidRDefault="00F94B48"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Por el contrario, la lista A es votada por las personas electoras residentes en la Ciudad de México; mientras que la lista A prima es votada por personas originarias de esta ciudad, pero que residen en el extranjero. </w:t>
      </w:r>
    </w:p>
    <w:p w14:paraId="639FEE5F"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09889652" w14:textId="77777777" w:rsidR="00F94B48" w:rsidRPr="00F32542" w:rsidRDefault="00F94B48"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Por ello, si bien, en términos del artículo 4, inciso c), fracción vi, de los Lineamientos para la asignación, la lista A prima fue </w:t>
      </w:r>
      <w:r w:rsidRPr="00F32542">
        <w:rPr>
          <w:rFonts w:ascii="Arial" w:eastAsia="Calibri" w:hAnsi="Arial" w:cs="Arial"/>
          <w:sz w:val="28"/>
          <w:szCs w:val="28"/>
          <w:lang w:val="es-ES"/>
        </w:rPr>
        <w:lastRenderedPageBreak/>
        <w:t xml:space="preserve">conceptualizada como un </w:t>
      </w:r>
      <w:r w:rsidRPr="00F32542">
        <w:rPr>
          <w:rFonts w:ascii="Arial" w:eastAsia="Calibri" w:hAnsi="Arial" w:cs="Arial"/>
          <w:i/>
          <w:sz w:val="28"/>
          <w:szCs w:val="28"/>
          <w:lang w:val="es-ES"/>
        </w:rPr>
        <w:t>“apartado de la lista A",</w:t>
      </w:r>
      <w:r w:rsidRPr="00F32542">
        <w:rPr>
          <w:rFonts w:ascii="Arial" w:eastAsia="Calibri" w:hAnsi="Arial" w:cs="Arial"/>
          <w:sz w:val="28"/>
          <w:szCs w:val="28"/>
          <w:lang w:val="es-ES"/>
        </w:rPr>
        <w:t xml:space="preserve"> ello atiende precisamente a que, en atención a su método de elección y personas votantes, se trata de una lista separada, pero que, en forma conjunta con las dieciséis fórmulas de la lista A, integran las diecisiete fórmulas de candidaturas a diputaciones por el principio de representación proporcional que debían postular los partidos políticos. </w:t>
      </w:r>
    </w:p>
    <w:p w14:paraId="57FB792A" w14:textId="77777777" w:rsidR="00F94B48" w:rsidRPr="00F32542" w:rsidRDefault="00F94B48"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 </w:t>
      </w:r>
    </w:p>
    <w:p w14:paraId="656434FE" w14:textId="77777777" w:rsidR="00F94B48" w:rsidRPr="00F32542" w:rsidRDefault="00F94B48"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Además, contrario a lo que sostiene la </w:t>
      </w:r>
      <w:r w:rsidRPr="00F32542">
        <w:rPr>
          <w:rFonts w:ascii="Arial" w:eastAsia="Calibri" w:hAnsi="Arial" w:cs="Arial"/>
          <w:i/>
          <w:sz w:val="28"/>
          <w:szCs w:val="28"/>
          <w:lang w:val="es-ES"/>
        </w:rPr>
        <w:t xml:space="preserve">parte actora, </w:t>
      </w:r>
      <w:r w:rsidRPr="00F32542">
        <w:rPr>
          <w:rFonts w:ascii="Arial" w:eastAsia="Calibri" w:hAnsi="Arial" w:cs="Arial"/>
          <w:sz w:val="28"/>
          <w:szCs w:val="28"/>
          <w:lang w:val="es-ES"/>
        </w:rPr>
        <w:t xml:space="preserve">de lo establecido en el artículo 4, apartado c), fracción </w:t>
      </w:r>
      <w:proofErr w:type="spellStart"/>
      <w:r w:rsidRPr="00F32542">
        <w:rPr>
          <w:rFonts w:ascii="Arial" w:eastAsia="Calibri" w:hAnsi="Arial" w:cs="Arial"/>
          <w:sz w:val="28"/>
          <w:szCs w:val="28"/>
          <w:lang w:val="es-ES"/>
        </w:rPr>
        <w:t>viii</w:t>
      </w:r>
      <w:proofErr w:type="spellEnd"/>
      <w:r w:rsidRPr="00F32542">
        <w:rPr>
          <w:rFonts w:ascii="Arial" w:eastAsia="Calibri" w:hAnsi="Arial" w:cs="Arial"/>
          <w:sz w:val="28"/>
          <w:szCs w:val="28"/>
          <w:lang w:val="es-ES"/>
        </w:rPr>
        <w:t xml:space="preserve">, de los </w:t>
      </w:r>
      <w:r w:rsidRPr="00F32542">
        <w:rPr>
          <w:rFonts w:ascii="Arial" w:eastAsia="Calibri" w:hAnsi="Arial" w:cs="Arial"/>
          <w:i/>
          <w:sz w:val="28"/>
          <w:szCs w:val="28"/>
          <w:lang w:val="es-ES"/>
        </w:rPr>
        <w:t>Lineamientos para la asignación</w:t>
      </w:r>
      <w:r w:rsidRPr="00F32542">
        <w:rPr>
          <w:rFonts w:ascii="Arial" w:eastAsia="Calibri" w:hAnsi="Arial" w:cs="Arial"/>
          <w:sz w:val="28"/>
          <w:szCs w:val="28"/>
          <w:lang w:val="es-ES"/>
        </w:rPr>
        <w:t xml:space="preserve">, no deriva que la candidatura a la diputación migrante integre la lista A. </w:t>
      </w:r>
    </w:p>
    <w:p w14:paraId="5051F453"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7316FE3F" w14:textId="77777777" w:rsidR="00F94B48" w:rsidRPr="00F32542" w:rsidRDefault="00F94B48"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En efecto, esa norma dispone la forma en que se integra la lista definitiva de cada partido político para efectos de la asignación de curules, más no se refiere a la conformación de la lista A, ni prevé que la lista A prima forma parte de ésta. </w:t>
      </w:r>
    </w:p>
    <w:p w14:paraId="5424BEE1"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20BBB1A8" w14:textId="77777777" w:rsidR="00F94B48" w:rsidRPr="00F32542" w:rsidRDefault="00F94B48"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Y si bien, establece que en el caso del partido que obtenga la diputación migrante</w:t>
      </w:r>
      <w:r w:rsidRPr="00F32542">
        <w:rPr>
          <w:rFonts w:ascii="Arial" w:eastAsia="Calibri" w:hAnsi="Arial" w:cs="Arial"/>
          <w:i/>
          <w:sz w:val="28"/>
          <w:szCs w:val="28"/>
          <w:lang w:val="es-ES"/>
        </w:rPr>
        <w:t xml:space="preserve"> “la lista definitiva estará encabezada por la fórmula en la que se postuló a la referida diputación migrante”</w:t>
      </w:r>
      <w:r w:rsidRPr="00F32542">
        <w:rPr>
          <w:rFonts w:ascii="Arial" w:eastAsia="Calibri" w:hAnsi="Arial" w:cs="Arial"/>
          <w:sz w:val="28"/>
          <w:szCs w:val="28"/>
          <w:lang w:val="es-ES"/>
        </w:rPr>
        <w:t xml:space="preserve">, dicha norma debe interpretarse en forma armónica con los artículos 20, fracción II, segundo párrafo, de los </w:t>
      </w:r>
      <w:r w:rsidRPr="00F32542">
        <w:rPr>
          <w:rFonts w:ascii="Arial" w:eastAsia="Calibri" w:hAnsi="Arial" w:cs="Arial"/>
          <w:i/>
          <w:sz w:val="28"/>
          <w:szCs w:val="28"/>
          <w:lang w:val="es-ES"/>
        </w:rPr>
        <w:t>Lineamientos para la postulación</w:t>
      </w:r>
      <w:r w:rsidRPr="00F32542">
        <w:rPr>
          <w:rFonts w:ascii="Arial" w:eastAsia="Calibri" w:hAnsi="Arial" w:cs="Arial"/>
          <w:sz w:val="28"/>
          <w:szCs w:val="28"/>
          <w:lang w:val="es-ES"/>
        </w:rPr>
        <w:t xml:space="preserve"> –previamente transcrito–, y 6 de los </w:t>
      </w:r>
      <w:r w:rsidRPr="00F32542">
        <w:rPr>
          <w:rFonts w:ascii="Arial" w:eastAsia="Calibri" w:hAnsi="Arial" w:cs="Arial"/>
          <w:i/>
          <w:sz w:val="28"/>
          <w:szCs w:val="28"/>
          <w:lang w:val="es-ES"/>
        </w:rPr>
        <w:t>Lineamientos para la asignación</w:t>
      </w:r>
      <w:r w:rsidRPr="00F32542">
        <w:rPr>
          <w:rFonts w:ascii="Arial" w:eastAsia="Calibri" w:hAnsi="Arial" w:cs="Arial"/>
          <w:sz w:val="28"/>
          <w:szCs w:val="28"/>
          <w:lang w:val="es-ES"/>
        </w:rPr>
        <w:t xml:space="preserve">, el cual prevé lo siguiente: </w:t>
      </w:r>
    </w:p>
    <w:p w14:paraId="5B9B2D6E"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6B2AC607" w14:textId="77777777" w:rsidR="00F94B48" w:rsidRPr="00F32542" w:rsidRDefault="00F94B48" w:rsidP="00F94B48">
      <w:pPr>
        <w:widowControl w:val="0"/>
        <w:spacing w:after="0" w:line="240" w:lineRule="auto"/>
        <w:ind w:left="567" w:right="567"/>
        <w:jc w:val="both"/>
        <w:rPr>
          <w:rFonts w:ascii="Arial" w:eastAsia="Calibri" w:hAnsi="Arial" w:cs="Times New Roman"/>
          <w:sz w:val="24"/>
          <w:lang w:val="es-ES"/>
        </w:rPr>
      </w:pPr>
      <w:r w:rsidRPr="00F32542">
        <w:rPr>
          <w:rFonts w:ascii="Arial" w:eastAsia="Calibri" w:hAnsi="Arial" w:cs="Times New Roman"/>
          <w:i/>
          <w:iCs/>
          <w:sz w:val="24"/>
          <w:lang w:val="es-ES"/>
        </w:rPr>
        <w:t xml:space="preserve">“La Diputación Migrante corresponderá a las personas que integren la fórmula que hubiere obtenido la mayoría de la votación válida emitida en el extranjero. Esta fórmula ocupará el primer lugar de los escaños en la asignación de Diputaciones de representación proporcional que correspondan al partido político que la postuló, en apego a lo dispuesto en los artículos 26 y 27 del Código y, una vez asignada quedará agotado el proceso de elección de la Diputación Migrante, por lo que, </w:t>
      </w:r>
      <w:r w:rsidRPr="00F32542">
        <w:rPr>
          <w:rFonts w:ascii="Arial" w:eastAsia="Calibri" w:hAnsi="Arial" w:cs="Times New Roman"/>
          <w:i/>
          <w:iCs/>
          <w:sz w:val="24"/>
          <w:lang w:val="es-ES"/>
        </w:rPr>
        <w:lastRenderedPageBreak/>
        <w:t>las fórmulas postuladas con dicho propósito por el resto de los partidos políticos no se considerarán para efectos de integración de la Lista Definitiva</w:t>
      </w:r>
      <w:r w:rsidRPr="00F32542">
        <w:rPr>
          <w:rFonts w:ascii="Arial" w:eastAsia="Calibri" w:hAnsi="Arial" w:cs="Times New Roman"/>
          <w:sz w:val="24"/>
          <w:lang w:val="es-ES"/>
        </w:rPr>
        <w:t xml:space="preserve">”. </w:t>
      </w:r>
    </w:p>
    <w:p w14:paraId="62FBD80D"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729C5EEF" w14:textId="77777777" w:rsidR="00F94B48" w:rsidRPr="00F32542" w:rsidRDefault="00F94B48"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Las normas mencionadas, interpretadas de forma sistemática y funcional, permiten concluir que la fórmula de candidaturas a la diputación migrante –lista A prima– que obtenga el triunfo en dicha elección, integrará la primera posición a ser asignada al partido político que la postuló, mas no que efectivamente deba formar parte de la lista definitiva del propio partido. </w:t>
      </w:r>
    </w:p>
    <w:p w14:paraId="73F2EC75"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49664B99" w14:textId="77777777" w:rsidR="00F94B48" w:rsidRPr="00F32542" w:rsidRDefault="00F94B48"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Lo anterior, dado que no tiene propósito o justificación alguna que la lista A prima integre la lista definitiva, aun en el caso de que la fórmula correspondiente sea la triunfadora de la elección. </w:t>
      </w:r>
    </w:p>
    <w:p w14:paraId="746F199A"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65360DCC" w14:textId="77777777" w:rsidR="00F94B48" w:rsidRPr="00F32542" w:rsidRDefault="00F94B48"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Ello es así, porque la lista definitiva, acorde con los artículos 24, fracción V, del </w:t>
      </w:r>
      <w:r w:rsidRPr="00F32542">
        <w:rPr>
          <w:rFonts w:ascii="Arial" w:eastAsia="Calibri" w:hAnsi="Arial" w:cs="Arial"/>
          <w:i/>
          <w:sz w:val="28"/>
          <w:szCs w:val="28"/>
          <w:lang w:val="es-ES"/>
        </w:rPr>
        <w:t>Código Electoral</w:t>
      </w:r>
      <w:r w:rsidRPr="00F32542">
        <w:rPr>
          <w:rFonts w:ascii="Arial" w:eastAsia="Calibri" w:hAnsi="Arial" w:cs="Arial"/>
          <w:sz w:val="28"/>
          <w:szCs w:val="28"/>
          <w:lang w:val="es-ES"/>
        </w:rPr>
        <w:t xml:space="preserve">, y 4, inciso c), fracción </w:t>
      </w:r>
      <w:proofErr w:type="spellStart"/>
      <w:r w:rsidRPr="00F32542">
        <w:rPr>
          <w:rFonts w:ascii="Arial" w:eastAsia="Calibri" w:hAnsi="Arial" w:cs="Arial"/>
          <w:sz w:val="28"/>
          <w:szCs w:val="28"/>
          <w:lang w:val="es-ES"/>
        </w:rPr>
        <w:t>viii</w:t>
      </w:r>
      <w:proofErr w:type="spellEnd"/>
      <w:r w:rsidRPr="00F32542">
        <w:rPr>
          <w:rFonts w:ascii="Arial" w:eastAsia="Calibri" w:hAnsi="Arial" w:cs="Arial"/>
          <w:sz w:val="28"/>
          <w:szCs w:val="28"/>
          <w:lang w:val="es-ES"/>
        </w:rPr>
        <w:t xml:space="preserve">, de los </w:t>
      </w:r>
      <w:r w:rsidRPr="00F32542">
        <w:rPr>
          <w:rFonts w:ascii="Arial" w:eastAsia="Calibri" w:hAnsi="Arial" w:cs="Arial"/>
          <w:i/>
          <w:sz w:val="28"/>
          <w:szCs w:val="28"/>
          <w:lang w:val="es-ES"/>
        </w:rPr>
        <w:t>Lineamientos para la Asignación</w:t>
      </w:r>
      <w:r w:rsidRPr="00F32542">
        <w:rPr>
          <w:rFonts w:ascii="Arial" w:eastAsia="Calibri" w:hAnsi="Arial" w:cs="Arial"/>
          <w:sz w:val="28"/>
          <w:szCs w:val="28"/>
          <w:lang w:val="es-ES"/>
        </w:rPr>
        <w:t xml:space="preserve"> es la relación de candidaturas que resulta de intercalar las listas A y B, empezando por la primera fórmula de la lista A y tiene como finalidad constituir el listado de candidaturas a las cuales corresponderá la asignación de diputaciones de representación proporcional, una vez desarrollada la fórmula que prevé el </w:t>
      </w:r>
      <w:r w:rsidRPr="00F32542">
        <w:rPr>
          <w:rFonts w:ascii="Arial" w:eastAsia="Calibri" w:hAnsi="Arial" w:cs="Arial"/>
          <w:i/>
          <w:sz w:val="28"/>
          <w:szCs w:val="28"/>
          <w:lang w:val="es-ES"/>
        </w:rPr>
        <w:t>Código Electoral</w:t>
      </w:r>
      <w:r w:rsidRPr="00F32542">
        <w:rPr>
          <w:rFonts w:ascii="Arial" w:eastAsia="Calibri" w:hAnsi="Arial" w:cs="Arial"/>
          <w:sz w:val="28"/>
          <w:szCs w:val="28"/>
          <w:lang w:val="es-ES"/>
        </w:rPr>
        <w:t xml:space="preserve">. </w:t>
      </w:r>
    </w:p>
    <w:p w14:paraId="65BC37D4"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00B6AF5D" w14:textId="77777777" w:rsidR="00F94B48" w:rsidRPr="00F32542" w:rsidRDefault="00F94B48"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En ese sentido, el objeto de la lista definitiva es ajeno a la elección de la diputación migrante y, por ende, a la lista A prima.</w:t>
      </w:r>
    </w:p>
    <w:p w14:paraId="7B72331C"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671FBF71" w14:textId="77777777" w:rsidR="00F94B48" w:rsidRPr="00F32542" w:rsidRDefault="00F94B48"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Esto es, la diputación migrante, en términos del artículo 6 de los </w:t>
      </w:r>
      <w:r w:rsidRPr="00F32542">
        <w:rPr>
          <w:rFonts w:ascii="Arial" w:eastAsia="Calibri" w:hAnsi="Arial" w:cs="Arial"/>
          <w:i/>
          <w:sz w:val="28"/>
          <w:szCs w:val="28"/>
          <w:lang w:val="es-ES"/>
        </w:rPr>
        <w:t xml:space="preserve">Lineamientos para la asignación </w:t>
      </w:r>
      <w:r w:rsidRPr="00F32542">
        <w:rPr>
          <w:rFonts w:ascii="Arial" w:eastAsia="Calibri" w:hAnsi="Arial" w:cs="Arial"/>
          <w:sz w:val="28"/>
          <w:szCs w:val="28"/>
          <w:lang w:val="es-ES"/>
        </w:rPr>
        <w:t xml:space="preserve">se asignará a la fórmula de personas candidatas que obtengan la mayoría de la votación válida emitida en </w:t>
      </w:r>
      <w:r w:rsidRPr="00F32542">
        <w:rPr>
          <w:rFonts w:ascii="Arial" w:eastAsia="Calibri" w:hAnsi="Arial" w:cs="Arial"/>
          <w:sz w:val="28"/>
          <w:szCs w:val="28"/>
          <w:lang w:val="es-ES"/>
        </w:rPr>
        <w:lastRenderedPageBreak/>
        <w:t xml:space="preserve">el extranjero, es decir, a quienes integran la respectiva lista A prima. </w:t>
      </w:r>
    </w:p>
    <w:p w14:paraId="48004A9C"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4E3B267A" w14:textId="77777777" w:rsidR="00F94B48" w:rsidRPr="00F32542" w:rsidRDefault="00F94B48"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Esa asignación será directa, puesto que no requiere el desarrollo de algún procedimiento o fórmula, sino sólo la verificación del cumplimiento de los requisitos legales y la verificación de la votación válida emitida. </w:t>
      </w:r>
    </w:p>
    <w:p w14:paraId="4E3FEE10"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059CAA31" w14:textId="77777777" w:rsidR="00F94B48" w:rsidRPr="00F32542" w:rsidRDefault="00F94B48"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Una vez asignada dicha curul al partido con la mayoría de la votación válida emitida, quedará agotado el proceso de elección de la diputación migrante. </w:t>
      </w:r>
    </w:p>
    <w:p w14:paraId="6639CD20"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527F2EB9" w14:textId="77777777" w:rsidR="00F94B48" w:rsidRPr="00F32542" w:rsidRDefault="00F94B48"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Entonces, es hasta ese momento que inicia formalmente el procedimiento de asignación de las restantes treinta y dos curules plurinominales, mediante el desarrollo de la fórmula prevista en el </w:t>
      </w:r>
      <w:r w:rsidRPr="00F32542">
        <w:rPr>
          <w:rFonts w:ascii="Arial" w:eastAsia="Calibri" w:hAnsi="Arial" w:cs="Arial"/>
          <w:i/>
          <w:sz w:val="28"/>
          <w:szCs w:val="28"/>
          <w:lang w:val="es-ES"/>
        </w:rPr>
        <w:t>Código Electoral</w:t>
      </w:r>
      <w:r w:rsidRPr="00F32542">
        <w:rPr>
          <w:rFonts w:ascii="Arial" w:eastAsia="Calibri" w:hAnsi="Arial" w:cs="Arial"/>
          <w:sz w:val="28"/>
          <w:szCs w:val="28"/>
          <w:lang w:val="es-ES"/>
        </w:rPr>
        <w:t xml:space="preserve"> y los </w:t>
      </w:r>
      <w:r w:rsidRPr="00F32542">
        <w:rPr>
          <w:rFonts w:ascii="Arial" w:eastAsia="Calibri" w:hAnsi="Arial" w:cs="Arial"/>
          <w:i/>
          <w:sz w:val="28"/>
          <w:szCs w:val="28"/>
          <w:lang w:val="es-ES"/>
        </w:rPr>
        <w:t>Lineamientos para la Asignación</w:t>
      </w:r>
      <w:r w:rsidRPr="00F32542">
        <w:rPr>
          <w:rFonts w:ascii="Arial" w:eastAsia="Calibri" w:hAnsi="Arial" w:cs="Arial"/>
          <w:sz w:val="28"/>
          <w:szCs w:val="28"/>
          <w:lang w:val="es-ES"/>
        </w:rPr>
        <w:t xml:space="preserve">. </w:t>
      </w:r>
    </w:p>
    <w:p w14:paraId="743050D6"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7C9A1594" w14:textId="77777777" w:rsidR="00F94B48" w:rsidRPr="00F32542" w:rsidRDefault="00F94B48"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 Lo anterior, como se advierte de los pasos que prevé el numeral 13 de los </w:t>
      </w:r>
      <w:r w:rsidRPr="00F32542">
        <w:rPr>
          <w:rFonts w:ascii="Arial" w:eastAsia="Calibri" w:hAnsi="Arial" w:cs="Arial"/>
          <w:i/>
          <w:sz w:val="28"/>
          <w:szCs w:val="28"/>
          <w:lang w:val="es-ES"/>
        </w:rPr>
        <w:t>Lineamientos para la Asignación,</w:t>
      </w:r>
      <w:r w:rsidRPr="00F32542">
        <w:rPr>
          <w:rFonts w:ascii="Arial" w:eastAsia="Calibri" w:hAnsi="Arial" w:cs="Arial"/>
          <w:sz w:val="28"/>
          <w:szCs w:val="28"/>
          <w:lang w:val="es-ES"/>
        </w:rPr>
        <w:t xml:space="preserve"> el cual establece: </w:t>
      </w:r>
    </w:p>
    <w:p w14:paraId="3E3AC813"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p w14:paraId="701A5DBC" w14:textId="77777777" w:rsidR="00F94B48" w:rsidRPr="00F32542" w:rsidRDefault="00F94B48" w:rsidP="00127B59">
      <w:pPr>
        <w:widowControl w:val="0"/>
        <w:spacing w:after="0" w:line="240" w:lineRule="auto"/>
        <w:ind w:left="540" w:right="609"/>
        <w:jc w:val="both"/>
        <w:rPr>
          <w:rFonts w:ascii="Arial" w:eastAsia="Calibri" w:hAnsi="Arial" w:cs="Times New Roman"/>
          <w:i/>
          <w:iCs/>
          <w:sz w:val="24"/>
          <w:szCs w:val="24"/>
          <w:lang w:val="es-ES"/>
        </w:rPr>
      </w:pPr>
      <w:r w:rsidRPr="00F32542">
        <w:rPr>
          <w:rFonts w:ascii="Arial" w:eastAsia="Calibri" w:hAnsi="Arial" w:cs="Times New Roman"/>
          <w:sz w:val="24"/>
          <w:szCs w:val="24"/>
          <w:lang w:val="es-ES"/>
        </w:rPr>
        <w:t>“</w:t>
      </w:r>
      <w:r w:rsidRPr="00F32542">
        <w:rPr>
          <w:rFonts w:ascii="Arial" w:eastAsia="Calibri" w:hAnsi="Arial" w:cs="Times New Roman"/>
          <w:i/>
          <w:iCs/>
          <w:sz w:val="24"/>
          <w:szCs w:val="24"/>
          <w:lang w:val="es-ES"/>
        </w:rPr>
        <w:t xml:space="preserve">Para la asignación de Diputaciones de representación proporcional del Congreso de la Ciudad de México, se utilizará la fórmula como se señala a continuación: </w:t>
      </w:r>
    </w:p>
    <w:p w14:paraId="3E8AF786" w14:textId="77777777" w:rsidR="00F94B48" w:rsidRPr="00F32542" w:rsidRDefault="00F94B48" w:rsidP="00127B59">
      <w:pPr>
        <w:widowControl w:val="0"/>
        <w:numPr>
          <w:ilvl w:val="0"/>
          <w:numId w:val="11"/>
        </w:numPr>
        <w:spacing w:after="0" w:line="240" w:lineRule="auto"/>
        <w:ind w:left="540" w:right="609" w:firstLine="0"/>
        <w:jc w:val="both"/>
        <w:rPr>
          <w:rFonts w:ascii="Arial" w:eastAsia="Calibri" w:hAnsi="Arial" w:cs="Times New Roman"/>
          <w:i/>
          <w:iCs/>
          <w:sz w:val="24"/>
          <w:szCs w:val="24"/>
          <w:lang w:val="es-ES"/>
        </w:rPr>
      </w:pPr>
      <w:r w:rsidRPr="00F32542">
        <w:rPr>
          <w:rFonts w:ascii="Arial" w:eastAsia="Calibri" w:hAnsi="Arial" w:cs="Times New Roman"/>
          <w:i/>
          <w:iCs/>
          <w:sz w:val="24"/>
          <w:szCs w:val="24"/>
          <w:lang w:val="es-ES"/>
        </w:rPr>
        <w:t xml:space="preserve">Se asignará en primer lugar a la fórmula de la candidatura a Diputación Migrante que obtenga la mayoría de la votación válida emitida en el extranjero, por lo que quedarán 32 Diputaciones por este principio para asignar. </w:t>
      </w:r>
    </w:p>
    <w:p w14:paraId="74469DD4" w14:textId="77777777" w:rsidR="00F94B48" w:rsidRPr="00F32542" w:rsidRDefault="00F94B48" w:rsidP="00127B59">
      <w:pPr>
        <w:widowControl w:val="0"/>
        <w:numPr>
          <w:ilvl w:val="0"/>
          <w:numId w:val="11"/>
        </w:numPr>
        <w:spacing w:after="0" w:line="240" w:lineRule="auto"/>
        <w:ind w:left="540" w:right="609" w:firstLine="0"/>
        <w:jc w:val="both"/>
        <w:rPr>
          <w:rFonts w:ascii="Arial" w:eastAsia="Calibri" w:hAnsi="Arial" w:cs="Times New Roman"/>
          <w:i/>
          <w:iCs/>
          <w:sz w:val="24"/>
          <w:szCs w:val="24"/>
          <w:lang w:val="es-ES"/>
        </w:rPr>
      </w:pPr>
      <w:r w:rsidRPr="00F32542">
        <w:rPr>
          <w:rFonts w:ascii="Arial" w:eastAsia="Calibri" w:hAnsi="Arial" w:cs="Times New Roman"/>
          <w:i/>
          <w:iCs/>
          <w:sz w:val="24"/>
          <w:szCs w:val="24"/>
          <w:lang w:val="es-ES"/>
        </w:rPr>
        <w:t>Se intercalarán las fórmulas de candidaturas de ambas listas (‘A’ y ‘B’), iniciándose con las candidaturas de la Lista ‘A’.</w:t>
      </w:r>
    </w:p>
    <w:p w14:paraId="5421B92A" w14:textId="77777777" w:rsidR="00F94B48" w:rsidRPr="00F32542" w:rsidRDefault="00F94B48" w:rsidP="00127B59">
      <w:pPr>
        <w:widowControl w:val="0"/>
        <w:numPr>
          <w:ilvl w:val="0"/>
          <w:numId w:val="11"/>
        </w:numPr>
        <w:spacing w:after="0" w:line="240" w:lineRule="auto"/>
        <w:ind w:left="540" w:right="609" w:firstLine="0"/>
        <w:jc w:val="both"/>
        <w:rPr>
          <w:rFonts w:ascii="Arial" w:eastAsia="Calibri" w:hAnsi="Arial" w:cs="Times New Roman"/>
          <w:i/>
          <w:iCs/>
          <w:sz w:val="24"/>
          <w:szCs w:val="24"/>
          <w:lang w:val="es-ES"/>
        </w:rPr>
      </w:pPr>
      <w:r w:rsidRPr="00F32542">
        <w:rPr>
          <w:rFonts w:ascii="Arial" w:eastAsia="Calibri" w:hAnsi="Arial" w:cs="Times New Roman"/>
          <w:i/>
          <w:iCs/>
          <w:sz w:val="24"/>
          <w:szCs w:val="24"/>
          <w:lang w:val="es-ES"/>
        </w:rPr>
        <w:t>Se determinará la votación válida emitida.</w:t>
      </w:r>
    </w:p>
    <w:p w14:paraId="2CC95082" w14:textId="77777777" w:rsidR="00F94B48" w:rsidRPr="00F32542" w:rsidRDefault="00F94B48" w:rsidP="00127B59">
      <w:pPr>
        <w:widowControl w:val="0"/>
        <w:numPr>
          <w:ilvl w:val="0"/>
          <w:numId w:val="11"/>
        </w:numPr>
        <w:spacing w:after="0" w:line="240" w:lineRule="auto"/>
        <w:ind w:left="540" w:right="609" w:firstLine="0"/>
        <w:jc w:val="both"/>
        <w:rPr>
          <w:rFonts w:ascii="Arial" w:eastAsia="Calibri" w:hAnsi="Arial" w:cs="Times New Roman"/>
          <w:i/>
          <w:iCs/>
          <w:sz w:val="24"/>
          <w:szCs w:val="24"/>
          <w:lang w:val="es-ES"/>
        </w:rPr>
      </w:pPr>
      <w:r w:rsidRPr="00F32542">
        <w:rPr>
          <w:rFonts w:ascii="Arial" w:eastAsia="Calibri" w:hAnsi="Arial" w:cs="Times New Roman"/>
          <w:i/>
          <w:iCs/>
          <w:sz w:val="24"/>
          <w:szCs w:val="24"/>
          <w:lang w:val="es-ES"/>
        </w:rPr>
        <w:t xml:space="preserve">La autoridad electoral deberá verificar los partidos que obtuvieron un porcentaje menor de votación al 3% de la votación válida emitida. Los votos obtenidos a favor de estos partidos y los votos a favor de las candidaturas sin partido se deducirán de la votación válida emitida. El resultado será la votación local emitida. </w:t>
      </w:r>
    </w:p>
    <w:p w14:paraId="4222534F" w14:textId="77777777" w:rsidR="00F94B48" w:rsidRPr="00F32542" w:rsidRDefault="00F94B48" w:rsidP="00127B59">
      <w:pPr>
        <w:widowControl w:val="0"/>
        <w:numPr>
          <w:ilvl w:val="0"/>
          <w:numId w:val="11"/>
        </w:numPr>
        <w:spacing w:after="0" w:line="240" w:lineRule="auto"/>
        <w:ind w:left="540" w:right="609" w:firstLine="0"/>
        <w:jc w:val="both"/>
        <w:rPr>
          <w:rFonts w:ascii="Arial" w:eastAsia="Calibri" w:hAnsi="Arial" w:cs="Times New Roman"/>
          <w:i/>
          <w:iCs/>
          <w:sz w:val="24"/>
          <w:szCs w:val="24"/>
          <w:lang w:val="es-ES"/>
        </w:rPr>
      </w:pPr>
      <w:r w:rsidRPr="00F32542">
        <w:rPr>
          <w:rFonts w:ascii="Arial" w:eastAsia="Calibri" w:hAnsi="Arial" w:cs="Times New Roman"/>
          <w:i/>
          <w:iCs/>
          <w:sz w:val="24"/>
          <w:szCs w:val="24"/>
          <w:lang w:val="es-ES"/>
        </w:rPr>
        <w:t xml:space="preserve">La votación local emitida se dividirá entre el número restante a repartir de Diputaciones de representación proporcional, es decir 32. El resultado será el cociente natural. </w:t>
      </w:r>
    </w:p>
    <w:p w14:paraId="39E2CD80" w14:textId="77777777" w:rsidR="00F94B48" w:rsidRPr="00F32542" w:rsidRDefault="00F94B48" w:rsidP="00127B59">
      <w:pPr>
        <w:widowControl w:val="0"/>
        <w:numPr>
          <w:ilvl w:val="0"/>
          <w:numId w:val="11"/>
        </w:numPr>
        <w:spacing w:after="0" w:line="240" w:lineRule="auto"/>
        <w:ind w:left="540" w:right="609" w:firstLine="0"/>
        <w:jc w:val="both"/>
        <w:rPr>
          <w:rFonts w:ascii="Arial" w:eastAsia="Calibri" w:hAnsi="Arial" w:cs="Times New Roman"/>
          <w:i/>
          <w:iCs/>
          <w:sz w:val="24"/>
          <w:szCs w:val="24"/>
          <w:lang w:val="es-ES"/>
        </w:rPr>
      </w:pPr>
      <w:r w:rsidRPr="00F32542">
        <w:rPr>
          <w:rFonts w:ascii="Arial" w:eastAsia="Calibri" w:hAnsi="Arial" w:cs="Times New Roman"/>
          <w:i/>
          <w:iCs/>
          <w:sz w:val="24"/>
          <w:szCs w:val="24"/>
          <w:lang w:val="es-ES"/>
        </w:rPr>
        <w:lastRenderedPageBreak/>
        <w:t xml:space="preserve">Por cociente natural se distribuirán a cada partido político tantas Diputaciones como número de veces contenga su votación dicho cociente. </w:t>
      </w:r>
    </w:p>
    <w:p w14:paraId="4CF26C22" w14:textId="77777777" w:rsidR="00F94B48" w:rsidRPr="00F32542" w:rsidRDefault="00F94B48" w:rsidP="00127B59">
      <w:pPr>
        <w:widowControl w:val="0"/>
        <w:numPr>
          <w:ilvl w:val="0"/>
          <w:numId w:val="11"/>
        </w:numPr>
        <w:spacing w:after="0" w:line="240" w:lineRule="auto"/>
        <w:ind w:left="540" w:right="609" w:firstLine="0"/>
        <w:jc w:val="both"/>
        <w:rPr>
          <w:rFonts w:ascii="Arial" w:eastAsia="Calibri" w:hAnsi="Arial" w:cs="Times New Roman"/>
          <w:sz w:val="24"/>
          <w:szCs w:val="24"/>
          <w:lang w:val="es-ES"/>
        </w:rPr>
      </w:pPr>
      <w:r w:rsidRPr="00F32542">
        <w:rPr>
          <w:rFonts w:ascii="Arial" w:eastAsia="Calibri" w:hAnsi="Arial" w:cs="Times New Roman"/>
          <w:i/>
          <w:iCs/>
          <w:sz w:val="24"/>
          <w:szCs w:val="24"/>
          <w:lang w:val="es-ES"/>
        </w:rPr>
        <w:t>Después de aplicarse el cociente natural, si aún quedasen Diputaciones por repartir, se asignarán por el método de resto mayor, siguiendo el orden decreciente de los restos de votos no utilizados para cada uno de los partidos políticos</w:t>
      </w:r>
      <w:r w:rsidRPr="00F32542">
        <w:rPr>
          <w:rFonts w:ascii="Arial" w:eastAsia="Calibri" w:hAnsi="Arial" w:cs="Times New Roman"/>
          <w:sz w:val="24"/>
          <w:szCs w:val="24"/>
          <w:lang w:val="es-ES"/>
        </w:rPr>
        <w:t>”.</w:t>
      </w:r>
    </w:p>
    <w:p w14:paraId="0B2B3CE1" w14:textId="77777777" w:rsidR="00F94B48" w:rsidRPr="00F32542" w:rsidRDefault="00F94B48" w:rsidP="002E323F">
      <w:pPr>
        <w:widowControl w:val="0"/>
        <w:spacing w:after="0" w:line="360" w:lineRule="auto"/>
        <w:jc w:val="both"/>
        <w:rPr>
          <w:rFonts w:ascii="Arial" w:eastAsia="Calibri" w:hAnsi="Arial" w:cs="Times New Roman"/>
          <w:sz w:val="28"/>
          <w:lang w:val="es-ES"/>
        </w:rPr>
      </w:pPr>
    </w:p>
    <w:p w14:paraId="14CB4621" w14:textId="77777777" w:rsidR="00F94B48" w:rsidRPr="00F32542" w:rsidRDefault="00F94B48" w:rsidP="002E323F">
      <w:pPr>
        <w:widowControl w:val="0"/>
        <w:spacing w:after="0" w:line="360" w:lineRule="auto"/>
        <w:jc w:val="both"/>
        <w:rPr>
          <w:rFonts w:ascii="Arial" w:eastAsia="Calibri" w:hAnsi="Arial" w:cs="Times New Roman"/>
          <w:sz w:val="28"/>
          <w:lang w:val="es-ES"/>
        </w:rPr>
      </w:pPr>
      <w:r w:rsidRPr="00F32542">
        <w:rPr>
          <w:rFonts w:ascii="Arial" w:eastAsia="Calibri" w:hAnsi="Arial" w:cs="Times New Roman"/>
          <w:sz w:val="28"/>
          <w:lang w:val="es-ES"/>
        </w:rPr>
        <w:t xml:space="preserve">En efecto, de conformidad con lo transcrito, la asignación de las treinta y tres diputaciones por el principio de representación proporcional comprende dos etapas: </w:t>
      </w:r>
    </w:p>
    <w:p w14:paraId="554E10EA" w14:textId="77777777" w:rsidR="00F94B48" w:rsidRPr="00F32542" w:rsidRDefault="00F94B48" w:rsidP="002E323F">
      <w:pPr>
        <w:widowControl w:val="0"/>
        <w:spacing w:after="0" w:line="360" w:lineRule="auto"/>
        <w:jc w:val="both"/>
        <w:rPr>
          <w:rFonts w:ascii="Arial" w:eastAsia="Calibri" w:hAnsi="Arial" w:cs="Times New Roman"/>
          <w:sz w:val="28"/>
          <w:lang w:val="es-ES"/>
        </w:rPr>
      </w:pPr>
    </w:p>
    <w:p w14:paraId="2EEBD24D" w14:textId="77777777" w:rsidR="00F94B48" w:rsidRPr="00F32542" w:rsidRDefault="00F94B48" w:rsidP="002E323F">
      <w:pPr>
        <w:widowControl w:val="0"/>
        <w:numPr>
          <w:ilvl w:val="0"/>
          <w:numId w:val="12"/>
        </w:numPr>
        <w:spacing w:after="0" w:line="360" w:lineRule="auto"/>
        <w:contextualSpacing/>
        <w:jc w:val="both"/>
        <w:rPr>
          <w:rFonts w:ascii="Arial" w:eastAsia="Calibri" w:hAnsi="Arial" w:cs="Times New Roman"/>
          <w:sz w:val="28"/>
          <w:lang w:val="es-ES"/>
        </w:rPr>
      </w:pPr>
      <w:r w:rsidRPr="00F32542">
        <w:rPr>
          <w:rFonts w:ascii="Arial" w:eastAsia="Calibri" w:hAnsi="Arial" w:cs="Times New Roman"/>
          <w:sz w:val="28"/>
          <w:lang w:val="es-ES"/>
        </w:rPr>
        <w:t xml:space="preserve">La primera, correspondiente a la diputación migrante, se asignará al partido en primer lugar de la votación (una curul), por lo que se expedirá la respectiva constancia a las personas candidatas de la lista A prima. </w:t>
      </w:r>
    </w:p>
    <w:p w14:paraId="27EFA007" w14:textId="77777777" w:rsidR="00F94B48" w:rsidRPr="00F32542" w:rsidRDefault="00F94B48" w:rsidP="002E323F">
      <w:pPr>
        <w:widowControl w:val="0"/>
        <w:numPr>
          <w:ilvl w:val="0"/>
          <w:numId w:val="12"/>
        </w:numPr>
        <w:spacing w:after="0" w:line="360" w:lineRule="auto"/>
        <w:contextualSpacing/>
        <w:jc w:val="both"/>
        <w:rPr>
          <w:rFonts w:ascii="Arial" w:eastAsia="Calibri" w:hAnsi="Arial" w:cs="Times New Roman"/>
          <w:sz w:val="28"/>
          <w:lang w:val="es-ES"/>
        </w:rPr>
      </w:pPr>
      <w:r w:rsidRPr="00F32542">
        <w:rPr>
          <w:rFonts w:ascii="Arial" w:eastAsia="Calibri" w:hAnsi="Arial" w:cs="Times New Roman"/>
          <w:sz w:val="28"/>
          <w:lang w:val="es-ES"/>
        </w:rPr>
        <w:t xml:space="preserve">La segunda, que comprende el desarrollo de la fórmula de asignación de las treinta y dos curules restantes, etapa que comienza con la conformación de la lista definitiva de cada partido político con derecho a participar. </w:t>
      </w:r>
    </w:p>
    <w:p w14:paraId="2EDAEE08" w14:textId="77777777" w:rsidR="00F94B48" w:rsidRPr="00F32542" w:rsidRDefault="00F94B48" w:rsidP="002E323F">
      <w:pPr>
        <w:widowControl w:val="0"/>
        <w:spacing w:after="0" w:line="360" w:lineRule="auto"/>
        <w:jc w:val="both"/>
        <w:rPr>
          <w:rFonts w:ascii="Arial" w:eastAsia="Calibri" w:hAnsi="Arial" w:cs="Times New Roman"/>
          <w:sz w:val="28"/>
          <w:lang w:val="es-ES"/>
        </w:rPr>
      </w:pPr>
    </w:p>
    <w:p w14:paraId="1FEA794E" w14:textId="77777777" w:rsidR="00F94B48" w:rsidRPr="00F32542" w:rsidRDefault="00F94B48" w:rsidP="002E323F">
      <w:pPr>
        <w:widowControl w:val="0"/>
        <w:spacing w:after="0" w:line="360" w:lineRule="auto"/>
        <w:jc w:val="both"/>
        <w:rPr>
          <w:rFonts w:ascii="Arial" w:eastAsia="Calibri" w:hAnsi="Arial" w:cs="Times New Roman"/>
          <w:sz w:val="28"/>
          <w:lang w:val="es-ES"/>
        </w:rPr>
      </w:pPr>
      <w:r w:rsidRPr="00F32542">
        <w:rPr>
          <w:rFonts w:ascii="Arial" w:eastAsia="Calibri" w:hAnsi="Arial" w:cs="Times New Roman"/>
          <w:sz w:val="28"/>
          <w:lang w:val="es-ES"/>
        </w:rPr>
        <w:t xml:space="preserve">De manera que, si la integración de la lista definitiva comienza una vez terminada la asignación de la diputación migrante, no tiene objeto alguno considerar que la lista A prima forma parte de aquélla, puesto que incluso, el procedimiento relativo a la elección de dicha diputación ya quedó agotado. </w:t>
      </w:r>
    </w:p>
    <w:p w14:paraId="013C7B5C" w14:textId="77777777" w:rsidR="00F94B48" w:rsidRPr="00F32542" w:rsidRDefault="00F94B48" w:rsidP="002E323F">
      <w:pPr>
        <w:widowControl w:val="0"/>
        <w:spacing w:after="0" w:line="360" w:lineRule="auto"/>
        <w:jc w:val="both"/>
        <w:rPr>
          <w:rFonts w:ascii="Arial" w:eastAsia="Calibri" w:hAnsi="Arial" w:cs="Times New Roman"/>
          <w:sz w:val="28"/>
          <w:lang w:val="es-ES"/>
        </w:rPr>
      </w:pPr>
    </w:p>
    <w:p w14:paraId="0855199E" w14:textId="77777777" w:rsidR="00F94B48" w:rsidRPr="00F32542" w:rsidRDefault="00F94B48" w:rsidP="002E323F">
      <w:pPr>
        <w:widowControl w:val="0"/>
        <w:spacing w:after="0" w:line="360" w:lineRule="auto"/>
        <w:jc w:val="both"/>
        <w:rPr>
          <w:rFonts w:ascii="Arial" w:eastAsia="Calibri" w:hAnsi="Arial" w:cs="Times New Roman"/>
          <w:sz w:val="28"/>
          <w:lang w:val="es-ES"/>
        </w:rPr>
      </w:pPr>
      <w:r w:rsidRPr="00F32542">
        <w:rPr>
          <w:rFonts w:ascii="Arial" w:eastAsia="Calibri" w:hAnsi="Arial" w:cs="Times New Roman"/>
          <w:sz w:val="28"/>
          <w:lang w:val="es-ES"/>
        </w:rPr>
        <w:t xml:space="preserve">Por ende, la fórmula de la lista A prima que obtuvo el triunfo en la elección de la diputación </w:t>
      </w:r>
      <w:proofErr w:type="gramStart"/>
      <w:r w:rsidRPr="00F32542">
        <w:rPr>
          <w:rFonts w:ascii="Arial" w:eastAsia="Calibri" w:hAnsi="Arial" w:cs="Times New Roman"/>
          <w:sz w:val="28"/>
          <w:lang w:val="es-ES"/>
        </w:rPr>
        <w:t>migrante,</w:t>
      </w:r>
      <w:proofErr w:type="gramEnd"/>
      <w:r w:rsidRPr="00F32542">
        <w:rPr>
          <w:rFonts w:ascii="Arial" w:eastAsia="Calibri" w:hAnsi="Arial" w:cs="Times New Roman"/>
          <w:sz w:val="28"/>
          <w:lang w:val="es-ES"/>
        </w:rPr>
        <w:t xml:space="preserve"> se considerara directamente como la asignación de una posición al correspondiente partido político, a fin de contabilizar esa curul junto con las demás asignaciones de representación proporcional alcanzadas por el mismo instituto </w:t>
      </w:r>
      <w:r w:rsidRPr="00F32542">
        <w:rPr>
          <w:rFonts w:ascii="Arial" w:eastAsia="Calibri" w:hAnsi="Arial" w:cs="Times New Roman"/>
          <w:sz w:val="28"/>
          <w:lang w:val="es-ES"/>
        </w:rPr>
        <w:lastRenderedPageBreak/>
        <w:t xml:space="preserve">político. Lo que tendrá el propósito de que la autoridad administrativa electoral verifique que el partido político en </w:t>
      </w:r>
      <w:proofErr w:type="gramStart"/>
      <w:r w:rsidRPr="00F32542">
        <w:rPr>
          <w:rFonts w:ascii="Arial" w:eastAsia="Calibri" w:hAnsi="Arial" w:cs="Times New Roman"/>
          <w:sz w:val="28"/>
          <w:lang w:val="es-ES"/>
        </w:rPr>
        <w:t>cuestión,</w:t>
      </w:r>
      <w:proofErr w:type="gramEnd"/>
      <w:r w:rsidRPr="00F32542">
        <w:rPr>
          <w:rFonts w:ascii="Arial" w:eastAsia="Calibri" w:hAnsi="Arial" w:cs="Times New Roman"/>
          <w:sz w:val="28"/>
          <w:lang w:val="es-ES"/>
        </w:rPr>
        <w:t xml:space="preserve"> no incurra en sobre o sub representación, así como si se cumplió con el principio de paridad.</w:t>
      </w:r>
    </w:p>
    <w:p w14:paraId="43C487C9" w14:textId="77777777" w:rsidR="00F94B48" w:rsidRPr="00F32542" w:rsidRDefault="00F94B48" w:rsidP="002E323F">
      <w:pPr>
        <w:widowControl w:val="0"/>
        <w:spacing w:after="0" w:line="360" w:lineRule="auto"/>
        <w:jc w:val="both"/>
        <w:rPr>
          <w:rFonts w:ascii="Arial" w:eastAsia="Calibri" w:hAnsi="Arial" w:cs="Times New Roman"/>
          <w:sz w:val="28"/>
          <w:lang w:val="es-ES"/>
        </w:rPr>
      </w:pPr>
    </w:p>
    <w:p w14:paraId="6599F0A3" w14:textId="77777777" w:rsidR="00F94B48" w:rsidRPr="00F32542" w:rsidRDefault="00F94B48" w:rsidP="002E323F">
      <w:pPr>
        <w:widowControl w:val="0"/>
        <w:spacing w:after="0" w:line="360" w:lineRule="auto"/>
        <w:jc w:val="both"/>
        <w:rPr>
          <w:rFonts w:ascii="Arial" w:eastAsia="Calibri" w:hAnsi="Arial" w:cs="Times New Roman"/>
          <w:sz w:val="28"/>
          <w:lang w:val="es-ES"/>
        </w:rPr>
      </w:pPr>
      <w:r w:rsidRPr="00F32542">
        <w:rPr>
          <w:rFonts w:ascii="Arial" w:eastAsia="Calibri" w:hAnsi="Arial" w:cs="Times New Roman"/>
          <w:sz w:val="28"/>
          <w:lang w:val="es-ES"/>
        </w:rPr>
        <w:t xml:space="preserve">De ahí que, se concluye, la lista A prima no forma parte de la lista definitiva, puesto que ciertamente es ajena a ésta, pues su finalidad se cumplió al ser asignada la diputación migrante a la fórmula con mayor porcentaje de votación válida emitida en el extranjero, para efectos exclusivos de la respectiva elección. </w:t>
      </w:r>
    </w:p>
    <w:p w14:paraId="5DB191CD" w14:textId="77777777" w:rsidR="00F94B48" w:rsidRPr="00F32542" w:rsidRDefault="00F94B48" w:rsidP="002E323F">
      <w:pPr>
        <w:widowControl w:val="0"/>
        <w:spacing w:after="0" w:line="360" w:lineRule="auto"/>
        <w:jc w:val="both"/>
        <w:rPr>
          <w:rFonts w:ascii="Arial" w:eastAsia="Calibri" w:hAnsi="Arial" w:cs="Times New Roman"/>
          <w:sz w:val="28"/>
          <w:lang w:val="es-ES"/>
        </w:rPr>
      </w:pPr>
    </w:p>
    <w:p w14:paraId="00335798" w14:textId="77777777" w:rsidR="00F94B48" w:rsidRPr="00F32542" w:rsidRDefault="00F94B48" w:rsidP="002E323F">
      <w:pPr>
        <w:widowControl w:val="0"/>
        <w:spacing w:after="0" w:line="360" w:lineRule="auto"/>
        <w:jc w:val="both"/>
        <w:rPr>
          <w:rFonts w:ascii="Arial" w:eastAsia="Calibri" w:hAnsi="Arial" w:cs="Times New Roman"/>
          <w:sz w:val="28"/>
          <w:lang w:val="es-ES"/>
        </w:rPr>
      </w:pPr>
      <w:r w:rsidRPr="00F32542">
        <w:rPr>
          <w:rFonts w:ascii="Arial" w:eastAsia="Calibri" w:hAnsi="Arial" w:cs="Times New Roman"/>
          <w:sz w:val="28"/>
          <w:lang w:val="es-ES"/>
        </w:rPr>
        <w:t xml:space="preserve">Mientras que la lista definitiva, a cuya integración se procederá una vez concluido el procedimiento de asignación de la diputación migrante, tiene como objeto determinar a las personas a las cuales corresponderán las treinta y dos asignaciones de representación proporcional determinadas luego de desarrollar la fórmula prevista en el </w:t>
      </w:r>
      <w:r w:rsidRPr="00F32542">
        <w:rPr>
          <w:rFonts w:ascii="Arial" w:eastAsia="Calibri" w:hAnsi="Arial" w:cs="Times New Roman"/>
          <w:i/>
          <w:sz w:val="28"/>
          <w:lang w:val="es-ES"/>
        </w:rPr>
        <w:t>Código Electoral</w:t>
      </w:r>
      <w:r w:rsidRPr="00F32542">
        <w:rPr>
          <w:rFonts w:ascii="Arial" w:eastAsia="Calibri" w:hAnsi="Arial" w:cs="Times New Roman"/>
          <w:sz w:val="28"/>
          <w:lang w:val="es-ES"/>
        </w:rPr>
        <w:t xml:space="preserve"> y los </w:t>
      </w:r>
      <w:r w:rsidRPr="00F32542">
        <w:rPr>
          <w:rFonts w:ascii="Arial" w:eastAsia="Calibri" w:hAnsi="Arial" w:cs="Times New Roman"/>
          <w:i/>
          <w:sz w:val="28"/>
          <w:lang w:val="es-ES"/>
        </w:rPr>
        <w:t>Lineamientos para la asignación</w:t>
      </w:r>
      <w:r w:rsidRPr="00F32542">
        <w:rPr>
          <w:rFonts w:ascii="Arial" w:eastAsia="Calibri" w:hAnsi="Arial" w:cs="Times New Roman"/>
          <w:sz w:val="28"/>
          <w:lang w:val="es-ES"/>
        </w:rPr>
        <w:t>.</w:t>
      </w:r>
    </w:p>
    <w:p w14:paraId="4CB407D5" w14:textId="77777777" w:rsidR="00F94B48" w:rsidRPr="00F32542" w:rsidRDefault="00F94B48" w:rsidP="002E323F">
      <w:pPr>
        <w:widowControl w:val="0"/>
        <w:spacing w:after="0" w:line="360" w:lineRule="auto"/>
        <w:jc w:val="both"/>
        <w:rPr>
          <w:rFonts w:ascii="Arial" w:eastAsia="Calibri" w:hAnsi="Arial" w:cs="Times New Roman"/>
          <w:sz w:val="28"/>
          <w:lang w:val="es-ES"/>
        </w:rPr>
      </w:pPr>
      <w:r w:rsidRPr="00F32542">
        <w:rPr>
          <w:rFonts w:ascii="Arial" w:eastAsia="Calibri" w:hAnsi="Arial" w:cs="Times New Roman"/>
          <w:sz w:val="28"/>
          <w:lang w:val="es-ES"/>
        </w:rPr>
        <w:t xml:space="preserve"> </w:t>
      </w:r>
    </w:p>
    <w:p w14:paraId="319D5744" w14:textId="77777777" w:rsidR="00F94B48" w:rsidRPr="00F32542" w:rsidRDefault="00F94B48" w:rsidP="002E323F">
      <w:pPr>
        <w:widowControl w:val="0"/>
        <w:spacing w:after="0" w:line="360" w:lineRule="auto"/>
        <w:jc w:val="both"/>
        <w:rPr>
          <w:rFonts w:ascii="Arial" w:eastAsia="Calibri" w:hAnsi="Arial" w:cs="Times New Roman"/>
          <w:sz w:val="28"/>
          <w:lang w:val="es-ES"/>
        </w:rPr>
      </w:pPr>
      <w:r w:rsidRPr="00F32542">
        <w:rPr>
          <w:rFonts w:ascii="Arial" w:eastAsia="Calibri" w:hAnsi="Arial" w:cs="Times New Roman"/>
          <w:sz w:val="28"/>
          <w:lang w:val="es-ES"/>
        </w:rPr>
        <w:t xml:space="preserve">En esa línea argumentativa, son </w:t>
      </w:r>
      <w:r w:rsidRPr="00F32542">
        <w:rPr>
          <w:rFonts w:ascii="Arial" w:eastAsia="Calibri" w:hAnsi="Arial" w:cs="Times New Roman"/>
          <w:b/>
          <w:sz w:val="28"/>
          <w:lang w:val="es-ES"/>
        </w:rPr>
        <w:t>sustancialmente fundados</w:t>
      </w:r>
      <w:r w:rsidRPr="00F32542">
        <w:rPr>
          <w:rFonts w:ascii="Arial" w:eastAsia="Calibri" w:hAnsi="Arial" w:cs="Times New Roman"/>
          <w:sz w:val="28"/>
          <w:lang w:val="es-ES"/>
        </w:rPr>
        <w:t xml:space="preserve"> los agravios que hizo valer el actor Rodrigo Miranda Berumen (</w:t>
      </w:r>
      <w:r w:rsidRPr="00F32542">
        <w:rPr>
          <w:rFonts w:ascii="Arial" w:eastAsia="Calibri" w:hAnsi="Arial" w:cs="Times New Roman"/>
          <w:b/>
          <w:bCs/>
          <w:sz w:val="28"/>
          <w:lang w:val="es-ES"/>
        </w:rPr>
        <w:t>TECDMX-JLDC-100/2021</w:t>
      </w:r>
      <w:r w:rsidRPr="00F32542">
        <w:rPr>
          <w:rFonts w:ascii="Arial" w:eastAsia="Calibri" w:hAnsi="Arial" w:cs="Times New Roman"/>
          <w:sz w:val="28"/>
          <w:lang w:val="es-ES"/>
        </w:rPr>
        <w:t>), así como el PAN, cuestionando el reajuste que realizó el Consejo General a la lista A de este partido político y, por ende, su repercusión en la lista definitiva atinente.</w:t>
      </w:r>
    </w:p>
    <w:p w14:paraId="7C29883E" w14:textId="77777777" w:rsidR="00F94B48" w:rsidRPr="00F32542" w:rsidRDefault="00F94B48" w:rsidP="002E323F">
      <w:pPr>
        <w:widowControl w:val="0"/>
        <w:spacing w:after="0" w:line="360" w:lineRule="auto"/>
        <w:jc w:val="both"/>
        <w:rPr>
          <w:rFonts w:ascii="Arial" w:eastAsia="Calibri" w:hAnsi="Arial" w:cs="Times New Roman"/>
          <w:sz w:val="28"/>
          <w:lang w:val="es-ES"/>
        </w:rPr>
      </w:pPr>
    </w:p>
    <w:p w14:paraId="605CA9BC" w14:textId="77777777" w:rsidR="00F94B48" w:rsidRPr="00F32542" w:rsidRDefault="00F94B48" w:rsidP="002E323F">
      <w:pPr>
        <w:widowControl w:val="0"/>
        <w:spacing w:after="0" w:line="360" w:lineRule="auto"/>
        <w:jc w:val="both"/>
        <w:rPr>
          <w:rFonts w:ascii="Arial" w:eastAsia="Calibri" w:hAnsi="Arial" w:cs="Times New Roman"/>
          <w:sz w:val="28"/>
          <w:lang w:val="es-ES"/>
        </w:rPr>
      </w:pPr>
      <w:r w:rsidRPr="00F32542">
        <w:rPr>
          <w:rFonts w:ascii="Arial" w:eastAsia="Calibri" w:hAnsi="Arial" w:cs="Times New Roman"/>
          <w:sz w:val="28"/>
          <w:lang w:val="es-ES"/>
        </w:rPr>
        <w:t xml:space="preserve">El calificativo atiende a que, como se dijo, la candidatura a la diputación migrante integra la Lista A Prima, pero estrictamente no forma parte de la Lista A que postuló cada partido para la asignación de diputaciones por el principio de representación proporcional, puesto que tienen finalidad diversa. </w:t>
      </w:r>
    </w:p>
    <w:p w14:paraId="5DE86AD6" w14:textId="77777777" w:rsidR="00F94B48" w:rsidRPr="00F32542" w:rsidRDefault="00F94B48" w:rsidP="002E323F">
      <w:pPr>
        <w:widowControl w:val="0"/>
        <w:spacing w:after="0" w:line="360" w:lineRule="auto"/>
        <w:jc w:val="both"/>
        <w:rPr>
          <w:rFonts w:ascii="Arial" w:eastAsia="Calibri" w:hAnsi="Arial" w:cs="Times New Roman"/>
          <w:sz w:val="28"/>
          <w:lang w:val="es-ES"/>
        </w:rPr>
      </w:pPr>
    </w:p>
    <w:p w14:paraId="38576FE8" w14:textId="77777777" w:rsidR="00F94B48" w:rsidRPr="00F32542" w:rsidRDefault="00F94B48" w:rsidP="002E323F">
      <w:pPr>
        <w:widowControl w:val="0"/>
        <w:spacing w:after="0" w:line="360" w:lineRule="auto"/>
        <w:jc w:val="both"/>
        <w:rPr>
          <w:rFonts w:ascii="Arial" w:eastAsia="Calibri" w:hAnsi="Arial" w:cs="Times New Roman"/>
          <w:sz w:val="28"/>
          <w:lang w:val="es-ES"/>
        </w:rPr>
      </w:pPr>
      <w:r w:rsidRPr="00F32542">
        <w:rPr>
          <w:rFonts w:ascii="Arial" w:eastAsia="Calibri" w:hAnsi="Arial" w:cs="Times New Roman"/>
          <w:sz w:val="28"/>
          <w:lang w:val="es-ES"/>
        </w:rPr>
        <w:t xml:space="preserve">En ese sentido, es </w:t>
      </w:r>
      <w:r w:rsidR="00127B59" w:rsidRPr="00F32542">
        <w:rPr>
          <w:rFonts w:ascii="Arial" w:eastAsia="Calibri" w:hAnsi="Arial" w:cs="Times New Roman"/>
          <w:sz w:val="28"/>
          <w:lang w:val="es-ES"/>
        </w:rPr>
        <w:t>desproporcional</w:t>
      </w:r>
      <w:r w:rsidRPr="00F32542">
        <w:rPr>
          <w:rFonts w:ascii="Arial" w:eastAsia="Calibri" w:hAnsi="Arial" w:cs="Times New Roman"/>
          <w:sz w:val="28"/>
          <w:lang w:val="es-ES"/>
        </w:rPr>
        <w:t xml:space="preserve"> la determinación del Consejo General de reordenar la lista A del PAN a partir de considerar que forma parte de ella la candidatura a la diputación migrante, puesto que asumió que ambas listas integran una sola, lo cual es incorrecto. </w:t>
      </w:r>
    </w:p>
    <w:p w14:paraId="0D6CDACC" w14:textId="77777777" w:rsidR="00F94B48" w:rsidRPr="00F32542" w:rsidRDefault="00F94B48" w:rsidP="002E323F">
      <w:pPr>
        <w:widowControl w:val="0"/>
        <w:spacing w:after="0" w:line="360" w:lineRule="auto"/>
        <w:jc w:val="both"/>
        <w:rPr>
          <w:rFonts w:ascii="Arial" w:eastAsia="Calibri" w:hAnsi="Arial" w:cs="Times New Roman"/>
          <w:sz w:val="28"/>
          <w:lang w:val="es-ES"/>
        </w:rPr>
      </w:pPr>
    </w:p>
    <w:p w14:paraId="24126A7A" w14:textId="77777777" w:rsidR="00F94B48" w:rsidRPr="00F32542" w:rsidRDefault="00F94B48" w:rsidP="002E323F">
      <w:pPr>
        <w:widowControl w:val="0"/>
        <w:spacing w:after="0" w:line="360" w:lineRule="auto"/>
        <w:jc w:val="both"/>
        <w:rPr>
          <w:rFonts w:ascii="Arial" w:eastAsia="Calibri" w:hAnsi="Arial" w:cs="Times New Roman"/>
          <w:sz w:val="28"/>
          <w:lang w:val="es-ES"/>
        </w:rPr>
      </w:pPr>
      <w:r w:rsidRPr="00F32542">
        <w:rPr>
          <w:rFonts w:ascii="Arial" w:eastAsia="Calibri" w:hAnsi="Arial" w:cs="Times New Roman"/>
          <w:sz w:val="28"/>
          <w:lang w:val="es-ES"/>
        </w:rPr>
        <w:t xml:space="preserve">Al respecto, es preciso destacar lo siguiente: </w:t>
      </w:r>
    </w:p>
    <w:p w14:paraId="718B7DCB" w14:textId="77777777" w:rsidR="00F94B48" w:rsidRPr="00F32542" w:rsidRDefault="00F94B48" w:rsidP="002E323F">
      <w:pPr>
        <w:widowControl w:val="0"/>
        <w:spacing w:after="0" w:line="360" w:lineRule="auto"/>
        <w:jc w:val="both"/>
        <w:rPr>
          <w:rFonts w:ascii="Arial" w:eastAsia="Calibri" w:hAnsi="Arial" w:cs="Times New Roman"/>
          <w:sz w:val="28"/>
          <w:lang w:val="es-ES"/>
        </w:rPr>
      </w:pPr>
    </w:p>
    <w:p w14:paraId="0F65CCC9" w14:textId="77777777" w:rsidR="00F94B48" w:rsidRPr="00F32542" w:rsidRDefault="00F94B48" w:rsidP="002E323F">
      <w:pPr>
        <w:widowControl w:val="0"/>
        <w:spacing w:after="0" w:line="360" w:lineRule="auto"/>
        <w:contextualSpacing/>
        <w:jc w:val="both"/>
        <w:rPr>
          <w:rFonts w:ascii="Arial" w:eastAsia="Calibri" w:hAnsi="Arial" w:cs="Times New Roman"/>
          <w:sz w:val="28"/>
          <w:lang w:val="es-ES"/>
        </w:rPr>
      </w:pPr>
      <w:r w:rsidRPr="00F32542">
        <w:rPr>
          <w:rFonts w:ascii="Arial" w:eastAsia="Calibri" w:hAnsi="Arial" w:cs="Times New Roman"/>
          <w:sz w:val="28"/>
          <w:lang w:val="es-ES"/>
        </w:rPr>
        <w:t xml:space="preserve">El PAN, dentro del plazo legal para ello, presentó la lista A de candidaturas a las diputaciones de representación proporcional, conformada en los términos siguientes: </w:t>
      </w:r>
    </w:p>
    <w:p w14:paraId="4F6DEE32" w14:textId="77777777" w:rsidR="00F94B48" w:rsidRPr="00F32542" w:rsidRDefault="00F94B48" w:rsidP="002E323F">
      <w:pPr>
        <w:widowControl w:val="0"/>
        <w:spacing w:after="0" w:line="360" w:lineRule="auto"/>
        <w:jc w:val="both"/>
        <w:rPr>
          <w:rFonts w:ascii="Arial" w:eastAsia="Calibri" w:hAnsi="Arial" w:cs="Times New Roman"/>
          <w:sz w:val="28"/>
          <w:lang w:val="es-ES"/>
        </w:rPr>
      </w:pPr>
    </w:p>
    <w:tbl>
      <w:tblPr>
        <w:tblStyle w:val="Tablaconcuadrcula25"/>
        <w:tblW w:w="0" w:type="auto"/>
        <w:jc w:val="right"/>
        <w:tblLook w:val="04A0" w:firstRow="1" w:lastRow="0" w:firstColumn="1" w:lastColumn="0" w:noHBand="0" w:noVBand="1"/>
      </w:tblPr>
      <w:tblGrid>
        <w:gridCol w:w="709"/>
        <w:gridCol w:w="857"/>
        <w:gridCol w:w="2387"/>
        <w:gridCol w:w="608"/>
        <w:gridCol w:w="2113"/>
        <w:gridCol w:w="613"/>
      </w:tblGrid>
      <w:tr w:rsidR="00F94B48" w:rsidRPr="00F32542" w14:paraId="34CF3B22" w14:textId="77777777" w:rsidTr="00145FFB">
        <w:trPr>
          <w:tblHeader/>
          <w:jc w:val="right"/>
        </w:trPr>
        <w:tc>
          <w:tcPr>
            <w:tcW w:w="709" w:type="dxa"/>
            <w:shd w:val="clear" w:color="auto" w:fill="BFBFBF" w:themeFill="background1" w:themeFillShade="BF"/>
            <w:vAlign w:val="center"/>
          </w:tcPr>
          <w:p w14:paraId="4757D053" w14:textId="77777777" w:rsidR="00F94B48" w:rsidRPr="00F32542" w:rsidRDefault="00F94B48" w:rsidP="00F94B48">
            <w:pPr>
              <w:widowControl w:val="0"/>
              <w:spacing w:after="0" w:line="240" w:lineRule="auto"/>
              <w:jc w:val="center"/>
              <w:rPr>
                <w:rFonts w:ascii="Arial" w:eastAsia="Calibri" w:hAnsi="Arial" w:cs="Times New Roman"/>
                <w:b/>
                <w:sz w:val="16"/>
                <w:szCs w:val="16"/>
                <w:lang w:val="es-ES"/>
              </w:rPr>
            </w:pPr>
            <w:r w:rsidRPr="00F32542">
              <w:rPr>
                <w:rFonts w:ascii="Arial" w:eastAsia="Calibri" w:hAnsi="Arial" w:cs="Times New Roman"/>
                <w:b/>
                <w:sz w:val="16"/>
                <w:szCs w:val="16"/>
                <w:lang w:val="es-ES"/>
              </w:rPr>
              <w:t>No. en la lista A</w:t>
            </w:r>
          </w:p>
        </w:tc>
        <w:tc>
          <w:tcPr>
            <w:tcW w:w="857" w:type="dxa"/>
            <w:shd w:val="clear" w:color="auto" w:fill="BFBFBF" w:themeFill="background1" w:themeFillShade="BF"/>
            <w:vAlign w:val="center"/>
          </w:tcPr>
          <w:p w14:paraId="0EDFEA08" w14:textId="77777777" w:rsidR="00F94B48" w:rsidRPr="00F32542" w:rsidRDefault="00F94B48" w:rsidP="00F94B48">
            <w:pPr>
              <w:widowControl w:val="0"/>
              <w:spacing w:after="0" w:line="240" w:lineRule="auto"/>
              <w:jc w:val="center"/>
              <w:rPr>
                <w:rFonts w:ascii="Arial" w:eastAsia="Calibri" w:hAnsi="Arial" w:cs="Times New Roman"/>
                <w:b/>
                <w:sz w:val="16"/>
                <w:szCs w:val="16"/>
                <w:lang w:val="es-ES"/>
              </w:rPr>
            </w:pPr>
            <w:r w:rsidRPr="00F32542">
              <w:rPr>
                <w:rFonts w:ascii="Arial" w:eastAsia="Calibri" w:hAnsi="Arial" w:cs="Times New Roman"/>
                <w:b/>
                <w:sz w:val="16"/>
                <w:szCs w:val="16"/>
                <w:lang w:val="es-ES"/>
              </w:rPr>
              <w:t>Sexo</w:t>
            </w:r>
          </w:p>
        </w:tc>
        <w:tc>
          <w:tcPr>
            <w:tcW w:w="2387" w:type="dxa"/>
            <w:shd w:val="clear" w:color="auto" w:fill="BFBFBF" w:themeFill="background1" w:themeFillShade="BF"/>
            <w:vAlign w:val="center"/>
          </w:tcPr>
          <w:p w14:paraId="3F21DB45" w14:textId="77777777" w:rsidR="00F94B48" w:rsidRPr="00F32542" w:rsidRDefault="00F94B48" w:rsidP="00F94B48">
            <w:pPr>
              <w:widowControl w:val="0"/>
              <w:spacing w:after="0" w:line="240" w:lineRule="auto"/>
              <w:jc w:val="center"/>
              <w:rPr>
                <w:rFonts w:ascii="Arial" w:eastAsia="Calibri" w:hAnsi="Arial" w:cs="Times New Roman"/>
                <w:b/>
                <w:sz w:val="16"/>
                <w:szCs w:val="16"/>
                <w:lang w:val="es-ES"/>
              </w:rPr>
            </w:pPr>
            <w:r w:rsidRPr="00F32542">
              <w:rPr>
                <w:rFonts w:ascii="Arial" w:eastAsia="Calibri" w:hAnsi="Arial" w:cs="Times New Roman"/>
                <w:b/>
                <w:sz w:val="16"/>
                <w:szCs w:val="16"/>
                <w:lang w:val="es-ES"/>
              </w:rPr>
              <w:t>Nombre completo de la persona propietaria</w:t>
            </w:r>
          </w:p>
        </w:tc>
        <w:tc>
          <w:tcPr>
            <w:tcW w:w="608" w:type="dxa"/>
            <w:shd w:val="clear" w:color="auto" w:fill="BFBFBF" w:themeFill="background1" w:themeFillShade="BF"/>
            <w:vAlign w:val="center"/>
          </w:tcPr>
          <w:p w14:paraId="10E5BFE9" w14:textId="77777777" w:rsidR="00F94B48" w:rsidRPr="00F32542" w:rsidRDefault="00F94B48" w:rsidP="00F94B48">
            <w:pPr>
              <w:widowControl w:val="0"/>
              <w:spacing w:after="0" w:line="240" w:lineRule="auto"/>
              <w:jc w:val="center"/>
              <w:rPr>
                <w:rFonts w:ascii="Arial" w:eastAsia="Calibri" w:hAnsi="Arial" w:cs="Times New Roman"/>
                <w:b/>
                <w:sz w:val="16"/>
                <w:szCs w:val="16"/>
                <w:lang w:val="es-ES"/>
              </w:rPr>
            </w:pPr>
            <w:r w:rsidRPr="00F32542">
              <w:rPr>
                <w:rFonts w:ascii="Arial" w:eastAsia="Calibri" w:hAnsi="Arial" w:cs="Times New Roman"/>
                <w:b/>
                <w:sz w:val="16"/>
                <w:szCs w:val="16"/>
                <w:lang w:val="es-ES"/>
              </w:rPr>
              <w:t>Edad</w:t>
            </w:r>
          </w:p>
        </w:tc>
        <w:tc>
          <w:tcPr>
            <w:tcW w:w="2113" w:type="dxa"/>
            <w:shd w:val="clear" w:color="auto" w:fill="BFBFBF" w:themeFill="background1" w:themeFillShade="BF"/>
            <w:vAlign w:val="center"/>
          </w:tcPr>
          <w:p w14:paraId="58FFF8F4" w14:textId="77777777" w:rsidR="00F94B48" w:rsidRPr="00F32542" w:rsidRDefault="00F94B48" w:rsidP="00F94B48">
            <w:pPr>
              <w:widowControl w:val="0"/>
              <w:spacing w:after="0" w:line="240" w:lineRule="auto"/>
              <w:jc w:val="center"/>
              <w:rPr>
                <w:rFonts w:ascii="Arial" w:eastAsia="Calibri" w:hAnsi="Arial" w:cs="Times New Roman"/>
                <w:b/>
                <w:sz w:val="16"/>
                <w:szCs w:val="16"/>
                <w:lang w:val="es-ES"/>
              </w:rPr>
            </w:pPr>
            <w:r w:rsidRPr="00F32542">
              <w:rPr>
                <w:rFonts w:ascii="Arial" w:eastAsia="Calibri" w:hAnsi="Arial" w:cs="Times New Roman"/>
                <w:b/>
                <w:sz w:val="16"/>
                <w:szCs w:val="16"/>
                <w:lang w:val="es-ES"/>
              </w:rPr>
              <w:t>Nombre completo de la persona suplente</w:t>
            </w:r>
          </w:p>
        </w:tc>
        <w:tc>
          <w:tcPr>
            <w:tcW w:w="613" w:type="dxa"/>
            <w:shd w:val="clear" w:color="auto" w:fill="BFBFBF" w:themeFill="background1" w:themeFillShade="BF"/>
            <w:vAlign w:val="center"/>
          </w:tcPr>
          <w:p w14:paraId="6EFE8207" w14:textId="77777777" w:rsidR="00F94B48" w:rsidRPr="00F32542" w:rsidRDefault="00F94B48" w:rsidP="00F94B48">
            <w:pPr>
              <w:widowControl w:val="0"/>
              <w:spacing w:after="0" w:line="240" w:lineRule="auto"/>
              <w:jc w:val="center"/>
              <w:rPr>
                <w:rFonts w:ascii="Arial" w:eastAsia="Calibri" w:hAnsi="Arial" w:cs="Times New Roman"/>
                <w:b/>
                <w:sz w:val="16"/>
                <w:szCs w:val="16"/>
                <w:lang w:val="es-ES"/>
              </w:rPr>
            </w:pPr>
            <w:r w:rsidRPr="00F32542">
              <w:rPr>
                <w:rFonts w:ascii="Arial" w:eastAsia="Calibri" w:hAnsi="Arial" w:cs="Times New Roman"/>
                <w:b/>
                <w:sz w:val="16"/>
                <w:szCs w:val="16"/>
                <w:lang w:val="es-ES"/>
              </w:rPr>
              <w:t>Edad</w:t>
            </w:r>
          </w:p>
        </w:tc>
      </w:tr>
      <w:tr w:rsidR="00F94B48" w:rsidRPr="00F32542" w14:paraId="29C838FF" w14:textId="77777777" w:rsidTr="00B65D24">
        <w:trPr>
          <w:jc w:val="right"/>
        </w:trPr>
        <w:tc>
          <w:tcPr>
            <w:tcW w:w="709" w:type="dxa"/>
            <w:vAlign w:val="center"/>
          </w:tcPr>
          <w:p w14:paraId="0D1C531C"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1</w:t>
            </w:r>
          </w:p>
        </w:tc>
        <w:tc>
          <w:tcPr>
            <w:tcW w:w="857" w:type="dxa"/>
            <w:vAlign w:val="center"/>
          </w:tcPr>
          <w:p w14:paraId="12ACFECA"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Hombre</w:t>
            </w:r>
          </w:p>
        </w:tc>
        <w:tc>
          <w:tcPr>
            <w:tcW w:w="2387" w:type="dxa"/>
            <w:vAlign w:val="center"/>
          </w:tcPr>
          <w:p w14:paraId="11B745E8"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Federico </w:t>
            </w:r>
            <w:proofErr w:type="spellStart"/>
            <w:r w:rsidRPr="00F32542">
              <w:rPr>
                <w:rFonts w:ascii="Arial" w:eastAsia="Calibri" w:hAnsi="Arial" w:cs="Times New Roman"/>
                <w:sz w:val="18"/>
                <w:szCs w:val="18"/>
                <w:lang w:val="es-ES"/>
              </w:rPr>
              <w:t>Döring</w:t>
            </w:r>
            <w:proofErr w:type="spellEnd"/>
            <w:r w:rsidRPr="00F32542">
              <w:rPr>
                <w:rFonts w:ascii="Arial" w:eastAsia="Calibri" w:hAnsi="Arial" w:cs="Times New Roman"/>
                <w:sz w:val="18"/>
                <w:szCs w:val="18"/>
                <w:lang w:val="es-ES"/>
              </w:rPr>
              <w:t xml:space="preserve"> Casar </w:t>
            </w:r>
          </w:p>
        </w:tc>
        <w:tc>
          <w:tcPr>
            <w:tcW w:w="608" w:type="dxa"/>
            <w:vAlign w:val="center"/>
          </w:tcPr>
          <w:p w14:paraId="3F018370"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50</w:t>
            </w:r>
          </w:p>
        </w:tc>
        <w:tc>
          <w:tcPr>
            <w:tcW w:w="2113" w:type="dxa"/>
            <w:vAlign w:val="center"/>
          </w:tcPr>
          <w:p w14:paraId="381C3555"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Luis Antonio Oviedo Garza </w:t>
            </w:r>
          </w:p>
        </w:tc>
        <w:tc>
          <w:tcPr>
            <w:tcW w:w="613" w:type="dxa"/>
            <w:vAlign w:val="center"/>
          </w:tcPr>
          <w:p w14:paraId="2D36C8F5"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62</w:t>
            </w:r>
          </w:p>
        </w:tc>
      </w:tr>
      <w:tr w:rsidR="00F94B48" w:rsidRPr="00F32542" w14:paraId="26EF1833" w14:textId="77777777" w:rsidTr="00B65D24">
        <w:trPr>
          <w:jc w:val="right"/>
        </w:trPr>
        <w:tc>
          <w:tcPr>
            <w:tcW w:w="709" w:type="dxa"/>
            <w:vAlign w:val="center"/>
          </w:tcPr>
          <w:p w14:paraId="013F47E3"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w:t>
            </w:r>
          </w:p>
        </w:tc>
        <w:tc>
          <w:tcPr>
            <w:tcW w:w="857" w:type="dxa"/>
            <w:vAlign w:val="center"/>
          </w:tcPr>
          <w:p w14:paraId="73B57A3F"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Mujer</w:t>
            </w:r>
          </w:p>
        </w:tc>
        <w:tc>
          <w:tcPr>
            <w:tcW w:w="2387" w:type="dxa"/>
            <w:vAlign w:val="center"/>
          </w:tcPr>
          <w:p w14:paraId="141FB83B"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Luisa Adriana Gutiérrez Ureña </w:t>
            </w:r>
          </w:p>
        </w:tc>
        <w:tc>
          <w:tcPr>
            <w:tcW w:w="608" w:type="dxa"/>
            <w:vAlign w:val="center"/>
          </w:tcPr>
          <w:p w14:paraId="1FEB5952"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36</w:t>
            </w:r>
          </w:p>
        </w:tc>
        <w:tc>
          <w:tcPr>
            <w:tcW w:w="2113" w:type="dxa"/>
            <w:vAlign w:val="center"/>
          </w:tcPr>
          <w:p w14:paraId="22CE66DF"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Itzel Abigail Arellano Cruces </w:t>
            </w:r>
          </w:p>
        </w:tc>
        <w:tc>
          <w:tcPr>
            <w:tcW w:w="613" w:type="dxa"/>
            <w:vAlign w:val="center"/>
          </w:tcPr>
          <w:p w14:paraId="634D48CF"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28</w:t>
            </w:r>
          </w:p>
        </w:tc>
      </w:tr>
      <w:tr w:rsidR="00F94B48" w:rsidRPr="00F32542" w14:paraId="1609D6D3" w14:textId="77777777" w:rsidTr="00B65D24">
        <w:trPr>
          <w:jc w:val="right"/>
        </w:trPr>
        <w:tc>
          <w:tcPr>
            <w:tcW w:w="709" w:type="dxa"/>
            <w:vAlign w:val="center"/>
          </w:tcPr>
          <w:p w14:paraId="3D801EB1"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3</w:t>
            </w:r>
          </w:p>
        </w:tc>
        <w:tc>
          <w:tcPr>
            <w:tcW w:w="857" w:type="dxa"/>
            <w:vAlign w:val="center"/>
          </w:tcPr>
          <w:p w14:paraId="77262EAF"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Hombre</w:t>
            </w:r>
          </w:p>
        </w:tc>
        <w:tc>
          <w:tcPr>
            <w:tcW w:w="2387" w:type="dxa"/>
            <w:vAlign w:val="center"/>
          </w:tcPr>
          <w:p w14:paraId="0ED9ED3B"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proofErr w:type="spellStart"/>
            <w:r w:rsidRPr="00F32542">
              <w:rPr>
                <w:rFonts w:ascii="Arial" w:eastAsia="Calibri" w:hAnsi="Arial" w:cs="Times New Roman"/>
                <w:sz w:val="18"/>
                <w:szCs w:val="18"/>
                <w:lang w:val="es-ES"/>
              </w:rPr>
              <w:t>Anibal</w:t>
            </w:r>
            <w:proofErr w:type="spellEnd"/>
            <w:r w:rsidRPr="00F32542">
              <w:rPr>
                <w:rFonts w:ascii="Arial" w:eastAsia="Calibri" w:hAnsi="Arial" w:cs="Times New Roman"/>
                <w:sz w:val="18"/>
                <w:szCs w:val="18"/>
                <w:lang w:val="es-ES"/>
              </w:rPr>
              <w:t xml:space="preserve"> Alexandro </w:t>
            </w:r>
            <w:proofErr w:type="spellStart"/>
            <w:r w:rsidRPr="00F32542">
              <w:rPr>
                <w:rFonts w:ascii="Arial" w:eastAsia="Calibri" w:hAnsi="Arial" w:cs="Times New Roman"/>
                <w:sz w:val="18"/>
                <w:szCs w:val="18"/>
                <w:lang w:val="es-ES"/>
              </w:rPr>
              <w:t>Cáñez</w:t>
            </w:r>
            <w:proofErr w:type="spellEnd"/>
            <w:r w:rsidRPr="00F32542">
              <w:rPr>
                <w:rFonts w:ascii="Arial" w:eastAsia="Calibri" w:hAnsi="Arial" w:cs="Times New Roman"/>
                <w:sz w:val="18"/>
                <w:szCs w:val="18"/>
                <w:lang w:val="es-ES"/>
              </w:rPr>
              <w:t xml:space="preserve"> Morales </w:t>
            </w:r>
          </w:p>
        </w:tc>
        <w:tc>
          <w:tcPr>
            <w:tcW w:w="608" w:type="dxa"/>
            <w:vAlign w:val="center"/>
          </w:tcPr>
          <w:p w14:paraId="596EBB70"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37</w:t>
            </w:r>
          </w:p>
        </w:tc>
        <w:tc>
          <w:tcPr>
            <w:tcW w:w="2113" w:type="dxa"/>
            <w:vAlign w:val="center"/>
          </w:tcPr>
          <w:p w14:paraId="08198AB6"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Alain León </w:t>
            </w:r>
            <w:proofErr w:type="spellStart"/>
            <w:r w:rsidRPr="00F32542">
              <w:rPr>
                <w:rFonts w:ascii="Arial" w:eastAsia="Calibri" w:hAnsi="Arial" w:cs="Times New Roman"/>
                <w:sz w:val="18"/>
                <w:szCs w:val="18"/>
                <w:lang w:val="es-ES"/>
              </w:rPr>
              <w:t>Rasetti</w:t>
            </w:r>
            <w:proofErr w:type="spellEnd"/>
            <w:r w:rsidRPr="00F32542">
              <w:rPr>
                <w:rFonts w:ascii="Arial" w:eastAsia="Calibri" w:hAnsi="Arial" w:cs="Times New Roman"/>
                <w:sz w:val="18"/>
                <w:szCs w:val="18"/>
                <w:lang w:val="es-ES"/>
              </w:rPr>
              <w:t xml:space="preserve"> </w:t>
            </w:r>
          </w:p>
        </w:tc>
        <w:tc>
          <w:tcPr>
            <w:tcW w:w="613" w:type="dxa"/>
            <w:vAlign w:val="center"/>
          </w:tcPr>
          <w:p w14:paraId="56EB257B"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28</w:t>
            </w:r>
          </w:p>
        </w:tc>
      </w:tr>
      <w:tr w:rsidR="00F94B48" w:rsidRPr="00F32542" w14:paraId="06EDDC56" w14:textId="77777777" w:rsidTr="00B65D24">
        <w:trPr>
          <w:jc w:val="right"/>
        </w:trPr>
        <w:tc>
          <w:tcPr>
            <w:tcW w:w="709" w:type="dxa"/>
            <w:vAlign w:val="center"/>
          </w:tcPr>
          <w:p w14:paraId="128308CA"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4</w:t>
            </w:r>
          </w:p>
        </w:tc>
        <w:tc>
          <w:tcPr>
            <w:tcW w:w="857" w:type="dxa"/>
            <w:vAlign w:val="center"/>
          </w:tcPr>
          <w:p w14:paraId="47F4E055"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Mujer</w:t>
            </w:r>
          </w:p>
        </w:tc>
        <w:tc>
          <w:tcPr>
            <w:tcW w:w="2387" w:type="dxa"/>
            <w:vAlign w:val="center"/>
          </w:tcPr>
          <w:p w14:paraId="184F0A80"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Ana Jocelyn Villagrán Villasana </w:t>
            </w:r>
          </w:p>
        </w:tc>
        <w:tc>
          <w:tcPr>
            <w:tcW w:w="608" w:type="dxa"/>
            <w:vAlign w:val="center"/>
          </w:tcPr>
          <w:p w14:paraId="2B52A060"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31</w:t>
            </w:r>
          </w:p>
        </w:tc>
        <w:tc>
          <w:tcPr>
            <w:tcW w:w="2113" w:type="dxa"/>
            <w:vAlign w:val="center"/>
          </w:tcPr>
          <w:p w14:paraId="1BDF4E7B"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Ámbar Reyes Moto </w:t>
            </w:r>
          </w:p>
        </w:tc>
        <w:tc>
          <w:tcPr>
            <w:tcW w:w="613" w:type="dxa"/>
            <w:vAlign w:val="center"/>
          </w:tcPr>
          <w:p w14:paraId="60D282B9"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25</w:t>
            </w:r>
          </w:p>
        </w:tc>
      </w:tr>
      <w:tr w:rsidR="00F94B48" w:rsidRPr="00F32542" w14:paraId="086A112B" w14:textId="77777777" w:rsidTr="00B65D24">
        <w:trPr>
          <w:jc w:val="right"/>
        </w:trPr>
        <w:tc>
          <w:tcPr>
            <w:tcW w:w="709" w:type="dxa"/>
            <w:vAlign w:val="center"/>
          </w:tcPr>
          <w:p w14:paraId="6E2A7CA5"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5</w:t>
            </w:r>
          </w:p>
        </w:tc>
        <w:tc>
          <w:tcPr>
            <w:tcW w:w="857" w:type="dxa"/>
            <w:vAlign w:val="center"/>
          </w:tcPr>
          <w:p w14:paraId="6EFCC8FD"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Hombre</w:t>
            </w:r>
          </w:p>
        </w:tc>
        <w:tc>
          <w:tcPr>
            <w:tcW w:w="2387" w:type="dxa"/>
            <w:vAlign w:val="center"/>
          </w:tcPr>
          <w:p w14:paraId="72B78645"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Rodrigo Miranda Berumen </w:t>
            </w:r>
          </w:p>
        </w:tc>
        <w:tc>
          <w:tcPr>
            <w:tcW w:w="608" w:type="dxa"/>
            <w:vAlign w:val="center"/>
          </w:tcPr>
          <w:p w14:paraId="05A708B8"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29</w:t>
            </w:r>
          </w:p>
        </w:tc>
        <w:tc>
          <w:tcPr>
            <w:tcW w:w="2113" w:type="dxa"/>
            <w:vAlign w:val="center"/>
          </w:tcPr>
          <w:p w14:paraId="740633DD"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Luis Paris Oviedo Guarneros </w:t>
            </w:r>
          </w:p>
        </w:tc>
        <w:tc>
          <w:tcPr>
            <w:tcW w:w="613" w:type="dxa"/>
            <w:vAlign w:val="center"/>
          </w:tcPr>
          <w:p w14:paraId="2D0087E4"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35</w:t>
            </w:r>
          </w:p>
        </w:tc>
      </w:tr>
      <w:tr w:rsidR="00F94B48" w:rsidRPr="00F32542" w14:paraId="5B32D4E6" w14:textId="77777777" w:rsidTr="00B65D24">
        <w:trPr>
          <w:jc w:val="right"/>
        </w:trPr>
        <w:tc>
          <w:tcPr>
            <w:tcW w:w="709" w:type="dxa"/>
            <w:vAlign w:val="center"/>
          </w:tcPr>
          <w:p w14:paraId="68216234"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6</w:t>
            </w:r>
          </w:p>
        </w:tc>
        <w:tc>
          <w:tcPr>
            <w:tcW w:w="857" w:type="dxa"/>
            <w:vAlign w:val="center"/>
          </w:tcPr>
          <w:p w14:paraId="63C15EF2"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Mujer</w:t>
            </w:r>
          </w:p>
        </w:tc>
        <w:tc>
          <w:tcPr>
            <w:tcW w:w="2387" w:type="dxa"/>
            <w:vAlign w:val="center"/>
          </w:tcPr>
          <w:p w14:paraId="0C646600"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María Gabriela Salido Magos </w:t>
            </w:r>
          </w:p>
        </w:tc>
        <w:tc>
          <w:tcPr>
            <w:tcW w:w="608" w:type="dxa"/>
            <w:vAlign w:val="center"/>
          </w:tcPr>
          <w:p w14:paraId="02A9B9B0"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50</w:t>
            </w:r>
          </w:p>
        </w:tc>
        <w:tc>
          <w:tcPr>
            <w:tcW w:w="2113" w:type="dxa"/>
            <w:vAlign w:val="center"/>
          </w:tcPr>
          <w:p w14:paraId="44454471"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Vania </w:t>
            </w:r>
            <w:proofErr w:type="spellStart"/>
            <w:r w:rsidRPr="00F32542">
              <w:rPr>
                <w:rFonts w:ascii="Arial" w:eastAsia="Calibri" w:hAnsi="Arial" w:cs="Times New Roman"/>
                <w:sz w:val="18"/>
                <w:szCs w:val="18"/>
                <w:lang w:val="es-ES"/>
              </w:rPr>
              <w:t>Yael</w:t>
            </w:r>
            <w:proofErr w:type="spellEnd"/>
            <w:r w:rsidRPr="00F32542">
              <w:rPr>
                <w:rFonts w:ascii="Arial" w:eastAsia="Calibri" w:hAnsi="Arial" w:cs="Times New Roman"/>
                <w:sz w:val="18"/>
                <w:szCs w:val="18"/>
                <w:lang w:val="es-ES"/>
              </w:rPr>
              <w:t xml:space="preserve"> González Veloz </w:t>
            </w:r>
          </w:p>
        </w:tc>
        <w:tc>
          <w:tcPr>
            <w:tcW w:w="613" w:type="dxa"/>
            <w:vAlign w:val="center"/>
          </w:tcPr>
          <w:p w14:paraId="305F830A"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27</w:t>
            </w:r>
          </w:p>
        </w:tc>
      </w:tr>
      <w:tr w:rsidR="00F94B48" w:rsidRPr="00F32542" w14:paraId="444AAAA1" w14:textId="77777777" w:rsidTr="00B65D24">
        <w:trPr>
          <w:jc w:val="right"/>
        </w:trPr>
        <w:tc>
          <w:tcPr>
            <w:tcW w:w="709" w:type="dxa"/>
            <w:vAlign w:val="center"/>
          </w:tcPr>
          <w:p w14:paraId="481E5338"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7</w:t>
            </w:r>
          </w:p>
        </w:tc>
        <w:tc>
          <w:tcPr>
            <w:tcW w:w="857" w:type="dxa"/>
            <w:vAlign w:val="center"/>
          </w:tcPr>
          <w:p w14:paraId="4E6B791D"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Hombre</w:t>
            </w:r>
          </w:p>
        </w:tc>
        <w:tc>
          <w:tcPr>
            <w:tcW w:w="2387" w:type="dxa"/>
            <w:vAlign w:val="center"/>
          </w:tcPr>
          <w:p w14:paraId="0C122B59"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Andrés Sánchez Miranda </w:t>
            </w:r>
          </w:p>
        </w:tc>
        <w:tc>
          <w:tcPr>
            <w:tcW w:w="608" w:type="dxa"/>
            <w:vAlign w:val="center"/>
          </w:tcPr>
          <w:p w14:paraId="3015B8B2"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36</w:t>
            </w:r>
          </w:p>
        </w:tc>
        <w:tc>
          <w:tcPr>
            <w:tcW w:w="2113" w:type="dxa"/>
            <w:vAlign w:val="center"/>
          </w:tcPr>
          <w:p w14:paraId="4C5B4374"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Isabel Priscila Vera Hernández </w:t>
            </w:r>
          </w:p>
        </w:tc>
        <w:tc>
          <w:tcPr>
            <w:tcW w:w="613" w:type="dxa"/>
            <w:vAlign w:val="center"/>
          </w:tcPr>
          <w:p w14:paraId="64379B38"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39</w:t>
            </w:r>
          </w:p>
        </w:tc>
      </w:tr>
      <w:tr w:rsidR="00F94B48" w:rsidRPr="00F32542" w14:paraId="5C7168C7" w14:textId="77777777" w:rsidTr="00B65D24">
        <w:trPr>
          <w:jc w:val="right"/>
        </w:trPr>
        <w:tc>
          <w:tcPr>
            <w:tcW w:w="709" w:type="dxa"/>
            <w:vAlign w:val="center"/>
          </w:tcPr>
          <w:p w14:paraId="7F80C2EB"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8</w:t>
            </w:r>
          </w:p>
        </w:tc>
        <w:tc>
          <w:tcPr>
            <w:tcW w:w="857" w:type="dxa"/>
            <w:vAlign w:val="center"/>
          </w:tcPr>
          <w:p w14:paraId="09C2A8CF"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Mujer</w:t>
            </w:r>
          </w:p>
        </w:tc>
        <w:tc>
          <w:tcPr>
            <w:tcW w:w="2387" w:type="dxa"/>
            <w:vAlign w:val="center"/>
          </w:tcPr>
          <w:p w14:paraId="0BD2D55C"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Frida Jimena Guillen Ortíz </w:t>
            </w:r>
          </w:p>
        </w:tc>
        <w:tc>
          <w:tcPr>
            <w:tcW w:w="608" w:type="dxa"/>
            <w:vAlign w:val="center"/>
          </w:tcPr>
          <w:p w14:paraId="324FDAD4"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24</w:t>
            </w:r>
          </w:p>
        </w:tc>
        <w:tc>
          <w:tcPr>
            <w:tcW w:w="2113" w:type="dxa"/>
            <w:vAlign w:val="center"/>
          </w:tcPr>
          <w:p w14:paraId="3C8AB788"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proofErr w:type="spellStart"/>
            <w:r w:rsidRPr="00F32542">
              <w:rPr>
                <w:rFonts w:ascii="Arial" w:eastAsia="Calibri" w:hAnsi="Arial" w:cs="Times New Roman"/>
                <w:sz w:val="18"/>
                <w:szCs w:val="18"/>
                <w:lang w:val="es-ES"/>
              </w:rPr>
              <w:t>Ahichell</w:t>
            </w:r>
            <w:proofErr w:type="spellEnd"/>
            <w:r w:rsidRPr="00F32542">
              <w:rPr>
                <w:rFonts w:ascii="Arial" w:eastAsia="Calibri" w:hAnsi="Arial" w:cs="Times New Roman"/>
                <w:sz w:val="18"/>
                <w:szCs w:val="18"/>
                <w:lang w:val="es-ES"/>
              </w:rPr>
              <w:t xml:space="preserve"> Sánchez Valle </w:t>
            </w:r>
          </w:p>
        </w:tc>
        <w:tc>
          <w:tcPr>
            <w:tcW w:w="613" w:type="dxa"/>
            <w:vAlign w:val="center"/>
          </w:tcPr>
          <w:p w14:paraId="30AF9EF2"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27</w:t>
            </w:r>
          </w:p>
        </w:tc>
      </w:tr>
      <w:tr w:rsidR="00F94B48" w:rsidRPr="00F32542" w14:paraId="325D5EEC" w14:textId="77777777" w:rsidTr="00B65D24">
        <w:trPr>
          <w:jc w:val="right"/>
        </w:trPr>
        <w:tc>
          <w:tcPr>
            <w:tcW w:w="709" w:type="dxa"/>
            <w:vAlign w:val="center"/>
          </w:tcPr>
          <w:p w14:paraId="05CD8359"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9</w:t>
            </w:r>
          </w:p>
        </w:tc>
        <w:tc>
          <w:tcPr>
            <w:tcW w:w="857" w:type="dxa"/>
            <w:vAlign w:val="center"/>
          </w:tcPr>
          <w:p w14:paraId="383493C5"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Hombre</w:t>
            </w:r>
          </w:p>
        </w:tc>
        <w:tc>
          <w:tcPr>
            <w:tcW w:w="2387" w:type="dxa"/>
            <w:vAlign w:val="center"/>
          </w:tcPr>
          <w:p w14:paraId="5415CD5F"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Israel Landgrave Castillo </w:t>
            </w:r>
          </w:p>
        </w:tc>
        <w:tc>
          <w:tcPr>
            <w:tcW w:w="608" w:type="dxa"/>
            <w:vAlign w:val="center"/>
          </w:tcPr>
          <w:p w14:paraId="6374A96D"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45</w:t>
            </w:r>
          </w:p>
        </w:tc>
        <w:tc>
          <w:tcPr>
            <w:tcW w:w="2113" w:type="dxa"/>
            <w:vAlign w:val="center"/>
          </w:tcPr>
          <w:p w14:paraId="0D94945D"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Ricardo Zárate León </w:t>
            </w:r>
          </w:p>
        </w:tc>
        <w:tc>
          <w:tcPr>
            <w:tcW w:w="613" w:type="dxa"/>
            <w:vAlign w:val="center"/>
          </w:tcPr>
          <w:p w14:paraId="180C7E7E"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32</w:t>
            </w:r>
          </w:p>
        </w:tc>
      </w:tr>
      <w:tr w:rsidR="00F94B48" w:rsidRPr="00F32542" w14:paraId="08C182E4" w14:textId="77777777" w:rsidTr="00B65D24">
        <w:trPr>
          <w:jc w:val="right"/>
        </w:trPr>
        <w:tc>
          <w:tcPr>
            <w:tcW w:w="709" w:type="dxa"/>
            <w:vAlign w:val="center"/>
          </w:tcPr>
          <w:p w14:paraId="430F5196"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10</w:t>
            </w:r>
          </w:p>
        </w:tc>
        <w:tc>
          <w:tcPr>
            <w:tcW w:w="857" w:type="dxa"/>
            <w:vAlign w:val="center"/>
          </w:tcPr>
          <w:p w14:paraId="3DB9B6C4"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Mujer</w:t>
            </w:r>
          </w:p>
        </w:tc>
        <w:tc>
          <w:tcPr>
            <w:tcW w:w="2387" w:type="dxa"/>
            <w:vAlign w:val="center"/>
          </w:tcPr>
          <w:p w14:paraId="18A55DCA"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Ana Jessica Ramírez Colín </w:t>
            </w:r>
          </w:p>
        </w:tc>
        <w:tc>
          <w:tcPr>
            <w:tcW w:w="608" w:type="dxa"/>
            <w:vAlign w:val="center"/>
          </w:tcPr>
          <w:p w14:paraId="1B0BC708"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25</w:t>
            </w:r>
          </w:p>
        </w:tc>
        <w:tc>
          <w:tcPr>
            <w:tcW w:w="2113" w:type="dxa"/>
            <w:vAlign w:val="center"/>
          </w:tcPr>
          <w:p w14:paraId="2DDF3DAC"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Guadalupe Estefanía Gaona Oyola </w:t>
            </w:r>
          </w:p>
        </w:tc>
        <w:tc>
          <w:tcPr>
            <w:tcW w:w="613" w:type="dxa"/>
            <w:vAlign w:val="center"/>
          </w:tcPr>
          <w:p w14:paraId="684DB910"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27</w:t>
            </w:r>
          </w:p>
        </w:tc>
      </w:tr>
      <w:tr w:rsidR="00F94B48" w:rsidRPr="00F32542" w14:paraId="0174CDE6" w14:textId="77777777" w:rsidTr="00B65D24">
        <w:trPr>
          <w:jc w:val="right"/>
        </w:trPr>
        <w:tc>
          <w:tcPr>
            <w:tcW w:w="709" w:type="dxa"/>
            <w:vAlign w:val="center"/>
          </w:tcPr>
          <w:p w14:paraId="02C723C6"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11</w:t>
            </w:r>
          </w:p>
        </w:tc>
        <w:tc>
          <w:tcPr>
            <w:tcW w:w="857" w:type="dxa"/>
            <w:vAlign w:val="center"/>
          </w:tcPr>
          <w:p w14:paraId="2CB40639"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Hombre</w:t>
            </w:r>
          </w:p>
        </w:tc>
        <w:tc>
          <w:tcPr>
            <w:tcW w:w="2387" w:type="dxa"/>
            <w:vAlign w:val="center"/>
          </w:tcPr>
          <w:p w14:paraId="115F8165"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rPr>
              <w:t xml:space="preserve">Luis Alberto Granados Llamas </w:t>
            </w:r>
          </w:p>
        </w:tc>
        <w:tc>
          <w:tcPr>
            <w:tcW w:w="608" w:type="dxa"/>
            <w:vAlign w:val="center"/>
          </w:tcPr>
          <w:p w14:paraId="17F3AB27"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26</w:t>
            </w:r>
          </w:p>
        </w:tc>
        <w:tc>
          <w:tcPr>
            <w:tcW w:w="2113" w:type="dxa"/>
            <w:vAlign w:val="center"/>
          </w:tcPr>
          <w:p w14:paraId="79F9B821"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rPr>
              <w:t xml:space="preserve">Uriel Alejandro Pérez Ayala </w:t>
            </w:r>
          </w:p>
        </w:tc>
        <w:tc>
          <w:tcPr>
            <w:tcW w:w="613" w:type="dxa"/>
            <w:vAlign w:val="center"/>
          </w:tcPr>
          <w:p w14:paraId="7C19B655"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27</w:t>
            </w:r>
          </w:p>
        </w:tc>
      </w:tr>
      <w:tr w:rsidR="00F94B48" w:rsidRPr="00F32542" w14:paraId="4CB10DA4" w14:textId="77777777" w:rsidTr="00B65D24">
        <w:trPr>
          <w:jc w:val="right"/>
        </w:trPr>
        <w:tc>
          <w:tcPr>
            <w:tcW w:w="709" w:type="dxa"/>
            <w:vAlign w:val="center"/>
          </w:tcPr>
          <w:p w14:paraId="790B9D22"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12</w:t>
            </w:r>
          </w:p>
        </w:tc>
        <w:tc>
          <w:tcPr>
            <w:tcW w:w="857" w:type="dxa"/>
            <w:vAlign w:val="center"/>
          </w:tcPr>
          <w:p w14:paraId="4D98247A"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Mujer</w:t>
            </w:r>
          </w:p>
        </w:tc>
        <w:tc>
          <w:tcPr>
            <w:tcW w:w="2387" w:type="dxa"/>
            <w:vAlign w:val="center"/>
          </w:tcPr>
          <w:p w14:paraId="60BC3CC0"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rPr>
              <w:t xml:space="preserve">Liza Fernanda Carmona Ortega </w:t>
            </w:r>
          </w:p>
        </w:tc>
        <w:tc>
          <w:tcPr>
            <w:tcW w:w="608" w:type="dxa"/>
            <w:vAlign w:val="center"/>
          </w:tcPr>
          <w:p w14:paraId="30738930"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26</w:t>
            </w:r>
          </w:p>
        </w:tc>
        <w:tc>
          <w:tcPr>
            <w:tcW w:w="2113" w:type="dxa"/>
            <w:vAlign w:val="center"/>
          </w:tcPr>
          <w:p w14:paraId="5B62BE71"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rPr>
              <w:t xml:space="preserve">María Fernanda Santoyo Cano </w:t>
            </w:r>
          </w:p>
        </w:tc>
        <w:tc>
          <w:tcPr>
            <w:tcW w:w="613" w:type="dxa"/>
            <w:vAlign w:val="center"/>
          </w:tcPr>
          <w:p w14:paraId="7630E43E"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23</w:t>
            </w:r>
          </w:p>
        </w:tc>
      </w:tr>
      <w:tr w:rsidR="00F94B48" w:rsidRPr="00F32542" w14:paraId="1511D65A" w14:textId="77777777" w:rsidTr="00B65D24">
        <w:trPr>
          <w:jc w:val="right"/>
        </w:trPr>
        <w:tc>
          <w:tcPr>
            <w:tcW w:w="709" w:type="dxa"/>
            <w:vAlign w:val="center"/>
          </w:tcPr>
          <w:p w14:paraId="3F6534CE"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13</w:t>
            </w:r>
          </w:p>
        </w:tc>
        <w:tc>
          <w:tcPr>
            <w:tcW w:w="857" w:type="dxa"/>
            <w:vAlign w:val="center"/>
          </w:tcPr>
          <w:p w14:paraId="28A78FB7"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Hombre</w:t>
            </w:r>
          </w:p>
        </w:tc>
        <w:tc>
          <w:tcPr>
            <w:tcW w:w="2387" w:type="dxa"/>
            <w:vAlign w:val="center"/>
          </w:tcPr>
          <w:p w14:paraId="3F4120E5" w14:textId="77777777" w:rsidR="00F94B48" w:rsidRPr="00F32542" w:rsidRDefault="00F94B48" w:rsidP="00F94B48">
            <w:pPr>
              <w:widowControl w:val="0"/>
              <w:spacing w:after="0" w:line="240" w:lineRule="auto"/>
              <w:jc w:val="center"/>
              <w:rPr>
                <w:rFonts w:ascii="Arial" w:eastAsia="Calibri" w:hAnsi="Arial" w:cs="Times New Roman"/>
                <w:sz w:val="18"/>
                <w:szCs w:val="18"/>
              </w:rPr>
            </w:pPr>
            <w:r w:rsidRPr="00F32542">
              <w:rPr>
                <w:rFonts w:ascii="Arial" w:eastAsia="Calibri" w:hAnsi="Arial" w:cs="Times New Roman"/>
                <w:sz w:val="18"/>
                <w:szCs w:val="18"/>
              </w:rPr>
              <w:t xml:space="preserve">Moisés Alain Matamoros Vences </w:t>
            </w:r>
          </w:p>
        </w:tc>
        <w:tc>
          <w:tcPr>
            <w:tcW w:w="608" w:type="dxa"/>
            <w:vAlign w:val="center"/>
          </w:tcPr>
          <w:p w14:paraId="4097BA9F"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27</w:t>
            </w:r>
          </w:p>
        </w:tc>
        <w:tc>
          <w:tcPr>
            <w:tcW w:w="2113" w:type="dxa"/>
            <w:vAlign w:val="center"/>
          </w:tcPr>
          <w:p w14:paraId="17DF3FE7" w14:textId="77777777" w:rsidR="00F94B48" w:rsidRPr="00F32542" w:rsidRDefault="00F94B48" w:rsidP="00F94B48">
            <w:pPr>
              <w:widowControl w:val="0"/>
              <w:spacing w:after="0" w:line="240" w:lineRule="auto"/>
              <w:jc w:val="center"/>
              <w:rPr>
                <w:rFonts w:ascii="Arial" w:eastAsia="Calibri" w:hAnsi="Arial" w:cs="Times New Roman"/>
                <w:sz w:val="18"/>
                <w:szCs w:val="18"/>
              </w:rPr>
            </w:pPr>
            <w:r w:rsidRPr="00F32542">
              <w:rPr>
                <w:rFonts w:ascii="Arial" w:eastAsia="Calibri" w:hAnsi="Arial" w:cs="Times New Roman"/>
                <w:sz w:val="18"/>
                <w:szCs w:val="18"/>
              </w:rPr>
              <w:t xml:space="preserve">Eduardo Daniel Aguilar Hernández </w:t>
            </w:r>
          </w:p>
        </w:tc>
        <w:tc>
          <w:tcPr>
            <w:tcW w:w="613" w:type="dxa"/>
            <w:vAlign w:val="center"/>
          </w:tcPr>
          <w:p w14:paraId="6AA34819"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27</w:t>
            </w:r>
          </w:p>
        </w:tc>
      </w:tr>
      <w:tr w:rsidR="00F94B48" w:rsidRPr="00F32542" w14:paraId="2C7104C6" w14:textId="77777777" w:rsidTr="00B65D24">
        <w:trPr>
          <w:jc w:val="right"/>
        </w:trPr>
        <w:tc>
          <w:tcPr>
            <w:tcW w:w="709" w:type="dxa"/>
            <w:vAlign w:val="center"/>
          </w:tcPr>
          <w:p w14:paraId="68590A6B"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14</w:t>
            </w:r>
          </w:p>
        </w:tc>
        <w:tc>
          <w:tcPr>
            <w:tcW w:w="857" w:type="dxa"/>
            <w:vAlign w:val="center"/>
          </w:tcPr>
          <w:p w14:paraId="3AF18EE7"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Mujer</w:t>
            </w:r>
          </w:p>
        </w:tc>
        <w:tc>
          <w:tcPr>
            <w:tcW w:w="2387" w:type="dxa"/>
            <w:vAlign w:val="center"/>
          </w:tcPr>
          <w:p w14:paraId="6003FA33" w14:textId="77777777" w:rsidR="00F94B48" w:rsidRPr="00F32542" w:rsidRDefault="00F94B48" w:rsidP="00F94B48">
            <w:pPr>
              <w:widowControl w:val="0"/>
              <w:spacing w:after="0" w:line="240" w:lineRule="auto"/>
              <w:jc w:val="center"/>
              <w:rPr>
                <w:rFonts w:ascii="Arial" w:eastAsia="Calibri" w:hAnsi="Arial" w:cs="Times New Roman"/>
                <w:sz w:val="18"/>
                <w:szCs w:val="18"/>
              </w:rPr>
            </w:pPr>
            <w:r w:rsidRPr="00F32542">
              <w:rPr>
                <w:rFonts w:ascii="Arial" w:eastAsia="Calibri" w:hAnsi="Arial" w:cs="Times New Roman"/>
                <w:sz w:val="18"/>
                <w:szCs w:val="18"/>
              </w:rPr>
              <w:t xml:space="preserve">Elsa Alicia Montserrat Llarena Jiménez </w:t>
            </w:r>
          </w:p>
        </w:tc>
        <w:tc>
          <w:tcPr>
            <w:tcW w:w="608" w:type="dxa"/>
            <w:vAlign w:val="center"/>
          </w:tcPr>
          <w:p w14:paraId="13A25EE8"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28</w:t>
            </w:r>
          </w:p>
        </w:tc>
        <w:tc>
          <w:tcPr>
            <w:tcW w:w="2113" w:type="dxa"/>
            <w:vAlign w:val="center"/>
          </w:tcPr>
          <w:p w14:paraId="571F9EBB" w14:textId="77777777" w:rsidR="00F94B48" w:rsidRPr="00F32542" w:rsidRDefault="00F94B48" w:rsidP="00F94B48">
            <w:pPr>
              <w:widowControl w:val="0"/>
              <w:spacing w:after="0" w:line="240" w:lineRule="auto"/>
              <w:jc w:val="center"/>
              <w:rPr>
                <w:rFonts w:ascii="Arial" w:eastAsia="Calibri" w:hAnsi="Arial" w:cs="Times New Roman"/>
                <w:sz w:val="18"/>
                <w:szCs w:val="18"/>
              </w:rPr>
            </w:pPr>
            <w:r w:rsidRPr="00F32542">
              <w:rPr>
                <w:rFonts w:ascii="Arial" w:eastAsia="Calibri" w:hAnsi="Arial" w:cs="Times New Roman"/>
                <w:sz w:val="18"/>
                <w:szCs w:val="18"/>
              </w:rPr>
              <w:t xml:space="preserve">Alina Andrea Guzmán López </w:t>
            </w:r>
          </w:p>
        </w:tc>
        <w:tc>
          <w:tcPr>
            <w:tcW w:w="613" w:type="dxa"/>
            <w:vAlign w:val="center"/>
          </w:tcPr>
          <w:p w14:paraId="73194B77"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28</w:t>
            </w:r>
          </w:p>
        </w:tc>
      </w:tr>
      <w:tr w:rsidR="00F94B48" w:rsidRPr="00F32542" w14:paraId="11626EE5" w14:textId="77777777" w:rsidTr="00B65D24">
        <w:trPr>
          <w:jc w:val="right"/>
        </w:trPr>
        <w:tc>
          <w:tcPr>
            <w:tcW w:w="709" w:type="dxa"/>
            <w:vAlign w:val="center"/>
          </w:tcPr>
          <w:p w14:paraId="06D0F32E"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15</w:t>
            </w:r>
          </w:p>
        </w:tc>
        <w:tc>
          <w:tcPr>
            <w:tcW w:w="857" w:type="dxa"/>
            <w:vAlign w:val="center"/>
          </w:tcPr>
          <w:p w14:paraId="190DD79F"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Hombre</w:t>
            </w:r>
          </w:p>
        </w:tc>
        <w:tc>
          <w:tcPr>
            <w:tcW w:w="2387" w:type="dxa"/>
            <w:vAlign w:val="center"/>
          </w:tcPr>
          <w:p w14:paraId="4315B32C" w14:textId="77777777" w:rsidR="00F94B48" w:rsidRPr="00F32542" w:rsidRDefault="00F94B48" w:rsidP="00F94B48">
            <w:pPr>
              <w:widowControl w:val="0"/>
              <w:spacing w:after="0" w:line="240" w:lineRule="auto"/>
              <w:jc w:val="center"/>
              <w:rPr>
                <w:rFonts w:ascii="Arial" w:eastAsia="Calibri" w:hAnsi="Arial" w:cs="Times New Roman"/>
                <w:sz w:val="18"/>
                <w:szCs w:val="18"/>
              </w:rPr>
            </w:pPr>
            <w:r w:rsidRPr="00F32542">
              <w:rPr>
                <w:rFonts w:ascii="Arial" w:eastAsia="Calibri" w:hAnsi="Arial" w:cs="Times New Roman"/>
                <w:sz w:val="18"/>
                <w:szCs w:val="18"/>
              </w:rPr>
              <w:t xml:space="preserve">Raúl Enrique Varela Curiel </w:t>
            </w:r>
          </w:p>
        </w:tc>
        <w:tc>
          <w:tcPr>
            <w:tcW w:w="608" w:type="dxa"/>
            <w:vAlign w:val="center"/>
          </w:tcPr>
          <w:p w14:paraId="3287729B"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26</w:t>
            </w:r>
          </w:p>
        </w:tc>
        <w:tc>
          <w:tcPr>
            <w:tcW w:w="2113" w:type="dxa"/>
            <w:vAlign w:val="center"/>
          </w:tcPr>
          <w:p w14:paraId="11447310" w14:textId="77777777" w:rsidR="00F94B48" w:rsidRPr="00F32542" w:rsidRDefault="00F94B48" w:rsidP="00F94B48">
            <w:pPr>
              <w:widowControl w:val="0"/>
              <w:spacing w:after="0" w:line="240" w:lineRule="auto"/>
              <w:jc w:val="center"/>
              <w:rPr>
                <w:rFonts w:ascii="Arial" w:eastAsia="Calibri" w:hAnsi="Arial" w:cs="Times New Roman"/>
                <w:sz w:val="18"/>
                <w:szCs w:val="18"/>
              </w:rPr>
            </w:pPr>
            <w:r w:rsidRPr="00F32542">
              <w:rPr>
                <w:rFonts w:ascii="Arial" w:eastAsia="Calibri" w:hAnsi="Arial" w:cs="Times New Roman"/>
                <w:sz w:val="18"/>
                <w:szCs w:val="18"/>
              </w:rPr>
              <w:t xml:space="preserve">Aarón Lisandro Soto García </w:t>
            </w:r>
          </w:p>
        </w:tc>
        <w:tc>
          <w:tcPr>
            <w:tcW w:w="613" w:type="dxa"/>
            <w:vAlign w:val="center"/>
          </w:tcPr>
          <w:p w14:paraId="09FEDC9F"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26</w:t>
            </w:r>
          </w:p>
        </w:tc>
      </w:tr>
      <w:tr w:rsidR="00F94B48" w:rsidRPr="00F32542" w14:paraId="0A8646E0" w14:textId="77777777" w:rsidTr="00B65D24">
        <w:trPr>
          <w:jc w:val="right"/>
        </w:trPr>
        <w:tc>
          <w:tcPr>
            <w:tcW w:w="709" w:type="dxa"/>
            <w:vAlign w:val="center"/>
          </w:tcPr>
          <w:p w14:paraId="08450456"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16</w:t>
            </w:r>
          </w:p>
        </w:tc>
        <w:tc>
          <w:tcPr>
            <w:tcW w:w="857" w:type="dxa"/>
            <w:vAlign w:val="center"/>
          </w:tcPr>
          <w:p w14:paraId="5AC4131C"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Mujer</w:t>
            </w:r>
          </w:p>
        </w:tc>
        <w:tc>
          <w:tcPr>
            <w:tcW w:w="2387" w:type="dxa"/>
            <w:vAlign w:val="center"/>
          </w:tcPr>
          <w:p w14:paraId="2F1DF808" w14:textId="77777777" w:rsidR="00F94B48" w:rsidRPr="00F32542" w:rsidRDefault="00F94B48" w:rsidP="00F94B48">
            <w:pPr>
              <w:widowControl w:val="0"/>
              <w:spacing w:after="0" w:line="240" w:lineRule="auto"/>
              <w:jc w:val="center"/>
              <w:rPr>
                <w:rFonts w:ascii="Arial" w:eastAsia="Calibri" w:hAnsi="Arial" w:cs="Times New Roman"/>
                <w:sz w:val="18"/>
                <w:szCs w:val="18"/>
              </w:rPr>
            </w:pPr>
            <w:r w:rsidRPr="00F32542">
              <w:rPr>
                <w:rFonts w:ascii="Arial" w:eastAsia="Calibri" w:hAnsi="Arial" w:cs="Times New Roman"/>
                <w:sz w:val="18"/>
                <w:szCs w:val="18"/>
              </w:rPr>
              <w:t xml:space="preserve">Janet Hernández Pérez </w:t>
            </w:r>
          </w:p>
        </w:tc>
        <w:tc>
          <w:tcPr>
            <w:tcW w:w="608" w:type="dxa"/>
            <w:vAlign w:val="center"/>
          </w:tcPr>
          <w:p w14:paraId="2BC12319"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26</w:t>
            </w:r>
          </w:p>
        </w:tc>
        <w:tc>
          <w:tcPr>
            <w:tcW w:w="2113" w:type="dxa"/>
            <w:vAlign w:val="center"/>
          </w:tcPr>
          <w:p w14:paraId="2B6C47E8" w14:textId="77777777" w:rsidR="00F94B48" w:rsidRPr="00F32542" w:rsidRDefault="00F94B48" w:rsidP="00F94B48">
            <w:pPr>
              <w:widowControl w:val="0"/>
              <w:spacing w:after="0" w:line="240" w:lineRule="auto"/>
              <w:jc w:val="center"/>
              <w:rPr>
                <w:rFonts w:ascii="Arial" w:eastAsia="Calibri" w:hAnsi="Arial" w:cs="Times New Roman"/>
                <w:sz w:val="18"/>
                <w:szCs w:val="18"/>
              </w:rPr>
            </w:pPr>
            <w:r w:rsidRPr="00F32542">
              <w:rPr>
                <w:rFonts w:ascii="Arial" w:eastAsia="Calibri" w:hAnsi="Arial" w:cs="Times New Roman"/>
                <w:sz w:val="18"/>
                <w:szCs w:val="18"/>
              </w:rPr>
              <w:t xml:space="preserve">Aria López Ávalos </w:t>
            </w:r>
          </w:p>
        </w:tc>
        <w:tc>
          <w:tcPr>
            <w:tcW w:w="613" w:type="dxa"/>
            <w:vAlign w:val="center"/>
          </w:tcPr>
          <w:p w14:paraId="740F503E"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23</w:t>
            </w:r>
          </w:p>
        </w:tc>
      </w:tr>
    </w:tbl>
    <w:p w14:paraId="5C59A5A9" w14:textId="77777777" w:rsidR="00F94B48" w:rsidRPr="00F32542" w:rsidRDefault="00F94B48" w:rsidP="002E323F">
      <w:pPr>
        <w:widowControl w:val="0"/>
        <w:spacing w:after="0" w:line="360" w:lineRule="auto"/>
        <w:jc w:val="both"/>
        <w:rPr>
          <w:rFonts w:ascii="Arial" w:eastAsia="Calibri" w:hAnsi="Arial" w:cs="Times New Roman"/>
          <w:sz w:val="28"/>
          <w:szCs w:val="28"/>
          <w:lang w:val="es-ES"/>
        </w:rPr>
      </w:pPr>
    </w:p>
    <w:p w14:paraId="76353DA0" w14:textId="77777777" w:rsidR="00F94B48" w:rsidRPr="00F32542" w:rsidRDefault="00F94B48"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Esto es, el </w:t>
      </w:r>
      <w:r w:rsidRPr="00F32542">
        <w:rPr>
          <w:rFonts w:ascii="Arial" w:eastAsia="Calibri" w:hAnsi="Arial" w:cs="Arial"/>
          <w:i/>
          <w:sz w:val="28"/>
          <w:szCs w:val="28"/>
          <w:lang w:val="es-ES"/>
        </w:rPr>
        <w:t>PAN</w:t>
      </w:r>
      <w:r w:rsidRPr="00F32542">
        <w:rPr>
          <w:rFonts w:ascii="Arial" w:eastAsia="Calibri" w:hAnsi="Arial" w:cs="Arial"/>
          <w:sz w:val="28"/>
          <w:szCs w:val="28"/>
          <w:lang w:val="es-ES"/>
        </w:rPr>
        <w:t xml:space="preserve"> presentó las dieciséis candidaturas para diputaciones de representación proporcional, conformada de manera alternada por </w:t>
      </w:r>
      <w:r w:rsidRPr="00F32542">
        <w:rPr>
          <w:rFonts w:ascii="Arial" w:eastAsia="Calibri" w:hAnsi="Arial" w:cs="Arial"/>
          <w:sz w:val="28"/>
          <w:szCs w:val="28"/>
          <w:lang w:val="es-ES"/>
        </w:rPr>
        <w:lastRenderedPageBreak/>
        <w:t xml:space="preserve">género, y con la mitad de </w:t>
      </w:r>
      <w:proofErr w:type="gramStart"/>
      <w:r w:rsidRPr="00F32542">
        <w:rPr>
          <w:rFonts w:ascii="Arial" w:eastAsia="Calibri" w:hAnsi="Arial" w:cs="Arial"/>
          <w:sz w:val="28"/>
          <w:szCs w:val="28"/>
          <w:lang w:val="es-ES"/>
        </w:rPr>
        <w:t>candidaturas</w:t>
      </w:r>
      <w:proofErr w:type="gramEnd"/>
      <w:r w:rsidRPr="00F32542">
        <w:rPr>
          <w:rFonts w:ascii="Arial" w:eastAsia="Calibri" w:hAnsi="Arial" w:cs="Arial"/>
          <w:sz w:val="28"/>
          <w:szCs w:val="28"/>
          <w:lang w:val="es-ES"/>
        </w:rPr>
        <w:t xml:space="preserve"> de un género y la otra mitad del otro –a excepción del lugar 7, cuya fórmula se integró por un hombre como propietario y una mujer como suplente, lo cual es acorde con el artículo 3, inciso c), fracción XV, de los </w:t>
      </w:r>
      <w:r w:rsidRPr="00F32542">
        <w:rPr>
          <w:rFonts w:ascii="Arial" w:eastAsia="Calibri" w:hAnsi="Arial" w:cs="Arial"/>
          <w:i/>
          <w:sz w:val="28"/>
          <w:szCs w:val="28"/>
          <w:lang w:val="es-ES"/>
        </w:rPr>
        <w:t>Lineamientos para la postulación</w:t>
      </w:r>
      <w:r w:rsidRPr="00F32542">
        <w:rPr>
          <w:rFonts w:ascii="Arial" w:hAnsi="Arial" w:cs="Arial"/>
          <w:i/>
          <w:sz w:val="28"/>
          <w:szCs w:val="28"/>
          <w:vertAlign w:val="superscript"/>
          <w:lang w:val="es-ES"/>
        </w:rPr>
        <w:footnoteReference w:id="35"/>
      </w:r>
      <w:r w:rsidRPr="00F32542">
        <w:rPr>
          <w:rFonts w:ascii="Arial" w:eastAsia="Calibri" w:hAnsi="Arial" w:cs="Arial"/>
          <w:sz w:val="28"/>
          <w:szCs w:val="28"/>
          <w:lang w:val="es-ES"/>
        </w:rPr>
        <w:t xml:space="preserve">). </w:t>
      </w:r>
    </w:p>
    <w:p w14:paraId="738A1F47" w14:textId="77777777" w:rsidR="00BB16A8" w:rsidRPr="00F32542" w:rsidRDefault="00BB16A8" w:rsidP="002E323F">
      <w:pPr>
        <w:widowControl w:val="0"/>
        <w:spacing w:after="0" w:line="360" w:lineRule="auto"/>
        <w:jc w:val="both"/>
        <w:rPr>
          <w:rFonts w:ascii="Arial" w:eastAsia="Calibri" w:hAnsi="Arial" w:cs="Arial"/>
          <w:sz w:val="28"/>
          <w:szCs w:val="28"/>
          <w:lang w:val="es-ES"/>
        </w:rPr>
      </w:pPr>
    </w:p>
    <w:p w14:paraId="14DEE640" w14:textId="77777777" w:rsidR="00F94B48" w:rsidRPr="00F32542" w:rsidRDefault="00F94B48" w:rsidP="002E323F">
      <w:pPr>
        <w:widowControl w:val="0"/>
        <w:spacing w:after="0" w:line="360" w:lineRule="auto"/>
        <w:contextualSpacing/>
        <w:jc w:val="both"/>
        <w:rPr>
          <w:rFonts w:ascii="Arial" w:eastAsia="Calibri" w:hAnsi="Arial" w:cs="Times New Roman"/>
          <w:sz w:val="28"/>
          <w:szCs w:val="28"/>
          <w:lang w:val="es-ES"/>
        </w:rPr>
      </w:pPr>
      <w:r w:rsidRPr="00F32542">
        <w:rPr>
          <w:rFonts w:ascii="Arial" w:eastAsia="Calibri" w:hAnsi="Arial" w:cs="Times New Roman"/>
          <w:sz w:val="28"/>
          <w:szCs w:val="28"/>
          <w:lang w:val="es-ES"/>
        </w:rPr>
        <w:t xml:space="preserve">En </w:t>
      </w:r>
      <w:r w:rsidR="00FD4C93" w:rsidRPr="00F32542">
        <w:rPr>
          <w:rFonts w:ascii="Arial" w:eastAsia="Calibri" w:hAnsi="Arial" w:cs="Times New Roman"/>
          <w:sz w:val="28"/>
          <w:szCs w:val="28"/>
          <w:lang w:val="es-ES"/>
        </w:rPr>
        <w:t xml:space="preserve">el </w:t>
      </w:r>
      <w:r w:rsidRPr="00F32542">
        <w:rPr>
          <w:rFonts w:ascii="Arial" w:eastAsia="Calibri" w:hAnsi="Arial" w:cs="Times New Roman"/>
          <w:sz w:val="28"/>
          <w:szCs w:val="28"/>
          <w:lang w:val="es-ES"/>
        </w:rPr>
        <w:t xml:space="preserve">acuerdo </w:t>
      </w:r>
      <w:r w:rsidRPr="00F32542">
        <w:rPr>
          <w:rFonts w:ascii="Arial" w:eastAsia="Calibri" w:hAnsi="Arial" w:cs="Times New Roman"/>
          <w:b/>
          <w:bCs/>
          <w:sz w:val="28"/>
          <w:szCs w:val="28"/>
          <w:lang w:val="es-ES"/>
        </w:rPr>
        <w:t>IECM/ACU/CG-115/2021</w:t>
      </w:r>
      <w:r w:rsidRPr="00F32542">
        <w:rPr>
          <w:rFonts w:ascii="Arial" w:eastAsia="Calibri" w:hAnsi="Arial" w:cs="Times New Roman"/>
          <w:sz w:val="28"/>
          <w:szCs w:val="28"/>
          <w:lang w:val="es-ES"/>
        </w:rPr>
        <w:t xml:space="preserve">, de tres de abril del presente año, el Consejo General aprobó el registro de la lista A del </w:t>
      </w:r>
      <w:r w:rsidRPr="00F32542">
        <w:rPr>
          <w:rFonts w:ascii="Arial" w:eastAsia="Calibri" w:hAnsi="Arial" w:cs="Times New Roman"/>
          <w:i/>
          <w:sz w:val="28"/>
          <w:szCs w:val="28"/>
          <w:lang w:val="es-ES"/>
        </w:rPr>
        <w:t>PAN</w:t>
      </w:r>
      <w:r w:rsidRPr="00F32542">
        <w:rPr>
          <w:rFonts w:ascii="Arial" w:eastAsia="Calibri" w:hAnsi="Arial" w:cs="Times New Roman"/>
          <w:sz w:val="28"/>
          <w:szCs w:val="28"/>
          <w:lang w:val="es-ES"/>
        </w:rPr>
        <w:t xml:space="preserve">, en los términos presentados, pero estableció lo siguiente en el punto resolutivo segundo: </w:t>
      </w:r>
    </w:p>
    <w:p w14:paraId="4633D7AD" w14:textId="77777777" w:rsidR="00F94B48" w:rsidRPr="00F32542" w:rsidRDefault="00F94B48" w:rsidP="002E323F">
      <w:pPr>
        <w:widowControl w:val="0"/>
        <w:spacing w:after="0" w:line="360" w:lineRule="auto"/>
        <w:ind w:left="720"/>
        <w:contextualSpacing/>
        <w:jc w:val="both"/>
        <w:rPr>
          <w:rFonts w:ascii="Arial" w:eastAsia="Calibri" w:hAnsi="Arial" w:cs="Times New Roman"/>
          <w:sz w:val="28"/>
          <w:szCs w:val="28"/>
          <w:lang w:val="es-ES"/>
        </w:rPr>
      </w:pPr>
    </w:p>
    <w:p w14:paraId="4DE5EB0D" w14:textId="77777777" w:rsidR="00F94B48" w:rsidRPr="00F32542" w:rsidRDefault="00F94B48" w:rsidP="00F94B48">
      <w:pPr>
        <w:widowControl w:val="0"/>
        <w:spacing w:after="0" w:line="240" w:lineRule="auto"/>
        <w:ind w:left="680" w:right="454"/>
        <w:jc w:val="both"/>
        <w:rPr>
          <w:rFonts w:ascii="Arial" w:eastAsia="Calibri" w:hAnsi="Arial" w:cs="Times New Roman"/>
          <w:sz w:val="24"/>
          <w:szCs w:val="24"/>
          <w:lang w:val="es-ES"/>
        </w:rPr>
      </w:pPr>
      <w:r w:rsidRPr="00F32542">
        <w:rPr>
          <w:rFonts w:ascii="Arial" w:eastAsia="Calibri" w:hAnsi="Arial" w:cs="Times New Roman"/>
          <w:sz w:val="24"/>
          <w:szCs w:val="24"/>
          <w:lang w:val="es-ES"/>
        </w:rPr>
        <w:t>“</w:t>
      </w:r>
      <w:r w:rsidRPr="00F32542">
        <w:rPr>
          <w:rFonts w:ascii="Arial" w:eastAsia="Calibri" w:hAnsi="Arial" w:cs="Times New Roman"/>
          <w:i/>
          <w:iCs/>
          <w:sz w:val="24"/>
          <w:szCs w:val="24"/>
          <w:lang w:val="es-ES"/>
        </w:rPr>
        <w:t>Una vez conocidos los resultados de la votación, si el Partido Acción Nacional obtuviera la mayoría de votos válidos de ciudadanos residentes en el extranjero y, por lo tanto, se otorgara el triunfo a su candidatura propuesta en la Lista A Prima, se atenderá a lo establecido en el artículo 7 de los Lineamientos de Postulación, y este Consejo General realizará la reordenación correspondiente de su Lista A de representación proporcional, a fin de cumplir con el principio constitucional de paridad de género y de alternancia en la asignación de Diputaciones por el principio de representación proporcional</w:t>
      </w:r>
      <w:r w:rsidRPr="00F32542">
        <w:rPr>
          <w:rFonts w:ascii="Arial" w:eastAsia="Calibri" w:hAnsi="Arial" w:cs="Times New Roman"/>
          <w:sz w:val="24"/>
          <w:szCs w:val="24"/>
          <w:lang w:val="es-ES"/>
        </w:rPr>
        <w:t>”.</w:t>
      </w:r>
    </w:p>
    <w:p w14:paraId="08773E73" w14:textId="77777777" w:rsidR="00BB16A8" w:rsidRPr="00F32542" w:rsidRDefault="00BB16A8" w:rsidP="002E323F">
      <w:pPr>
        <w:widowControl w:val="0"/>
        <w:spacing w:after="0" w:line="360" w:lineRule="auto"/>
        <w:jc w:val="both"/>
        <w:rPr>
          <w:rFonts w:ascii="Arial" w:eastAsia="Calibri" w:hAnsi="Arial" w:cs="Arial"/>
          <w:sz w:val="28"/>
          <w:szCs w:val="28"/>
          <w:lang w:val="es-ES"/>
        </w:rPr>
      </w:pPr>
    </w:p>
    <w:p w14:paraId="61A36464" w14:textId="77777777" w:rsidR="00F94B48" w:rsidRPr="00F32542" w:rsidRDefault="00F94B48" w:rsidP="002E323F">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En relación con lo anterior, el </w:t>
      </w:r>
      <w:r w:rsidRPr="00F32542">
        <w:rPr>
          <w:rFonts w:ascii="Arial" w:eastAsia="Calibri" w:hAnsi="Arial" w:cs="Arial"/>
          <w:i/>
          <w:sz w:val="28"/>
          <w:szCs w:val="28"/>
          <w:lang w:val="es-ES"/>
        </w:rPr>
        <w:t>Consejo General</w:t>
      </w:r>
      <w:r w:rsidRPr="00F32542">
        <w:rPr>
          <w:rFonts w:ascii="Arial" w:eastAsia="Calibri" w:hAnsi="Arial" w:cs="Arial"/>
          <w:sz w:val="28"/>
          <w:szCs w:val="28"/>
          <w:lang w:val="es-ES"/>
        </w:rPr>
        <w:t xml:space="preserve"> indicó que el dieciocho de marzo de este año había informado al </w:t>
      </w:r>
      <w:r w:rsidRPr="00F32542">
        <w:rPr>
          <w:rFonts w:ascii="Arial" w:eastAsia="Calibri" w:hAnsi="Arial" w:cs="Arial"/>
          <w:i/>
          <w:sz w:val="28"/>
          <w:szCs w:val="28"/>
          <w:lang w:val="es-ES"/>
        </w:rPr>
        <w:t>PAN</w:t>
      </w:r>
      <w:r w:rsidRPr="00F32542">
        <w:rPr>
          <w:rFonts w:ascii="Arial" w:eastAsia="Calibri" w:hAnsi="Arial" w:cs="Arial"/>
          <w:sz w:val="28"/>
          <w:szCs w:val="28"/>
          <w:lang w:val="es-ES"/>
        </w:rPr>
        <w:t xml:space="preserve"> que la postulación simultánea de hombres como propietarios, tanto en las fórmula única que integra la lista A prima, como en la fórmula que encabeza la lista A, rompía el principio de alternancia previsto en el artículo 23, segundo párrafo, del </w:t>
      </w:r>
      <w:r w:rsidRPr="00F32542">
        <w:rPr>
          <w:rFonts w:ascii="Arial" w:eastAsia="Calibri" w:hAnsi="Arial" w:cs="Arial"/>
          <w:i/>
          <w:sz w:val="28"/>
          <w:szCs w:val="28"/>
          <w:lang w:val="es-ES"/>
        </w:rPr>
        <w:t>Código Electoral</w:t>
      </w:r>
      <w:r w:rsidRPr="00F32542">
        <w:rPr>
          <w:rFonts w:ascii="Arial" w:eastAsia="Calibri" w:hAnsi="Arial" w:cs="Arial"/>
          <w:i/>
          <w:sz w:val="28"/>
          <w:szCs w:val="28"/>
          <w:vertAlign w:val="superscript"/>
          <w:lang w:val="es-ES"/>
        </w:rPr>
        <w:footnoteReference w:id="36"/>
      </w:r>
      <w:r w:rsidRPr="00F32542">
        <w:rPr>
          <w:rFonts w:ascii="Arial" w:eastAsia="Calibri" w:hAnsi="Arial" w:cs="Arial"/>
          <w:sz w:val="28"/>
          <w:szCs w:val="28"/>
          <w:lang w:val="es-ES"/>
        </w:rPr>
        <w:t xml:space="preserve">, siendo que, en respuesta a </w:t>
      </w:r>
      <w:r w:rsidRPr="00F32542">
        <w:rPr>
          <w:rFonts w:ascii="Arial" w:eastAsia="Calibri" w:hAnsi="Arial" w:cs="Arial"/>
          <w:sz w:val="28"/>
          <w:szCs w:val="28"/>
          <w:lang w:val="es-ES"/>
        </w:rPr>
        <w:lastRenderedPageBreak/>
        <w:t xml:space="preserve">lo anterior, el </w:t>
      </w:r>
      <w:r w:rsidRPr="00F32542">
        <w:rPr>
          <w:rFonts w:ascii="Arial" w:eastAsia="Calibri" w:hAnsi="Arial" w:cs="Arial"/>
          <w:i/>
          <w:sz w:val="28"/>
          <w:szCs w:val="28"/>
          <w:lang w:val="es-ES"/>
        </w:rPr>
        <w:t>PAN</w:t>
      </w:r>
      <w:r w:rsidRPr="00F32542">
        <w:rPr>
          <w:rFonts w:ascii="Arial" w:eastAsia="Calibri" w:hAnsi="Arial" w:cs="Arial"/>
          <w:sz w:val="28"/>
          <w:szCs w:val="28"/>
          <w:lang w:val="es-ES"/>
        </w:rPr>
        <w:t xml:space="preserve"> ratificó su postulación en los términos indicados, por lo cual se decidió establecer la condicionante mencionada. </w:t>
      </w:r>
    </w:p>
    <w:p w14:paraId="544F4D62" w14:textId="77777777" w:rsidR="00F94B48" w:rsidRPr="00F32542" w:rsidRDefault="00F94B48" w:rsidP="002E323F">
      <w:pPr>
        <w:widowControl w:val="0"/>
        <w:spacing w:after="0" w:line="360" w:lineRule="auto"/>
        <w:ind w:left="680"/>
        <w:jc w:val="both"/>
        <w:rPr>
          <w:rFonts w:ascii="Arial" w:eastAsia="Calibri" w:hAnsi="Arial" w:cs="Arial"/>
          <w:sz w:val="28"/>
          <w:szCs w:val="28"/>
          <w:lang w:val="es-ES"/>
        </w:rPr>
      </w:pPr>
    </w:p>
    <w:p w14:paraId="01588884" w14:textId="77777777" w:rsidR="00F94B48" w:rsidRPr="00F32542" w:rsidRDefault="00FD4C93" w:rsidP="002E323F">
      <w:pPr>
        <w:widowControl w:val="0"/>
        <w:spacing w:after="0" w:line="360" w:lineRule="auto"/>
        <w:contextualSpacing/>
        <w:jc w:val="both"/>
        <w:rPr>
          <w:rFonts w:ascii="Arial" w:eastAsia="Calibri" w:hAnsi="Arial" w:cs="Arial"/>
          <w:sz w:val="28"/>
          <w:szCs w:val="28"/>
          <w:lang w:val="es-ES"/>
        </w:rPr>
      </w:pPr>
      <w:r w:rsidRPr="00F32542">
        <w:rPr>
          <w:rFonts w:ascii="Arial" w:eastAsia="Calibri" w:hAnsi="Arial" w:cs="Arial"/>
          <w:sz w:val="28"/>
          <w:szCs w:val="28"/>
          <w:lang w:val="es-ES"/>
        </w:rPr>
        <w:t>Por otra parte, e</w:t>
      </w:r>
      <w:r w:rsidR="00F94B48" w:rsidRPr="00F32542">
        <w:rPr>
          <w:rFonts w:ascii="Arial" w:eastAsia="Calibri" w:hAnsi="Arial" w:cs="Arial"/>
          <w:sz w:val="28"/>
          <w:szCs w:val="28"/>
          <w:lang w:val="es-ES"/>
        </w:rPr>
        <w:t xml:space="preserve">n la elección de diputaciones por el principio de representación proporcional, el </w:t>
      </w:r>
      <w:r w:rsidR="00F94B48" w:rsidRPr="00F32542">
        <w:rPr>
          <w:rFonts w:ascii="Arial" w:eastAsia="Calibri" w:hAnsi="Arial" w:cs="Arial"/>
          <w:i/>
          <w:sz w:val="28"/>
          <w:szCs w:val="28"/>
          <w:lang w:val="es-ES"/>
        </w:rPr>
        <w:t>PAN</w:t>
      </w:r>
      <w:r w:rsidR="00F94B48" w:rsidRPr="00F32542">
        <w:rPr>
          <w:rFonts w:ascii="Arial" w:eastAsia="Calibri" w:hAnsi="Arial" w:cs="Arial"/>
          <w:sz w:val="28"/>
          <w:szCs w:val="28"/>
          <w:lang w:val="es-ES"/>
        </w:rPr>
        <w:t xml:space="preserve"> obtuvo el mayor porcentaje de votación válida emitida en el extranjero, en los términos siguientes: </w:t>
      </w:r>
    </w:p>
    <w:p w14:paraId="3C79D03F" w14:textId="77777777" w:rsidR="00F94B48" w:rsidRPr="00F32542" w:rsidRDefault="00F94B48" w:rsidP="002E323F">
      <w:pPr>
        <w:widowControl w:val="0"/>
        <w:spacing w:after="0" w:line="360" w:lineRule="auto"/>
        <w:jc w:val="both"/>
        <w:rPr>
          <w:rFonts w:ascii="Arial" w:eastAsia="Calibri" w:hAnsi="Arial" w:cs="Arial"/>
          <w:sz w:val="28"/>
          <w:szCs w:val="28"/>
          <w:lang w:val="es-ES"/>
        </w:rPr>
      </w:pPr>
    </w:p>
    <w:tbl>
      <w:tblPr>
        <w:tblStyle w:val="Tablaconcuadrcula34"/>
        <w:tblW w:w="0" w:type="auto"/>
        <w:jc w:val="center"/>
        <w:tblLook w:val="04A0" w:firstRow="1" w:lastRow="0" w:firstColumn="1" w:lastColumn="0" w:noHBand="0" w:noVBand="1"/>
      </w:tblPr>
      <w:tblGrid>
        <w:gridCol w:w="3397"/>
        <w:gridCol w:w="1560"/>
        <w:gridCol w:w="1501"/>
      </w:tblGrid>
      <w:tr w:rsidR="00F94B48" w:rsidRPr="00F32542" w14:paraId="46562850" w14:textId="77777777" w:rsidTr="00BB16A8">
        <w:trPr>
          <w:jc w:val="center"/>
        </w:trPr>
        <w:tc>
          <w:tcPr>
            <w:tcW w:w="3397" w:type="dxa"/>
            <w:shd w:val="clear" w:color="auto" w:fill="BFBFBF" w:themeFill="background1" w:themeFillShade="BF"/>
            <w:vAlign w:val="center"/>
          </w:tcPr>
          <w:p w14:paraId="2836E5BE" w14:textId="77777777" w:rsidR="00F94B48" w:rsidRPr="00F32542" w:rsidRDefault="00F94B48" w:rsidP="00F94B48">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Partido o candidatura independiente</w:t>
            </w:r>
          </w:p>
        </w:tc>
        <w:tc>
          <w:tcPr>
            <w:tcW w:w="1560" w:type="dxa"/>
            <w:shd w:val="clear" w:color="auto" w:fill="BFBFBF" w:themeFill="background1" w:themeFillShade="BF"/>
            <w:vAlign w:val="center"/>
          </w:tcPr>
          <w:p w14:paraId="5D187BB2" w14:textId="77777777" w:rsidR="00F94B48" w:rsidRPr="00F32542" w:rsidRDefault="00F94B48" w:rsidP="00F94B48">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Votación total</w:t>
            </w:r>
          </w:p>
        </w:tc>
        <w:tc>
          <w:tcPr>
            <w:tcW w:w="1501" w:type="dxa"/>
            <w:shd w:val="clear" w:color="auto" w:fill="BFBFBF" w:themeFill="background1" w:themeFillShade="BF"/>
            <w:vAlign w:val="center"/>
          </w:tcPr>
          <w:p w14:paraId="0F4E350F" w14:textId="77777777" w:rsidR="00F94B48" w:rsidRPr="00F32542" w:rsidRDefault="00F94B48" w:rsidP="00F94B48">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 de votación</w:t>
            </w:r>
          </w:p>
        </w:tc>
      </w:tr>
      <w:tr w:rsidR="00F94B48" w:rsidRPr="00F32542" w14:paraId="645C67BB" w14:textId="77777777" w:rsidTr="00F94B48">
        <w:trPr>
          <w:jc w:val="center"/>
        </w:trPr>
        <w:tc>
          <w:tcPr>
            <w:tcW w:w="3397" w:type="dxa"/>
            <w:vAlign w:val="center"/>
          </w:tcPr>
          <w:p w14:paraId="725550D0" w14:textId="77777777" w:rsidR="00F94B48" w:rsidRPr="00F32542" w:rsidRDefault="00F94B48" w:rsidP="00F94B48">
            <w:pPr>
              <w:spacing w:after="0" w:line="240" w:lineRule="auto"/>
              <w:jc w:val="center"/>
              <w:rPr>
                <w:rFonts w:ascii="Arial" w:eastAsia="Calibri" w:hAnsi="Arial" w:cs="Arial"/>
                <w:bCs/>
                <w:sz w:val="20"/>
                <w:szCs w:val="20"/>
              </w:rPr>
            </w:pPr>
            <w:r w:rsidRPr="00F32542">
              <w:rPr>
                <w:rFonts w:ascii="Arial" w:eastAsia="Calibri" w:hAnsi="Arial" w:cs="Arial"/>
                <w:bCs/>
                <w:sz w:val="20"/>
                <w:szCs w:val="20"/>
              </w:rPr>
              <w:t>PAN</w:t>
            </w:r>
          </w:p>
        </w:tc>
        <w:tc>
          <w:tcPr>
            <w:tcW w:w="1560" w:type="dxa"/>
            <w:shd w:val="clear" w:color="auto" w:fill="FFFFFF"/>
            <w:vAlign w:val="center"/>
          </w:tcPr>
          <w:p w14:paraId="4E0A2DE7"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4,883</w:t>
            </w:r>
          </w:p>
        </w:tc>
        <w:tc>
          <w:tcPr>
            <w:tcW w:w="1501" w:type="dxa"/>
            <w:shd w:val="clear" w:color="auto" w:fill="FFFFFF"/>
            <w:vAlign w:val="center"/>
          </w:tcPr>
          <w:p w14:paraId="778FD7F2"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55.77</w:t>
            </w:r>
          </w:p>
        </w:tc>
      </w:tr>
      <w:tr w:rsidR="00F94B48" w:rsidRPr="00F32542" w14:paraId="7D9C681A" w14:textId="77777777" w:rsidTr="00F94B48">
        <w:trPr>
          <w:jc w:val="center"/>
        </w:trPr>
        <w:tc>
          <w:tcPr>
            <w:tcW w:w="3397" w:type="dxa"/>
            <w:vAlign w:val="center"/>
          </w:tcPr>
          <w:p w14:paraId="480464D9" w14:textId="77777777" w:rsidR="00F94B48" w:rsidRPr="00F32542" w:rsidRDefault="00F94B48" w:rsidP="00F94B48">
            <w:pPr>
              <w:spacing w:after="0" w:line="240" w:lineRule="auto"/>
              <w:jc w:val="center"/>
              <w:rPr>
                <w:rFonts w:ascii="Arial" w:eastAsia="Calibri" w:hAnsi="Arial" w:cs="Arial"/>
                <w:bCs/>
                <w:sz w:val="20"/>
                <w:szCs w:val="20"/>
              </w:rPr>
            </w:pPr>
            <w:r w:rsidRPr="00F32542">
              <w:rPr>
                <w:rFonts w:ascii="Arial" w:eastAsia="Calibri" w:hAnsi="Arial" w:cs="Arial"/>
                <w:bCs/>
                <w:sz w:val="20"/>
                <w:szCs w:val="20"/>
              </w:rPr>
              <w:t>PRI</w:t>
            </w:r>
          </w:p>
        </w:tc>
        <w:tc>
          <w:tcPr>
            <w:tcW w:w="1560" w:type="dxa"/>
            <w:shd w:val="clear" w:color="auto" w:fill="FFFFFF"/>
            <w:vAlign w:val="center"/>
          </w:tcPr>
          <w:p w14:paraId="6B9DB298"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801</w:t>
            </w:r>
          </w:p>
        </w:tc>
        <w:tc>
          <w:tcPr>
            <w:tcW w:w="1501" w:type="dxa"/>
            <w:shd w:val="clear" w:color="auto" w:fill="FFFFFF"/>
            <w:vAlign w:val="center"/>
          </w:tcPr>
          <w:p w14:paraId="1BD9624A"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9.15</w:t>
            </w:r>
          </w:p>
        </w:tc>
      </w:tr>
      <w:tr w:rsidR="00F94B48" w:rsidRPr="00F32542" w14:paraId="3E503221" w14:textId="77777777" w:rsidTr="00F94B48">
        <w:trPr>
          <w:jc w:val="center"/>
        </w:trPr>
        <w:tc>
          <w:tcPr>
            <w:tcW w:w="3397" w:type="dxa"/>
            <w:vAlign w:val="center"/>
          </w:tcPr>
          <w:p w14:paraId="7452A8A0" w14:textId="77777777" w:rsidR="00F94B48" w:rsidRPr="00F32542" w:rsidRDefault="00F94B48" w:rsidP="00F94B48">
            <w:pPr>
              <w:spacing w:after="0" w:line="240" w:lineRule="auto"/>
              <w:jc w:val="center"/>
              <w:rPr>
                <w:rFonts w:ascii="Arial" w:eastAsia="Calibri" w:hAnsi="Arial" w:cs="Arial"/>
                <w:bCs/>
                <w:noProof/>
                <w:sz w:val="20"/>
                <w:szCs w:val="20"/>
                <w:lang w:eastAsia="es-MX"/>
              </w:rPr>
            </w:pPr>
            <w:r w:rsidRPr="00F32542">
              <w:rPr>
                <w:rFonts w:ascii="Arial" w:eastAsia="Calibri" w:hAnsi="Arial" w:cs="Arial"/>
                <w:bCs/>
                <w:noProof/>
                <w:sz w:val="20"/>
                <w:szCs w:val="20"/>
                <w:lang w:eastAsia="es-MX"/>
              </w:rPr>
              <w:t>PRD</w:t>
            </w:r>
          </w:p>
        </w:tc>
        <w:tc>
          <w:tcPr>
            <w:tcW w:w="1560" w:type="dxa"/>
            <w:shd w:val="clear" w:color="auto" w:fill="FFFFFF"/>
            <w:vAlign w:val="center"/>
          </w:tcPr>
          <w:p w14:paraId="221BF3A5"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308</w:t>
            </w:r>
          </w:p>
        </w:tc>
        <w:tc>
          <w:tcPr>
            <w:tcW w:w="1501" w:type="dxa"/>
            <w:shd w:val="clear" w:color="auto" w:fill="FFFFFF"/>
            <w:vAlign w:val="center"/>
          </w:tcPr>
          <w:p w14:paraId="255EBB9D"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3.52</w:t>
            </w:r>
          </w:p>
        </w:tc>
      </w:tr>
      <w:tr w:rsidR="00F94B48" w:rsidRPr="00F32542" w14:paraId="749AA715" w14:textId="77777777" w:rsidTr="00F94B48">
        <w:trPr>
          <w:jc w:val="center"/>
        </w:trPr>
        <w:tc>
          <w:tcPr>
            <w:tcW w:w="3397" w:type="dxa"/>
            <w:vAlign w:val="center"/>
          </w:tcPr>
          <w:p w14:paraId="259FE964" w14:textId="77777777" w:rsidR="00F94B48" w:rsidRPr="00F32542" w:rsidRDefault="00F94B48" w:rsidP="00F94B48">
            <w:pPr>
              <w:spacing w:after="0" w:line="240" w:lineRule="auto"/>
              <w:jc w:val="center"/>
              <w:rPr>
                <w:rFonts w:ascii="Arial" w:eastAsia="Calibri" w:hAnsi="Arial" w:cs="Arial"/>
                <w:bCs/>
                <w:sz w:val="20"/>
                <w:szCs w:val="20"/>
              </w:rPr>
            </w:pPr>
            <w:r w:rsidRPr="00F32542">
              <w:rPr>
                <w:rFonts w:ascii="Arial" w:eastAsia="Calibri" w:hAnsi="Arial" w:cs="Arial"/>
                <w:bCs/>
                <w:sz w:val="20"/>
                <w:szCs w:val="20"/>
              </w:rPr>
              <w:t>PVEM</w:t>
            </w:r>
          </w:p>
        </w:tc>
        <w:tc>
          <w:tcPr>
            <w:tcW w:w="1560" w:type="dxa"/>
            <w:shd w:val="clear" w:color="auto" w:fill="FFFFFF"/>
            <w:vAlign w:val="center"/>
          </w:tcPr>
          <w:p w14:paraId="02C96D29"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74</w:t>
            </w:r>
          </w:p>
        </w:tc>
        <w:tc>
          <w:tcPr>
            <w:tcW w:w="1501" w:type="dxa"/>
            <w:shd w:val="clear" w:color="auto" w:fill="FFFFFF"/>
            <w:vAlign w:val="center"/>
          </w:tcPr>
          <w:p w14:paraId="046D6A7B"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0.84</w:t>
            </w:r>
          </w:p>
        </w:tc>
      </w:tr>
      <w:tr w:rsidR="00F94B48" w:rsidRPr="00F32542" w14:paraId="561192BA" w14:textId="77777777" w:rsidTr="00F94B48">
        <w:trPr>
          <w:jc w:val="center"/>
        </w:trPr>
        <w:tc>
          <w:tcPr>
            <w:tcW w:w="3397" w:type="dxa"/>
            <w:vAlign w:val="center"/>
          </w:tcPr>
          <w:p w14:paraId="6C08BC84" w14:textId="77777777" w:rsidR="00F94B48" w:rsidRPr="00F32542" w:rsidRDefault="00F94B48" w:rsidP="00F94B48">
            <w:pPr>
              <w:spacing w:after="0" w:line="240" w:lineRule="auto"/>
              <w:jc w:val="center"/>
              <w:rPr>
                <w:rFonts w:ascii="Arial" w:eastAsia="Calibri" w:hAnsi="Arial" w:cs="Arial"/>
                <w:bCs/>
                <w:noProof/>
                <w:sz w:val="20"/>
                <w:szCs w:val="20"/>
                <w:lang w:eastAsia="es-MX"/>
              </w:rPr>
            </w:pPr>
            <w:r w:rsidRPr="00F32542">
              <w:rPr>
                <w:rFonts w:ascii="Arial" w:eastAsia="Calibri" w:hAnsi="Arial" w:cs="Arial"/>
                <w:bCs/>
                <w:noProof/>
                <w:sz w:val="20"/>
                <w:szCs w:val="20"/>
                <w:lang w:eastAsia="es-MX"/>
              </w:rPr>
              <w:t>PT</w:t>
            </w:r>
          </w:p>
        </w:tc>
        <w:tc>
          <w:tcPr>
            <w:tcW w:w="1560" w:type="dxa"/>
            <w:shd w:val="clear" w:color="auto" w:fill="FFFFFF"/>
            <w:vAlign w:val="center"/>
          </w:tcPr>
          <w:p w14:paraId="2634F43D"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90</w:t>
            </w:r>
          </w:p>
        </w:tc>
        <w:tc>
          <w:tcPr>
            <w:tcW w:w="1501" w:type="dxa"/>
            <w:shd w:val="clear" w:color="auto" w:fill="FFFFFF"/>
            <w:vAlign w:val="center"/>
          </w:tcPr>
          <w:p w14:paraId="588A8B5F"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1.03</w:t>
            </w:r>
          </w:p>
        </w:tc>
      </w:tr>
      <w:tr w:rsidR="00F94B48" w:rsidRPr="00F32542" w14:paraId="580EC100" w14:textId="77777777" w:rsidTr="00F94B48">
        <w:trPr>
          <w:jc w:val="center"/>
        </w:trPr>
        <w:tc>
          <w:tcPr>
            <w:tcW w:w="3397" w:type="dxa"/>
            <w:vAlign w:val="center"/>
          </w:tcPr>
          <w:p w14:paraId="7B36D3E4" w14:textId="77777777" w:rsidR="00F94B48" w:rsidRPr="00F32542" w:rsidRDefault="00F94B48" w:rsidP="00F94B48">
            <w:pPr>
              <w:spacing w:after="0" w:line="240" w:lineRule="auto"/>
              <w:jc w:val="center"/>
              <w:rPr>
                <w:rFonts w:ascii="Arial" w:eastAsia="Calibri" w:hAnsi="Arial" w:cs="Arial"/>
                <w:bCs/>
                <w:noProof/>
                <w:sz w:val="20"/>
                <w:szCs w:val="20"/>
                <w:lang w:eastAsia="es-MX"/>
              </w:rPr>
            </w:pPr>
            <w:r w:rsidRPr="00F32542">
              <w:rPr>
                <w:rFonts w:ascii="Arial" w:eastAsia="Calibri" w:hAnsi="Arial" w:cs="Arial"/>
                <w:bCs/>
                <w:noProof/>
                <w:sz w:val="20"/>
                <w:szCs w:val="20"/>
                <w:lang w:eastAsia="es-MX"/>
              </w:rPr>
              <w:t>MC</w:t>
            </w:r>
          </w:p>
        </w:tc>
        <w:tc>
          <w:tcPr>
            <w:tcW w:w="1560" w:type="dxa"/>
            <w:shd w:val="clear" w:color="auto" w:fill="FFFFFF"/>
            <w:vAlign w:val="center"/>
          </w:tcPr>
          <w:p w14:paraId="016BC85E"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431</w:t>
            </w:r>
          </w:p>
        </w:tc>
        <w:tc>
          <w:tcPr>
            <w:tcW w:w="1501" w:type="dxa"/>
            <w:shd w:val="clear" w:color="auto" w:fill="FFFFFF"/>
            <w:vAlign w:val="center"/>
          </w:tcPr>
          <w:p w14:paraId="1EF27F6A"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4.92</w:t>
            </w:r>
          </w:p>
        </w:tc>
      </w:tr>
      <w:tr w:rsidR="00F94B48" w:rsidRPr="00F32542" w14:paraId="64E608FC" w14:textId="77777777" w:rsidTr="00F94B48">
        <w:trPr>
          <w:jc w:val="center"/>
        </w:trPr>
        <w:tc>
          <w:tcPr>
            <w:tcW w:w="3397" w:type="dxa"/>
            <w:vAlign w:val="center"/>
          </w:tcPr>
          <w:p w14:paraId="490F0AE2" w14:textId="77777777" w:rsidR="00F94B48" w:rsidRPr="00F32542" w:rsidRDefault="00F94B48" w:rsidP="00F94B48">
            <w:pPr>
              <w:spacing w:after="0" w:line="240" w:lineRule="auto"/>
              <w:jc w:val="center"/>
              <w:rPr>
                <w:rFonts w:ascii="Arial" w:eastAsia="Calibri" w:hAnsi="Arial" w:cs="Arial"/>
                <w:bCs/>
                <w:noProof/>
                <w:sz w:val="20"/>
                <w:szCs w:val="20"/>
                <w:lang w:eastAsia="es-MX"/>
              </w:rPr>
            </w:pPr>
            <w:r w:rsidRPr="00F32542">
              <w:rPr>
                <w:rFonts w:ascii="Arial" w:eastAsia="Calibri" w:hAnsi="Arial" w:cs="Arial"/>
                <w:bCs/>
                <w:noProof/>
                <w:sz w:val="20"/>
                <w:szCs w:val="20"/>
                <w:lang w:eastAsia="es-MX"/>
              </w:rPr>
              <w:t>MORENA</w:t>
            </w:r>
          </w:p>
        </w:tc>
        <w:tc>
          <w:tcPr>
            <w:tcW w:w="1560" w:type="dxa"/>
            <w:shd w:val="clear" w:color="auto" w:fill="FFFFFF"/>
            <w:vAlign w:val="center"/>
          </w:tcPr>
          <w:p w14:paraId="61215538"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1,983</w:t>
            </w:r>
          </w:p>
        </w:tc>
        <w:tc>
          <w:tcPr>
            <w:tcW w:w="1501" w:type="dxa"/>
            <w:shd w:val="clear" w:color="auto" w:fill="FFFFFF"/>
            <w:vAlign w:val="center"/>
          </w:tcPr>
          <w:p w14:paraId="56CF2C5E"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22.65</w:t>
            </w:r>
          </w:p>
        </w:tc>
      </w:tr>
      <w:tr w:rsidR="00F94B48" w:rsidRPr="00F32542" w14:paraId="3D42570D" w14:textId="77777777" w:rsidTr="00F94B48">
        <w:trPr>
          <w:jc w:val="center"/>
        </w:trPr>
        <w:tc>
          <w:tcPr>
            <w:tcW w:w="3397" w:type="dxa"/>
            <w:vAlign w:val="center"/>
          </w:tcPr>
          <w:p w14:paraId="67F38888" w14:textId="77777777" w:rsidR="00F94B48" w:rsidRPr="00F32542" w:rsidRDefault="00F94B48" w:rsidP="00F94B48">
            <w:pPr>
              <w:spacing w:after="0" w:line="240" w:lineRule="auto"/>
              <w:jc w:val="center"/>
              <w:rPr>
                <w:rFonts w:ascii="Arial" w:eastAsia="Calibri" w:hAnsi="Arial" w:cs="Arial"/>
                <w:bCs/>
                <w:noProof/>
                <w:sz w:val="20"/>
                <w:szCs w:val="20"/>
                <w:lang w:eastAsia="es-MX"/>
              </w:rPr>
            </w:pPr>
            <w:r w:rsidRPr="00F32542">
              <w:rPr>
                <w:rFonts w:ascii="Arial" w:eastAsia="Calibri" w:hAnsi="Arial" w:cs="Arial"/>
                <w:bCs/>
                <w:noProof/>
                <w:sz w:val="20"/>
                <w:szCs w:val="20"/>
                <w:lang w:eastAsia="es-MX"/>
              </w:rPr>
              <w:t>ELIGE</w:t>
            </w:r>
          </w:p>
        </w:tc>
        <w:tc>
          <w:tcPr>
            <w:tcW w:w="1560" w:type="dxa"/>
            <w:shd w:val="clear" w:color="auto" w:fill="FFFFFF"/>
            <w:vAlign w:val="center"/>
          </w:tcPr>
          <w:p w14:paraId="04C9B335"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56</w:t>
            </w:r>
          </w:p>
        </w:tc>
        <w:tc>
          <w:tcPr>
            <w:tcW w:w="1501" w:type="dxa"/>
            <w:shd w:val="clear" w:color="auto" w:fill="FFFFFF"/>
            <w:vAlign w:val="center"/>
          </w:tcPr>
          <w:p w14:paraId="48ECBE03"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0.64</w:t>
            </w:r>
          </w:p>
        </w:tc>
      </w:tr>
      <w:tr w:rsidR="00F94B48" w:rsidRPr="00F32542" w14:paraId="64260A4C" w14:textId="77777777" w:rsidTr="00F94B48">
        <w:trPr>
          <w:jc w:val="center"/>
        </w:trPr>
        <w:tc>
          <w:tcPr>
            <w:tcW w:w="3397" w:type="dxa"/>
            <w:vAlign w:val="center"/>
          </w:tcPr>
          <w:p w14:paraId="35125F05" w14:textId="77777777" w:rsidR="00F94B48" w:rsidRPr="00F32542" w:rsidRDefault="00F94B48" w:rsidP="00F94B48">
            <w:pPr>
              <w:spacing w:after="0" w:line="240" w:lineRule="auto"/>
              <w:jc w:val="center"/>
              <w:rPr>
                <w:rFonts w:ascii="Arial" w:eastAsia="Calibri" w:hAnsi="Arial" w:cs="Arial"/>
                <w:bCs/>
                <w:noProof/>
                <w:sz w:val="20"/>
                <w:szCs w:val="20"/>
                <w:lang w:eastAsia="es-MX"/>
              </w:rPr>
            </w:pPr>
            <w:r w:rsidRPr="00F32542">
              <w:rPr>
                <w:rFonts w:ascii="Arial" w:eastAsia="Calibri" w:hAnsi="Arial" w:cs="Arial"/>
                <w:bCs/>
                <w:noProof/>
                <w:sz w:val="20"/>
                <w:szCs w:val="20"/>
                <w:lang w:eastAsia="es-MX"/>
              </w:rPr>
              <w:t>PES</w:t>
            </w:r>
          </w:p>
        </w:tc>
        <w:tc>
          <w:tcPr>
            <w:tcW w:w="1560" w:type="dxa"/>
            <w:shd w:val="clear" w:color="auto" w:fill="FFFFFF"/>
            <w:vAlign w:val="center"/>
          </w:tcPr>
          <w:p w14:paraId="1CD41FBB" w14:textId="77777777" w:rsidR="00F94B48" w:rsidRPr="00F32542" w:rsidRDefault="00F94B48" w:rsidP="00F94B48">
            <w:pPr>
              <w:shd w:val="solid" w:color="FFFFFF" w:fill="FFFFFF"/>
              <w:spacing w:after="0" w:line="360" w:lineRule="auto"/>
              <w:jc w:val="center"/>
              <w:rPr>
                <w:rFonts w:ascii="Arial" w:eastAsia="Calibri" w:hAnsi="Arial" w:cs="Arial"/>
              </w:rPr>
            </w:pPr>
            <w:r w:rsidRPr="00F32542">
              <w:rPr>
                <w:rFonts w:ascii="Arial" w:eastAsia="Calibri" w:hAnsi="Arial" w:cs="Arial"/>
              </w:rPr>
              <w:t>31</w:t>
            </w:r>
          </w:p>
        </w:tc>
        <w:tc>
          <w:tcPr>
            <w:tcW w:w="1501" w:type="dxa"/>
            <w:shd w:val="clear" w:color="auto" w:fill="FFFFFF"/>
            <w:vAlign w:val="center"/>
          </w:tcPr>
          <w:p w14:paraId="10D20567" w14:textId="77777777" w:rsidR="00F94B48" w:rsidRPr="00F32542" w:rsidRDefault="00F94B48" w:rsidP="00F94B48">
            <w:pPr>
              <w:shd w:val="solid" w:color="FFFFFF" w:fill="FFFFFF"/>
              <w:spacing w:after="0" w:line="360" w:lineRule="auto"/>
              <w:jc w:val="center"/>
              <w:rPr>
                <w:rFonts w:ascii="Arial" w:eastAsia="Calibri" w:hAnsi="Arial" w:cs="Arial"/>
              </w:rPr>
            </w:pPr>
            <w:r w:rsidRPr="00F32542">
              <w:rPr>
                <w:rFonts w:ascii="Arial" w:eastAsia="Calibri" w:hAnsi="Arial" w:cs="Arial"/>
              </w:rPr>
              <w:t>0.35</w:t>
            </w:r>
          </w:p>
        </w:tc>
      </w:tr>
      <w:tr w:rsidR="00F94B48" w:rsidRPr="00F32542" w14:paraId="4D6D1AFC" w14:textId="77777777" w:rsidTr="00F94B48">
        <w:trPr>
          <w:jc w:val="center"/>
        </w:trPr>
        <w:tc>
          <w:tcPr>
            <w:tcW w:w="3397" w:type="dxa"/>
            <w:vAlign w:val="center"/>
          </w:tcPr>
          <w:p w14:paraId="2265E332" w14:textId="77777777" w:rsidR="00F94B48" w:rsidRPr="00F32542" w:rsidRDefault="00F94B48" w:rsidP="00F94B48">
            <w:pPr>
              <w:spacing w:after="0" w:line="240" w:lineRule="auto"/>
              <w:jc w:val="center"/>
              <w:rPr>
                <w:rFonts w:ascii="Arial" w:eastAsia="Calibri" w:hAnsi="Arial" w:cs="Arial"/>
                <w:bCs/>
                <w:noProof/>
                <w:sz w:val="20"/>
                <w:szCs w:val="20"/>
                <w:lang w:eastAsia="es-MX"/>
              </w:rPr>
            </w:pPr>
            <w:r w:rsidRPr="00F32542">
              <w:rPr>
                <w:rFonts w:ascii="Arial" w:eastAsia="Calibri" w:hAnsi="Arial" w:cs="Arial"/>
                <w:bCs/>
                <w:noProof/>
                <w:sz w:val="20"/>
                <w:szCs w:val="20"/>
                <w:lang w:eastAsia="es-MX"/>
              </w:rPr>
              <w:t>RSP</w:t>
            </w:r>
          </w:p>
        </w:tc>
        <w:tc>
          <w:tcPr>
            <w:tcW w:w="1560" w:type="dxa"/>
            <w:shd w:val="clear" w:color="auto" w:fill="FFFFFF"/>
            <w:vAlign w:val="center"/>
          </w:tcPr>
          <w:p w14:paraId="39C9C9FC" w14:textId="77777777" w:rsidR="00F94B48" w:rsidRPr="00F32542" w:rsidRDefault="00F94B48" w:rsidP="00F94B48">
            <w:pPr>
              <w:shd w:val="solid" w:color="FFFFFF" w:fill="FFFFFF"/>
              <w:spacing w:after="0" w:line="360" w:lineRule="auto"/>
              <w:jc w:val="center"/>
              <w:rPr>
                <w:rFonts w:ascii="Arial" w:eastAsia="Calibri" w:hAnsi="Arial" w:cs="Arial"/>
              </w:rPr>
            </w:pPr>
            <w:r w:rsidRPr="00F32542">
              <w:rPr>
                <w:rFonts w:ascii="Arial" w:eastAsia="Calibri" w:hAnsi="Arial" w:cs="Arial"/>
              </w:rPr>
              <w:t>45</w:t>
            </w:r>
          </w:p>
        </w:tc>
        <w:tc>
          <w:tcPr>
            <w:tcW w:w="1501" w:type="dxa"/>
            <w:shd w:val="clear" w:color="auto" w:fill="FFFFFF"/>
            <w:vAlign w:val="center"/>
          </w:tcPr>
          <w:p w14:paraId="0D5693B4" w14:textId="77777777" w:rsidR="00F94B48" w:rsidRPr="00F32542" w:rsidRDefault="00F94B48" w:rsidP="00F94B48">
            <w:pPr>
              <w:shd w:val="solid" w:color="FFFFFF" w:fill="FFFFFF"/>
              <w:spacing w:after="0" w:line="360" w:lineRule="auto"/>
              <w:jc w:val="center"/>
              <w:rPr>
                <w:rFonts w:ascii="Arial" w:eastAsia="Calibri" w:hAnsi="Arial" w:cs="Arial"/>
              </w:rPr>
            </w:pPr>
            <w:r w:rsidRPr="00F32542">
              <w:rPr>
                <w:rFonts w:ascii="Arial" w:eastAsia="Calibri" w:hAnsi="Arial" w:cs="Arial"/>
              </w:rPr>
              <w:t>0.51</w:t>
            </w:r>
          </w:p>
        </w:tc>
      </w:tr>
      <w:tr w:rsidR="00F94B48" w:rsidRPr="00F32542" w14:paraId="69CFC4FE" w14:textId="77777777" w:rsidTr="00F94B48">
        <w:trPr>
          <w:jc w:val="center"/>
        </w:trPr>
        <w:tc>
          <w:tcPr>
            <w:tcW w:w="3397" w:type="dxa"/>
            <w:vAlign w:val="center"/>
          </w:tcPr>
          <w:p w14:paraId="6DB11108" w14:textId="77777777" w:rsidR="00F94B48" w:rsidRPr="00F32542" w:rsidRDefault="00F94B48" w:rsidP="00F94B48">
            <w:pPr>
              <w:tabs>
                <w:tab w:val="left" w:pos="945"/>
              </w:tabs>
              <w:spacing w:after="0" w:line="240" w:lineRule="auto"/>
              <w:jc w:val="center"/>
              <w:rPr>
                <w:rFonts w:ascii="Arial" w:eastAsia="Calibri" w:hAnsi="Arial" w:cs="Arial"/>
                <w:bCs/>
                <w:noProof/>
                <w:sz w:val="20"/>
                <w:szCs w:val="20"/>
                <w:lang w:eastAsia="es-MX"/>
              </w:rPr>
            </w:pPr>
            <w:r w:rsidRPr="00F32542">
              <w:rPr>
                <w:rFonts w:ascii="Arial" w:eastAsia="Calibri" w:hAnsi="Arial" w:cs="Arial"/>
                <w:bCs/>
                <w:noProof/>
                <w:sz w:val="20"/>
                <w:szCs w:val="20"/>
                <w:lang w:eastAsia="es-MX"/>
              </w:rPr>
              <w:t>FUERZA POR MÉXICO</w:t>
            </w:r>
          </w:p>
        </w:tc>
        <w:tc>
          <w:tcPr>
            <w:tcW w:w="1560" w:type="dxa"/>
            <w:shd w:val="clear" w:color="auto" w:fill="FFFFFF"/>
            <w:vAlign w:val="center"/>
          </w:tcPr>
          <w:p w14:paraId="3CE757CB" w14:textId="77777777" w:rsidR="00F94B48" w:rsidRPr="00F32542" w:rsidRDefault="00F94B48" w:rsidP="00F94B48">
            <w:pPr>
              <w:shd w:val="solid" w:color="FFFFFF" w:fill="FFFFFF"/>
              <w:spacing w:after="0" w:line="360" w:lineRule="auto"/>
              <w:jc w:val="center"/>
              <w:rPr>
                <w:rFonts w:ascii="Arial" w:eastAsia="Calibri" w:hAnsi="Arial" w:cs="Arial"/>
              </w:rPr>
            </w:pPr>
            <w:r w:rsidRPr="00F32542">
              <w:rPr>
                <w:rFonts w:ascii="Arial" w:eastAsia="Calibri" w:hAnsi="Arial" w:cs="Arial"/>
              </w:rPr>
              <w:t>54</w:t>
            </w:r>
          </w:p>
        </w:tc>
        <w:tc>
          <w:tcPr>
            <w:tcW w:w="1501" w:type="dxa"/>
            <w:shd w:val="clear" w:color="auto" w:fill="FFFFFF"/>
            <w:vAlign w:val="center"/>
          </w:tcPr>
          <w:p w14:paraId="121FD234" w14:textId="77777777" w:rsidR="00F94B48" w:rsidRPr="00F32542" w:rsidRDefault="00F94B48" w:rsidP="00F94B48">
            <w:pPr>
              <w:shd w:val="solid" w:color="FFFFFF" w:fill="FFFFFF"/>
              <w:spacing w:after="0" w:line="360" w:lineRule="auto"/>
              <w:jc w:val="center"/>
              <w:rPr>
                <w:rFonts w:ascii="Arial" w:eastAsia="Calibri" w:hAnsi="Arial" w:cs="Arial"/>
              </w:rPr>
            </w:pPr>
            <w:r w:rsidRPr="00F32542">
              <w:rPr>
                <w:rFonts w:ascii="Arial" w:eastAsia="Calibri" w:hAnsi="Arial" w:cs="Arial"/>
              </w:rPr>
              <w:t>0.62</w:t>
            </w:r>
          </w:p>
        </w:tc>
      </w:tr>
      <w:tr w:rsidR="00F94B48" w:rsidRPr="00F32542" w14:paraId="7D0ED9D5" w14:textId="77777777" w:rsidTr="00F94B48">
        <w:trPr>
          <w:jc w:val="center"/>
        </w:trPr>
        <w:tc>
          <w:tcPr>
            <w:tcW w:w="3397" w:type="dxa"/>
            <w:shd w:val="clear" w:color="auto" w:fill="FFFFFF"/>
            <w:vAlign w:val="center"/>
          </w:tcPr>
          <w:p w14:paraId="62C535A3" w14:textId="77777777" w:rsidR="00F94B48" w:rsidRPr="00F32542" w:rsidRDefault="00F94B48" w:rsidP="00F94B48">
            <w:pPr>
              <w:shd w:val="solid" w:color="FFFFFF" w:fill="FFFFFF"/>
              <w:spacing w:after="0" w:line="240" w:lineRule="auto"/>
              <w:jc w:val="center"/>
              <w:rPr>
                <w:rFonts w:ascii="Arial" w:eastAsia="Calibri" w:hAnsi="Arial" w:cs="Arial"/>
                <w:sz w:val="20"/>
                <w:szCs w:val="20"/>
              </w:rPr>
            </w:pPr>
            <w:r w:rsidRPr="00F32542">
              <w:rPr>
                <w:rFonts w:ascii="Arial" w:eastAsia="Calibri" w:hAnsi="Arial" w:cs="Arial"/>
                <w:sz w:val="20"/>
                <w:szCs w:val="20"/>
              </w:rPr>
              <w:t>Votación válida emitida en el extranjero</w:t>
            </w:r>
          </w:p>
        </w:tc>
        <w:tc>
          <w:tcPr>
            <w:tcW w:w="1560" w:type="dxa"/>
            <w:shd w:val="clear" w:color="auto" w:fill="FFFFFF"/>
            <w:vAlign w:val="center"/>
          </w:tcPr>
          <w:p w14:paraId="42A7A799" w14:textId="77777777" w:rsidR="00F94B48" w:rsidRPr="00F32542" w:rsidRDefault="00F94B48" w:rsidP="00F94B48">
            <w:pPr>
              <w:shd w:val="solid" w:color="FFFFFF" w:fill="FFFFFF"/>
              <w:spacing w:after="0" w:line="360" w:lineRule="auto"/>
              <w:jc w:val="center"/>
              <w:rPr>
                <w:rFonts w:ascii="Arial" w:eastAsia="Calibri" w:hAnsi="Arial" w:cs="Arial"/>
                <w:b/>
              </w:rPr>
            </w:pPr>
            <w:r w:rsidRPr="00F32542">
              <w:rPr>
                <w:rFonts w:ascii="Arial" w:eastAsia="Calibri" w:hAnsi="Arial" w:cs="Arial"/>
                <w:b/>
              </w:rPr>
              <w:fldChar w:fldCharType="begin"/>
            </w:r>
            <w:r w:rsidRPr="00F32542">
              <w:rPr>
                <w:rFonts w:ascii="Arial" w:eastAsia="Calibri" w:hAnsi="Arial" w:cs="Arial"/>
                <w:b/>
              </w:rPr>
              <w:instrText xml:space="preserve"> =SUM(ABOVE) </w:instrText>
            </w:r>
            <w:r w:rsidRPr="00F32542">
              <w:rPr>
                <w:rFonts w:ascii="Arial" w:eastAsia="Calibri" w:hAnsi="Arial" w:cs="Arial"/>
                <w:b/>
              </w:rPr>
              <w:fldChar w:fldCharType="separate"/>
            </w:r>
            <w:r w:rsidRPr="00F32542">
              <w:rPr>
                <w:rFonts w:ascii="Arial" w:eastAsia="Calibri" w:hAnsi="Arial" w:cs="Arial"/>
                <w:b/>
                <w:noProof/>
              </w:rPr>
              <w:t>8,756</w:t>
            </w:r>
            <w:r w:rsidRPr="00F32542">
              <w:rPr>
                <w:rFonts w:ascii="Arial" w:eastAsia="Calibri" w:hAnsi="Arial" w:cs="Arial"/>
                <w:b/>
              </w:rPr>
              <w:fldChar w:fldCharType="end"/>
            </w:r>
          </w:p>
        </w:tc>
        <w:tc>
          <w:tcPr>
            <w:tcW w:w="1501" w:type="dxa"/>
            <w:shd w:val="clear" w:color="auto" w:fill="FFFFFF"/>
            <w:vAlign w:val="center"/>
          </w:tcPr>
          <w:p w14:paraId="34D57C50" w14:textId="77777777" w:rsidR="00F94B48" w:rsidRPr="00F32542" w:rsidRDefault="00F94B48" w:rsidP="00F94B48">
            <w:pPr>
              <w:shd w:val="solid" w:color="FFFFFF" w:fill="FFFFFF"/>
              <w:spacing w:after="0" w:line="360" w:lineRule="auto"/>
              <w:jc w:val="center"/>
              <w:rPr>
                <w:rFonts w:ascii="Arial" w:eastAsia="Calibri" w:hAnsi="Arial" w:cs="Arial"/>
                <w:b/>
              </w:rPr>
            </w:pPr>
            <w:r w:rsidRPr="00F32542">
              <w:rPr>
                <w:rFonts w:ascii="Arial" w:eastAsia="Calibri" w:hAnsi="Arial" w:cs="Arial"/>
                <w:b/>
              </w:rPr>
              <w:fldChar w:fldCharType="begin"/>
            </w:r>
            <w:r w:rsidRPr="00F32542">
              <w:rPr>
                <w:rFonts w:ascii="Arial" w:eastAsia="Calibri" w:hAnsi="Arial" w:cs="Arial"/>
                <w:b/>
              </w:rPr>
              <w:instrText xml:space="preserve"> =SUM(ABOVE) </w:instrText>
            </w:r>
            <w:r w:rsidRPr="00F32542">
              <w:rPr>
                <w:rFonts w:ascii="Arial" w:eastAsia="Calibri" w:hAnsi="Arial" w:cs="Arial"/>
                <w:b/>
              </w:rPr>
              <w:fldChar w:fldCharType="separate"/>
            </w:r>
            <w:r w:rsidRPr="00F32542">
              <w:rPr>
                <w:rFonts w:ascii="Arial" w:eastAsia="Calibri" w:hAnsi="Arial" w:cs="Arial"/>
                <w:b/>
                <w:noProof/>
              </w:rPr>
              <w:t>100</w:t>
            </w:r>
            <w:r w:rsidRPr="00F32542">
              <w:rPr>
                <w:rFonts w:ascii="Arial" w:eastAsia="Calibri" w:hAnsi="Arial" w:cs="Arial"/>
                <w:b/>
              </w:rPr>
              <w:fldChar w:fldCharType="end"/>
            </w:r>
          </w:p>
        </w:tc>
      </w:tr>
    </w:tbl>
    <w:p w14:paraId="3DC7B93D" w14:textId="77777777" w:rsidR="00F94B48" w:rsidRPr="00F32542" w:rsidRDefault="00F94B48" w:rsidP="002E323F">
      <w:pPr>
        <w:widowControl w:val="0"/>
        <w:spacing w:after="0" w:line="360" w:lineRule="auto"/>
        <w:ind w:left="360"/>
        <w:jc w:val="both"/>
        <w:rPr>
          <w:rFonts w:ascii="Arial" w:eastAsia="Calibri" w:hAnsi="Arial" w:cs="Arial"/>
          <w:sz w:val="28"/>
          <w:szCs w:val="28"/>
          <w:lang w:val="es-ES"/>
        </w:rPr>
      </w:pPr>
    </w:p>
    <w:p w14:paraId="321A328D" w14:textId="77777777" w:rsidR="00F94B48" w:rsidRPr="00F32542" w:rsidRDefault="00F94B48" w:rsidP="002E323F">
      <w:pPr>
        <w:widowControl w:val="0"/>
        <w:spacing w:after="0" w:line="360" w:lineRule="auto"/>
        <w:contextualSpacing/>
        <w:jc w:val="both"/>
        <w:rPr>
          <w:rFonts w:ascii="Arial" w:eastAsia="Calibri" w:hAnsi="Arial" w:cs="Arial"/>
          <w:sz w:val="28"/>
          <w:szCs w:val="28"/>
          <w:lang w:val="es-ES"/>
        </w:rPr>
      </w:pPr>
      <w:r w:rsidRPr="00F32542">
        <w:rPr>
          <w:rFonts w:ascii="Arial" w:eastAsia="Calibri" w:hAnsi="Arial" w:cs="Arial"/>
          <w:sz w:val="28"/>
          <w:szCs w:val="28"/>
          <w:lang w:val="es-ES"/>
        </w:rPr>
        <w:t xml:space="preserve">Por tanto, mediante acuerdo </w:t>
      </w:r>
      <w:r w:rsidRPr="00F32542">
        <w:rPr>
          <w:rFonts w:ascii="Arial" w:eastAsia="Calibri" w:hAnsi="Arial" w:cs="Arial"/>
          <w:b/>
          <w:bCs/>
          <w:sz w:val="28"/>
          <w:szCs w:val="28"/>
          <w:lang w:val="es-ES"/>
        </w:rPr>
        <w:t>IECM/ACU-CG-323/2021</w:t>
      </w:r>
      <w:r w:rsidRPr="00F32542">
        <w:rPr>
          <w:rFonts w:ascii="Arial" w:eastAsia="Calibri" w:hAnsi="Arial" w:cs="Arial"/>
          <w:sz w:val="28"/>
          <w:szCs w:val="28"/>
          <w:lang w:val="es-ES"/>
        </w:rPr>
        <w:t xml:space="preserve">, el </w:t>
      </w:r>
      <w:r w:rsidRPr="00F32542">
        <w:rPr>
          <w:rFonts w:ascii="Arial" w:eastAsia="Calibri" w:hAnsi="Arial" w:cs="Arial"/>
          <w:i/>
          <w:sz w:val="28"/>
          <w:szCs w:val="28"/>
          <w:lang w:val="es-ES"/>
        </w:rPr>
        <w:t>Consejo General</w:t>
      </w:r>
      <w:r w:rsidRPr="00F32542">
        <w:rPr>
          <w:rFonts w:ascii="Arial" w:eastAsia="Calibri" w:hAnsi="Arial" w:cs="Arial"/>
          <w:sz w:val="28"/>
          <w:szCs w:val="28"/>
          <w:lang w:val="es-ES"/>
        </w:rPr>
        <w:t xml:space="preserve"> declaró la validez de la elección y asignó la diputación migrante a la fórmula integrada por Raúl de Jesús Torres Guerrero (propietario) y Nancy Viridiana Rangel López (suplente), postulada por el </w:t>
      </w:r>
      <w:r w:rsidRPr="00F32542">
        <w:rPr>
          <w:rFonts w:ascii="Arial" w:eastAsia="Calibri" w:hAnsi="Arial" w:cs="Arial"/>
          <w:i/>
          <w:sz w:val="28"/>
          <w:szCs w:val="28"/>
          <w:lang w:val="es-ES"/>
        </w:rPr>
        <w:t>PAN</w:t>
      </w:r>
      <w:r w:rsidRPr="00F32542">
        <w:rPr>
          <w:rFonts w:ascii="Arial" w:eastAsia="Calibri" w:hAnsi="Arial" w:cs="Arial"/>
          <w:sz w:val="28"/>
          <w:szCs w:val="28"/>
          <w:lang w:val="es-ES"/>
        </w:rPr>
        <w:t xml:space="preserve">. </w:t>
      </w:r>
    </w:p>
    <w:p w14:paraId="32121973" w14:textId="77777777" w:rsidR="00F94B48" w:rsidRPr="00F32542" w:rsidRDefault="00F94B48" w:rsidP="002E323F">
      <w:pPr>
        <w:widowControl w:val="0"/>
        <w:spacing w:after="0" w:line="360" w:lineRule="auto"/>
        <w:ind w:left="720"/>
        <w:contextualSpacing/>
        <w:jc w:val="both"/>
        <w:rPr>
          <w:rFonts w:ascii="Arial" w:eastAsia="Calibri" w:hAnsi="Arial" w:cs="Arial"/>
          <w:sz w:val="28"/>
          <w:szCs w:val="28"/>
          <w:lang w:val="es-ES"/>
        </w:rPr>
      </w:pPr>
    </w:p>
    <w:p w14:paraId="7B671C87" w14:textId="77777777" w:rsidR="00F94B48" w:rsidRPr="00F32542" w:rsidRDefault="00F94B48" w:rsidP="002E323F">
      <w:pPr>
        <w:widowControl w:val="0"/>
        <w:spacing w:after="0" w:line="360" w:lineRule="auto"/>
        <w:contextualSpacing/>
        <w:jc w:val="both"/>
        <w:rPr>
          <w:rFonts w:ascii="Arial" w:eastAsia="Calibri" w:hAnsi="Arial" w:cs="Arial"/>
          <w:sz w:val="28"/>
          <w:szCs w:val="28"/>
          <w:lang w:val="es-ES"/>
        </w:rPr>
      </w:pPr>
      <w:r w:rsidRPr="00F32542">
        <w:rPr>
          <w:rFonts w:ascii="Arial" w:eastAsia="Calibri" w:hAnsi="Arial" w:cs="Arial"/>
          <w:sz w:val="28"/>
          <w:szCs w:val="28"/>
          <w:lang w:val="es-ES"/>
        </w:rPr>
        <w:t xml:space="preserve">Posteriormente, a través del acuerdo </w:t>
      </w:r>
      <w:r w:rsidRPr="00F32542">
        <w:rPr>
          <w:rFonts w:ascii="Arial" w:eastAsia="Calibri" w:hAnsi="Arial" w:cs="Arial"/>
          <w:b/>
          <w:bCs/>
          <w:sz w:val="28"/>
          <w:szCs w:val="28"/>
          <w:lang w:val="es-ES"/>
        </w:rPr>
        <w:t>IECM/ACU-CG-324/2021</w:t>
      </w:r>
      <w:r w:rsidRPr="00F32542">
        <w:rPr>
          <w:rFonts w:ascii="Arial" w:eastAsia="Calibri" w:hAnsi="Arial" w:cs="Arial"/>
          <w:sz w:val="28"/>
          <w:szCs w:val="28"/>
          <w:lang w:val="es-ES"/>
        </w:rPr>
        <w:t xml:space="preserve">, el </w:t>
      </w:r>
      <w:r w:rsidRPr="00F32542">
        <w:rPr>
          <w:rFonts w:ascii="Arial" w:eastAsia="Calibri" w:hAnsi="Arial" w:cs="Arial"/>
          <w:i/>
          <w:sz w:val="28"/>
          <w:szCs w:val="28"/>
          <w:lang w:val="es-ES"/>
        </w:rPr>
        <w:t>Consejo General</w:t>
      </w:r>
      <w:r w:rsidRPr="00F32542">
        <w:rPr>
          <w:rFonts w:ascii="Arial" w:eastAsia="Calibri" w:hAnsi="Arial" w:cs="Arial"/>
          <w:sz w:val="28"/>
          <w:szCs w:val="28"/>
          <w:lang w:val="es-ES"/>
        </w:rPr>
        <w:t xml:space="preserve"> realizó la asignación de las diputaciones de </w:t>
      </w:r>
      <w:r w:rsidRPr="00F32542">
        <w:rPr>
          <w:rFonts w:ascii="Arial" w:eastAsia="Calibri" w:hAnsi="Arial" w:cs="Arial"/>
          <w:sz w:val="28"/>
          <w:szCs w:val="28"/>
          <w:lang w:val="es-ES"/>
        </w:rPr>
        <w:lastRenderedPageBreak/>
        <w:t xml:space="preserve">representación proporcional (treinta y dos), para lo cual, al verificar el cumplimiento de los requisitos a cargo de los partidos políticos para tener derecho a la asignación, tuvo por cumplido el relativo a registrar la lista A, respecto al </w:t>
      </w:r>
      <w:r w:rsidRPr="00F32542">
        <w:rPr>
          <w:rFonts w:ascii="Arial" w:eastAsia="Calibri" w:hAnsi="Arial" w:cs="Arial"/>
          <w:i/>
          <w:sz w:val="28"/>
          <w:szCs w:val="28"/>
          <w:lang w:val="es-ES"/>
        </w:rPr>
        <w:t>PAN</w:t>
      </w:r>
      <w:r w:rsidRPr="00F32542">
        <w:rPr>
          <w:rFonts w:ascii="Arial" w:eastAsia="Calibri" w:hAnsi="Arial" w:cs="Arial"/>
          <w:sz w:val="28"/>
          <w:szCs w:val="28"/>
          <w:lang w:val="es-ES"/>
        </w:rPr>
        <w:t xml:space="preserve">, pero indicó que ese listado había sido reordenado en cumplimiento al artículo 7 de los </w:t>
      </w:r>
      <w:r w:rsidRPr="00F32542">
        <w:rPr>
          <w:rFonts w:ascii="Arial" w:eastAsia="Calibri" w:hAnsi="Arial" w:cs="Arial"/>
          <w:i/>
          <w:sz w:val="28"/>
          <w:szCs w:val="28"/>
          <w:lang w:val="es-ES"/>
        </w:rPr>
        <w:t>Lineamientos para la asignación</w:t>
      </w:r>
      <w:r w:rsidRPr="00F32542">
        <w:rPr>
          <w:rFonts w:ascii="Arial" w:eastAsia="Calibri" w:hAnsi="Arial" w:cs="Arial"/>
          <w:sz w:val="28"/>
          <w:szCs w:val="28"/>
          <w:lang w:val="es-ES"/>
        </w:rPr>
        <w:t xml:space="preserve">, y el acuerdo </w:t>
      </w:r>
      <w:r w:rsidRPr="00F32542">
        <w:rPr>
          <w:rFonts w:ascii="Arial" w:eastAsia="Calibri" w:hAnsi="Arial" w:cs="Arial"/>
          <w:b/>
          <w:bCs/>
          <w:sz w:val="28"/>
          <w:szCs w:val="28"/>
          <w:lang w:val="es-ES"/>
        </w:rPr>
        <w:t>IECM/ACU-CG-115/2021</w:t>
      </w:r>
      <w:r w:rsidRPr="00F32542">
        <w:rPr>
          <w:rFonts w:ascii="Arial" w:eastAsia="Calibri" w:hAnsi="Arial" w:cs="Arial"/>
          <w:sz w:val="28"/>
          <w:szCs w:val="28"/>
          <w:lang w:val="es-ES"/>
        </w:rPr>
        <w:t xml:space="preserve">, a fin de cumplir con el principio constitucional de paridad de género en las postulaciones, y de conformidad con los artículos 7 y 28 de los </w:t>
      </w:r>
      <w:r w:rsidRPr="00F32542">
        <w:rPr>
          <w:rFonts w:ascii="Arial" w:eastAsia="Calibri" w:hAnsi="Arial" w:cs="Arial"/>
          <w:i/>
          <w:sz w:val="28"/>
          <w:szCs w:val="28"/>
          <w:lang w:val="es-ES"/>
        </w:rPr>
        <w:t>Lineamientos para la postulación</w:t>
      </w:r>
      <w:r w:rsidRPr="00F32542">
        <w:rPr>
          <w:rFonts w:ascii="Arial" w:eastAsia="Calibri" w:hAnsi="Arial" w:cs="Arial"/>
          <w:sz w:val="28"/>
          <w:szCs w:val="28"/>
          <w:lang w:val="es-ES"/>
        </w:rPr>
        <w:t xml:space="preserve">. </w:t>
      </w:r>
    </w:p>
    <w:p w14:paraId="3DBE5962" w14:textId="77777777" w:rsidR="00F94B48" w:rsidRPr="00F32542" w:rsidRDefault="00F94B48" w:rsidP="002E323F">
      <w:pPr>
        <w:spacing w:after="0" w:line="360" w:lineRule="auto"/>
        <w:ind w:left="720"/>
        <w:contextualSpacing/>
        <w:jc w:val="both"/>
        <w:rPr>
          <w:rFonts w:ascii="Arial" w:eastAsia="Calibri" w:hAnsi="Arial" w:cs="Arial"/>
          <w:sz w:val="28"/>
          <w:szCs w:val="28"/>
          <w:lang w:val="es-ES"/>
        </w:rPr>
      </w:pPr>
    </w:p>
    <w:p w14:paraId="4A77E5A2" w14:textId="77777777" w:rsidR="00F94B48" w:rsidRPr="00F32542" w:rsidRDefault="00F94B48" w:rsidP="002E323F">
      <w:pPr>
        <w:widowControl w:val="0"/>
        <w:spacing w:after="0" w:line="360" w:lineRule="auto"/>
        <w:contextualSpacing/>
        <w:jc w:val="both"/>
        <w:rPr>
          <w:rFonts w:ascii="Arial" w:eastAsia="Calibri" w:hAnsi="Arial" w:cs="Arial"/>
          <w:sz w:val="28"/>
          <w:szCs w:val="28"/>
          <w:lang w:val="es-ES"/>
        </w:rPr>
      </w:pPr>
      <w:r w:rsidRPr="00F32542">
        <w:rPr>
          <w:rFonts w:ascii="Arial" w:eastAsia="Calibri" w:hAnsi="Arial" w:cs="Arial"/>
          <w:sz w:val="28"/>
          <w:szCs w:val="28"/>
          <w:lang w:val="es-ES"/>
        </w:rPr>
        <w:t xml:space="preserve">Por </w:t>
      </w:r>
      <w:r w:rsidR="00145FFB" w:rsidRPr="00F32542">
        <w:rPr>
          <w:rFonts w:ascii="Arial" w:eastAsia="Calibri" w:hAnsi="Arial" w:cs="Arial"/>
          <w:sz w:val="28"/>
          <w:szCs w:val="28"/>
          <w:lang w:val="es-ES"/>
        </w:rPr>
        <w:t>consiguiente</w:t>
      </w:r>
      <w:r w:rsidRPr="00F32542">
        <w:rPr>
          <w:rFonts w:ascii="Arial" w:eastAsia="Calibri" w:hAnsi="Arial" w:cs="Arial"/>
          <w:sz w:val="28"/>
          <w:szCs w:val="28"/>
          <w:lang w:val="es-ES"/>
        </w:rPr>
        <w:t xml:space="preserve">, la lista A ajustada quedó en los términos siguientes: </w:t>
      </w:r>
    </w:p>
    <w:p w14:paraId="74B15A4E" w14:textId="77777777" w:rsidR="00F94B48" w:rsidRPr="00F32542" w:rsidRDefault="00F94B48" w:rsidP="002E323F">
      <w:pPr>
        <w:spacing w:after="0" w:line="360" w:lineRule="auto"/>
        <w:ind w:left="720"/>
        <w:contextualSpacing/>
        <w:jc w:val="both"/>
        <w:rPr>
          <w:rFonts w:ascii="Arial" w:eastAsia="Calibri" w:hAnsi="Arial" w:cs="Arial"/>
          <w:sz w:val="28"/>
          <w:szCs w:val="28"/>
          <w:lang w:val="es-ES"/>
        </w:rPr>
      </w:pPr>
    </w:p>
    <w:tbl>
      <w:tblPr>
        <w:tblStyle w:val="Tablaconcuadrcula25"/>
        <w:tblW w:w="0" w:type="auto"/>
        <w:jc w:val="center"/>
        <w:tblLook w:val="04A0" w:firstRow="1" w:lastRow="0" w:firstColumn="1" w:lastColumn="0" w:noHBand="0" w:noVBand="1"/>
      </w:tblPr>
      <w:tblGrid>
        <w:gridCol w:w="709"/>
        <w:gridCol w:w="857"/>
        <w:gridCol w:w="2387"/>
        <w:gridCol w:w="608"/>
        <w:gridCol w:w="2113"/>
        <w:gridCol w:w="613"/>
      </w:tblGrid>
      <w:tr w:rsidR="00F94B48" w:rsidRPr="00F32542" w14:paraId="56A270FD" w14:textId="77777777" w:rsidTr="00145FFB">
        <w:trPr>
          <w:tblHeader/>
          <w:jc w:val="center"/>
        </w:trPr>
        <w:tc>
          <w:tcPr>
            <w:tcW w:w="709" w:type="dxa"/>
            <w:shd w:val="clear" w:color="auto" w:fill="BFBFBF" w:themeFill="background1" w:themeFillShade="BF"/>
            <w:vAlign w:val="center"/>
          </w:tcPr>
          <w:p w14:paraId="52E25619" w14:textId="77777777" w:rsidR="00F94B48" w:rsidRPr="00F32542" w:rsidRDefault="00F94B48" w:rsidP="00F94B48">
            <w:pPr>
              <w:widowControl w:val="0"/>
              <w:spacing w:after="0" w:line="240" w:lineRule="auto"/>
              <w:jc w:val="center"/>
              <w:rPr>
                <w:rFonts w:ascii="Arial" w:eastAsia="Calibri" w:hAnsi="Arial" w:cs="Times New Roman"/>
                <w:b/>
                <w:sz w:val="16"/>
                <w:szCs w:val="16"/>
                <w:lang w:val="es-ES"/>
              </w:rPr>
            </w:pPr>
            <w:r w:rsidRPr="00F32542">
              <w:rPr>
                <w:rFonts w:ascii="Arial" w:eastAsia="Calibri" w:hAnsi="Arial" w:cs="Times New Roman"/>
                <w:b/>
                <w:sz w:val="16"/>
                <w:szCs w:val="16"/>
                <w:lang w:val="es-ES"/>
              </w:rPr>
              <w:t>No. en la lista A</w:t>
            </w:r>
          </w:p>
        </w:tc>
        <w:tc>
          <w:tcPr>
            <w:tcW w:w="857" w:type="dxa"/>
            <w:shd w:val="clear" w:color="auto" w:fill="BFBFBF" w:themeFill="background1" w:themeFillShade="BF"/>
            <w:vAlign w:val="center"/>
          </w:tcPr>
          <w:p w14:paraId="500DEF59" w14:textId="77777777" w:rsidR="00F94B48" w:rsidRPr="00F32542" w:rsidRDefault="00F94B48" w:rsidP="00F94B48">
            <w:pPr>
              <w:widowControl w:val="0"/>
              <w:spacing w:after="0" w:line="240" w:lineRule="auto"/>
              <w:jc w:val="center"/>
              <w:rPr>
                <w:rFonts w:ascii="Arial" w:eastAsia="Calibri" w:hAnsi="Arial" w:cs="Times New Roman"/>
                <w:b/>
                <w:sz w:val="16"/>
                <w:szCs w:val="16"/>
                <w:lang w:val="es-ES"/>
              </w:rPr>
            </w:pPr>
            <w:r w:rsidRPr="00F32542">
              <w:rPr>
                <w:rFonts w:ascii="Arial" w:eastAsia="Calibri" w:hAnsi="Arial" w:cs="Times New Roman"/>
                <w:b/>
                <w:sz w:val="16"/>
                <w:szCs w:val="16"/>
                <w:lang w:val="es-ES"/>
              </w:rPr>
              <w:t>Sexo</w:t>
            </w:r>
          </w:p>
        </w:tc>
        <w:tc>
          <w:tcPr>
            <w:tcW w:w="2387" w:type="dxa"/>
            <w:shd w:val="clear" w:color="auto" w:fill="BFBFBF" w:themeFill="background1" w:themeFillShade="BF"/>
            <w:vAlign w:val="center"/>
          </w:tcPr>
          <w:p w14:paraId="41A4033F" w14:textId="77777777" w:rsidR="00F94B48" w:rsidRPr="00F32542" w:rsidRDefault="00F94B48" w:rsidP="00F94B48">
            <w:pPr>
              <w:widowControl w:val="0"/>
              <w:spacing w:after="0" w:line="240" w:lineRule="auto"/>
              <w:jc w:val="center"/>
              <w:rPr>
                <w:rFonts w:ascii="Arial" w:eastAsia="Calibri" w:hAnsi="Arial" w:cs="Times New Roman"/>
                <w:b/>
                <w:sz w:val="16"/>
                <w:szCs w:val="16"/>
                <w:lang w:val="es-ES"/>
              </w:rPr>
            </w:pPr>
            <w:r w:rsidRPr="00F32542">
              <w:rPr>
                <w:rFonts w:ascii="Arial" w:eastAsia="Calibri" w:hAnsi="Arial" w:cs="Times New Roman"/>
                <w:b/>
                <w:sz w:val="16"/>
                <w:szCs w:val="16"/>
                <w:lang w:val="es-ES"/>
              </w:rPr>
              <w:t>Nombre completo de la persona propietaria</w:t>
            </w:r>
          </w:p>
        </w:tc>
        <w:tc>
          <w:tcPr>
            <w:tcW w:w="608" w:type="dxa"/>
            <w:shd w:val="clear" w:color="auto" w:fill="BFBFBF" w:themeFill="background1" w:themeFillShade="BF"/>
            <w:vAlign w:val="center"/>
          </w:tcPr>
          <w:p w14:paraId="4C1D6087" w14:textId="77777777" w:rsidR="00F94B48" w:rsidRPr="00F32542" w:rsidRDefault="00F94B48" w:rsidP="00F94B48">
            <w:pPr>
              <w:widowControl w:val="0"/>
              <w:spacing w:after="0" w:line="240" w:lineRule="auto"/>
              <w:jc w:val="center"/>
              <w:rPr>
                <w:rFonts w:ascii="Arial" w:eastAsia="Calibri" w:hAnsi="Arial" w:cs="Times New Roman"/>
                <w:b/>
                <w:sz w:val="16"/>
                <w:szCs w:val="16"/>
                <w:lang w:val="es-ES"/>
              </w:rPr>
            </w:pPr>
            <w:r w:rsidRPr="00F32542">
              <w:rPr>
                <w:rFonts w:ascii="Arial" w:eastAsia="Calibri" w:hAnsi="Arial" w:cs="Times New Roman"/>
                <w:b/>
                <w:sz w:val="16"/>
                <w:szCs w:val="16"/>
                <w:lang w:val="es-ES"/>
              </w:rPr>
              <w:t>Edad</w:t>
            </w:r>
          </w:p>
        </w:tc>
        <w:tc>
          <w:tcPr>
            <w:tcW w:w="2113" w:type="dxa"/>
            <w:shd w:val="clear" w:color="auto" w:fill="BFBFBF" w:themeFill="background1" w:themeFillShade="BF"/>
            <w:vAlign w:val="center"/>
          </w:tcPr>
          <w:p w14:paraId="1E0CF050" w14:textId="77777777" w:rsidR="00F94B48" w:rsidRPr="00F32542" w:rsidRDefault="00F94B48" w:rsidP="00F94B48">
            <w:pPr>
              <w:widowControl w:val="0"/>
              <w:spacing w:after="0" w:line="240" w:lineRule="auto"/>
              <w:jc w:val="center"/>
              <w:rPr>
                <w:rFonts w:ascii="Arial" w:eastAsia="Calibri" w:hAnsi="Arial" w:cs="Times New Roman"/>
                <w:b/>
                <w:sz w:val="16"/>
                <w:szCs w:val="16"/>
                <w:lang w:val="es-ES"/>
              </w:rPr>
            </w:pPr>
            <w:r w:rsidRPr="00F32542">
              <w:rPr>
                <w:rFonts w:ascii="Arial" w:eastAsia="Calibri" w:hAnsi="Arial" w:cs="Times New Roman"/>
                <w:b/>
                <w:sz w:val="16"/>
                <w:szCs w:val="16"/>
                <w:lang w:val="es-ES"/>
              </w:rPr>
              <w:t>Nombre completo de la persona suplente</w:t>
            </w:r>
          </w:p>
        </w:tc>
        <w:tc>
          <w:tcPr>
            <w:tcW w:w="613" w:type="dxa"/>
            <w:shd w:val="clear" w:color="auto" w:fill="BFBFBF" w:themeFill="background1" w:themeFillShade="BF"/>
            <w:vAlign w:val="center"/>
          </w:tcPr>
          <w:p w14:paraId="716BFBA9" w14:textId="77777777" w:rsidR="00F94B48" w:rsidRPr="00F32542" w:rsidRDefault="00F94B48" w:rsidP="00F94B48">
            <w:pPr>
              <w:widowControl w:val="0"/>
              <w:spacing w:after="0" w:line="240" w:lineRule="auto"/>
              <w:jc w:val="center"/>
              <w:rPr>
                <w:rFonts w:ascii="Arial" w:eastAsia="Calibri" w:hAnsi="Arial" w:cs="Times New Roman"/>
                <w:b/>
                <w:sz w:val="16"/>
                <w:szCs w:val="16"/>
                <w:lang w:val="es-ES"/>
              </w:rPr>
            </w:pPr>
            <w:r w:rsidRPr="00F32542">
              <w:rPr>
                <w:rFonts w:ascii="Arial" w:eastAsia="Calibri" w:hAnsi="Arial" w:cs="Times New Roman"/>
                <w:b/>
                <w:sz w:val="16"/>
                <w:szCs w:val="16"/>
                <w:lang w:val="es-ES"/>
              </w:rPr>
              <w:t>Edad</w:t>
            </w:r>
          </w:p>
        </w:tc>
      </w:tr>
      <w:tr w:rsidR="00F94B48" w:rsidRPr="00F32542" w14:paraId="01AE5E08" w14:textId="77777777" w:rsidTr="00B65D24">
        <w:trPr>
          <w:jc w:val="center"/>
        </w:trPr>
        <w:tc>
          <w:tcPr>
            <w:tcW w:w="709" w:type="dxa"/>
            <w:vAlign w:val="center"/>
          </w:tcPr>
          <w:p w14:paraId="30D577A6"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1</w:t>
            </w:r>
          </w:p>
        </w:tc>
        <w:tc>
          <w:tcPr>
            <w:tcW w:w="857" w:type="dxa"/>
            <w:vAlign w:val="center"/>
          </w:tcPr>
          <w:p w14:paraId="085BD7B3"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Mujer</w:t>
            </w:r>
          </w:p>
        </w:tc>
        <w:tc>
          <w:tcPr>
            <w:tcW w:w="2387" w:type="dxa"/>
            <w:vAlign w:val="center"/>
          </w:tcPr>
          <w:p w14:paraId="466EB0F0"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Luisa Adriana Gutiérrez Ureña </w:t>
            </w:r>
          </w:p>
        </w:tc>
        <w:tc>
          <w:tcPr>
            <w:tcW w:w="608" w:type="dxa"/>
            <w:vAlign w:val="center"/>
          </w:tcPr>
          <w:p w14:paraId="1F86C8E5"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36</w:t>
            </w:r>
          </w:p>
        </w:tc>
        <w:tc>
          <w:tcPr>
            <w:tcW w:w="2113" w:type="dxa"/>
            <w:vAlign w:val="center"/>
          </w:tcPr>
          <w:p w14:paraId="10D5CDA4"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Itzel Abigail Arellano Cruces </w:t>
            </w:r>
          </w:p>
        </w:tc>
        <w:tc>
          <w:tcPr>
            <w:tcW w:w="613" w:type="dxa"/>
            <w:vAlign w:val="center"/>
          </w:tcPr>
          <w:p w14:paraId="753EB4E3"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28</w:t>
            </w:r>
          </w:p>
        </w:tc>
      </w:tr>
      <w:tr w:rsidR="00F94B48" w:rsidRPr="00F32542" w14:paraId="56C5FBF5" w14:textId="77777777" w:rsidTr="00B65D24">
        <w:trPr>
          <w:jc w:val="center"/>
        </w:trPr>
        <w:tc>
          <w:tcPr>
            <w:tcW w:w="709" w:type="dxa"/>
            <w:vAlign w:val="center"/>
          </w:tcPr>
          <w:p w14:paraId="195A0C3C"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w:t>
            </w:r>
          </w:p>
        </w:tc>
        <w:tc>
          <w:tcPr>
            <w:tcW w:w="857" w:type="dxa"/>
            <w:vAlign w:val="center"/>
          </w:tcPr>
          <w:p w14:paraId="2E941D89"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Hombre</w:t>
            </w:r>
          </w:p>
        </w:tc>
        <w:tc>
          <w:tcPr>
            <w:tcW w:w="2387" w:type="dxa"/>
            <w:vAlign w:val="center"/>
          </w:tcPr>
          <w:p w14:paraId="033DE30B"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Federico </w:t>
            </w:r>
            <w:proofErr w:type="spellStart"/>
            <w:r w:rsidRPr="00F32542">
              <w:rPr>
                <w:rFonts w:ascii="Arial" w:eastAsia="Calibri" w:hAnsi="Arial" w:cs="Times New Roman"/>
                <w:sz w:val="18"/>
                <w:szCs w:val="18"/>
                <w:lang w:val="es-ES"/>
              </w:rPr>
              <w:t>Döring</w:t>
            </w:r>
            <w:proofErr w:type="spellEnd"/>
            <w:r w:rsidRPr="00F32542">
              <w:rPr>
                <w:rFonts w:ascii="Arial" w:eastAsia="Calibri" w:hAnsi="Arial" w:cs="Times New Roman"/>
                <w:sz w:val="18"/>
                <w:szCs w:val="18"/>
                <w:lang w:val="es-ES"/>
              </w:rPr>
              <w:t xml:space="preserve"> Casar </w:t>
            </w:r>
          </w:p>
        </w:tc>
        <w:tc>
          <w:tcPr>
            <w:tcW w:w="608" w:type="dxa"/>
            <w:vAlign w:val="center"/>
          </w:tcPr>
          <w:p w14:paraId="783BE167"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50</w:t>
            </w:r>
          </w:p>
        </w:tc>
        <w:tc>
          <w:tcPr>
            <w:tcW w:w="2113" w:type="dxa"/>
            <w:vAlign w:val="center"/>
          </w:tcPr>
          <w:p w14:paraId="2C432668"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Luis Antonio Oviedo Garza </w:t>
            </w:r>
          </w:p>
        </w:tc>
        <w:tc>
          <w:tcPr>
            <w:tcW w:w="613" w:type="dxa"/>
            <w:vAlign w:val="center"/>
          </w:tcPr>
          <w:p w14:paraId="2725233F"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62</w:t>
            </w:r>
          </w:p>
        </w:tc>
      </w:tr>
      <w:tr w:rsidR="00F94B48" w:rsidRPr="00F32542" w14:paraId="25FFB496" w14:textId="77777777" w:rsidTr="00B65D24">
        <w:trPr>
          <w:jc w:val="center"/>
        </w:trPr>
        <w:tc>
          <w:tcPr>
            <w:tcW w:w="709" w:type="dxa"/>
            <w:vAlign w:val="center"/>
          </w:tcPr>
          <w:p w14:paraId="045FB834"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3</w:t>
            </w:r>
          </w:p>
        </w:tc>
        <w:tc>
          <w:tcPr>
            <w:tcW w:w="857" w:type="dxa"/>
            <w:vAlign w:val="center"/>
          </w:tcPr>
          <w:p w14:paraId="672A6054"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Mujer</w:t>
            </w:r>
          </w:p>
        </w:tc>
        <w:tc>
          <w:tcPr>
            <w:tcW w:w="2387" w:type="dxa"/>
            <w:vAlign w:val="center"/>
          </w:tcPr>
          <w:p w14:paraId="5FBE749E"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Ana Jocelyn Villagrán Villasana </w:t>
            </w:r>
          </w:p>
        </w:tc>
        <w:tc>
          <w:tcPr>
            <w:tcW w:w="608" w:type="dxa"/>
            <w:vAlign w:val="center"/>
          </w:tcPr>
          <w:p w14:paraId="288CC623"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31</w:t>
            </w:r>
          </w:p>
        </w:tc>
        <w:tc>
          <w:tcPr>
            <w:tcW w:w="2113" w:type="dxa"/>
            <w:vAlign w:val="center"/>
          </w:tcPr>
          <w:p w14:paraId="3B9A0668"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Ámbar Reyes Moto </w:t>
            </w:r>
          </w:p>
        </w:tc>
        <w:tc>
          <w:tcPr>
            <w:tcW w:w="613" w:type="dxa"/>
            <w:vAlign w:val="center"/>
          </w:tcPr>
          <w:p w14:paraId="1EF48785"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25</w:t>
            </w:r>
          </w:p>
        </w:tc>
      </w:tr>
      <w:tr w:rsidR="00F94B48" w:rsidRPr="00F32542" w14:paraId="451A3F10" w14:textId="77777777" w:rsidTr="00B65D24">
        <w:trPr>
          <w:jc w:val="center"/>
        </w:trPr>
        <w:tc>
          <w:tcPr>
            <w:tcW w:w="709" w:type="dxa"/>
            <w:vAlign w:val="center"/>
          </w:tcPr>
          <w:p w14:paraId="5DBFABF7"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4</w:t>
            </w:r>
          </w:p>
        </w:tc>
        <w:tc>
          <w:tcPr>
            <w:tcW w:w="857" w:type="dxa"/>
            <w:vAlign w:val="center"/>
          </w:tcPr>
          <w:p w14:paraId="1D351BE4"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Hombre</w:t>
            </w:r>
          </w:p>
        </w:tc>
        <w:tc>
          <w:tcPr>
            <w:tcW w:w="2387" w:type="dxa"/>
            <w:vAlign w:val="center"/>
          </w:tcPr>
          <w:p w14:paraId="197BC8A8"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proofErr w:type="spellStart"/>
            <w:r w:rsidRPr="00F32542">
              <w:rPr>
                <w:rFonts w:ascii="Arial" w:eastAsia="Calibri" w:hAnsi="Arial" w:cs="Times New Roman"/>
                <w:sz w:val="18"/>
                <w:szCs w:val="18"/>
                <w:lang w:val="es-ES"/>
              </w:rPr>
              <w:t>Anibal</w:t>
            </w:r>
            <w:proofErr w:type="spellEnd"/>
            <w:r w:rsidRPr="00F32542">
              <w:rPr>
                <w:rFonts w:ascii="Arial" w:eastAsia="Calibri" w:hAnsi="Arial" w:cs="Times New Roman"/>
                <w:sz w:val="18"/>
                <w:szCs w:val="18"/>
                <w:lang w:val="es-ES"/>
              </w:rPr>
              <w:t xml:space="preserve"> Alexandro </w:t>
            </w:r>
            <w:proofErr w:type="spellStart"/>
            <w:r w:rsidRPr="00F32542">
              <w:rPr>
                <w:rFonts w:ascii="Arial" w:eastAsia="Calibri" w:hAnsi="Arial" w:cs="Times New Roman"/>
                <w:sz w:val="18"/>
                <w:szCs w:val="18"/>
                <w:lang w:val="es-ES"/>
              </w:rPr>
              <w:t>Cáñez</w:t>
            </w:r>
            <w:proofErr w:type="spellEnd"/>
            <w:r w:rsidRPr="00F32542">
              <w:rPr>
                <w:rFonts w:ascii="Arial" w:eastAsia="Calibri" w:hAnsi="Arial" w:cs="Times New Roman"/>
                <w:sz w:val="18"/>
                <w:szCs w:val="18"/>
                <w:lang w:val="es-ES"/>
              </w:rPr>
              <w:t xml:space="preserve"> Morales </w:t>
            </w:r>
          </w:p>
        </w:tc>
        <w:tc>
          <w:tcPr>
            <w:tcW w:w="608" w:type="dxa"/>
            <w:vAlign w:val="center"/>
          </w:tcPr>
          <w:p w14:paraId="3CCD8BCE"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37</w:t>
            </w:r>
          </w:p>
        </w:tc>
        <w:tc>
          <w:tcPr>
            <w:tcW w:w="2113" w:type="dxa"/>
            <w:vAlign w:val="center"/>
          </w:tcPr>
          <w:p w14:paraId="34792F36"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Alain León </w:t>
            </w:r>
            <w:proofErr w:type="spellStart"/>
            <w:r w:rsidRPr="00F32542">
              <w:rPr>
                <w:rFonts w:ascii="Arial" w:eastAsia="Calibri" w:hAnsi="Arial" w:cs="Times New Roman"/>
                <w:sz w:val="18"/>
                <w:szCs w:val="18"/>
                <w:lang w:val="es-ES"/>
              </w:rPr>
              <w:t>Rasetti</w:t>
            </w:r>
            <w:proofErr w:type="spellEnd"/>
            <w:r w:rsidRPr="00F32542">
              <w:rPr>
                <w:rFonts w:ascii="Arial" w:eastAsia="Calibri" w:hAnsi="Arial" w:cs="Times New Roman"/>
                <w:sz w:val="18"/>
                <w:szCs w:val="18"/>
                <w:lang w:val="es-ES"/>
              </w:rPr>
              <w:t xml:space="preserve"> </w:t>
            </w:r>
          </w:p>
        </w:tc>
        <w:tc>
          <w:tcPr>
            <w:tcW w:w="613" w:type="dxa"/>
            <w:vAlign w:val="center"/>
          </w:tcPr>
          <w:p w14:paraId="2814E823"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28</w:t>
            </w:r>
          </w:p>
        </w:tc>
      </w:tr>
      <w:tr w:rsidR="00F94B48" w:rsidRPr="00F32542" w14:paraId="1D86FA94" w14:textId="77777777" w:rsidTr="00B65D24">
        <w:trPr>
          <w:jc w:val="center"/>
        </w:trPr>
        <w:tc>
          <w:tcPr>
            <w:tcW w:w="709" w:type="dxa"/>
            <w:vAlign w:val="center"/>
          </w:tcPr>
          <w:p w14:paraId="1AF21312"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5</w:t>
            </w:r>
          </w:p>
        </w:tc>
        <w:tc>
          <w:tcPr>
            <w:tcW w:w="857" w:type="dxa"/>
            <w:vAlign w:val="center"/>
          </w:tcPr>
          <w:p w14:paraId="53D24D3D"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Mujer</w:t>
            </w:r>
          </w:p>
        </w:tc>
        <w:tc>
          <w:tcPr>
            <w:tcW w:w="2387" w:type="dxa"/>
            <w:vAlign w:val="center"/>
          </w:tcPr>
          <w:p w14:paraId="45EA03BD"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María Gabriela Salido Magos </w:t>
            </w:r>
          </w:p>
        </w:tc>
        <w:tc>
          <w:tcPr>
            <w:tcW w:w="608" w:type="dxa"/>
            <w:vAlign w:val="center"/>
          </w:tcPr>
          <w:p w14:paraId="3D9E36B0"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50</w:t>
            </w:r>
          </w:p>
        </w:tc>
        <w:tc>
          <w:tcPr>
            <w:tcW w:w="2113" w:type="dxa"/>
            <w:vAlign w:val="center"/>
          </w:tcPr>
          <w:p w14:paraId="79A4CD49"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Vania </w:t>
            </w:r>
            <w:proofErr w:type="spellStart"/>
            <w:r w:rsidRPr="00F32542">
              <w:rPr>
                <w:rFonts w:ascii="Arial" w:eastAsia="Calibri" w:hAnsi="Arial" w:cs="Times New Roman"/>
                <w:sz w:val="18"/>
                <w:szCs w:val="18"/>
                <w:lang w:val="es-ES"/>
              </w:rPr>
              <w:t>Yael</w:t>
            </w:r>
            <w:proofErr w:type="spellEnd"/>
            <w:r w:rsidRPr="00F32542">
              <w:rPr>
                <w:rFonts w:ascii="Arial" w:eastAsia="Calibri" w:hAnsi="Arial" w:cs="Times New Roman"/>
                <w:sz w:val="18"/>
                <w:szCs w:val="18"/>
                <w:lang w:val="es-ES"/>
              </w:rPr>
              <w:t xml:space="preserve"> González Veloz </w:t>
            </w:r>
          </w:p>
        </w:tc>
        <w:tc>
          <w:tcPr>
            <w:tcW w:w="613" w:type="dxa"/>
            <w:vAlign w:val="center"/>
          </w:tcPr>
          <w:p w14:paraId="42645112"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27</w:t>
            </w:r>
          </w:p>
        </w:tc>
      </w:tr>
      <w:tr w:rsidR="00F94B48" w:rsidRPr="00F32542" w14:paraId="57726035" w14:textId="77777777" w:rsidTr="00B65D24">
        <w:trPr>
          <w:jc w:val="center"/>
        </w:trPr>
        <w:tc>
          <w:tcPr>
            <w:tcW w:w="709" w:type="dxa"/>
            <w:vAlign w:val="center"/>
          </w:tcPr>
          <w:p w14:paraId="5E47CDD7"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6</w:t>
            </w:r>
          </w:p>
        </w:tc>
        <w:tc>
          <w:tcPr>
            <w:tcW w:w="857" w:type="dxa"/>
            <w:vAlign w:val="center"/>
          </w:tcPr>
          <w:p w14:paraId="03B0954A"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Hombre</w:t>
            </w:r>
          </w:p>
        </w:tc>
        <w:tc>
          <w:tcPr>
            <w:tcW w:w="2387" w:type="dxa"/>
            <w:vAlign w:val="center"/>
          </w:tcPr>
          <w:p w14:paraId="285BE5BE"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Rodrigo Miranda Berumen </w:t>
            </w:r>
          </w:p>
        </w:tc>
        <w:tc>
          <w:tcPr>
            <w:tcW w:w="608" w:type="dxa"/>
            <w:vAlign w:val="center"/>
          </w:tcPr>
          <w:p w14:paraId="688963CA"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29</w:t>
            </w:r>
          </w:p>
        </w:tc>
        <w:tc>
          <w:tcPr>
            <w:tcW w:w="2113" w:type="dxa"/>
            <w:vAlign w:val="center"/>
          </w:tcPr>
          <w:p w14:paraId="79C63E4E"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Luis Paris Oviedo Guarneros </w:t>
            </w:r>
          </w:p>
        </w:tc>
        <w:tc>
          <w:tcPr>
            <w:tcW w:w="613" w:type="dxa"/>
            <w:vAlign w:val="center"/>
          </w:tcPr>
          <w:p w14:paraId="45513531"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35</w:t>
            </w:r>
          </w:p>
        </w:tc>
      </w:tr>
      <w:tr w:rsidR="00F94B48" w:rsidRPr="00F32542" w14:paraId="3AEA6FAB" w14:textId="77777777" w:rsidTr="00B65D24">
        <w:trPr>
          <w:jc w:val="center"/>
        </w:trPr>
        <w:tc>
          <w:tcPr>
            <w:tcW w:w="709" w:type="dxa"/>
            <w:vAlign w:val="center"/>
          </w:tcPr>
          <w:p w14:paraId="59E1AF10"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7</w:t>
            </w:r>
          </w:p>
        </w:tc>
        <w:tc>
          <w:tcPr>
            <w:tcW w:w="857" w:type="dxa"/>
            <w:vAlign w:val="center"/>
          </w:tcPr>
          <w:p w14:paraId="4205E289"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Mujer</w:t>
            </w:r>
          </w:p>
        </w:tc>
        <w:tc>
          <w:tcPr>
            <w:tcW w:w="2387" w:type="dxa"/>
            <w:vAlign w:val="center"/>
          </w:tcPr>
          <w:p w14:paraId="76D086EB"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Frida Jimena Guillen Ortíz </w:t>
            </w:r>
          </w:p>
        </w:tc>
        <w:tc>
          <w:tcPr>
            <w:tcW w:w="608" w:type="dxa"/>
            <w:vAlign w:val="center"/>
          </w:tcPr>
          <w:p w14:paraId="38D4EDD1"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24</w:t>
            </w:r>
          </w:p>
        </w:tc>
        <w:tc>
          <w:tcPr>
            <w:tcW w:w="2113" w:type="dxa"/>
            <w:vAlign w:val="center"/>
          </w:tcPr>
          <w:p w14:paraId="5BB43BEC"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proofErr w:type="spellStart"/>
            <w:r w:rsidRPr="00F32542">
              <w:rPr>
                <w:rFonts w:ascii="Arial" w:eastAsia="Calibri" w:hAnsi="Arial" w:cs="Times New Roman"/>
                <w:sz w:val="18"/>
                <w:szCs w:val="18"/>
                <w:lang w:val="es-ES"/>
              </w:rPr>
              <w:t>Ahichell</w:t>
            </w:r>
            <w:proofErr w:type="spellEnd"/>
            <w:r w:rsidRPr="00F32542">
              <w:rPr>
                <w:rFonts w:ascii="Arial" w:eastAsia="Calibri" w:hAnsi="Arial" w:cs="Times New Roman"/>
                <w:sz w:val="18"/>
                <w:szCs w:val="18"/>
                <w:lang w:val="es-ES"/>
              </w:rPr>
              <w:t xml:space="preserve"> Sánchez Valle </w:t>
            </w:r>
          </w:p>
        </w:tc>
        <w:tc>
          <w:tcPr>
            <w:tcW w:w="613" w:type="dxa"/>
            <w:vAlign w:val="center"/>
          </w:tcPr>
          <w:p w14:paraId="2C6BB423"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27</w:t>
            </w:r>
          </w:p>
        </w:tc>
      </w:tr>
      <w:tr w:rsidR="00F94B48" w:rsidRPr="00F32542" w14:paraId="22140848" w14:textId="77777777" w:rsidTr="00B65D24">
        <w:trPr>
          <w:jc w:val="center"/>
        </w:trPr>
        <w:tc>
          <w:tcPr>
            <w:tcW w:w="709" w:type="dxa"/>
            <w:vAlign w:val="center"/>
          </w:tcPr>
          <w:p w14:paraId="4ECABB80"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8</w:t>
            </w:r>
          </w:p>
        </w:tc>
        <w:tc>
          <w:tcPr>
            <w:tcW w:w="857" w:type="dxa"/>
            <w:vAlign w:val="center"/>
          </w:tcPr>
          <w:p w14:paraId="5288092C"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Hombre</w:t>
            </w:r>
          </w:p>
        </w:tc>
        <w:tc>
          <w:tcPr>
            <w:tcW w:w="2387" w:type="dxa"/>
            <w:vAlign w:val="center"/>
          </w:tcPr>
          <w:p w14:paraId="47D4B77F"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Andrés Sánchez Miranda </w:t>
            </w:r>
          </w:p>
        </w:tc>
        <w:tc>
          <w:tcPr>
            <w:tcW w:w="608" w:type="dxa"/>
            <w:vAlign w:val="center"/>
          </w:tcPr>
          <w:p w14:paraId="46906D29"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36</w:t>
            </w:r>
          </w:p>
        </w:tc>
        <w:tc>
          <w:tcPr>
            <w:tcW w:w="2113" w:type="dxa"/>
            <w:vAlign w:val="center"/>
          </w:tcPr>
          <w:p w14:paraId="2DB8988F"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Isabel Priscila Vera Hernández </w:t>
            </w:r>
          </w:p>
        </w:tc>
        <w:tc>
          <w:tcPr>
            <w:tcW w:w="613" w:type="dxa"/>
            <w:vAlign w:val="center"/>
          </w:tcPr>
          <w:p w14:paraId="1DC1778C"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39</w:t>
            </w:r>
          </w:p>
        </w:tc>
      </w:tr>
      <w:tr w:rsidR="00F94B48" w:rsidRPr="00F32542" w14:paraId="646BD3A4" w14:textId="77777777" w:rsidTr="00B65D24">
        <w:trPr>
          <w:jc w:val="center"/>
        </w:trPr>
        <w:tc>
          <w:tcPr>
            <w:tcW w:w="709" w:type="dxa"/>
            <w:vAlign w:val="center"/>
          </w:tcPr>
          <w:p w14:paraId="758E8480"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9</w:t>
            </w:r>
          </w:p>
        </w:tc>
        <w:tc>
          <w:tcPr>
            <w:tcW w:w="857" w:type="dxa"/>
            <w:vAlign w:val="center"/>
          </w:tcPr>
          <w:p w14:paraId="777E143D"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Mujer</w:t>
            </w:r>
          </w:p>
        </w:tc>
        <w:tc>
          <w:tcPr>
            <w:tcW w:w="2387" w:type="dxa"/>
            <w:vAlign w:val="center"/>
          </w:tcPr>
          <w:p w14:paraId="3ADB5E2C"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Ana Jessica Ramírez Colín </w:t>
            </w:r>
          </w:p>
        </w:tc>
        <w:tc>
          <w:tcPr>
            <w:tcW w:w="608" w:type="dxa"/>
            <w:vAlign w:val="center"/>
          </w:tcPr>
          <w:p w14:paraId="0CB89B20"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25</w:t>
            </w:r>
          </w:p>
        </w:tc>
        <w:tc>
          <w:tcPr>
            <w:tcW w:w="2113" w:type="dxa"/>
            <w:vAlign w:val="center"/>
          </w:tcPr>
          <w:p w14:paraId="2123C5A3"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Guadalupe Estefanía Gaona Oyola </w:t>
            </w:r>
          </w:p>
        </w:tc>
        <w:tc>
          <w:tcPr>
            <w:tcW w:w="613" w:type="dxa"/>
            <w:vAlign w:val="center"/>
          </w:tcPr>
          <w:p w14:paraId="7461BBBA"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27</w:t>
            </w:r>
          </w:p>
        </w:tc>
      </w:tr>
      <w:tr w:rsidR="00F94B48" w:rsidRPr="00F32542" w14:paraId="03950586" w14:textId="77777777" w:rsidTr="00B65D24">
        <w:trPr>
          <w:jc w:val="center"/>
        </w:trPr>
        <w:tc>
          <w:tcPr>
            <w:tcW w:w="709" w:type="dxa"/>
            <w:vAlign w:val="center"/>
          </w:tcPr>
          <w:p w14:paraId="17A32B33"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10</w:t>
            </w:r>
          </w:p>
        </w:tc>
        <w:tc>
          <w:tcPr>
            <w:tcW w:w="857" w:type="dxa"/>
            <w:vAlign w:val="center"/>
          </w:tcPr>
          <w:p w14:paraId="69BCF73A"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Hombre</w:t>
            </w:r>
          </w:p>
        </w:tc>
        <w:tc>
          <w:tcPr>
            <w:tcW w:w="2387" w:type="dxa"/>
            <w:vAlign w:val="center"/>
          </w:tcPr>
          <w:p w14:paraId="116552A6"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Israel Landgrave Castillo </w:t>
            </w:r>
          </w:p>
        </w:tc>
        <w:tc>
          <w:tcPr>
            <w:tcW w:w="608" w:type="dxa"/>
            <w:vAlign w:val="center"/>
          </w:tcPr>
          <w:p w14:paraId="77207754"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45</w:t>
            </w:r>
          </w:p>
        </w:tc>
        <w:tc>
          <w:tcPr>
            <w:tcW w:w="2113" w:type="dxa"/>
            <w:vAlign w:val="center"/>
          </w:tcPr>
          <w:p w14:paraId="338EC73B"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Ricardo Zárate León </w:t>
            </w:r>
          </w:p>
        </w:tc>
        <w:tc>
          <w:tcPr>
            <w:tcW w:w="613" w:type="dxa"/>
            <w:vAlign w:val="center"/>
          </w:tcPr>
          <w:p w14:paraId="077DE3B3"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32</w:t>
            </w:r>
          </w:p>
        </w:tc>
      </w:tr>
      <w:tr w:rsidR="00F94B48" w:rsidRPr="00F32542" w14:paraId="68710EC2" w14:textId="77777777" w:rsidTr="00B65D24">
        <w:trPr>
          <w:jc w:val="center"/>
        </w:trPr>
        <w:tc>
          <w:tcPr>
            <w:tcW w:w="709" w:type="dxa"/>
            <w:vAlign w:val="center"/>
          </w:tcPr>
          <w:p w14:paraId="0701A1B3"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11</w:t>
            </w:r>
          </w:p>
        </w:tc>
        <w:tc>
          <w:tcPr>
            <w:tcW w:w="857" w:type="dxa"/>
            <w:vAlign w:val="center"/>
          </w:tcPr>
          <w:p w14:paraId="64A51675"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Mujer</w:t>
            </w:r>
          </w:p>
        </w:tc>
        <w:tc>
          <w:tcPr>
            <w:tcW w:w="2387" w:type="dxa"/>
            <w:vAlign w:val="center"/>
          </w:tcPr>
          <w:p w14:paraId="2C5B7CD1"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rPr>
              <w:t xml:space="preserve">Liza Fernanda Carmona Ortega </w:t>
            </w:r>
          </w:p>
        </w:tc>
        <w:tc>
          <w:tcPr>
            <w:tcW w:w="608" w:type="dxa"/>
            <w:vAlign w:val="center"/>
          </w:tcPr>
          <w:p w14:paraId="4CD0307F"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26</w:t>
            </w:r>
          </w:p>
        </w:tc>
        <w:tc>
          <w:tcPr>
            <w:tcW w:w="2113" w:type="dxa"/>
            <w:vAlign w:val="center"/>
          </w:tcPr>
          <w:p w14:paraId="69E1586B"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rPr>
              <w:t xml:space="preserve">María Fernanda Santoyo Cano </w:t>
            </w:r>
          </w:p>
        </w:tc>
        <w:tc>
          <w:tcPr>
            <w:tcW w:w="613" w:type="dxa"/>
            <w:vAlign w:val="center"/>
          </w:tcPr>
          <w:p w14:paraId="0509EA60"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23</w:t>
            </w:r>
          </w:p>
        </w:tc>
      </w:tr>
      <w:tr w:rsidR="00F94B48" w:rsidRPr="00F32542" w14:paraId="60E47CA1" w14:textId="77777777" w:rsidTr="00B65D24">
        <w:trPr>
          <w:jc w:val="center"/>
        </w:trPr>
        <w:tc>
          <w:tcPr>
            <w:tcW w:w="709" w:type="dxa"/>
            <w:vAlign w:val="center"/>
          </w:tcPr>
          <w:p w14:paraId="545016EC"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12</w:t>
            </w:r>
          </w:p>
        </w:tc>
        <w:tc>
          <w:tcPr>
            <w:tcW w:w="857" w:type="dxa"/>
            <w:vAlign w:val="center"/>
          </w:tcPr>
          <w:p w14:paraId="1F8C2B89"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Hombre</w:t>
            </w:r>
          </w:p>
        </w:tc>
        <w:tc>
          <w:tcPr>
            <w:tcW w:w="2387" w:type="dxa"/>
            <w:vAlign w:val="center"/>
          </w:tcPr>
          <w:p w14:paraId="5F6EEB67"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rPr>
              <w:t xml:space="preserve">Luis Alberto Granados Llamas </w:t>
            </w:r>
          </w:p>
        </w:tc>
        <w:tc>
          <w:tcPr>
            <w:tcW w:w="608" w:type="dxa"/>
            <w:vAlign w:val="center"/>
          </w:tcPr>
          <w:p w14:paraId="3D49B6F2"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26</w:t>
            </w:r>
          </w:p>
        </w:tc>
        <w:tc>
          <w:tcPr>
            <w:tcW w:w="2113" w:type="dxa"/>
            <w:vAlign w:val="center"/>
          </w:tcPr>
          <w:p w14:paraId="4FFC244D"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rPr>
              <w:t xml:space="preserve">Uriel Alejandro Pérez Ayala </w:t>
            </w:r>
          </w:p>
        </w:tc>
        <w:tc>
          <w:tcPr>
            <w:tcW w:w="613" w:type="dxa"/>
            <w:vAlign w:val="center"/>
          </w:tcPr>
          <w:p w14:paraId="17097544"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27</w:t>
            </w:r>
          </w:p>
        </w:tc>
      </w:tr>
      <w:tr w:rsidR="00F94B48" w:rsidRPr="00F32542" w14:paraId="0310191D" w14:textId="77777777" w:rsidTr="00B65D24">
        <w:trPr>
          <w:jc w:val="center"/>
        </w:trPr>
        <w:tc>
          <w:tcPr>
            <w:tcW w:w="709" w:type="dxa"/>
            <w:vAlign w:val="center"/>
          </w:tcPr>
          <w:p w14:paraId="388E1EE8"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13</w:t>
            </w:r>
          </w:p>
        </w:tc>
        <w:tc>
          <w:tcPr>
            <w:tcW w:w="857" w:type="dxa"/>
            <w:vAlign w:val="center"/>
          </w:tcPr>
          <w:p w14:paraId="3F446BC5"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Mujer</w:t>
            </w:r>
          </w:p>
        </w:tc>
        <w:tc>
          <w:tcPr>
            <w:tcW w:w="2387" w:type="dxa"/>
            <w:vAlign w:val="center"/>
          </w:tcPr>
          <w:p w14:paraId="3EE734F7" w14:textId="77777777" w:rsidR="00F94B48" w:rsidRPr="00F32542" w:rsidRDefault="00F94B48" w:rsidP="00F94B48">
            <w:pPr>
              <w:widowControl w:val="0"/>
              <w:spacing w:after="0" w:line="240" w:lineRule="auto"/>
              <w:jc w:val="center"/>
              <w:rPr>
                <w:rFonts w:ascii="Arial" w:eastAsia="Calibri" w:hAnsi="Arial" w:cs="Times New Roman"/>
                <w:sz w:val="18"/>
                <w:szCs w:val="18"/>
              </w:rPr>
            </w:pPr>
            <w:r w:rsidRPr="00F32542">
              <w:rPr>
                <w:rFonts w:ascii="Arial" w:eastAsia="Calibri" w:hAnsi="Arial" w:cs="Times New Roman"/>
                <w:sz w:val="18"/>
                <w:szCs w:val="18"/>
              </w:rPr>
              <w:t xml:space="preserve">Elsa Alicia Montserrat Llarena Jiménez </w:t>
            </w:r>
          </w:p>
        </w:tc>
        <w:tc>
          <w:tcPr>
            <w:tcW w:w="608" w:type="dxa"/>
            <w:vAlign w:val="center"/>
          </w:tcPr>
          <w:p w14:paraId="46E7BDC0"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28</w:t>
            </w:r>
          </w:p>
        </w:tc>
        <w:tc>
          <w:tcPr>
            <w:tcW w:w="2113" w:type="dxa"/>
            <w:vAlign w:val="center"/>
          </w:tcPr>
          <w:p w14:paraId="4367364E" w14:textId="77777777" w:rsidR="00F94B48" w:rsidRPr="00F32542" w:rsidRDefault="00F94B48" w:rsidP="00F94B48">
            <w:pPr>
              <w:widowControl w:val="0"/>
              <w:spacing w:after="0" w:line="240" w:lineRule="auto"/>
              <w:jc w:val="center"/>
              <w:rPr>
                <w:rFonts w:ascii="Arial" w:eastAsia="Calibri" w:hAnsi="Arial" w:cs="Times New Roman"/>
                <w:sz w:val="18"/>
                <w:szCs w:val="18"/>
              </w:rPr>
            </w:pPr>
            <w:r w:rsidRPr="00F32542">
              <w:rPr>
                <w:rFonts w:ascii="Arial" w:eastAsia="Calibri" w:hAnsi="Arial" w:cs="Times New Roman"/>
                <w:sz w:val="18"/>
                <w:szCs w:val="18"/>
              </w:rPr>
              <w:t xml:space="preserve">Alina Andrea Guzmán López </w:t>
            </w:r>
          </w:p>
        </w:tc>
        <w:tc>
          <w:tcPr>
            <w:tcW w:w="613" w:type="dxa"/>
            <w:vAlign w:val="center"/>
          </w:tcPr>
          <w:p w14:paraId="699B3A15"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28</w:t>
            </w:r>
          </w:p>
        </w:tc>
      </w:tr>
      <w:tr w:rsidR="00F94B48" w:rsidRPr="00F32542" w14:paraId="621320F7" w14:textId="77777777" w:rsidTr="00B65D24">
        <w:trPr>
          <w:jc w:val="center"/>
        </w:trPr>
        <w:tc>
          <w:tcPr>
            <w:tcW w:w="709" w:type="dxa"/>
            <w:vAlign w:val="center"/>
          </w:tcPr>
          <w:p w14:paraId="1BA02D14"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14</w:t>
            </w:r>
          </w:p>
        </w:tc>
        <w:tc>
          <w:tcPr>
            <w:tcW w:w="857" w:type="dxa"/>
            <w:vAlign w:val="center"/>
          </w:tcPr>
          <w:p w14:paraId="6AEE0CF1"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Hombre</w:t>
            </w:r>
          </w:p>
        </w:tc>
        <w:tc>
          <w:tcPr>
            <w:tcW w:w="2387" w:type="dxa"/>
            <w:vAlign w:val="center"/>
          </w:tcPr>
          <w:p w14:paraId="49735EA1" w14:textId="77777777" w:rsidR="00F94B48" w:rsidRPr="00F32542" w:rsidRDefault="00F94B48" w:rsidP="00F94B48">
            <w:pPr>
              <w:widowControl w:val="0"/>
              <w:spacing w:after="0" w:line="240" w:lineRule="auto"/>
              <w:jc w:val="center"/>
              <w:rPr>
                <w:rFonts w:ascii="Arial" w:eastAsia="Calibri" w:hAnsi="Arial" w:cs="Times New Roman"/>
                <w:sz w:val="18"/>
                <w:szCs w:val="18"/>
              </w:rPr>
            </w:pPr>
            <w:r w:rsidRPr="00F32542">
              <w:rPr>
                <w:rFonts w:ascii="Arial" w:eastAsia="Calibri" w:hAnsi="Arial" w:cs="Times New Roman"/>
                <w:sz w:val="18"/>
                <w:szCs w:val="18"/>
              </w:rPr>
              <w:t xml:space="preserve">Moisés Alain Matamoros Vences </w:t>
            </w:r>
          </w:p>
        </w:tc>
        <w:tc>
          <w:tcPr>
            <w:tcW w:w="608" w:type="dxa"/>
            <w:vAlign w:val="center"/>
          </w:tcPr>
          <w:p w14:paraId="6A0221AC"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27</w:t>
            </w:r>
          </w:p>
        </w:tc>
        <w:tc>
          <w:tcPr>
            <w:tcW w:w="2113" w:type="dxa"/>
            <w:vAlign w:val="center"/>
          </w:tcPr>
          <w:p w14:paraId="6ED2C5DB" w14:textId="77777777" w:rsidR="00F94B48" w:rsidRPr="00F32542" w:rsidRDefault="00F94B48" w:rsidP="00F94B48">
            <w:pPr>
              <w:widowControl w:val="0"/>
              <w:spacing w:after="0" w:line="240" w:lineRule="auto"/>
              <w:jc w:val="center"/>
              <w:rPr>
                <w:rFonts w:ascii="Arial" w:eastAsia="Calibri" w:hAnsi="Arial" w:cs="Times New Roman"/>
                <w:sz w:val="18"/>
                <w:szCs w:val="18"/>
              </w:rPr>
            </w:pPr>
            <w:r w:rsidRPr="00F32542">
              <w:rPr>
                <w:rFonts w:ascii="Arial" w:eastAsia="Calibri" w:hAnsi="Arial" w:cs="Times New Roman"/>
                <w:sz w:val="18"/>
                <w:szCs w:val="18"/>
              </w:rPr>
              <w:t xml:space="preserve">Eduardo Daniel Aguilar Hernández </w:t>
            </w:r>
          </w:p>
        </w:tc>
        <w:tc>
          <w:tcPr>
            <w:tcW w:w="613" w:type="dxa"/>
            <w:vAlign w:val="center"/>
          </w:tcPr>
          <w:p w14:paraId="26FD64DC"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27</w:t>
            </w:r>
          </w:p>
        </w:tc>
      </w:tr>
      <w:tr w:rsidR="00F94B48" w:rsidRPr="00F32542" w14:paraId="26BE3853" w14:textId="77777777" w:rsidTr="00B65D24">
        <w:trPr>
          <w:jc w:val="center"/>
        </w:trPr>
        <w:tc>
          <w:tcPr>
            <w:tcW w:w="709" w:type="dxa"/>
            <w:vAlign w:val="center"/>
          </w:tcPr>
          <w:p w14:paraId="12E483CB"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15</w:t>
            </w:r>
          </w:p>
        </w:tc>
        <w:tc>
          <w:tcPr>
            <w:tcW w:w="857" w:type="dxa"/>
            <w:vAlign w:val="center"/>
          </w:tcPr>
          <w:p w14:paraId="63A0B0FA"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Mujer</w:t>
            </w:r>
          </w:p>
        </w:tc>
        <w:tc>
          <w:tcPr>
            <w:tcW w:w="2387" w:type="dxa"/>
            <w:vAlign w:val="center"/>
          </w:tcPr>
          <w:p w14:paraId="26B2436F" w14:textId="77777777" w:rsidR="00F94B48" w:rsidRPr="00F32542" w:rsidRDefault="00F94B48" w:rsidP="00F94B48">
            <w:pPr>
              <w:widowControl w:val="0"/>
              <w:spacing w:after="0" w:line="240" w:lineRule="auto"/>
              <w:jc w:val="center"/>
              <w:rPr>
                <w:rFonts w:ascii="Arial" w:eastAsia="Calibri" w:hAnsi="Arial" w:cs="Times New Roman"/>
                <w:sz w:val="18"/>
                <w:szCs w:val="18"/>
              </w:rPr>
            </w:pPr>
            <w:r w:rsidRPr="00F32542">
              <w:rPr>
                <w:rFonts w:ascii="Arial" w:eastAsia="Calibri" w:hAnsi="Arial" w:cs="Times New Roman"/>
                <w:sz w:val="18"/>
                <w:szCs w:val="18"/>
              </w:rPr>
              <w:t xml:space="preserve">Janet Hernández Pérez </w:t>
            </w:r>
          </w:p>
        </w:tc>
        <w:tc>
          <w:tcPr>
            <w:tcW w:w="608" w:type="dxa"/>
            <w:vAlign w:val="center"/>
          </w:tcPr>
          <w:p w14:paraId="1FD1C049"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26</w:t>
            </w:r>
          </w:p>
        </w:tc>
        <w:tc>
          <w:tcPr>
            <w:tcW w:w="2113" w:type="dxa"/>
            <w:vAlign w:val="center"/>
          </w:tcPr>
          <w:p w14:paraId="4CCA6485" w14:textId="77777777" w:rsidR="00F94B48" w:rsidRPr="00F32542" w:rsidRDefault="00F94B48" w:rsidP="00F94B48">
            <w:pPr>
              <w:widowControl w:val="0"/>
              <w:spacing w:after="0" w:line="240" w:lineRule="auto"/>
              <w:jc w:val="center"/>
              <w:rPr>
                <w:rFonts w:ascii="Arial" w:eastAsia="Calibri" w:hAnsi="Arial" w:cs="Times New Roman"/>
                <w:sz w:val="18"/>
                <w:szCs w:val="18"/>
              </w:rPr>
            </w:pPr>
            <w:r w:rsidRPr="00F32542">
              <w:rPr>
                <w:rFonts w:ascii="Arial" w:eastAsia="Calibri" w:hAnsi="Arial" w:cs="Times New Roman"/>
                <w:sz w:val="18"/>
                <w:szCs w:val="18"/>
              </w:rPr>
              <w:t xml:space="preserve">Aria López Ávalos </w:t>
            </w:r>
          </w:p>
        </w:tc>
        <w:tc>
          <w:tcPr>
            <w:tcW w:w="613" w:type="dxa"/>
            <w:vAlign w:val="center"/>
          </w:tcPr>
          <w:p w14:paraId="0B7F1E68"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23</w:t>
            </w:r>
          </w:p>
        </w:tc>
      </w:tr>
      <w:tr w:rsidR="00F94B48" w:rsidRPr="00F32542" w14:paraId="658827AA" w14:textId="77777777" w:rsidTr="00B65D24">
        <w:trPr>
          <w:jc w:val="center"/>
        </w:trPr>
        <w:tc>
          <w:tcPr>
            <w:tcW w:w="709" w:type="dxa"/>
            <w:vAlign w:val="center"/>
          </w:tcPr>
          <w:p w14:paraId="6A8398FF"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16</w:t>
            </w:r>
          </w:p>
        </w:tc>
        <w:tc>
          <w:tcPr>
            <w:tcW w:w="857" w:type="dxa"/>
            <w:vAlign w:val="center"/>
          </w:tcPr>
          <w:p w14:paraId="55916E77"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Hombre</w:t>
            </w:r>
          </w:p>
        </w:tc>
        <w:tc>
          <w:tcPr>
            <w:tcW w:w="2387" w:type="dxa"/>
            <w:vAlign w:val="center"/>
          </w:tcPr>
          <w:p w14:paraId="4747A06C" w14:textId="77777777" w:rsidR="00F94B48" w:rsidRPr="00F32542" w:rsidRDefault="00F94B48" w:rsidP="00F94B48">
            <w:pPr>
              <w:widowControl w:val="0"/>
              <w:spacing w:after="0" w:line="240" w:lineRule="auto"/>
              <w:jc w:val="center"/>
              <w:rPr>
                <w:rFonts w:ascii="Arial" w:eastAsia="Calibri" w:hAnsi="Arial" w:cs="Times New Roman"/>
                <w:sz w:val="18"/>
                <w:szCs w:val="18"/>
              </w:rPr>
            </w:pPr>
            <w:r w:rsidRPr="00F32542">
              <w:rPr>
                <w:rFonts w:ascii="Arial" w:eastAsia="Calibri" w:hAnsi="Arial" w:cs="Times New Roman"/>
                <w:sz w:val="18"/>
                <w:szCs w:val="18"/>
              </w:rPr>
              <w:t xml:space="preserve">Raúl Enrique Varela Curiel </w:t>
            </w:r>
          </w:p>
        </w:tc>
        <w:tc>
          <w:tcPr>
            <w:tcW w:w="608" w:type="dxa"/>
            <w:vAlign w:val="center"/>
          </w:tcPr>
          <w:p w14:paraId="21E23D3B"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26</w:t>
            </w:r>
          </w:p>
        </w:tc>
        <w:tc>
          <w:tcPr>
            <w:tcW w:w="2113" w:type="dxa"/>
            <w:vAlign w:val="center"/>
          </w:tcPr>
          <w:p w14:paraId="7F53CCC8" w14:textId="77777777" w:rsidR="00F94B48" w:rsidRPr="00F32542" w:rsidRDefault="00F94B48" w:rsidP="00F94B48">
            <w:pPr>
              <w:widowControl w:val="0"/>
              <w:spacing w:after="0" w:line="240" w:lineRule="auto"/>
              <w:jc w:val="center"/>
              <w:rPr>
                <w:rFonts w:ascii="Arial" w:eastAsia="Calibri" w:hAnsi="Arial" w:cs="Times New Roman"/>
                <w:sz w:val="18"/>
                <w:szCs w:val="18"/>
              </w:rPr>
            </w:pPr>
            <w:r w:rsidRPr="00F32542">
              <w:rPr>
                <w:rFonts w:ascii="Arial" w:eastAsia="Calibri" w:hAnsi="Arial" w:cs="Times New Roman"/>
                <w:sz w:val="18"/>
                <w:szCs w:val="18"/>
              </w:rPr>
              <w:t xml:space="preserve">Aarón Lisandro Soto García </w:t>
            </w:r>
          </w:p>
        </w:tc>
        <w:tc>
          <w:tcPr>
            <w:tcW w:w="613" w:type="dxa"/>
            <w:vAlign w:val="center"/>
          </w:tcPr>
          <w:p w14:paraId="4CE41861"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26</w:t>
            </w:r>
          </w:p>
        </w:tc>
      </w:tr>
    </w:tbl>
    <w:p w14:paraId="33668A36" w14:textId="77777777" w:rsidR="00F94B48" w:rsidRPr="00F32542" w:rsidRDefault="00F94B48" w:rsidP="00F94B48">
      <w:pPr>
        <w:widowControl w:val="0"/>
        <w:spacing w:after="0" w:line="360" w:lineRule="auto"/>
        <w:ind w:left="720"/>
        <w:contextualSpacing/>
        <w:jc w:val="both"/>
        <w:rPr>
          <w:rFonts w:ascii="Arial" w:eastAsia="Calibri" w:hAnsi="Arial" w:cs="Times New Roman"/>
          <w:sz w:val="28"/>
          <w:szCs w:val="28"/>
          <w:lang w:val="es-ES"/>
        </w:rPr>
      </w:pPr>
    </w:p>
    <w:p w14:paraId="7FD11134" w14:textId="77777777" w:rsidR="00F94B48" w:rsidRPr="00F32542" w:rsidRDefault="00F94B48" w:rsidP="00F94B48">
      <w:pPr>
        <w:widowControl w:val="0"/>
        <w:spacing w:after="0" w:line="360" w:lineRule="auto"/>
        <w:jc w:val="both"/>
        <w:rPr>
          <w:rFonts w:ascii="Arial" w:eastAsia="Calibri" w:hAnsi="Arial" w:cs="Times New Roman"/>
          <w:sz w:val="28"/>
          <w:szCs w:val="28"/>
          <w:lang w:val="es-ES"/>
        </w:rPr>
      </w:pPr>
      <w:r w:rsidRPr="00F32542">
        <w:rPr>
          <w:rFonts w:ascii="Arial" w:eastAsia="Calibri" w:hAnsi="Arial" w:cs="Times New Roman"/>
          <w:sz w:val="28"/>
          <w:szCs w:val="28"/>
          <w:lang w:val="es-ES"/>
        </w:rPr>
        <w:t xml:space="preserve">Ahora bien, partiendo de la normativa aplicable y los hechos narrados, este </w:t>
      </w:r>
      <w:r w:rsidRPr="00F32542">
        <w:rPr>
          <w:rFonts w:ascii="Arial" w:eastAsia="Calibri" w:hAnsi="Arial" w:cs="Times New Roman"/>
          <w:i/>
          <w:sz w:val="28"/>
          <w:szCs w:val="28"/>
          <w:lang w:val="es-ES"/>
        </w:rPr>
        <w:t>Tribunal Electoral</w:t>
      </w:r>
      <w:r w:rsidRPr="00F32542">
        <w:rPr>
          <w:rFonts w:ascii="Arial" w:eastAsia="Calibri" w:hAnsi="Arial" w:cs="Times New Roman"/>
          <w:sz w:val="28"/>
          <w:szCs w:val="28"/>
          <w:lang w:val="es-ES"/>
        </w:rPr>
        <w:t xml:space="preserve"> considera que el ajuste a la lista A del </w:t>
      </w:r>
      <w:r w:rsidRPr="00F32542">
        <w:rPr>
          <w:rFonts w:ascii="Arial" w:eastAsia="Calibri" w:hAnsi="Arial" w:cs="Times New Roman"/>
          <w:i/>
          <w:sz w:val="28"/>
          <w:szCs w:val="28"/>
          <w:lang w:val="es-ES"/>
        </w:rPr>
        <w:t>PAN</w:t>
      </w:r>
      <w:r w:rsidRPr="00F32542">
        <w:rPr>
          <w:rFonts w:ascii="Arial" w:eastAsia="Calibri" w:hAnsi="Arial" w:cs="Times New Roman"/>
          <w:sz w:val="28"/>
          <w:szCs w:val="28"/>
          <w:lang w:val="es-ES"/>
        </w:rPr>
        <w:t xml:space="preserve"> es </w:t>
      </w:r>
      <w:r w:rsidRPr="00F32542">
        <w:rPr>
          <w:rFonts w:ascii="Arial" w:eastAsia="Calibri" w:hAnsi="Arial" w:cs="Times New Roman"/>
          <w:sz w:val="28"/>
          <w:szCs w:val="28"/>
          <w:lang w:val="es-ES"/>
        </w:rPr>
        <w:lastRenderedPageBreak/>
        <w:t xml:space="preserve">indebido, dado que era injustificado e innecesario. </w:t>
      </w:r>
    </w:p>
    <w:p w14:paraId="128E050F" w14:textId="77777777" w:rsidR="00F94B48" w:rsidRPr="00F32542" w:rsidRDefault="00F94B48" w:rsidP="00F94B48">
      <w:pPr>
        <w:widowControl w:val="0"/>
        <w:spacing w:after="0" w:line="360" w:lineRule="auto"/>
        <w:jc w:val="both"/>
        <w:rPr>
          <w:rFonts w:ascii="Arial" w:eastAsia="Calibri" w:hAnsi="Arial" w:cs="Times New Roman"/>
          <w:sz w:val="28"/>
          <w:szCs w:val="28"/>
          <w:lang w:val="es-ES"/>
        </w:rPr>
      </w:pPr>
    </w:p>
    <w:p w14:paraId="6D64CC04" w14:textId="77777777" w:rsidR="00F94B48" w:rsidRPr="00F32542" w:rsidRDefault="00F94B48" w:rsidP="00F94B48">
      <w:pPr>
        <w:widowControl w:val="0"/>
        <w:spacing w:after="0" w:line="360" w:lineRule="auto"/>
        <w:jc w:val="both"/>
        <w:rPr>
          <w:rFonts w:ascii="Arial" w:eastAsia="Calibri" w:hAnsi="Arial" w:cs="Times New Roman"/>
          <w:sz w:val="28"/>
          <w:szCs w:val="28"/>
          <w:lang w:val="es-ES"/>
        </w:rPr>
      </w:pPr>
      <w:r w:rsidRPr="00F32542">
        <w:rPr>
          <w:rFonts w:ascii="Arial" w:eastAsia="Calibri" w:hAnsi="Arial" w:cs="Times New Roman"/>
          <w:sz w:val="28"/>
          <w:szCs w:val="28"/>
          <w:lang w:val="es-ES"/>
        </w:rPr>
        <w:t xml:space="preserve">En efecto, en primer lugar, como se vio, la lista A prima estrictamente no forma parte de la lista A, sino que, si bien, es regulada como un apartado de ella, ambos listados son independientes, atendiendo a su finalidad específica, puesto que la primera es tendente a la postulación de la candidatura migrante a ser votada por la ciudadanía originaria de la Ciudad de México residente en el extranjero, mientras la lista A contiene las postulaciones a las diputaciones de representación proporcional a votarse presencialmente en la Ciudad de México. </w:t>
      </w:r>
    </w:p>
    <w:p w14:paraId="4EF39ECD" w14:textId="77777777" w:rsidR="00F94B48" w:rsidRPr="00F32542" w:rsidRDefault="00F94B48" w:rsidP="00F94B48">
      <w:pPr>
        <w:widowControl w:val="0"/>
        <w:spacing w:after="0" w:line="360" w:lineRule="auto"/>
        <w:jc w:val="both"/>
        <w:rPr>
          <w:rFonts w:ascii="Arial" w:eastAsia="Calibri" w:hAnsi="Arial" w:cs="Times New Roman"/>
          <w:sz w:val="28"/>
          <w:szCs w:val="28"/>
          <w:lang w:val="es-ES"/>
        </w:rPr>
      </w:pPr>
    </w:p>
    <w:p w14:paraId="7320074B" w14:textId="77777777" w:rsidR="00F94B48" w:rsidRPr="00F32542" w:rsidRDefault="00F94B48" w:rsidP="00F94B48">
      <w:pPr>
        <w:widowControl w:val="0"/>
        <w:spacing w:after="0" w:line="360" w:lineRule="auto"/>
        <w:jc w:val="both"/>
        <w:rPr>
          <w:rFonts w:ascii="Arial" w:eastAsia="Calibri" w:hAnsi="Arial" w:cs="Times New Roman"/>
          <w:sz w:val="28"/>
          <w:szCs w:val="28"/>
          <w:lang w:val="es-ES"/>
        </w:rPr>
      </w:pPr>
      <w:r w:rsidRPr="00F32542">
        <w:rPr>
          <w:rFonts w:ascii="Arial" w:eastAsia="Calibri" w:hAnsi="Arial" w:cs="Times New Roman"/>
          <w:sz w:val="28"/>
          <w:szCs w:val="28"/>
          <w:lang w:val="es-ES"/>
        </w:rPr>
        <w:t xml:space="preserve">De manera que, si la fórmula de personas candidatas a la diputación migrante obtuvo el triunfo en la elección, no era procedente integrarla a la lista A, sino directamente considerarla el primer lugar entre las asignaciones del </w:t>
      </w:r>
      <w:r w:rsidRPr="00F32542">
        <w:rPr>
          <w:rFonts w:ascii="Arial" w:eastAsia="Calibri" w:hAnsi="Arial" w:cs="Times New Roman"/>
          <w:i/>
          <w:sz w:val="28"/>
          <w:szCs w:val="28"/>
          <w:lang w:val="es-ES"/>
        </w:rPr>
        <w:t>PAN</w:t>
      </w:r>
      <w:r w:rsidRPr="00F32542">
        <w:rPr>
          <w:rFonts w:ascii="Arial" w:eastAsia="Calibri" w:hAnsi="Arial" w:cs="Times New Roman"/>
          <w:sz w:val="28"/>
          <w:szCs w:val="28"/>
          <w:lang w:val="es-ES"/>
        </w:rPr>
        <w:t xml:space="preserve">, precisamente, por no requerir el desarrollo de algún procedimiento o fórmula para ello. </w:t>
      </w:r>
    </w:p>
    <w:p w14:paraId="2EC4CCDF" w14:textId="77777777" w:rsidR="00F94B48" w:rsidRPr="00F32542" w:rsidRDefault="00F94B48" w:rsidP="00F94B48">
      <w:pPr>
        <w:widowControl w:val="0"/>
        <w:spacing w:after="0" w:line="360" w:lineRule="auto"/>
        <w:jc w:val="both"/>
        <w:rPr>
          <w:rFonts w:ascii="Arial" w:eastAsia="Calibri" w:hAnsi="Arial" w:cs="Times New Roman"/>
          <w:sz w:val="28"/>
          <w:szCs w:val="28"/>
          <w:lang w:val="es-ES"/>
        </w:rPr>
      </w:pPr>
    </w:p>
    <w:p w14:paraId="4EF44DF8" w14:textId="77777777" w:rsidR="00F94B48" w:rsidRPr="00F32542" w:rsidRDefault="00F94B48" w:rsidP="00F94B48">
      <w:pPr>
        <w:widowControl w:val="0"/>
        <w:spacing w:after="0" w:line="360" w:lineRule="auto"/>
        <w:jc w:val="both"/>
        <w:rPr>
          <w:rFonts w:ascii="Arial" w:eastAsia="Calibri" w:hAnsi="Arial" w:cs="Times New Roman"/>
          <w:sz w:val="28"/>
          <w:szCs w:val="28"/>
          <w:lang w:val="es-ES"/>
        </w:rPr>
      </w:pPr>
      <w:r w:rsidRPr="00F32542">
        <w:rPr>
          <w:rFonts w:ascii="Arial" w:eastAsia="Calibri" w:hAnsi="Arial" w:cs="Times New Roman"/>
          <w:sz w:val="28"/>
          <w:szCs w:val="28"/>
          <w:lang w:val="es-ES"/>
        </w:rPr>
        <w:t xml:space="preserve">Asimismo, si bien, en términos del artículo 23 del </w:t>
      </w:r>
      <w:r w:rsidRPr="00F32542">
        <w:rPr>
          <w:rFonts w:ascii="Arial" w:eastAsia="Calibri" w:hAnsi="Arial" w:cs="Times New Roman"/>
          <w:i/>
          <w:sz w:val="28"/>
          <w:szCs w:val="28"/>
          <w:lang w:val="es-ES"/>
        </w:rPr>
        <w:t>Código Electoral</w:t>
      </w:r>
      <w:r w:rsidRPr="00F32542">
        <w:rPr>
          <w:rFonts w:ascii="Arial" w:eastAsia="Calibri" w:hAnsi="Arial" w:cs="Times New Roman"/>
          <w:sz w:val="28"/>
          <w:szCs w:val="28"/>
          <w:lang w:val="es-ES"/>
        </w:rPr>
        <w:t xml:space="preserve">, las listas A y B de los partidos políticos se integrarán por fórmulas del mismo género, y en cada listado se deben alternar las fórmulas por género, para alcanzar la paridad, en el caso, la lista A del </w:t>
      </w:r>
      <w:r w:rsidRPr="00F32542">
        <w:rPr>
          <w:rFonts w:ascii="Arial" w:eastAsia="Calibri" w:hAnsi="Arial" w:cs="Times New Roman"/>
          <w:i/>
          <w:sz w:val="28"/>
          <w:szCs w:val="28"/>
          <w:lang w:val="es-ES"/>
        </w:rPr>
        <w:t>PAN</w:t>
      </w:r>
      <w:r w:rsidRPr="00F32542">
        <w:rPr>
          <w:rFonts w:ascii="Arial" w:eastAsia="Calibri" w:hAnsi="Arial" w:cs="Times New Roman"/>
          <w:sz w:val="28"/>
          <w:szCs w:val="28"/>
          <w:lang w:val="es-ES"/>
        </w:rPr>
        <w:t xml:space="preserve">, en los términos originalmente presentados cumplía con el principio de paridad, así como la regla de alternancia. </w:t>
      </w:r>
    </w:p>
    <w:p w14:paraId="0D5FFD76" w14:textId="77777777" w:rsidR="00F94B48" w:rsidRPr="00F32542" w:rsidRDefault="00F94B48" w:rsidP="00F94B48">
      <w:pPr>
        <w:widowControl w:val="0"/>
        <w:spacing w:after="0" w:line="360" w:lineRule="auto"/>
        <w:jc w:val="both"/>
        <w:rPr>
          <w:rFonts w:ascii="Arial" w:eastAsia="Calibri" w:hAnsi="Arial" w:cs="Times New Roman"/>
          <w:sz w:val="28"/>
          <w:szCs w:val="28"/>
          <w:lang w:val="es-ES"/>
        </w:rPr>
      </w:pPr>
    </w:p>
    <w:p w14:paraId="368B4D97" w14:textId="77777777" w:rsidR="00F94B48" w:rsidRPr="00F32542" w:rsidRDefault="00F94B48" w:rsidP="00F94B48">
      <w:pPr>
        <w:widowControl w:val="0"/>
        <w:spacing w:after="0" w:line="360" w:lineRule="auto"/>
        <w:jc w:val="both"/>
        <w:rPr>
          <w:rFonts w:ascii="Arial" w:eastAsia="Calibri" w:hAnsi="Arial" w:cs="Times New Roman"/>
          <w:sz w:val="28"/>
          <w:szCs w:val="28"/>
          <w:lang w:val="es-ES"/>
        </w:rPr>
      </w:pPr>
      <w:r w:rsidRPr="00F32542">
        <w:rPr>
          <w:rFonts w:ascii="Arial" w:eastAsia="Calibri" w:hAnsi="Arial" w:cs="Times New Roman"/>
          <w:sz w:val="28"/>
          <w:szCs w:val="28"/>
          <w:lang w:val="es-ES"/>
        </w:rPr>
        <w:t xml:space="preserve">Lo anterior, dado que la lista A se conformó con dieciséis candidaturas, ocho de ellas encabezadas por mujeres y las ocho restantes por hombres, aunado a que las fórmulas estaban alternadas por género, iniciando con una fórmula integrada por hombres. </w:t>
      </w:r>
    </w:p>
    <w:p w14:paraId="192C7CC3" w14:textId="77777777" w:rsidR="00F94B48" w:rsidRPr="00F32542" w:rsidRDefault="00F94B48" w:rsidP="00F94B48">
      <w:pPr>
        <w:widowControl w:val="0"/>
        <w:spacing w:after="0" w:line="360" w:lineRule="auto"/>
        <w:jc w:val="both"/>
        <w:rPr>
          <w:rFonts w:ascii="Arial" w:eastAsia="Calibri" w:hAnsi="Arial" w:cs="Times New Roman"/>
          <w:sz w:val="28"/>
          <w:szCs w:val="28"/>
          <w:lang w:val="es-ES"/>
        </w:rPr>
      </w:pPr>
    </w:p>
    <w:p w14:paraId="5ABB15B0" w14:textId="77777777" w:rsidR="00F94B48" w:rsidRPr="00F32542" w:rsidRDefault="00F94B48" w:rsidP="00F94B48">
      <w:pPr>
        <w:widowControl w:val="0"/>
        <w:spacing w:after="0" w:line="360" w:lineRule="auto"/>
        <w:jc w:val="both"/>
        <w:rPr>
          <w:rFonts w:ascii="Arial" w:eastAsia="Calibri" w:hAnsi="Arial" w:cs="Times New Roman"/>
          <w:sz w:val="28"/>
          <w:szCs w:val="28"/>
          <w:lang w:val="es-ES"/>
        </w:rPr>
      </w:pPr>
      <w:r w:rsidRPr="00F32542">
        <w:rPr>
          <w:rFonts w:ascii="Arial" w:eastAsia="Calibri" w:hAnsi="Arial" w:cs="Times New Roman"/>
          <w:sz w:val="28"/>
          <w:szCs w:val="28"/>
          <w:lang w:val="es-ES"/>
        </w:rPr>
        <w:t xml:space="preserve">Por tanto, si la lista A cumplió con los requisitos para su integración, al contener dieciséis fórmulas que atendieron el principio de paridad, así como a la regla de alternancia de géneros, no había motivo alguno ni norma específica que justificara un ajuste a esa lista. </w:t>
      </w:r>
    </w:p>
    <w:p w14:paraId="563BDA67" w14:textId="77777777" w:rsidR="00F94B48" w:rsidRPr="00F32542" w:rsidRDefault="00F94B48" w:rsidP="00F94B48">
      <w:pPr>
        <w:widowControl w:val="0"/>
        <w:spacing w:after="0" w:line="360" w:lineRule="auto"/>
        <w:jc w:val="both"/>
        <w:rPr>
          <w:rFonts w:ascii="Arial" w:eastAsia="Calibri" w:hAnsi="Arial" w:cs="Times New Roman"/>
          <w:sz w:val="28"/>
          <w:szCs w:val="28"/>
          <w:lang w:val="es-ES"/>
        </w:rPr>
      </w:pPr>
    </w:p>
    <w:p w14:paraId="5136769C" w14:textId="77777777" w:rsidR="00F94B48" w:rsidRPr="00F32542" w:rsidRDefault="00F94B48" w:rsidP="00F94B48">
      <w:pPr>
        <w:widowControl w:val="0"/>
        <w:spacing w:after="0" w:line="360" w:lineRule="auto"/>
        <w:jc w:val="both"/>
        <w:rPr>
          <w:rFonts w:ascii="Arial" w:eastAsia="Calibri" w:hAnsi="Arial" w:cs="Times New Roman"/>
          <w:sz w:val="28"/>
          <w:szCs w:val="28"/>
          <w:lang w:val="es-ES"/>
        </w:rPr>
      </w:pPr>
      <w:r w:rsidRPr="00F32542">
        <w:rPr>
          <w:rFonts w:ascii="Arial" w:eastAsia="Calibri" w:hAnsi="Arial" w:cs="Times New Roman"/>
          <w:sz w:val="28"/>
          <w:szCs w:val="28"/>
          <w:lang w:val="es-ES"/>
        </w:rPr>
        <w:t xml:space="preserve">Ello, especialmente porque en los términos en que presentó la lista A, el </w:t>
      </w:r>
      <w:r w:rsidRPr="00F32542">
        <w:rPr>
          <w:rFonts w:ascii="Arial" w:eastAsia="Calibri" w:hAnsi="Arial" w:cs="Times New Roman"/>
          <w:i/>
          <w:sz w:val="28"/>
          <w:szCs w:val="28"/>
          <w:lang w:val="es-ES"/>
        </w:rPr>
        <w:t>PAN</w:t>
      </w:r>
      <w:r w:rsidRPr="00F32542">
        <w:rPr>
          <w:rFonts w:ascii="Arial" w:eastAsia="Calibri" w:hAnsi="Arial" w:cs="Times New Roman"/>
          <w:sz w:val="28"/>
          <w:szCs w:val="28"/>
          <w:lang w:val="es-ES"/>
        </w:rPr>
        <w:t xml:space="preserve"> cumplió con lo dispuesto en el artículo 7 de los </w:t>
      </w:r>
      <w:r w:rsidRPr="00F32542">
        <w:rPr>
          <w:rFonts w:ascii="Arial" w:eastAsia="Calibri" w:hAnsi="Arial" w:cs="Times New Roman"/>
          <w:i/>
          <w:sz w:val="28"/>
          <w:szCs w:val="28"/>
          <w:lang w:val="es-ES"/>
        </w:rPr>
        <w:t>Lineamientos para la Postulación</w:t>
      </w:r>
      <w:r w:rsidRPr="00F32542">
        <w:rPr>
          <w:rFonts w:ascii="Arial" w:eastAsia="Calibri" w:hAnsi="Arial" w:cs="Times New Roman"/>
          <w:sz w:val="28"/>
          <w:szCs w:val="28"/>
          <w:lang w:val="es-ES"/>
        </w:rPr>
        <w:t xml:space="preserve">, que establece: </w:t>
      </w:r>
    </w:p>
    <w:p w14:paraId="31712CAB" w14:textId="77777777" w:rsidR="00F94B48" w:rsidRPr="00F32542" w:rsidRDefault="00F94B48" w:rsidP="00F94B48">
      <w:pPr>
        <w:widowControl w:val="0"/>
        <w:spacing w:after="0" w:line="360" w:lineRule="auto"/>
        <w:jc w:val="both"/>
        <w:rPr>
          <w:rFonts w:ascii="Arial" w:eastAsia="Calibri" w:hAnsi="Arial" w:cs="Times New Roman"/>
          <w:sz w:val="28"/>
          <w:szCs w:val="28"/>
          <w:lang w:val="es-ES"/>
        </w:rPr>
      </w:pPr>
    </w:p>
    <w:p w14:paraId="5DCB6879" w14:textId="77777777" w:rsidR="00F94B48" w:rsidRPr="00F32542" w:rsidRDefault="00F94B48" w:rsidP="00F94B48">
      <w:pPr>
        <w:widowControl w:val="0"/>
        <w:spacing w:after="0" w:line="240" w:lineRule="auto"/>
        <w:ind w:left="567" w:right="567"/>
        <w:jc w:val="both"/>
        <w:rPr>
          <w:rFonts w:ascii="Arial" w:eastAsia="Calibri" w:hAnsi="Arial" w:cs="Times New Roman"/>
          <w:sz w:val="24"/>
          <w:szCs w:val="24"/>
          <w:lang w:val="es-ES"/>
        </w:rPr>
      </w:pPr>
      <w:r w:rsidRPr="00F32542">
        <w:rPr>
          <w:rFonts w:ascii="Arial" w:eastAsia="Calibri" w:hAnsi="Arial" w:cs="Times New Roman"/>
          <w:b/>
          <w:sz w:val="24"/>
          <w:szCs w:val="24"/>
          <w:lang w:val="es-ES"/>
        </w:rPr>
        <w:t>“Artículo 7.</w:t>
      </w:r>
      <w:r w:rsidRPr="00F32542">
        <w:rPr>
          <w:rFonts w:ascii="Arial" w:eastAsia="Calibri" w:hAnsi="Arial" w:cs="Times New Roman"/>
          <w:sz w:val="24"/>
          <w:szCs w:val="24"/>
          <w:lang w:val="es-ES"/>
        </w:rPr>
        <w:t xml:space="preserve"> En todo momento se garantizará el principio constitucional de paridad de género en sus dimensiones horizontal y vertical, así como en la homogeneidad de la fórmula, en la postulación de candidaturas para el cargo de Diputaciones al Congreso de la Ciudad de México y </w:t>
      </w:r>
      <w:proofErr w:type="gramStart"/>
      <w:r w:rsidRPr="00F32542">
        <w:rPr>
          <w:rFonts w:ascii="Arial" w:eastAsia="Calibri" w:hAnsi="Arial" w:cs="Times New Roman"/>
          <w:sz w:val="24"/>
          <w:szCs w:val="24"/>
          <w:lang w:val="es-ES"/>
        </w:rPr>
        <w:t>Concejalías</w:t>
      </w:r>
      <w:proofErr w:type="gramEnd"/>
      <w:r w:rsidRPr="00F32542">
        <w:rPr>
          <w:rFonts w:ascii="Arial" w:eastAsia="Calibri" w:hAnsi="Arial" w:cs="Times New Roman"/>
          <w:sz w:val="24"/>
          <w:szCs w:val="24"/>
          <w:lang w:val="es-ES"/>
        </w:rPr>
        <w:t xml:space="preserve"> por el principio de mayoría relativa, así como en las candidaturas para los cargos de titulares de Alcaldías en las dieciséis Demarcaciones Territoriales de esta entidad. De igual forma, se garantizará la alternancia en las candidaturas de representación proporcional, tanto para las Diputaciones al Congreso de la Ciudad de México, como para todas las </w:t>
      </w:r>
      <w:proofErr w:type="gramStart"/>
      <w:r w:rsidRPr="00F32542">
        <w:rPr>
          <w:rFonts w:ascii="Arial" w:eastAsia="Calibri" w:hAnsi="Arial" w:cs="Times New Roman"/>
          <w:sz w:val="24"/>
          <w:szCs w:val="24"/>
          <w:lang w:val="es-ES"/>
        </w:rPr>
        <w:t>Concejalías</w:t>
      </w:r>
      <w:proofErr w:type="gramEnd"/>
      <w:r w:rsidRPr="00F32542">
        <w:rPr>
          <w:rFonts w:ascii="Arial" w:eastAsia="Calibri" w:hAnsi="Arial" w:cs="Times New Roman"/>
          <w:sz w:val="24"/>
          <w:szCs w:val="24"/>
          <w:lang w:val="es-ES"/>
        </w:rPr>
        <w:t xml:space="preserve"> de las Alcaldías en todas las Demarcaciones Territoriales.”</w:t>
      </w:r>
    </w:p>
    <w:p w14:paraId="5F73C751" w14:textId="77777777" w:rsidR="00F94B48" w:rsidRPr="00F32542" w:rsidRDefault="00F94B48" w:rsidP="00F94B48">
      <w:pPr>
        <w:widowControl w:val="0"/>
        <w:spacing w:after="0" w:line="240" w:lineRule="auto"/>
        <w:ind w:left="567" w:right="567"/>
        <w:jc w:val="both"/>
        <w:rPr>
          <w:rFonts w:ascii="Arial" w:eastAsia="Calibri" w:hAnsi="Arial" w:cs="Times New Roman"/>
          <w:sz w:val="28"/>
          <w:szCs w:val="28"/>
          <w:lang w:val="es-ES"/>
        </w:rPr>
      </w:pPr>
    </w:p>
    <w:p w14:paraId="77B254B3" w14:textId="77777777" w:rsidR="00F94B48" w:rsidRPr="00F32542" w:rsidRDefault="00F94B48" w:rsidP="00F94B48">
      <w:pPr>
        <w:widowControl w:val="0"/>
        <w:spacing w:after="0" w:line="240" w:lineRule="auto"/>
        <w:ind w:left="567" w:right="567"/>
        <w:jc w:val="both"/>
        <w:rPr>
          <w:rFonts w:ascii="Arial" w:eastAsia="Calibri" w:hAnsi="Arial" w:cs="Times New Roman"/>
          <w:sz w:val="28"/>
          <w:szCs w:val="28"/>
          <w:lang w:val="es-ES"/>
        </w:rPr>
      </w:pPr>
      <w:r w:rsidRPr="00F32542">
        <w:rPr>
          <w:rFonts w:ascii="Arial" w:eastAsia="Calibri" w:hAnsi="Arial" w:cs="Times New Roman"/>
          <w:sz w:val="28"/>
          <w:szCs w:val="28"/>
          <w:lang w:val="es-ES"/>
        </w:rPr>
        <w:t xml:space="preserve">  </w:t>
      </w:r>
    </w:p>
    <w:p w14:paraId="0F6854E9" w14:textId="77777777" w:rsidR="00F94B48" w:rsidRPr="00F32542" w:rsidRDefault="00F94B48" w:rsidP="00F94B48">
      <w:pPr>
        <w:widowControl w:val="0"/>
        <w:spacing w:after="0" w:line="360" w:lineRule="auto"/>
        <w:jc w:val="both"/>
        <w:rPr>
          <w:rFonts w:ascii="Arial" w:eastAsia="Calibri" w:hAnsi="Arial" w:cs="Times New Roman"/>
          <w:sz w:val="28"/>
          <w:szCs w:val="28"/>
          <w:lang w:val="es-ES"/>
        </w:rPr>
      </w:pPr>
      <w:r w:rsidRPr="00F32542">
        <w:rPr>
          <w:rFonts w:ascii="Arial" w:eastAsia="Calibri" w:hAnsi="Arial" w:cs="Times New Roman"/>
          <w:sz w:val="28"/>
          <w:szCs w:val="28"/>
          <w:lang w:val="es-ES"/>
        </w:rPr>
        <w:t xml:space="preserve">Por tanto, dado que la lista A del </w:t>
      </w:r>
      <w:r w:rsidRPr="00F32542">
        <w:rPr>
          <w:rFonts w:ascii="Arial" w:eastAsia="Calibri" w:hAnsi="Arial" w:cs="Times New Roman"/>
          <w:i/>
          <w:sz w:val="28"/>
          <w:szCs w:val="28"/>
          <w:lang w:val="es-ES"/>
        </w:rPr>
        <w:t>PAN</w:t>
      </w:r>
      <w:r w:rsidRPr="00F32542">
        <w:rPr>
          <w:rFonts w:ascii="Arial" w:eastAsia="Calibri" w:hAnsi="Arial" w:cs="Times New Roman"/>
          <w:sz w:val="28"/>
          <w:szCs w:val="28"/>
          <w:lang w:val="es-ES"/>
        </w:rPr>
        <w:t xml:space="preserve"> cumplía con los parámetros legales, es injustificado e innecesario que el </w:t>
      </w:r>
      <w:r w:rsidRPr="00F32542">
        <w:rPr>
          <w:rFonts w:ascii="Arial" w:eastAsia="Calibri" w:hAnsi="Arial" w:cs="Times New Roman"/>
          <w:i/>
          <w:sz w:val="28"/>
          <w:szCs w:val="28"/>
          <w:lang w:val="es-ES"/>
        </w:rPr>
        <w:t>Consejo General</w:t>
      </w:r>
      <w:r w:rsidRPr="00F32542">
        <w:rPr>
          <w:rFonts w:ascii="Arial" w:eastAsia="Calibri" w:hAnsi="Arial" w:cs="Times New Roman"/>
          <w:sz w:val="28"/>
          <w:szCs w:val="28"/>
          <w:lang w:val="es-ES"/>
        </w:rPr>
        <w:t xml:space="preserve"> introdujera un ajuste adicional, que no tiene sustento legal alguno. </w:t>
      </w:r>
    </w:p>
    <w:p w14:paraId="308E281E" w14:textId="77777777" w:rsidR="00F94B48" w:rsidRPr="00F32542" w:rsidRDefault="00F94B48" w:rsidP="00F94B48">
      <w:pPr>
        <w:widowControl w:val="0"/>
        <w:spacing w:after="0" w:line="360" w:lineRule="auto"/>
        <w:jc w:val="both"/>
        <w:rPr>
          <w:rFonts w:ascii="Arial" w:eastAsia="Calibri" w:hAnsi="Arial" w:cs="Times New Roman"/>
          <w:sz w:val="28"/>
          <w:szCs w:val="28"/>
          <w:lang w:val="es-ES"/>
        </w:rPr>
      </w:pPr>
    </w:p>
    <w:p w14:paraId="58A5C696" w14:textId="77777777" w:rsidR="00F94B48" w:rsidRPr="00F32542" w:rsidRDefault="00F94B48" w:rsidP="00F94B48">
      <w:pPr>
        <w:widowControl w:val="0"/>
        <w:spacing w:after="0" w:line="360" w:lineRule="auto"/>
        <w:jc w:val="both"/>
        <w:rPr>
          <w:rFonts w:ascii="Arial" w:eastAsia="Calibri" w:hAnsi="Arial" w:cs="Times New Roman"/>
          <w:sz w:val="28"/>
          <w:szCs w:val="28"/>
          <w:lang w:val="es-ES"/>
        </w:rPr>
      </w:pPr>
      <w:r w:rsidRPr="00F32542">
        <w:rPr>
          <w:rFonts w:ascii="Arial" w:eastAsia="Calibri" w:hAnsi="Arial" w:cs="Times New Roman"/>
          <w:sz w:val="28"/>
          <w:szCs w:val="28"/>
          <w:lang w:val="es-ES"/>
        </w:rPr>
        <w:t xml:space="preserve">En relación con lo anterior, cabe precisar que la </w:t>
      </w:r>
      <w:r w:rsidRPr="00F32542">
        <w:rPr>
          <w:rFonts w:ascii="Arial" w:eastAsia="Calibri" w:hAnsi="Arial" w:cs="Times New Roman"/>
          <w:i/>
          <w:sz w:val="28"/>
          <w:szCs w:val="28"/>
          <w:lang w:val="es-ES"/>
        </w:rPr>
        <w:t>Sala Superior</w:t>
      </w:r>
      <w:r w:rsidRPr="00F32542">
        <w:rPr>
          <w:rFonts w:ascii="Arial" w:eastAsia="Calibri" w:hAnsi="Arial" w:cs="Times New Roman"/>
          <w:sz w:val="28"/>
          <w:szCs w:val="28"/>
          <w:lang w:val="es-ES"/>
        </w:rPr>
        <w:t xml:space="preserve"> en la sentencia del expediente </w:t>
      </w:r>
      <w:r w:rsidRPr="00F32542">
        <w:rPr>
          <w:rFonts w:ascii="Arial" w:eastAsia="Calibri" w:hAnsi="Arial" w:cs="Times New Roman"/>
          <w:b/>
          <w:bCs/>
          <w:sz w:val="28"/>
          <w:szCs w:val="28"/>
          <w:lang w:val="es-ES"/>
        </w:rPr>
        <w:t>SUP-JDC-1172/2017</w:t>
      </w:r>
      <w:r w:rsidRPr="00F32542">
        <w:rPr>
          <w:rFonts w:ascii="Arial" w:eastAsia="Calibri" w:hAnsi="Arial" w:cs="Times New Roman"/>
          <w:sz w:val="28"/>
          <w:szCs w:val="28"/>
          <w:lang w:val="es-ES"/>
        </w:rPr>
        <w:t xml:space="preserve">, se pronunció respecto a la aplicación de medidas adicionales a las previamente establecidas en la normativa aplicable para tutelar la paridad, cuando son implementadas por las autoridades electorales administrativas, como sería la alternancia de género. </w:t>
      </w:r>
    </w:p>
    <w:p w14:paraId="6AC05177" w14:textId="77777777" w:rsidR="00F94B48" w:rsidRPr="00F32542" w:rsidRDefault="00F94B48" w:rsidP="00F94B48">
      <w:pPr>
        <w:widowControl w:val="0"/>
        <w:spacing w:after="0" w:line="360" w:lineRule="auto"/>
        <w:jc w:val="both"/>
        <w:rPr>
          <w:rFonts w:ascii="Arial" w:eastAsia="Calibri" w:hAnsi="Arial" w:cs="Times New Roman"/>
          <w:sz w:val="28"/>
          <w:szCs w:val="28"/>
          <w:lang w:val="es-ES"/>
        </w:rPr>
      </w:pPr>
    </w:p>
    <w:p w14:paraId="6F022E6D" w14:textId="77777777" w:rsidR="00F94B48" w:rsidRPr="00F32542" w:rsidRDefault="00F94B48" w:rsidP="00F94B48">
      <w:pPr>
        <w:widowControl w:val="0"/>
        <w:spacing w:after="0" w:line="360" w:lineRule="auto"/>
        <w:jc w:val="both"/>
        <w:rPr>
          <w:rFonts w:ascii="Arial" w:eastAsia="Times New Roman" w:hAnsi="Arial" w:cs="Arial"/>
          <w:sz w:val="28"/>
          <w:szCs w:val="28"/>
          <w:lang w:val="es-ES" w:eastAsia="es-ES"/>
        </w:rPr>
      </w:pPr>
      <w:r w:rsidRPr="00F32542">
        <w:rPr>
          <w:rFonts w:ascii="Arial" w:eastAsia="Calibri" w:hAnsi="Arial" w:cs="Times New Roman"/>
          <w:sz w:val="28"/>
          <w:szCs w:val="28"/>
          <w:lang w:val="es-ES"/>
        </w:rPr>
        <w:t xml:space="preserve">Al respecto, la </w:t>
      </w:r>
      <w:r w:rsidRPr="00F32542">
        <w:rPr>
          <w:rFonts w:ascii="Arial" w:eastAsia="Calibri" w:hAnsi="Arial" w:cs="Times New Roman"/>
          <w:i/>
          <w:sz w:val="28"/>
          <w:szCs w:val="28"/>
          <w:lang w:val="es-ES"/>
        </w:rPr>
        <w:t>Sala Superior</w:t>
      </w:r>
      <w:r w:rsidRPr="00F32542">
        <w:rPr>
          <w:rFonts w:ascii="Arial" w:eastAsia="Calibri" w:hAnsi="Arial" w:cs="Times New Roman"/>
          <w:sz w:val="28"/>
          <w:szCs w:val="28"/>
          <w:lang w:val="es-ES"/>
        </w:rPr>
        <w:t xml:space="preserve"> destacó que la alternancia de géneros </w:t>
      </w:r>
      <w:r w:rsidRPr="00F32542">
        <w:rPr>
          <w:rFonts w:ascii="Arial" w:eastAsia="Calibri" w:hAnsi="Arial" w:cs="Times New Roman"/>
          <w:sz w:val="28"/>
          <w:szCs w:val="28"/>
          <w:lang w:val="es-ES"/>
        </w:rPr>
        <w:lastRenderedPageBreak/>
        <w:t>en las listas de candidaturas es</w:t>
      </w:r>
      <w:r w:rsidRPr="00F32542">
        <w:rPr>
          <w:rFonts w:ascii="Arial" w:eastAsia="Times New Roman" w:hAnsi="Arial" w:cs="Arial"/>
          <w:sz w:val="28"/>
          <w:szCs w:val="28"/>
          <w:lang w:val="es-ES" w:eastAsia="es-ES"/>
        </w:rPr>
        <w:t xml:space="preserve"> una de las medidas especiales para impulsar la paridad de género en la representación política; sin embargo, se tratan de un medio o una medida para alcanzar la paridad, esto es, no es una condición necesaria para lograrla</w:t>
      </w:r>
      <w:r w:rsidRPr="00F32542">
        <w:rPr>
          <w:rFonts w:ascii="Arial" w:eastAsia="Times New Roman" w:hAnsi="Arial" w:cs="Arial"/>
          <w:sz w:val="28"/>
          <w:szCs w:val="28"/>
          <w:vertAlign w:val="superscript"/>
          <w:lang w:val="es-ES" w:eastAsia="es-ES"/>
        </w:rPr>
        <w:footnoteReference w:id="37"/>
      </w:r>
      <w:r w:rsidRPr="00F32542">
        <w:rPr>
          <w:rFonts w:ascii="Arial" w:eastAsia="Times New Roman" w:hAnsi="Arial" w:cs="Arial"/>
          <w:sz w:val="28"/>
          <w:szCs w:val="28"/>
          <w:lang w:val="es-ES" w:eastAsia="es-ES"/>
        </w:rPr>
        <w:t xml:space="preserve">. </w:t>
      </w:r>
    </w:p>
    <w:p w14:paraId="41BBF087" w14:textId="77777777" w:rsidR="00F94B48" w:rsidRPr="00F32542" w:rsidRDefault="00F94B48" w:rsidP="00F94B48">
      <w:pPr>
        <w:widowControl w:val="0"/>
        <w:spacing w:after="0" w:line="360" w:lineRule="auto"/>
        <w:jc w:val="both"/>
        <w:rPr>
          <w:rFonts w:ascii="Arial" w:eastAsia="Times New Roman" w:hAnsi="Arial" w:cs="Arial"/>
          <w:sz w:val="28"/>
          <w:szCs w:val="28"/>
          <w:lang w:val="es-ES" w:eastAsia="es-ES"/>
        </w:rPr>
      </w:pPr>
    </w:p>
    <w:p w14:paraId="6207384B"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t xml:space="preserve">En ese sentido, en el caso de que la normativa aplicable, de base legislativa, establezca distintas acciones afirmativas en favor de la paridad de género, la pertinencia de la implementación adicional de una regla instrumental, como la alternancia, debe estar plenamente justificada, considerando si el beneficio que se logra con la </w:t>
      </w:r>
      <w:proofErr w:type="gramStart"/>
      <w:r w:rsidRPr="00F32542">
        <w:rPr>
          <w:rFonts w:ascii="Arial" w:eastAsia="Times New Roman" w:hAnsi="Arial" w:cs="Arial"/>
          <w:sz w:val="28"/>
          <w:szCs w:val="28"/>
          <w:lang w:val="es-ES" w:eastAsia="es-ES"/>
        </w:rPr>
        <w:t>medida,</w:t>
      </w:r>
      <w:proofErr w:type="gramEnd"/>
      <w:r w:rsidRPr="00F32542">
        <w:rPr>
          <w:rFonts w:ascii="Arial" w:eastAsia="Times New Roman" w:hAnsi="Arial" w:cs="Arial"/>
          <w:sz w:val="28"/>
          <w:szCs w:val="28"/>
          <w:lang w:val="es-ES" w:eastAsia="es-ES"/>
        </w:rPr>
        <w:t xml:space="preserve"> es necesario, oportuno y proporcional respecto de la situación que se busca superar y la incidencia que tiene respecto de los otros principios implicados.</w:t>
      </w:r>
    </w:p>
    <w:p w14:paraId="4A077980"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p>
    <w:p w14:paraId="1BCCFEB1" w14:textId="77777777" w:rsidR="00F94B48" w:rsidRPr="00F32542" w:rsidRDefault="00F94B48" w:rsidP="00F94B48">
      <w:pPr>
        <w:widowControl w:val="0"/>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t>Lo anterior, en razón de que la existencia de medidas afirmativas de base legal supone que el legislador realizó una primera ponderación respecto a la necesidad y efectividad de las mismas, considerando que ello tendría alguna incidencia en otros principios; por tanto, si la autoridad administrativa estima que esa medida legislativa es insuficiente y decide implementar otra para optimizarla, debe considerar la incidencia que su determinación tendrá sobre el resto de los principios en juego, y que son relevantes para el sistema jurídico.</w:t>
      </w:r>
    </w:p>
    <w:p w14:paraId="225381F4"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p>
    <w:p w14:paraId="78AD2336"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t xml:space="preserve">Acorde con lo anterior, en la especie, el artículo 23 del </w:t>
      </w:r>
      <w:r w:rsidRPr="00F32542">
        <w:rPr>
          <w:rFonts w:ascii="Arial" w:eastAsia="Times New Roman" w:hAnsi="Arial" w:cs="Arial"/>
          <w:i/>
          <w:sz w:val="28"/>
          <w:szCs w:val="28"/>
          <w:lang w:val="es-ES" w:eastAsia="es-ES"/>
        </w:rPr>
        <w:t>Código Electoral</w:t>
      </w:r>
      <w:r w:rsidRPr="00F32542">
        <w:rPr>
          <w:rFonts w:ascii="Arial" w:eastAsia="Times New Roman" w:hAnsi="Arial" w:cs="Arial"/>
          <w:sz w:val="28"/>
          <w:szCs w:val="28"/>
          <w:lang w:val="es-ES" w:eastAsia="es-ES"/>
        </w:rPr>
        <w:t xml:space="preserve"> dispone la paridad de género en las candidaturas, al exigir </w:t>
      </w:r>
      <w:r w:rsidRPr="00F32542">
        <w:rPr>
          <w:rFonts w:ascii="Arial" w:eastAsia="Times New Roman" w:hAnsi="Arial" w:cs="Arial"/>
          <w:sz w:val="28"/>
          <w:szCs w:val="28"/>
          <w:lang w:val="es-ES" w:eastAsia="es-ES"/>
        </w:rPr>
        <w:lastRenderedPageBreak/>
        <w:t xml:space="preserve">que las listas de candidaturas por el principio de representación proporcional deben integrarse por fórmulas de personas propietaria y suplente del mismo género y, además, se deben alternar las fórmulas por género. </w:t>
      </w:r>
    </w:p>
    <w:p w14:paraId="252CC9F3"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p>
    <w:p w14:paraId="424C4884"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t xml:space="preserve">Reglas que, sustancialmente, son reiteradas en los </w:t>
      </w:r>
      <w:r w:rsidRPr="00F32542">
        <w:rPr>
          <w:rFonts w:ascii="Arial" w:eastAsia="Times New Roman" w:hAnsi="Arial" w:cs="Arial"/>
          <w:i/>
          <w:sz w:val="28"/>
          <w:szCs w:val="28"/>
          <w:lang w:val="es-ES" w:eastAsia="es-ES"/>
        </w:rPr>
        <w:t>Lineamientos para la postulación</w:t>
      </w:r>
      <w:r w:rsidRPr="00F32542">
        <w:rPr>
          <w:rFonts w:ascii="Arial" w:eastAsia="Times New Roman" w:hAnsi="Arial" w:cs="Arial"/>
          <w:sz w:val="28"/>
          <w:szCs w:val="28"/>
          <w:lang w:val="es-ES" w:eastAsia="es-ES"/>
        </w:rPr>
        <w:t xml:space="preserve">, cuyas disposiciones, como se vio, el </w:t>
      </w:r>
      <w:r w:rsidRPr="00F32542">
        <w:rPr>
          <w:rFonts w:ascii="Arial" w:eastAsia="Times New Roman" w:hAnsi="Arial" w:cs="Arial"/>
          <w:i/>
          <w:sz w:val="28"/>
          <w:szCs w:val="28"/>
          <w:lang w:val="es-ES" w:eastAsia="es-ES"/>
        </w:rPr>
        <w:t>PAN</w:t>
      </w:r>
      <w:r w:rsidRPr="00F32542">
        <w:rPr>
          <w:rFonts w:ascii="Arial" w:eastAsia="Times New Roman" w:hAnsi="Arial" w:cs="Arial"/>
          <w:sz w:val="28"/>
          <w:szCs w:val="28"/>
          <w:lang w:val="es-ES" w:eastAsia="es-ES"/>
        </w:rPr>
        <w:t xml:space="preserve"> atendió en la formulación de la lista A, en razón de que, de las dieciséis fórmulas que la conforman, ocho estaban encabezadas por mujeres y las ocho restantes por hombres; además, las fórmulas estaban integradas por personas del mismo género –salvo un caso en que el propietario era hombre y la suplente mujer, lo cual es permitido por los </w:t>
      </w:r>
      <w:r w:rsidRPr="00F32542">
        <w:rPr>
          <w:rFonts w:ascii="Arial" w:eastAsia="Times New Roman" w:hAnsi="Arial" w:cs="Arial"/>
          <w:i/>
          <w:iCs/>
          <w:sz w:val="28"/>
          <w:szCs w:val="28"/>
          <w:lang w:val="es-ES" w:eastAsia="es-ES"/>
        </w:rPr>
        <w:t>Lineamientos para la postulación</w:t>
      </w:r>
      <w:r w:rsidRPr="00F32542">
        <w:rPr>
          <w:rFonts w:ascii="Arial" w:eastAsia="Times New Roman" w:hAnsi="Arial" w:cs="Arial"/>
          <w:sz w:val="28"/>
          <w:szCs w:val="28"/>
          <w:lang w:val="es-ES" w:eastAsia="es-ES"/>
        </w:rPr>
        <w:t xml:space="preserve">– y estaban alternadas por género, comenzando con la primera posición de candidaturas integrada por hombres. </w:t>
      </w:r>
    </w:p>
    <w:p w14:paraId="0386D69C"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p>
    <w:p w14:paraId="66E3CC4D"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t xml:space="preserve">No </w:t>
      </w:r>
      <w:proofErr w:type="gramStart"/>
      <w:r w:rsidRPr="00F32542">
        <w:rPr>
          <w:rFonts w:ascii="Arial" w:eastAsia="Times New Roman" w:hAnsi="Arial" w:cs="Arial"/>
          <w:sz w:val="28"/>
          <w:szCs w:val="28"/>
          <w:lang w:val="es-ES" w:eastAsia="es-ES"/>
        </w:rPr>
        <w:t>obstante</w:t>
      </w:r>
      <w:proofErr w:type="gramEnd"/>
      <w:r w:rsidRPr="00F32542">
        <w:rPr>
          <w:rFonts w:ascii="Arial" w:eastAsia="Times New Roman" w:hAnsi="Arial" w:cs="Arial"/>
          <w:sz w:val="28"/>
          <w:szCs w:val="28"/>
          <w:lang w:val="es-ES" w:eastAsia="es-ES"/>
        </w:rPr>
        <w:t xml:space="preserve"> lo anterior, el </w:t>
      </w:r>
      <w:r w:rsidRPr="00F32542">
        <w:rPr>
          <w:rFonts w:ascii="Arial" w:eastAsia="Times New Roman" w:hAnsi="Arial" w:cs="Arial"/>
          <w:i/>
          <w:sz w:val="28"/>
          <w:szCs w:val="28"/>
          <w:lang w:val="es-ES" w:eastAsia="es-ES"/>
        </w:rPr>
        <w:t>Instituto Electoral</w:t>
      </w:r>
      <w:r w:rsidRPr="00F32542">
        <w:rPr>
          <w:rFonts w:ascii="Arial" w:eastAsia="Times New Roman" w:hAnsi="Arial" w:cs="Arial"/>
          <w:sz w:val="28"/>
          <w:szCs w:val="28"/>
          <w:lang w:val="es-ES" w:eastAsia="es-ES"/>
        </w:rPr>
        <w:t xml:space="preserve"> determinó implementar una regla de alternancia adicional, consistente en que el género de las personas candidatas ubicadas en el primer lugar de la lista A tenía que ser distinto al de la lista A prima, para el caso de que la fórmula de personas candidatas a la diputación migrante obtuviera el triunfo en dicha elección. </w:t>
      </w:r>
    </w:p>
    <w:p w14:paraId="4C219790"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p>
    <w:p w14:paraId="3FC0573D"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t xml:space="preserve">Luego, al haber incorporado una medida adicional, el Instituto Electoral debió justificarla debidamente, en términos de su necesidad, oportunidad y proporcionalidad, lo cual ciertamente no aconteció en el caso, y tampoco se advierte del análisis de tal medida. </w:t>
      </w:r>
    </w:p>
    <w:p w14:paraId="50DF9687"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p>
    <w:p w14:paraId="2C9E8AF1"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lastRenderedPageBreak/>
        <w:t xml:space="preserve">Lo anterior, porque, por una parte, la regla impuesta al </w:t>
      </w:r>
      <w:r w:rsidRPr="00F32542">
        <w:rPr>
          <w:rFonts w:ascii="Arial" w:eastAsia="Times New Roman" w:hAnsi="Arial" w:cs="Arial"/>
          <w:i/>
          <w:sz w:val="28"/>
          <w:szCs w:val="28"/>
          <w:lang w:val="es-ES" w:eastAsia="es-ES"/>
        </w:rPr>
        <w:t>PAN</w:t>
      </w:r>
      <w:r w:rsidRPr="00F32542">
        <w:rPr>
          <w:rFonts w:ascii="Arial" w:eastAsia="Times New Roman" w:hAnsi="Arial" w:cs="Arial"/>
          <w:sz w:val="28"/>
          <w:szCs w:val="28"/>
          <w:lang w:val="es-ES" w:eastAsia="es-ES"/>
        </w:rPr>
        <w:t xml:space="preserve"> no era necesaria, </w:t>
      </w:r>
      <w:proofErr w:type="gramStart"/>
      <w:r w:rsidRPr="00F32542">
        <w:rPr>
          <w:rFonts w:ascii="Arial" w:eastAsia="Times New Roman" w:hAnsi="Arial" w:cs="Arial"/>
          <w:sz w:val="28"/>
          <w:szCs w:val="28"/>
          <w:lang w:val="es-ES" w:eastAsia="es-ES"/>
        </w:rPr>
        <w:t>en razón de</w:t>
      </w:r>
      <w:proofErr w:type="gramEnd"/>
      <w:r w:rsidRPr="00F32542">
        <w:rPr>
          <w:rFonts w:ascii="Arial" w:eastAsia="Times New Roman" w:hAnsi="Arial" w:cs="Arial"/>
          <w:sz w:val="28"/>
          <w:szCs w:val="28"/>
          <w:lang w:val="es-ES" w:eastAsia="es-ES"/>
        </w:rPr>
        <w:t xml:space="preserve"> que la lista A que presentó cumplía con los parámetros legales, relativos a respetar el principio de paridad de género, así como la regla de alternancia en la postulación por género. </w:t>
      </w:r>
    </w:p>
    <w:p w14:paraId="5945077B"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p>
    <w:p w14:paraId="483CE1E9"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t xml:space="preserve">Por ende, no obstante que el </w:t>
      </w:r>
      <w:r w:rsidRPr="00F32542">
        <w:rPr>
          <w:rFonts w:ascii="Arial" w:eastAsia="Times New Roman" w:hAnsi="Arial" w:cs="Arial"/>
          <w:i/>
          <w:sz w:val="28"/>
          <w:szCs w:val="28"/>
          <w:lang w:val="es-ES" w:eastAsia="es-ES"/>
        </w:rPr>
        <w:t>Consejo General</w:t>
      </w:r>
      <w:r w:rsidRPr="00F32542">
        <w:rPr>
          <w:rFonts w:ascii="Arial" w:eastAsia="Times New Roman" w:hAnsi="Arial" w:cs="Arial"/>
          <w:sz w:val="28"/>
          <w:szCs w:val="28"/>
          <w:lang w:val="es-ES" w:eastAsia="es-ES"/>
        </w:rPr>
        <w:t xml:space="preserve"> indicó que la medida adicional implementada atendía al cumplimiento del principio constitucional de paridad de género en las postulaciones, lo cierto es que la lista A del </w:t>
      </w:r>
      <w:r w:rsidRPr="00F32542">
        <w:rPr>
          <w:rFonts w:ascii="Arial" w:eastAsia="Times New Roman" w:hAnsi="Arial" w:cs="Arial"/>
          <w:i/>
          <w:sz w:val="28"/>
          <w:szCs w:val="28"/>
          <w:lang w:val="es-ES" w:eastAsia="es-ES"/>
        </w:rPr>
        <w:t>PAN</w:t>
      </w:r>
      <w:r w:rsidRPr="00F32542">
        <w:rPr>
          <w:rFonts w:ascii="Arial" w:eastAsia="Times New Roman" w:hAnsi="Arial" w:cs="Arial"/>
          <w:sz w:val="28"/>
          <w:szCs w:val="28"/>
          <w:lang w:val="es-ES" w:eastAsia="es-ES"/>
        </w:rPr>
        <w:t xml:space="preserve">, en los términos originalmente presentados, de por sí atendía cabalmente la paridad, así como la alternancia, en términos de lo previsto en el artículo 23 del Código Electoral, así como el numeral 7 de los </w:t>
      </w:r>
      <w:r w:rsidRPr="00F32542">
        <w:rPr>
          <w:rFonts w:ascii="Arial" w:eastAsia="Times New Roman" w:hAnsi="Arial" w:cs="Arial"/>
          <w:i/>
          <w:sz w:val="28"/>
          <w:szCs w:val="28"/>
          <w:lang w:val="es-ES" w:eastAsia="es-ES"/>
        </w:rPr>
        <w:t>Lineamientos para la Postulación</w:t>
      </w:r>
      <w:r w:rsidRPr="00F32542">
        <w:rPr>
          <w:rFonts w:ascii="Arial" w:eastAsia="Times New Roman" w:hAnsi="Arial" w:cs="Arial"/>
          <w:sz w:val="28"/>
          <w:szCs w:val="28"/>
          <w:lang w:val="es-ES" w:eastAsia="es-ES"/>
        </w:rPr>
        <w:t xml:space="preserve">. </w:t>
      </w:r>
    </w:p>
    <w:p w14:paraId="62B37485"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p>
    <w:p w14:paraId="1989FA18"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t xml:space="preserve">Adicionalmente, lo cierto es que la lista A prima no forma parte de la lista A, por lo cual tampoco podría considerarse la necesidad de una alternancia entre la fórmula de candidaturas a la diputación migrante respecto de la primera posición de la lista A. </w:t>
      </w:r>
    </w:p>
    <w:p w14:paraId="5D4C3426"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t xml:space="preserve"> </w:t>
      </w:r>
    </w:p>
    <w:p w14:paraId="4F796FF1"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t>En ese sentido, el Consejo General debió justificar la necesidad del ajuste a la lista A, a fin de cumplir la paridad en las postulaciones, a pesar de que, de origen, esa relación de candidaturas ya la atendía.</w:t>
      </w:r>
    </w:p>
    <w:p w14:paraId="00C85E1A"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p>
    <w:p w14:paraId="21CEADFD"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t>Esto es, la autoridad responsable debió explicar, pero no lo hizo, cómo es que la Lista A prima —que si bien se regula como un apartado de la lista A, estrictamente no se integra a esta última</w:t>
      </w:r>
      <w:proofErr w:type="gramStart"/>
      <w:r w:rsidRPr="00F32542">
        <w:rPr>
          <w:rFonts w:ascii="Arial" w:eastAsia="Times New Roman" w:hAnsi="Arial" w:cs="Arial"/>
          <w:sz w:val="28"/>
          <w:szCs w:val="28"/>
          <w:lang w:val="es-ES" w:eastAsia="es-ES"/>
        </w:rPr>
        <w:t>—  necesariamente</w:t>
      </w:r>
      <w:proofErr w:type="gramEnd"/>
      <w:r w:rsidRPr="00F32542">
        <w:rPr>
          <w:rFonts w:ascii="Arial" w:eastAsia="Times New Roman" w:hAnsi="Arial" w:cs="Arial"/>
          <w:sz w:val="28"/>
          <w:szCs w:val="28"/>
          <w:lang w:val="es-ES" w:eastAsia="es-ES"/>
        </w:rPr>
        <w:t xml:space="preserve"> propicia un reajuste al género de la primera candidatura postulada en la lista A, en el caso de que el partido postulante obtenga el triunfo en la elección de la diputación migrante.   </w:t>
      </w:r>
    </w:p>
    <w:p w14:paraId="10F592A3"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p>
    <w:p w14:paraId="38074062"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lastRenderedPageBreak/>
        <w:t xml:space="preserve">Cabe precisar que no podría considerarse como justificación del aludido ajuste adicional, que en el acuerdo </w:t>
      </w:r>
      <w:r w:rsidRPr="00F32542">
        <w:rPr>
          <w:rFonts w:ascii="Arial" w:eastAsia="Calibri" w:hAnsi="Arial" w:cs="Times New Roman"/>
          <w:b/>
          <w:sz w:val="28"/>
        </w:rPr>
        <w:t>IECM/ACU-CG-110/2020</w:t>
      </w:r>
      <w:r w:rsidRPr="00F32542">
        <w:rPr>
          <w:rFonts w:ascii="Arial" w:eastAsia="Calibri" w:hAnsi="Arial" w:cs="Times New Roman"/>
          <w:sz w:val="28"/>
        </w:rPr>
        <w:t xml:space="preserve"> </w:t>
      </w:r>
      <w:r w:rsidRPr="00F32542">
        <w:rPr>
          <w:rFonts w:ascii="Arial" w:eastAsia="Times New Roman" w:hAnsi="Arial" w:cs="Arial"/>
          <w:sz w:val="28"/>
          <w:szCs w:val="28"/>
          <w:lang w:val="es-ES" w:eastAsia="es-ES"/>
        </w:rPr>
        <w:t xml:space="preserve">–mediante el cual el </w:t>
      </w:r>
      <w:r w:rsidRPr="00F32542">
        <w:rPr>
          <w:rFonts w:ascii="Arial" w:eastAsia="Times New Roman" w:hAnsi="Arial" w:cs="Arial"/>
          <w:i/>
          <w:sz w:val="28"/>
          <w:szCs w:val="28"/>
          <w:lang w:val="es-ES" w:eastAsia="es-ES"/>
        </w:rPr>
        <w:t>Consejo General</w:t>
      </w:r>
      <w:r w:rsidRPr="00F32542">
        <w:rPr>
          <w:rFonts w:ascii="Arial" w:eastAsia="Times New Roman" w:hAnsi="Arial" w:cs="Arial"/>
          <w:sz w:val="28"/>
          <w:szCs w:val="28"/>
          <w:lang w:val="es-ES" w:eastAsia="es-ES"/>
        </w:rPr>
        <w:t xml:space="preserve"> aprobó los </w:t>
      </w:r>
      <w:r w:rsidRPr="00F32542">
        <w:rPr>
          <w:rFonts w:ascii="Arial" w:eastAsia="Times New Roman" w:hAnsi="Arial" w:cs="Arial"/>
          <w:i/>
          <w:sz w:val="28"/>
          <w:szCs w:val="28"/>
          <w:lang w:val="es-ES" w:eastAsia="es-ES"/>
        </w:rPr>
        <w:t>Lineamientos para la postulación</w:t>
      </w:r>
      <w:r w:rsidRPr="00F32542">
        <w:rPr>
          <w:rFonts w:ascii="Arial" w:eastAsia="Times New Roman" w:hAnsi="Arial" w:cs="Arial"/>
          <w:sz w:val="28"/>
          <w:szCs w:val="28"/>
          <w:lang w:val="es-ES" w:eastAsia="es-ES"/>
        </w:rPr>
        <w:t xml:space="preserve">, así como los </w:t>
      </w:r>
      <w:r w:rsidRPr="00F32542">
        <w:rPr>
          <w:rFonts w:ascii="Arial" w:eastAsia="Times New Roman" w:hAnsi="Arial" w:cs="Arial"/>
          <w:i/>
          <w:sz w:val="28"/>
          <w:szCs w:val="28"/>
          <w:lang w:val="es-ES" w:eastAsia="es-ES"/>
        </w:rPr>
        <w:t>Lineamientos para la asignación</w:t>
      </w:r>
      <w:r w:rsidRPr="00F32542">
        <w:rPr>
          <w:rFonts w:ascii="Arial" w:eastAsia="Times New Roman" w:hAnsi="Arial" w:cs="Arial"/>
          <w:sz w:val="28"/>
          <w:szCs w:val="28"/>
          <w:lang w:val="es-ES" w:eastAsia="es-ES"/>
        </w:rPr>
        <w:t xml:space="preserve">– dicha autoridad hubiese indicado que, para garantizar la paridad de género en la postulación de candidaturas, era necesario observar, entre otras, la regla siguiente: </w:t>
      </w:r>
    </w:p>
    <w:p w14:paraId="093DC489"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p>
    <w:p w14:paraId="21A97E28" w14:textId="77777777" w:rsidR="00F94B48" w:rsidRPr="00F32542" w:rsidRDefault="00F94B48" w:rsidP="00F94B48">
      <w:pPr>
        <w:tabs>
          <w:tab w:val="left" w:pos="2950"/>
        </w:tabs>
        <w:spacing w:after="0" w:line="240" w:lineRule="auto"/>
        <w:ind w:left="567" w:right="567"/>
        <w:jc w:val="both"/>
        <w:rPr>
          <w:rFonts w:ascii="Arial" w:eastAsia="Times New Roman" w:hAnsi="Arial" w:cs="Arial"/>
          <w:sz w:val="24"/>
          <w:szCs w:val="24"/>
          <w:lang w:val="es-ES" w:eastAsia="es-ES"/>
        </w:rPr>
      </w:pPr>
      <w:r w:rsidRPr="00F32542">
        <w:rPr>
          <w:rFonts w:ascii="Arial" w:eastAsia="Times New Roman" w:hAnsi="Arial" w:cs="Arial"/>
          <w:b/>
          <w:sz w:val="24"/>
          <w:szCs w:val="24"/>
          <w:lang w:val="es-ES" w:eastAsia="es-ES"/>
        </w:rPr>
        <w:t>“a) Lista “A”:</w:t>
      </w:r>
      <w:r w:rsidRPr="00F32542">
        <w:rPr>
          <w:rFonts w:ascii="Arial" w:eastAsia="Times New Roman" w:hAnsi="Arial" w:cs="Arial"/>
          <w:sz w:val="24"/>
          <w:szCs w:val="24"/>
          <w:lang w:val="es-ES" w:eastAsia="es-ES"/>
        </w:rPr>
        <w:t xml:space="preserve"> Relación de dieciséis fórmulas de candidaturas a las Diputaciones: propietario y suplente del mismo género, listados en orden de prelación alternando fórmulas de género distinto de manera sucesiva, a elegir por el principio de representación proporcional, de las cuales 4 deberán estar integradas por jóvenes de 18 a 35 años, en la que se procurará incluir también a integrantes de pueblos y barrios originarios y comunidades indígenas, personas con discapacidad, personas afrodescendientes y personas de la diversidad sexual.</w:t>
      </w:r>
    </w:p>
    <w:p w14:paraId="7E599BD2" w14:textId="77777777" w:rsidR="00F94B48" w:rsidRPr="00F32542" w:rsidRDefault="00F94B48" w:rsidP="00F94B48">
      <w:pPr>
        <w:tabs>
          <w:tab w:val="left" w:pos="2950"/>
        </w:tabs>
        <w:spacing w:after="0" w:line="240" w:lineRule="auto"/>
        <w:ind w:left="567" w:right="567"/>
        <w:jc w:val="both"/>
        <w:rPr>
          <w:rFonts w:ascii="Arial" w:eastAsia="Times New Roman" w:hAnsi="Arial" w:cs="Arial"/>
          <w:sz w:val="24"/>
          <w:szCs w:val="24"/>
          <w:lang w:val="es-ES" w:eastAsia="es-ES"/>
        </w:rPr>
      </w:pPr>
      <w:r w:rsidRPr="00F32542">
        <w:rPr>
          <w:rFonts w:ascii="Arial" w:eastAsia="Times New Roman" w:hAnsi="Arial" w:cs="Arial"/>
          <w:sz w:val="24"/>
          <w:szCs w:val="24"/>
          <w:lang w:val="es-ES" w:eastAsia="es-ES"/>
        </w:rPr>
        <w:t>Esta Lista se complementará con la Lista denominada “A Prima” que contendrá únicamente la postulación de una fórmula que corresponderá a la candidatura de Diputación Migrante.</w:t>
      </w:r>
    </w:p>
    <w:p w14:paraId="4EBBB894" w14:textId="77777777" w:rsidR="00F94B48" w:rsidRPr="00F32542" w:rsidRDefault="00F94B48" w:rsidP="00F94B48">
      <w:pPr>
        <w:tabs>
          <w:tab w:val="left" w:pos="2950"/>
        </w:tabs>
        <w:spacing w:after="0" w:line="240" w:lineRule="auto"/>
        <w:ind w:left="567" w:right="567"/>
        <w:jc w:val="both"/>
        <w:rPr>
          <w:rFonts w:ascii="Arial" w:eastAsia="Times New Roman" w:hAnsi="Arial" w:cs="Arial"/>
          <w:sz w:val="24"/>
          <w:szCs w:val="24"/>
          <w:u w:val="single"/>
          <w:lang w:val="es-ES" w:eastAsia="es-ES"/>
        </w:rPr>
      </w:pPr>
      <w:r w:rsidRPr="00F32542">
        <w:rPr>
          <w:rFonts w:ascii="Arial" w:eastAsia="Times New Roman" w:hAnsi="Arial" w:cs="Arial"/>
          <w:sz w:val="24"/>
          <w:szCs w:val="24"/>
          <w:u w:val="single"/>
          <w:lang w:val="es-ES" w:eastAsia="es-ES"/>
        </w:rPr>
        <w:t>Dependiendo del género de los integrantes de la fórmula de la Diputación Migrante, se hará la postulación de la primera fórmula de la Lista “A”, ya que se deberá respetar la alternancia, esto es, si la Diputación Migrante corresponde a mujeres, el primer lugar de la Lista “A” reconfigurada corresponderá a hombres y viceversa.</w:t>
      </w:r>
    </w:p>
    <w:p w14:paraId="12A4F82F" w14:textId="77777777" w:rsidR="00F94B48" w:rsidRPr="00F32542" w:rsidRDefault="00F94B48" w:rsidP="00F94B48">
      <w:pPr>
        <w:tabs>
          <w:tab w:val="left" w:pos="2950"/>
        </w:tabs>
        <w:spacing w:after="0" w:line="240" w:lineRule="auto"/>
        <w:ind w:left="567" w:right="567"/>
        <w:jc w:val="both"/>
        <w:rPr>
          <w:rFonts w:ascii="Arial" w:eastAsia="Times New Roman" w:hAnsi="Arial" w:cs="Arial"/>
          <w:sz w:val="24"/>
          <w:szCs w:val="24"/>
          <w:lang w:val="es-ES" w:eastAsia="es-ES"/>
        </w:rPr>
      </w:pPr>
      <w:r w:rsidRPr="00F32542">
        <w:rPr>
          <w:rFonts w:ascii="Arial" w:eastAsia="Times New Roman" w:hAnsi="Arial" w:cs="Arial"/>
          <w:sz w:val="24"/>
          <w:szCs w:val="24"/>
          <w:lang w:val="es-ES" w:eastAsia="es-ES"/>
        </w:rPr>
        <w:t>Con ambas listas, se completarán las diecisiete fórmulas que deben registrar los partidos políticos para tener derecho a la asignación de diputaciones por el principio de representación proporcional a que se refiere el artículo 26, fracción I, del Código.</w:t>
      </w:r>
    </w:p>
    <w:p w14:paraId="5DD1E48F" w14:textId="77777777" w:rsidR="00F94B48" w:rsidRPr="00F32542" w:rsidRDefault="00F94B48" w:rsidP="00F94B48">
      <w:pPr>
        <w:tabs>
          <w:tab w:val="left" w:pos="2950"/>
        </w:tabs>
        <w:spacing w:after="0" w:line="240" w:lineRule="auto"/>
        <w:ind w:left="567" w:right="567"/>
        <w:jc w:val="both"/>
        <w:rPr>
          <w:rFonts w:ascii="Arial" w:eastAsia="Times New Roman" w:hAnsi="Arial" w:cs="Arial"/>
          <w:sz w:val="24"/>
          <w:szCs w:val="24"/>
          <w:u w:val="single"/>
          <w:lang w:val="es-ES" w:eastAsia="es-ES"/>
        </w:rPr>
      </w:pPr>
      <w:r w:rsidRPr="00F32542">
        <w:rPr>
          <w:rFonts w:ascii="Arial" w:eastAsia="Times New Roman" w:hAnsi="Arial" w:cs="Arial"/>
          <w:sz w:val="24"/>
          <w:szCs w:val="24"/>
          <w:u w:val="single"/>
          <w:lang w:val="es-ES" w:eastAsia="es-ES"/>
        </w:rPr>
        <w:t>Una vez asignada la Diputación Migrante, la Lista “A” del partido político que haya obtenido el triunfo en el extranjero se reconfigurará para que se observe la alternancia y la paridad en la conformación de la Lista Definitiva.</w:t>
      </w:r>
    </w:p>
    <w:p w14:paraId="583A38B6" w14:textId="77777777" w:rsidR="00F94B48" w:rsidRPr="00F32542" w:rsidRDefault="00F94B48" w:rsidP="00F94B48">
      <w:pPr>
        <w:tabs>
          <w:tab w:val="left" w:pos="2950"/>
        </w:tabs>
        <w:spacing w:after="0" w:line="240" w:lineRule="auto"/>
        <w:ind w:left="567" w:right="567"/>
        <w:jc w:val="both"/>
        <w:rPr>
          <w:rFonts w:ascii="Arial" w:eastAsia="Times New Roman" w:hAnsi="Arial" w:cs="Arial"/>
          <w:sz w:val="24"/>
          <w:szCs w:val="24"/>
          <w:lang w:val="es-ES" w:eastAsia="es-ES"/>
        </w:rPr>
      </w:pPr>
      <w:r w:rsidRPr="00F32542">
        <w:rPr>
          <w:rFonts w:ascii="Arial" w:eastAsia="Times New Roman" w:hAnsi="Arial" w:cs="Arial"/>
          <w:sz w:val="24"/>
          <w:szCs w:val="24"/>
          <w:lang w:val="es-ES" w:eastAsia="es-ES"/>
        </w:rPr>
        <w:t>Una vez asignada la Diputación Migrante, quedará agotada dicha elección, por lo que las fórmulas postuladas con dicho propósito por el resto de los partidos políticos no se considerarán para efectos de la integración de la Lista Definitiva”</w:t>
      </w:r>
      <w:r w:rsidRPr="00F32542">
        <w:rPr>
          <w:rFonts w:ascii="Arial" w:eastAsia="Times New Roman" w:hAnsi="Arial" w:cs="Arial"/>
          <w:sz w:val="24"/>
          <w:szCs w:val="24"/>
          <w:vertAlign w:val="superscript"/>
          <w:lang w:val="es-ES" w:eastAsia="es-ES"/>
        </w:rPr>
        <w:footnoteReference w:id="38"/>
      </w:r>
      <w:r w:rsidRPr="00F32542">
        <w:rPr>
          <w:rFonts w:ascii="Arial" w:eastAsia="Times New Roman" w:hAnsi="Arial" w:cs="Arial"/>
          <w:sz w:val="24"/>
          <w:szCs w:val="24"/>
          <w:lang w:val="es-ES" w:eastAsia="es-ES"/>
        </w:rPr>
        <w:t xml:space="preserve">. </w:t>
      </w:r>
    </w:p>
    <w:p w14:paraId="4C9E7422"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p>
    <w:p w14:paraId="75DA2A45"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t xml:space="preserve">Lo anterior fue expuesto como parte de la motivación del acuerdo mencionado, sin embargo, en los </w:t>
      </w:r>
      <w:r w:rsidRPr="00F32542">
        <w:rPr>
          <w:rFonts w:ascii="Arial" w:eastAsia="Times New Roman" w:hAnsi="Arial" w:cs="Arial"/>
          <w:i/>
          <w:sz w:val="28"/>
          <w:szCs w:val="28"/>
          <w:lang w:val="es-ES" w:eastAsia="es-ES"/>
        </w:rPr>
        <w:t>Lineamientos para la postulación,</w:t>
      </w:r>
      <w:r w:rsidRPr="00F32542">
        <w:rPr>
          <w:rFonts w:ascii="Arial" w:eastAsia="Times New Roman" w:hAnsi="Arial" w:cs="Arial"/>
          <w:sz w:val="28"/>
          <w:szCs w:val="28"/>
          <w:lang w:val="es-ES" w:eastAsia="es-ES"/>
        </w:rPr>
        <w:t xml:space="preserve"> y </w:t>
      </w:r>
      <w:r w:rsidRPr="00F32542">
        <w:rPr>
          <w:rFonts w:ascii="Arial" w:eastAsia="Times New Roman" w:hAnsi="Arial" w:cs="Arial"/>
          <w:sz w:val="28"/>
          <w:szCs w:val="28"/>
          <w:lang w:val="es-ES" w:eastAsia="es-ES"/>
        </w:rPr>
        <w:lastRenderedPageBreak/>
        <w:t xml:space="preserve">en los </w:t>
      </w:r>
      <w:r w:rsidRPr="00F32542">
        <w:rPr>
          <w:rFonts w:ascii="Arial" w:eastAsia="Times New Roman" w:hAnsi="Arial" w:cs="Arial"/>
          <w:i/>
          <w:sz w:val="28"/>
          <w:szCs w:val="28"/>
          <w:lang w:val="es-ES" w:eastAsia="es-ES"/>
        </w:rPr>
        <w:t>Lineamientos para la asignación</w:t>
      </w:r>
      <w:r w:rsidRPr="00F32542">
        <w:rPr>
          <w:rFonts w:ascii="Arial" w:eastAsia="Times New Roman" w:hAnsi="Arial" w:cs="Arial"/>
          <w:sz w:val="28"/>
          <w:szCs w:val="28"/>
          <w:lang w:val="es-ES" w:eastAsia="es-ES"/>
        </w:rPr>
        <w:t xml:space="preserve">, no fue incorporada regla alguna en la que se precisara que la lista A se reconfiguraría para alternar el género en atención a la lista A prima, para el caso del partido que obtuviera el triunfo en la elección. </w:t>
      </w:r>
    </w:p>
    <w:p w14:paraId="4D9484D0"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p>
    <w:p w14:paraId="55B80131"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t xml:space="preserve">Por ende, esa previsión no podría considerarse como una regla a cumplir en la postulación de candidaturas, ni como el fundamento del ajuste a la lista A del </w:t>
      </w:r>
      <w:r w:rsidRPr="00F32542">
        <w:rPr>
          <w:rFonts w:ascii="Arial" w:eastAsia="Times New Roman" w:hAnsi="Arial" w:cs="Arial"/>
          <w:i/>
          <w:sz w:val="28"/>
          <w:szCs w:val="28"/>
          <w:lang w:val="es-ES" w:eastAsia="es-ES"/>
        </w:rPr>
        <w:t>PAN</w:t>
      </w:r>
      <w:r w:rsidRPr="00F32542">
        <w:rPr>
          <w:rFonts w:ascii="Arial" w:eastAsia="Times New Roman" w:hAnsi="Arial" w:cs="Arial"/>
          <w:sz w:val="28"/>
          <w:szCs w:val="28"/>
          <w:lang w:val="es-ES" w:eastAsia="es-ES"/>
        </w:rPr>
        <w:t xml:space="preserve">, </w:t>
      </w:r>
      <w:proofErr w:type="gramStart"/>
      <w:r w:rsidRPr="00F32542">
        <w:rPr>
          <w:rFonts w:ascii="Arial" w:eastAsia="Times New Roman" w:hAnsi="Arial" w:cs="Arial"/>
          <w:sz w:val="28"/>
          <w:szCs w:val="28"/>
          <w:lang w:val="es-ES" w:eastAsia="es-ES"/>
        </w:rPr>
        <w:t>en razón de</w:t>
      </w:r>
      <w:proofErr w:type="gramEnd"/>
      <w:r w:rsidRPr="00F32542">
        <w:rPr>
          <w:rFonts w:ascii="Arial" w:eastAsia="Times New Roman" w:hAnsi="Arial" w:cs="Arial"/>
          <w:sz w:val="28"/>
          <w:szCs w:val="28"/>
          <w:lang w:val="es-ES" w:eastAsia="es-ES"/>
        </w:rPr>
        <w:t xml:space="preserve"> que no forma parte de los lineamientos emitidos por el </w:t>
      </w:r>
      <w:r w:rsidRPr="00F32542">
        <w:rPr>
          <w:rFonts w:ascii="Arial" w:eastAsia="Times New Roman" w:hAnsi="Arial" w:cs="Arial"/>
          <w:i/>
          <w:sz w:val="28"/>
          <w:szCs w:val="28"/>
          <w:lang w:val="es-ES" w:eastAsia="es-ES"/>
        </w:rPr>
        <w:t>Consejo General,</w:t>
      </w:r>
      <w:r w:rsidRPr="00F32542">
        <w:rPr>
          <w:rFonts w:ascii="Arial" w:eastAsia="Times New Roman" w:hAnsi="Arial" w:cs="Arial"/>
          <w:sz w:val="28"/>
          <w:szCs w:val="28"/>
          <w:lang w:val="es-ES" w:eastAsia="es-ES"/>
        </w:rPr>
        <w:t xml:space="preserve"> en ejercicio de su facultad reglamentaria, para regular la postulación de candidaturas y la asignación de diputaciones de representación proporcional.</w:t>
      </w:r>
    </w:p>
    <w:p w14:paraId="0F12A8A5"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p>
    <w:p w14:paraId="59DC6E5F"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t xml:space="preserve">Aunado a que, en todo caso, el acuerdo aludido, ni las consideraciones transcritas, fueron invocadas como fundamento del requerimiento formulado al </w:t>
      </w:r>
      <w:r w:rsidRPr="00F32542">
        <w:rPr>
          <w:rFonts w:ascii="Arial" w:eastAsia="Times New Roman" w:hAnsi="Arial" w:cs="Arial"/>
          <w:i/>
          <w:sz w:val="28"/>
          <w:szCs w:val="28"/>
          <w:lang w:val="es-ES" w:eastAsia="es-ES"/>
        </w:rPr>
        <w:t>PAN</w:t>
      </w:r>
      <w:r w:rsidRPr="00F32542">
        <w:rPr>
          <w:rFonts w:ascii="Arial" w:eastAsia="Times New Roman" w:hAnsi="Arial" w:cs="Arial"/>
          <w:sz w:val="28"/>
          <w:szCs w:val="28"/>
          <w:lang w:val="es-ES" w:eastAsia="es-ES"/>
        </w:rPr>
        <w:t xml:space="preserve"> para que reordenara la lista A, ni se citó en el acto impugnado, como sustento del ajuste realizado a la mencionada lista.  </w:t>
      </w:r>
    </w:p>
    <w:p w14:paraId="788327B2"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p>
    <w:p w14:paraId="5A96DB29"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t xml:space="preserve"> Por otra parte, el ajuste realizado por el </w:t>
      </w:r>
      <w:r w:rsidRPr="00F32542">
        <w:rPr>
          <w:rFonts w:ascii="Arial" w:eastAsia="Times New Roman" w:hAnsi="Arial" w:cs="Arial"/>
          <w:i/>
          <w:sz w:val="28"/>
          <w:szCs w:val="28"/>
          <w:lang w:val="es-ES" w:eastAsia="es-ES"/>
        </w:rPr>
        <w:t>Consejo General</w:t>
      </w:r>
      <w:r w:rsidRPr="00F32542">
        <w:rPr>
          <w:rFonts w:ascii="Arial" w:eastAsia="Times New Roman" w:hAnsi="Arial" w:cs="Arial"/>
          <w:sz w:val="28"/>
          <w:szCs w:val="28"/>
          <w:lang w:val="es-ES" w:eastAsia="es-ES"/>
        </w:rPr>
        <w:t xml:space="preserve"> tampoco fue oportuno, toda vez que se llevó a cabo una vez celebrada la elección, con lo cual afectó el principio democrático que rige al proceso electoral, en cuanto a que modificó la lista A que fue votada por las personas electoras en los términos originalmente presentados por el </w:t>
      </w:r>
      <w:r w:rsidRPr="00F32542">
        <w:rPr>
          <w:rFonts w:ascii="Arial" w:eastAsia="Times New Roman" w:hAnsi="Arial" w:cs="Arial"/>
          <w:i/>
          <w:sz w:val="28"/>
          <w:szCs w:val="28"/>
          <w:lang w:val="es-ES" w:eastAsia="es-ES"/>
        </w:rPr>
        <w:t>PAN</w:t>
      </w:r>
      <w:r w:rsidRPr="00F32542">
        <w:rPr>
          <w:rFonts w:ascii="Arial" w:eastAsia="Times New Roman" w:hAnsi="Arial" w:cs="Arial"/>
          <w:sz w:val="28"/>
          <w:szCs w:val="28"/>
          <w:lang w:val="es-ES" w:eastAsia="es-ES"/>
        </w:rPr>
        <w:t xml:space="preserve">.  </w:t>
      </w:r>
    </w:p>
    <w:p w14:paraId="6862ABB4"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p>
    <w:p w14:paraId="2C62033D"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t xml:space="preserve">En efecto, dado que el </w:t>
      </w:r>
      <w:r w:rsidRPr="00F32542">
        <w:rPr>
          <w:rFonts w:ascii="Arial" w:eastAsia="Times New Roman" w:hAnsi="Arial" w:cs="Arial"/>
          <w:i/>
          <w:sz w:val="28"/>
          <w:szCs w:val="28"/>
          <w:lang w:val="es-ES" w:eastAsia="es-ES"/>
        </w:rPr>
        <w:t>Instituto Electoral</w:t>
      </w:r>
      <w:r w:rsidRPr="00F32542">
        <w:rPr>
          <w:rFonts w:ascii="Arial" w:eastAsia="Times New Roman" w:hAnsi="Arial" w:cs="Arial"/>
          <w:sz w:val="28"/>
          <w:szCs w:val="28"/>
          <w:lang w:val="es-ES" w:eastAsia="es-ES"/>
        </w:rPr>
        <w:t xml:space="preserve"> otorgó el registro a la lista A de candidaturas presentada por el </w:t>
      </w:r>
      <w:r w:rsidRPr="00F32542">
        <w:rPr>
          <w:rFonts w:ascii="Arial" w:eastAsia="Times New Roman" w:hAnsi="Arial" w:cs="Arial"/>
          <w:i/>
          <w:sz w:val="28"/>
          <w:szCs w:val="28"/>
          <w:lang w:val="es-ES" w:eastAsia="es-ES"/>
        </w:rPr>
        <w:t>PAN</w:t>
      </w:r>
      <w:r w:rsidRPr="00F32542">
        <w:rPr>
          <w:rFonts w:ascii="Arial" w:eastAsia="Times New Roman" w:hAnsi="Arial" w:cs="Arial"/>
          <w:sz w:val="28"/>
          <w:szCs w:val="28"/>
          <w:lang w:val="es-ES" w:eastAsia="es-ES"/>
        </w:rPr>
        <w:t xml:space="preserve"> para participar en la elección de diputaciones por el principio de representación proporcional, en </w:t>
      </w:r>
      <w:r w:rsidRPr="00F32542">
        <w:rPr>
          <w:rFonts w:ascii="Arial" w:eastAsia="Times New Roman" w:hAnsi="Arial" w:cs="Arial"/>
          <w:sz w:val="28"/>
          <w:szCs w:val="28"/>
          <w:lang w:val="es-ES" w:eastAsia="es-ES"/>
        </w:rPr>
        <w:lastRenderedPageBreak/>
        <w:t xml:space="preserve">tales términos se integró a la boleta electoral, de conformidad con lo dispuesto en el artículo 386, fracción VIII, del </w:t>
      </w:r>
      <w:r w:rsidRPr="00F32542">
        <w:rPr>
          <w:rFonts w:ascii="Arial" w:eastAsia="Times New Roman" w:hAnsi="Arial" w:cs="Arial"/>
          <w:i/>
          <w:sz w:val="28"/>
          <w:szCs w:val="28"/>
          <w:lang w:val="es-ES" w:eastAsia="es-ES"/>
        </w:rPr>
        <w:t>Código Electoral</w:t>
      </w:r>
      <w:r w:rsidRPr="00F32542">
        <w:rPr>
          <w:rFonts w:ascii="Arial" w:eastAsia="Times New Roman" w:hAnsi="Arial" w:cs="Arial"/>
          <w:sz w:val="28"/>
          <w:szCs w:val="28"/>
          <w:vertAlign w:val="superscript"/>
          <w:lang w:val="es-ES" w:eastAsia="es-ES"/>
        </w:rPr>
        <w:footnoteReference w:id="39"/>
      </w:r>
      <w:r w:rsidRPr="00F32542">
        <w:rPr>
          <w:rFonts w:ascii="Arial" w:eastAsia="Times New Roman" w:hAnsi="Arial" w:cs="Arial"/>
          <w:sz w:val="28"/>
          <w:szCs w:val="28"/>
          <w:lang w:val="es-ES" w:eastAsia="es-ES"/>
        </w:rPr>
        <w:t xml:space="preserve">. </w:t>
      </w:r>
    </w:p>
    <w:p w14:paraId="472315C0"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p>
    <w:p w14:paraId="28063161"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t xml:space="preserve">De manera que la modificación adicional realizada por la autoridad responsable implicó un cambio en la lista que apareció en la boleta, con lo que alteró la voluntad de la ciudadanía que sufragó por aquélla.  </w:t>
      </w:r>
    </w:p>
    <w:p w14:paraId="10A12CC9" w14:textId="77777777" w:rsidR="00F94B48" w:rsidRPr="00F32542" w:rsidRDefault="00F94B48" w:rsidP="00F94B48">
      <w:pPr>
        <w:tabs>
          <w:tab w:val="left" w:pos="2950"/>
        </w:tabs>
        <w:spacing w:after="0" w:line="360" w:lineRule="auto"/>
        <w:jc w:val="both"/>
        <w:rPr>
          <w:rFonts w:ascii="Arial" w:eastAsia="Times New Roman" w:hAnsi="Arial" w:cs="Arial"/>
          <w:sz w:val="28"/>
          <w:szCs w:val="28"/>
          <w:lang w:val="es-ES" w:eastAsia="es-ES"/>
        </w:rPr>
      </w:pPr>
    </w:p>
    <w:p w14:paraId="123FC6A2" w14:textId="77777777" w:rsidR="00F94B48" w:rsidRPr="00F32542" w:rsidRDefault="00F94B48" w:rsidP="00F94B48">
      <w:pPr>
        <w:widowControl w:val="0"/>
        <w:spacing w:after="0" w:line="360" w:lineRule="auto"/>
        <w:jc w:val="both"/>
        <w:rPr>
          <w:rFonts w:ascii="Arial" w:eastAsia="Calibri" w:hAnsi="Arial" w:cs="Times New Roman"/>
          <w:sz w:val="28"/>
          <w:lang w:val="es-ES"/>
        </w:rPr>
      </w:pPr>
      <w:r w:rsidRPr="00F32542">
        <w:rPr>
          <w:rFonts w:ascii="Arial" w:eastAsia="Calibri" w:hAnsi="Arial" w:cs="Times New Roman"/>
          <w:sz w:val="28"/>
          <w:lang w:val="es-ES"/>
        </w:rPr>
        <w:t xml:space="preserve">Finalmente, el ajuste adicional mencionado tampoco es proporcional con la finalidad buscada, es decir, la paridad en la postulación. </w:t>
      </w:r>
    </w:p>
    <w:p w14:paraId="33B3DD64" w14:textId="77777777" w:rsidR="00F94B48" w:rsidRPr="00F32542" w:rsidRDefault="00F94B48" w:rsidP="00F94B48">
      <w:pPr>
        <w:widowControl w:val="0"/>
        <w:spacing w:after="0" w:line="360" w:lineRule="auto"/>
        <w:jc w:val="both"/>
        <w:rPr>
          <w:rFonts w:ascii="Arial" w:eastAsia="Calibri" w:hAnsi="Arial" w:cs="Times New Roman"/>
          <w:sz w:val="28"/>
          <w:lang w:val="es-ES"/>
        </w:rPr>
      </w:pPr>
    </w:p>
    <w:p w14:paraId="16410312" w14:textId="77777777" w:rsidR="00F94B48" w:rsidRPr="00F32542" w:rsidRDefault="00F94B48" w:rsidP="00F94B48">
      <w:pPr>
        <w:widowControl w:val="0"/>
        <w:spacing w:after="0" w:line="360" w:lineRule="auto"/>
        <w:jc w:val="both"/>
        <w:rPr>
          <w:rFonts w:ascii="Arial" w:eastAsia="Calibri" w:hAnsi="Arial" w:cs="Times New Roman"/>
          <w:sz w:val="28"/>
          <w:lang w:val="es-ES"/>
        </w:rPr>
      </w:pPr>
      <w:r w:rsidRPr="00F32542">
        <w:rPr>
          <w:rFonts w:ascii="Arial" w:eastAsia="Calibri" w:hAnsi="Arial" w:cs="Times New Roman"/>
          <w:sz w:val="28"/>
          <w:lang w:val="es-ES"/>
        </w:rPr>
        <w:t xml:space="preserve">Ello, </w:t>
      </w:r>
      <w:proofErr w:type="gramStart"/>
      <w:r w:rsidRPr="00F32542">
        <w:rPr>
          <w:rFonts w:ascii="Arial" w:eastAsia="Calibri" w:hAnsi="Arial" w:cs="Times New Roman"/>
          <w:sz w:val="28"/>
          <w:lang w:val="es-ES"/>
        </w:rPr>
        <w:t>en razón de</w:t>
      </w:r>
      <w:proofErr w:type="gramEnd"/>
      <w:r w:rsidRPr="00F32542">
        <w:rPr>
          <w:rFonts w:ascii="Arial" w:eastAsia="Calibri" w:hAnsi="Arial" w:cs="Times New Roman"/>
          <w:sz w:val="28"/>
          <w:lang w:val="es-ES"/>
        </w:rPr>
        <w:t xml:space="preserve"> que, por una parte, como se dijo, la lista originalmente presentada por el PAN estaba conformada en términos estrictamente paritarios, de manera que el ajuste no tenía un objetivo específico, puesto que el principio de paridad había sido colmado desde un inicio.</w:t>
      </w:r>
    </w:p>
    <w:p w14:paraId="571F96CA" w14:textId="77777777" w:rsidR="00F94B48" w:rsidRPr="00F32542" w:rsidRDefault="00F94B48" w:rsidP="00F94B48">
      <w:pPr>
        <w:widowControl w:val="0"/>
        <w:spacing w:after="0" w:line="360" w:lineRule="auto"/>
        <w:jc w:val="both"/>
        <w:rPr>
          <w:rFonts w:ascii="Arial" w:eastAsia="Calibri" w:hAnsi="Arial" w:cs="Times New Roman"/>
          <w:sz w:val="28"/>
          <w:lang w:val="es-ES"/>
        </w:rPr>
      </w:pPr>
    </w:p>
    <w:p w14:paraId="71E8A7A2" w14:textId="77777777" w:rsidR="00F94B48" w:rsidRPr="00F32542" w:rsidRDefault="00F94B48" w:rsidP="00F94B48">
      <w:pPr>
        <w:widowControl w:val="0"/>
        <w:spacing w:after="0" w:line="360" w:lineRule="auto"/>
        <w:jc w:val="both"/>
        <w:rPr>
          <w:rFonts w:ascii="Arial" w:eastAsia="Calibri" w:hAnsi="Arial" w:cs="Times New Roman"/>
          <w:sz w:val="28"/>
          <w:lang w:val="es-ES"/>
        </w:rPr>
      </w:pPr>
      <w:r w:rsidRPr="00F32542">
        <w:rPr>
          <w:rFonts w:ascii="Arial" w:eastAsia="Calibri" w:hAnsi="Arial" w:cs="Times New Roman"/>
          <w:sz w:val="28"/>
          <w:lang w:val="es-ES"/>
        </w:rPr>
        <w:t xml:space="preserve">Además, al llevar a cabo el ajuste adicional, el </w:t>
      </w:r>
      <w:r w:rsidRPr="00F32542">
        <w:rPr>
          <w:rFonts w:ascii="Arial" w:eastAsia="Calibri" w:hAnsi="Arial" w:cs="Times New Roman"/>
          <w:i/>
          <w:sz w:val="28"/>
          <w:lang w:val="es-ES"/>
        </w:rPr>
        <w:t>Consejo General</w:t>
      </w:r>
      <w:r w:rsidRPr="00F32542">
        <w:rPr>
          <w:rFonts w:ascii="Arial" w:eastAsia="Calibri" w:hAnsi="Arial" w:cs="Times New Roman"/>
          <w:sz w:val="28"/>
          <w:lang w:val="es-ES"/>
        </w:rPr>
        <w:t xml:space="preserve"> omitió ponderar la afectación que generaba al principio de autoorganización del citado partido político. </w:t>
      </w:r>
    </w:p>
    <w:p w14:paraId="0573F368" w14:textId="77777777" w:rsidR="00F94B48" w:rsidRPr="00F32542" w:rsidRDefault="00F94B48" w:rsidP="00F94B48">
      <w:pPr>
        <w:widowControl w:val="0"/>
        <w:spacing w:after="0" w:line="360" w:lineRule="auto"/>
        <w:jc w:val="both"/>
        <w:rPr>
          <w:rFonts w:ascii="Arial" w:eastAsia="Calibri" w:hAnsi="Arial" w:cs="Times New Roman"/>
          <w:sz w:val="28"/>
          <w:lang w:val="es-ES"/>
        </w:rPr>
      </w:pPr>
    </w:p>
    <w:p w14:paraId="4C4D9281" w14:textId="77777777" w:rsidR="00F94B48" w:rsidRPr="00F32542" w:rsidRDefault="00F94B48" w:rsidP="00F94B48">
      <w:pPr>
        <w:widowControl w:val="0"/>
        <w:spacing w:after="0" w:line="360" w:lineRule="auto"/>
        <w:jc w:val="both"/>
        <w:rPr>
          <w:rFonts w:ascii="Arial" w:eastAsia="Calibri" w:hAnsi="Arial" w:cs="Times New Roman"/>
          <w:sz w:val="28"/>
          <w:lang w:val="es-ES"/>
        </w:rPr>
      </w:pPr>
      <w:r w:rsidRPr="00F32542">
        <w:rPr>
          <w:rFonts w:ascii="Arial" w:eastAsia="Calibri" w:hAnsi="Arial" w:cs="Times New Roman"/>
          <w:sz w:val="28"/>
          <w:lang w:val="es-ES"/>
        </w:rPr>
        <w:t xml:space="preserve"> El derecho de autoorganización implica respetar las decisiones adoptadas por los partidos políticos, derivadas de su organización interna, con relación a los derechos de sus </w:t>
      </w:r>
      <w:proofErr w:type="gramStart"/>
      <w:r w:rsidRPr="00F32542">
        <w:rPr>
          <w:rFonts w:ascii="Arial" w:eastAsia="Calibri" w:hAnsi="Arial" w:cs="Times New Roman"/>
          <w:sz w:val="28"/>
          <w:lang w:val="es-ES"/>
        </w:rPr>
        <w:t>candidatas y candidatos</w:t>
      </w:r>
      <w:proofErr w:type="gramEnd"/>
      <w:r w:rsidRPr="00F32542">
        <w:rPr>
          <w:rFonts w:ascii="Arial" w:eastAsia="Calibri" w:hAnsi="Arial" w:cs="Times New Roman"/>
          <w:sz w:val="28"/>
          <w:lang w:val="es-ES"/>
        </w:rPr>
        <w:t>.</w:t>
      </w:r>
    </w:p>
    <w:p w14:paraId="56FA41C4" w14:textId="77777777" w:rsidR="00F94B48" w:rsidRPr="00F32542" w:rsidRDefault="00F94B48" w:rsidP="00F94B48">
      <w:pPr>
        <w:widowControl w:val="0"/>
        <w:spacing w:after="0" w:line="360" w:lineRule="auto"/>
        <w:jc w:val="both"/>
        <w:rPr>
          <w:rFonts w:ascii="Arial" w:eastAsia="Calibri" w:hAnsi="Arial" w:cs="Times New Roman"/>
          <w:sz w:val="28"/>
          <w:lang w:val="es-ES"/>
        </w:rPr>
      </w:pPr>
    </w:p>
    <w:p w14:paraId="59B9F36A" w14:textId="77777777" w:rsidR="00F94B48" w:rsidRPr="00F32542" w:rsidRDefault="00F94B48" w:rsidP="00F94B48">
      <w:pPr>
        <w:widowControl w:val="0"/>
        <w:spacing w:after="0" w:line="360" w:lineRule="auto"/>
        <w:jc w:val="both"/>
        <w:rPr>
          <w:rFonts w:ascii="Arial" w:eastAsia="Calibri" w:hAnsi="Arial" w:cs="Times New Roman"/>
          <w:sz w:val="28"/>
          <w:lang w:val="es-ES"/>
        </w:rPr>
      </w:pPr>
      <w:r w:rsidRPr="00F32542">
        <w:rPr>
          <w:rFonts w:ascii="Arial" w:eastAsia="Calibri" w:hAnsi="Arial" w:cs="Times New Roman"/>
          <w:sz w:val="28"/>
          <w:lang w:val="es-ES"/>
        </w:rPr>
        <w:t>Este principio involucra la facultad de establecer su propio régimen de organización al interior de su estructura, con el objetivo de darle identidad partidaria y hacer posible la participación política para la consecución de los fines constitucionalmente encomendados.</w:t>
      </w:r>
    </w:p>
    <w:p w14:paraId="4DBC02F9" w14:textId="77777777" w:rsidR="00F94B48" w:rsidRPr="00F32542" w:rsidRDefault="00F94B48" w:rsidP="00F94B48">
      <w:pPr>
        <w:widowControl w:val="0"/>
        <w:spacing w:after="0" w:line="360" w:lineRule="auto"/>
        <w:jc w:val="both"/>
        <w:rPr>
          <w:rFonts w:ascii="Arial" w:eastAsia="Calibri" w:hAnsi="Arial" w:cs="Times New Roman"/>
          <w:sz w:val="28"/>
          <w:lang w:val="es-ES"/>
        </w:rPr>
      </w:pPr>
    </w:p>
    <w:p w14:paraId="40CADFA7" w14:textId="77777777" w:rsidR="00F94B48" w:rsidRPr="00F32542" w:rsidRDefault="00F94B48" w:rsidP="00F94B48">
      <w:pPr>
        <w:widowControl w:val="0"/>
        <w:spacing w:after="0" w:line="360" w:lineRule="auto"/>
        <w:jc w:val="both"/>
        <w:rPr>
          <w:rFonts w:ascii="Arial" w:eastAsia="Calibri" w:hAnsi="Arial" w:cs="Times New Roman"/>
          <w:sz w:val="28"/>
          <w:lang w:val="es-ES"/>
        </w:rPr>
      </w:pPr>
      <w:r w:rsidRPr="00F32542">
        <w:rPr>
          <w:rFonts w:ascii="Arial" w:eastAsia="Calibri" w:hAnsi="Arial" w:cs="Times New Roman"/>
          <w:sz w:val="28"/>
          <w:lang w:val="es-ES"/>
        </w:rPr>
        <w:t xml:space="preserve">En efecto, el </w:t>
      </w:r>
      <w:r w:rsidRPr="00F32542">
        <w:rPr>
          <w:rFonts w:ascii="Arial" w:eastAsia="Calibri" w:hAnsi="Arial" w:cs="Times New Roman"/>
          <w:i/>
          <w:sz w:val="28"/>
          <w:lang w:val="es-ES"/>
        </w:rPr>
        <w:t>PAN</w:t>
      </w:r>
      <w:r w:rsidRPr="00F32542">
        <w:rPr>
          <w:rFonts w:ascii="Arial" w:eastAsia="Calibri" w:hAnsi="Arial" w:cs="Times New Roman"/>
          <w:sz w:val="28"/>
          <w:lang w:val="es-ES"/>
        </w:rPr>
        <w:t xml:space="preserve">, en ejercicio de su autoorganización, determinó la integración y orden de prelación de la lista A de candidaturas a las diputaciones de representación proporcional, en armonía con el principio constitucional de paridad y la regla de alternancia por género. </w:t>
      </w:r>
    </w:p>
    <w:p w14:paraId="41F2D14D" w14:textId="77777777" w:rsidR="00F94B48" w:rsidRPr="00F32542" w:rsidRDefault="00F94B48" w:rsidP="00F94B48">
      <w:pPr>
        <w:widowControl w:val="0"/>
        <w:spacing w:after="0" w:line="360" w:lineRule="auto"/>
        <w:jc w:val="both"/>
        <w:rPr>
          <w:rFonts w:ascii="Arial" w:eastAsia="Calibri" w:hAnsi="Arial" w:cs="Times New Roman"/>
          <w:sz w:val="28"/>
          <w:lang w:val="es-ES"/>
        </w:rPr>
      </w:pPr>
    </w:p>
    <w:p w14:paraId="1B544354" w14:textId="77777777" w:rsidR="00F94B48" w:rsidRPr="00F32542" w:rsidRDefault="00F94B48" w:rsidP="00F94B48">
      <w:pPr>
        <w:widowControl w:val="0"/>
        <w:spacing w:after="0" w:line="360" w:lineRule="auto"/>
        <w:jc w:val="both"/>
        <w:rPr>
          <w:rFonts w:ascii="Arial" w:eastAsia="Calibri" w:hAnsi="Arial" w:cs="Times New Roman"/>
          <w:sz w:val="28"/>
          <w:lang w:val="es-ES"/>
        </w:rPr>
      </w:pPr>
      <w:r w:rsidRPr="00F32542">
        <w:rPr>
          <w:rFonts w:ascii="Arial" w:eastAsia="Calibri" w:hAnsi="Arial" w:cs="Times New Roman"/>
          <w:sz w:val="28"/>
          <w:lang w:val="es-ES"/>
        </w:rPr>
        <w:t xml:space="preserve">No obstante, el </w:t>
      </w:r>
      <w:r w:rsidRPr="00F32542">
        <w:rPr>
          <w:rFonts w:ascii="Arial" w:eastAsia="Calibri" w:hAnsi="Arial" w:cs="Times New Roman"/>
          <w:i/>
          <w:sz w:val="28"/>
          <w:lang w:val="es-ES"/>
        </w:rPr>
        <w:t>Consejo General</w:t>
      </w:r>
      <w:r w:rsidRPr="00F32542">
        <w:rPr>
          <w:rFonts w:ascii="Arial" w:eastAsia="Calibri" w:hAnsi="Arial" w:cs="Times New Roman"/>
          <w:sz w:val="28"/>
          <w:lang w:val="es-ES"/>
        </w:rPr>
        <w:t xml:space="preserve">, una vez celebrada la elección, modificó el orden de la lista determinada por el partido político, con la justificación de atender la paridad de género, principio que ciertamente había sido atendido. </w:t>
      </w:r>
    </w:p>
    <w:p w14:paraId="0AA7A484" w14:textId="77777777" w:rsidR="00F94B48" w:rsidRPr="00F32542" w:rsidRDefault="00F94B48" w:rsidP="00F94B48">
      <w:pPr>
        <w:widowControl w:val="0"/>
        <w:spacing w:after="0" w:line="360" w:lineRule="auto"/>
        <w:jc w:val="both"/>
        <w:rPr>
          <w:rFonts w:ascii="Arial" w:eastAsia="Calibri" w:hAnsi="Arial" w:cs="Times New Roman"/>
          <w:sz w:val="28"/>
          <w:lang w:val="es-ES"/>
        </w:rPr>
      </w:pPr>
    </w:p>
    <w:p w14:paraId="5C5F1BDE" w14:textId="77777777" w:rsidR="00F94B48" w:rsidRPr="00F32542" w:rsidRDefault="00F94B48" w:rsidP="00F94B48">
      <w:pPr>
        <w:widowControl w:val="0"/>
        <w:spacing w:after="0" w:line="360" w:lineRule="auto"/>
        <w:jc w:val="both"/>
        <w:rPr>
          <w:rFonts w:ascii="Arial" w:eastAsia="Calibri" w:hAnsi="Arial" w:cs="Times New Roman"/>
          <w:sz w:val="28"/>
          <w:lang w:val="es-ES"/>
        </w:rPr>
      </w:pPr>
      <w:r w:rsidRPr="00F32542">
        <w:rPr>
          <w:rFonts w:ascii="Arial" w:eastAsia="Calibri" w:hAnsi="Arial" w:cs="Times New Roman"/>
          <w:sz w:val="28"/>
          <w:lang w:val="es-ES"/>
        </w:rPr>
        <w:t>De manera que la medida es desproporcional, puesto que el fin perseguido ya estaba satisfecho y, por el contrario, el ajuste vulneró la autodeterminación del partido político.</w:t>
      </w:r>
    </w:p>
    <w:p w14:paraId="47BCEB2A" w14:textId="77777777" w:rsidR="00F94B48" w:rsidRPr="00F32542" w:rsidRDefault="00F94B48" w:rsidP="00F94B48">
      <w:pPr>
        <w:widowControl w:val="0"/>
        <w:spacing w:after="0" w:line="360" w:lineRule="auto"/>
        <w:jc w:val="both"/>
        <w:rPr>
          <w:rFonts w:ascii="Arial" w:eastAsia="Calibri" w:hAnsi="Arial" w:cs="Times New Roman"/>
          <w:sz w:val="28"/>
          <w:lang w:val="es-ES"/>
        </w:rPr>
      </w:pPr>
    </w:p>
    <w:p w14:paraId="35968A18" w14:textId="77777777" w:rsidR="00F94B48" w:rsidRPr="00F32542" w:rsidRDefault="00F94B48" w:rsidP="00F94B48">
      <w:pPr>
        <w:widowControl w:val="0"/>
        <w:spacing w:after="0" w:line="360" w:lineRule="auto"/>
        <w:jc w:val="both"/>
        <w:rPr>
          <w:rFonts w:ascii="Arial" w:eastAsia="Times New Roman" w:hAnsi="Arial" w:cs="Arial"/>
          <w:sz w:val="28"/>
          <w:szCs w:val="28"/>
          <w:lang w:val="es-ES" w:eastAsia="es-ES"/>
        </w:rPr>
      </w:pPr>
      <w:r w:rsidRPr="00F32542">
        <w:rPr>
          <w:rFonts w:ascii="Arial" w:eastAsia="Calibri" w:hAnsi="Arial" w:cs="Times New Roman"/>
          <w:sz w:val="28"/>
          <w:szCs w:val="28"/>
          <w:lang w:val="es-ES"/>
        </w:rPr>
        <w:t xml:space="preserve">Por tanto, acorde con lo expuesto, se concluye que la medida implementada por el </w:t>
      </w:r>
      <w:r w:rsidRPr="00F32542">
        <w:rPr>
          <w:rFonts w:ascii="Arial" w:eastAsia="Calibri" w:hAnsi="Arial" w:cs="Times New Roman"/>
          <w:i/>
          <w:sz w:val="28"/>
          <w:szCs w:val="28"/>
          <w:lang w:val="es-ES"/>
        </w:rPr>
        <w:t>Instituto Electoral</w:t>
      </w:r>
      <w:r w:rsidRPr="00F32542">
        <w:rPr>
          <w:rFonts w:ascii="Arial" w:eastAsia="Calibri" w:hAnsi="Arial" w:cs="Times New Roman"/>
          <w:sz w:val="28"/>
          <w:szCs w:val="28"/>
          <w:lang w:val="es-ES"/>
        </w:rPr>
        <w:t xml:space="preserve">, relativa a ajustar la lista A del </w:t>
      </w:r>
      <w:r w:rsidRPr="00F32542">
        <w:rPr>
          <w:rFonts w:ascii="Arial" w:eastAsia="Calibri" w:hAnsi="Arial" w:cs="Times New Roman"/>
          <w:i/>
          <w:sz w:val="28"/>
          <w:szCs w:val="28"/>
          <w:lang w:val="es-ES"/>
        </w:rPr>
        <w:t>PAN</w:t>
      </w:r>
      <w:r w:rsidRPr="00F32542">
        <w:rPr>
          <w:rFonts w:ascii="Arial" w:eastAsia="Calibri" w:hAnsi="Arial" w:cs="Times New Roman"/>
          <w:sz w:val="28"/>
          <w:szCs w:val="28"/>
          <w:lang w:val="es-ES"/>
        </w:rPr>
        <w:t xml:space="preserve">, </w:t>
      </w:r>
      <w:r w:rsidRPr="00F32542">
        <w:rPr>
          <w:rFonts w:ascii="Arial" w:eastAsia="Times New Roman" w:hAnsi="Arial" w:cs="Arial"/>
          <w:sz w:val="28"/>
          <w:szCs w:val="28"/>
          <w:lang w:val="es-ES" w:eastAsia="es-ES"/>
        </w:rPr>
        <w:t xml:space="preserve">no está justificada en forma alguna, dado que no invocó el sustento que estableciera expresamente tal circunstancia. </w:t>
      </w:r>
    </w:p>
    <w:p w14:paraId="6B3C7A68" w14:textId="77777777" w:rsidR="00F94B48" w:rsidRPr="00F32542" w:rsidRDefault="00F94B48" w:rsidP="00F94B48">
      <w:pPr>
        <w:widowControl w:val="0"/>
        <w:spacing w:after="0" w:line="360" w:lineRule="auto"/>
        <w:jc w:val="both"/>
        <w:rPr>
          <w:rFonts w:ascii="Arial" w:eastAsia="Times New Roman" w:hAnsi="Arial" w:cs="Arial"/>
          <w:sz w:val="28"/>
          <w:szCs w:val="28"/>
          <w:lang w:val="es-ES" w:eastAsia="es-ES"/>
        </w:rPr>
      </w:pPr>
    </w:p>
    <w:p w14:paraId="0A30D0C2" w14:textId="77777777" w:rsidR="00F94B48" w:rsidRPr="00F32542" w:rsidRDefault="00F94B48" w:rsidP="00F94B48">
      <w:pPr>
        <w:widowControl w:val="0"/>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t xml:space="preserve">Además de que, ciertamente, en la legislación electoral existen medidas que garantizan la paridad de género, las cuales se cumplieron con la lista originalmente presentada por el </w:t>
      </w:r>
      <w:r w:rsidRPr="00F32542">
        <w:rPr>
          <w:rFonts w:ascii="Arial" w:eastAsia="Times New Roman" w:hAnsi="Arial" w:cs="Arial"/>
          <w:i/>
          <w:sz w:val="28"/>
          <w:szCs w:val="28"/>
          <w:lang w:val="es-ES" w:eastAsia="es-ES"/>
        </w:rPr>
        <w:t>PAN</w:t>
      </w:r>
      <w:r w:rsidRPr="00F32542">
        <w:rPr>
          <w:rFonts w:ascii="Arial" w:eastAsia="Times New Roman" w:hAnsi="Arial" w:cs="Arial"/>
          <w:sz w:val="28"/>
          <w:szCs w:val="28"/>
          <w:lang w:val="es-ES" w:eastAsia="es-ES"/>
        </w:rPr>
        <w:t xml:space="preserve">. </w:t>
      </w:r>
    </w:p>
    <w:p w14:paraId="0DC56863" w14:textId="77777777" w:rsidR="00F94B48" w:rsidRPr="00F32542" w:rsidRDefault="00F94B48" w:rsidP="00F94B48">
      <w:pPr>
        <w:widowControl w:val="0"/>
        <w:spacing w:after="0" w:line="360" w:lineRule="auto"/>
        <w:jc w:val="both"/>
        <w:rPr>
          <w:rFonts w:ascii="Arial" w:eastAsia="Times New Roman" w:hAnsi="Arial" w:cs="Arial"/>
          <w:sz w:val="28"/>
          <w:szCs w:val="28"/>
          <w:lang w:val="es-ES" w:eastAsia="es-ES"/>
        </w:rPr>
      </w:pPr>
    </w:p>
    <w:p w14:paraId="6942637F" w14:textId="77777777" w:rsidR="00F94B48" w:rsidRPr="00F32542" w:rsidRDefault="00F94B48" w:rsidP="00F94B48">
      <w:pPr>
        <w:widowControl w:val="0"/>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t>Aunado a que, la autoridad responsable no justificó ni se advierten razones que permitan considerar que objetivamente es necesaria la implementación de una medida adicional, como la aludida.</w:t>
      </w:r>
    </w:p>
    <w:p w14:paraId="32EFEE8E" w14:textId="77777777" w:rsidR="00F94B48" w:rsidRPr="00F32542" w:rsidRDefault="00F94B48" w:rsidP="00F94B48">
      <w:pPr>
        <w:widowControl w:val="0"/>
        <w:spacing w:after="0" w:line="360" w:lineRule="auto"/>
        <w:jc w:val="both"/>
        <w:rPr>
          <w:rFonts w:ascii="Arial" w:eastAsia="Times New Roman" w:hAnsi="Arial" w:cs="Arial"/>
          <w:sz w:val="28"/>
          <w:szCs w:val="28"/>
          <w:lang w:val="es-ES" w:eastAsia="es-ES"/>
        </w:rPr>
      </w:pPr>
    </w:p>
    <w:p w14:paraId="399F9B3F" w14:textId="77777777" w:rsidR="00F94B48" w:rsidRPr="00F32542" w:rsidRDefault="00F94B48" w:rsidP="00F94B48">
      <w:pPr>
        <w:widowControl w:val="0"/>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t>Por lo tanto, se estima que el proceder del IECM fue indebido, pues al ordenar el reajuste a la lista A del PAN, no distinguió entre el fin legítimo que pretendía alcanzar con esa medida, esto es, la paridad como expresión del principio de igualdad en la representación política —misma que esa lista cumplía desde un principio— y la medida especial de reajuste que ordenó como instrumento para alcanzar dicha finalidad, sin confundirse con ella.</w:t>
      </w:r>
    </w:p>
    <w:p w14:paraId="3B139BAD" w14:textId="77777777" w:rsidR="00F94B48" w:rsidRPr="00F32542" w:rsidRDefault="00F94B48" w:rsidP="00F94B48">
      <w:pPr>
        <w:widowControl w:val="0"/>
        <w:spacing w:after="0" w:line="360" w:lineRule="auto"/>
        <w:jc w:val="both"/>
        <w:rPr>
          <w:rFonts w:ascii="Arial" w:eastAsia="Calibri" w:hAnsi="Arial" w:cs="Times New Roman"/>
          <w:sz w:val="28"/>
          <w:lang w:val="es-ES"/>
        </w:rPr>
      </w:pPr>
    </w:p>
    <w:p w14:paraId="7A4802E0" w14:textId="77777777" w:rsidR="00F94B48" w:rsidRPr="00F32542" w:rsidRDefault="00F94B48" w:rsidP="00F94B48">
      <w:pPr>
        <w:widowControl w:val="0"/>
        <w:spacing w:after="0" w:line="360" w:lineRule="auto"/>
        <w:jc w:val="both"/>
        <w:rPr>
          <w:rFonts w:ascii="Arial" w:eastAsia="Calibri" w:hAnsi="Arial" w:cs="Times New Roman"/>
          <w:sz w:val="28"/>
          <w:lang w:val="es-ES"/>
        </w:rPr>
      </w:pPr>
      <w:r w:rsidRPr="00F32542">
        <w:rPr>
          <w:rFonts w:ascii="Arial" w:eastAsia="Calibri" w:hAnsi="Arial" w:cs="Times New Roman"/>
          <w:sz w:val="28"/>
          <w:lang w:val="es-ES"/>
        </w:rPr>
        <w:t xml:space="preserve">En consecuencia, ante lo </w:t>
      </w:r>
      <w:r w:rsidRPr="00F32542">
        <w:rPr>
          <w:rFonts w:ascii="Arial" w:eastAsia="Calibri" w:hAnsi="Arial" w:cs="Times New Roman"/>
          <w:b/>
          <w:bCs/>
          <w:sz w:val="28"/>
          <w:lang w:val="es-ES"/>
        </w:rPr>
        <w:t>fundado</w:t>
      </w:r>
      <w:r w:rsidRPr="00F32542">
        <w:rPr>
          <w:rFonts w:ascii="Arial" w:eastAsia="Calibri" w:hAnsi="Arial" w:cs="Times New Roman"/>
          <w:sz w:val="28"/>
          <w:lang w:val="es-ES"/>
        </w:rPr>
        <w:t xml:space="preserve"> de los agravios del actor del expediente </w:t>
      </w:r>
      <w:r w:rsidRPr="00F32542">
        <w:rPr>
          <w:rFonts w:ascii="Arial" w:eastAsia="Calibri" w:hAnsi="Arial" w:cs="Times New Roman"/>
          <w:b/>
          <w:bCs/>
          <w:sz w:val="28"/>
          <w:lang w:val="es-ES"/>
        </w:rPr>
        <w:t>TECDMX-100/2021</w:t>
      </w:r>
      <w:r w:rsidRPr="00F32542">
        <w:rPr>
          <w:rFonts w:ascii="Arial" w:eastAsia="Calibri" w:hAnsi="Arial" w:cs="Times New Roman"/>
          <w:sz w:val="28"/>
          <w:lang w:val="es-ES"/>
        </w:rPr>
        <w:t xml:space="preserve">, así como del PAN, respecto de la ilegalidad del ajuste a la lista A del mismo partido, lo procedente es dejar intocado dicho listado de candidaturas, es decir, sin la modificación realizada por el </w:t>
      </w:r>
      <w:r w:rsidRPr="00F32542">
        <w:rPr>
          <w:rFonts w:ascii="Arial" w:eastAsia="Calibri" w:hAnsi="Arial" w:cs="Times New Roman"/>
          <w:i/>
          <w:sz w:val="28"/>
          <w:lang w:val="es-ES"/>
        </w:rPr>
        <w:t>Consejo General</w:t>
      </w:r>
      <w:r w:rsidRPr="00F32542">
        <w:rPr>
          <w:rFonts w:ascii="Arial" w:eastAsia="Calibri" w:hAnsi="Arial" w:cs="Times New Roman"/>
          <w:sz w:val="28"/>
          <w:lang w:val="es-ES"/>
        </w:rPr>
        <w:t xml:space="preserve">, de manera que queda en los términos siguientes: </w:t>
      </w:r>
    </w:p>
    <w:p w14:paraId="37A35312" w14:textId="77777777" w:rsidR="00F94B48" w:rsidRPr="00F32542" w:rsidRDefault="00F94B48" w:rsidP="00F94B48">
      <w:pPr>
        <w:widowControl w:val="0"/>
        <w:spacing w:after="0" w:line="360" w:lineRule="auto"/>
        <w:jc w:val="both"/>
        <w:rPr>
          <w:rFonts w:ascii="Arial" w:eastAsia="Calibri" w:hAnsi="Arial" w:cs="Times New Roman"/>
          <w:sz w:val="28"/>
          <w:lang w:val="es-ES"/>
        </w:rPr>
      </w:pPr>
    </w:p>
    <w:tbl>
      <w:tblPr>
        <w:tblStyle w:val="Tablaconcuadrcula25"/>
        <w:tblW w:w="0" w:type="auto"/>
        <w:jc w:val="center"/>
        <w:tblLook w:val="04A0" w:firstRow="1" w:lastRow="0" w:firstColumn="1" w:lastColumn="0" w:noHBand="0" w:noVBand="1"/>
      </w:tblPr>
      <w:tblGrid>
        <w:gridCol w:w="709"/>
        <w:gridCol w:w="857"/>
        <w:gridCol w:w="2387"/>
        <w:gridCol w:w="608"/>
        <w:gridCol w:w="2113"/>
        <w:gridCol w:w="613"/>
      </w:tblGrid>
      <w:tr w:rsidR="00F94B48" w:rsidRPr="00F32542" w14:paraId="0B71F2FB" w14:textId="77777777" w:rsidTr="00C97D23">
        <w:trPr>
          <w:tblHeader/>
          <w:jc w:val="center"/>
        </w:trPr>
        <w:tc>
          <w:tcPr>
            <w:tcW w:w="709" w:type="dxa"/>
            <w:shd w:val="clear" w:color="auto" w:fill="BFBFBF" w:themeFill="background1" w:themeFillShade="BF"/>
            <w:vAlign w:val="center"/>
          </w:tcPr>
          <w:p w14:paraId="0FB6B195" w14:textId="77777777" w:rsidR="00F94B48" w:rsidRPr="00F32542" w:rsidRDefault="00F94B48" w:rsidP="00F94B48">
            <w:pPr>
              <w:widowControl w:val="0"/>
              <w:spacing w:after="0" w:line="240" w:lineRule="auto"/>
              <w:jc w:val="center"/>
              <w:rPr>
                <w:rFonts w:ascii="Arial" w:eastAsia="Calibri" w:hAnsi="Arial" w:cs="Times New Roman"/>
                <w:b/>
                <w:sz w:val="16"/>
                <w:szCs w:val="16"/>
                <w:lang w:val="es-ES"/>
              </w:rPr>
            </w:pPr>
            <w:r w:rsidRPr="00F32542">
              <w:rPr>
                <w:rFonts w:ascii="Arial" w:eastAsia="Calibri" w:hAnsi="Arial" w:cs="Times New Roman"/>
                <w:b/>
                <w:sz w:val="16"/>
                <w:szCs w:val="16"/>
                <w:lang w:val="es-ES"/>
              </w:rPr>
              <w:t>No. en la lista A</w:t>
            </w:r>
          </w:p>
        </w:tc>
        <w:tc>
          <w:tcPr>
            <w:tcW w:w="857" w:type="dxa"/>
            <w:shd w:val="clear" w:color="auto" w:fill="BFBFBF" w:themeFill="background1" w:themeFillShade="BF"/>
            <w:vAlign w:val="center"/>
          </w:tcPr>
          <w:p w14:paraId="6EC76503" w14:textId="77777777" w:rsidR="00F94B48" w:rsidRPr="00F32542" w:rsidRDefault="00F94B48" w:rsidP="00F94B48">
            <w:pPr>
              <w:widowControl w:val="0"/>
              <w:spacing w:after="0" w:line="240" w:lineRule="auto"/>
              <w:jc w:val="center"/>
              <w:rPr>
                <w:rFonts w:ascii="Arial" w:eastAsia="Calibri" w:hAnsi="Arial" w:cs="Times New Roman"/>
                <w:b/>
                <w:sz w:val="16"/>
                <w:szCs w:val="16"/>
                <w:lang w:val="es-ES"/>
              </w:rPr>
            </w:pPr>
            <w:r w:rsidRPr="00F32542">
              <w:rPr>
                <w:rFonts w:ascii="Arial" w:eastAsia="Calibri" w:hAnsi="Arial" w:cs="Times New Roman"/>
                <w:b/>
                <w:sz w:val="16"/>
                <w:szCs w:val="16"/>
                <w:lang w:val="es-ES"/>
              </w:rPr>
              <w:t>Sexo</w:t>
            </w:r>
          </w:p>
        </w:tc>
        <w:tc>
          <w:tcPr>
            <w:tcW w:w="2387" w:type="dxa"/>
            <w:shd w:val="clear" w:color="auto" w:fill="BFBFBF" w:themeFill="background1" w:themeFillShade="BF"/>
            <w:vAlign w:val="center"/>
          </w:tcPr>
          <w:p w14:paraId="727B13A8" w14:textId="77777777" w:rsidR="00F94B48" w:rsidRPr="00F32542" w:rsidRDefault="00F94B48" w:rsidP="00F94B48">
            <w:pPr>
              <w:widowControl w:val="0"/>
              <w:spacing w:after="0" w:line="240" w:lineRule="auto"/>
              <w:jc w:val="center"/>
              <w:rPr>
                <w:rFonts w:ascii="Arial" w:eastAsia="Calibri" w:hAnsi="Arial" w:cs="Times New Roman"/>
                <w:b/>
                <w:sz w:val="16"/>
                <w:szCs w:val="16"/>
                <w:lang w:val="es-ES"/>
              </w:rPr>
            </w:pPr>
            <w:r w:rsidRPr="00F32542">
              <w:rPr>
                <w:rFonts w:ascii="Arial" w:eastAsia="Calibri" w:hAnsi="Arial" w:cs="Times New Roman"/>
                <w:b/>
                <w:sz w:val="16"/>
                <w:szCs w:val="16"/>
                <w:lang w:val="es-ES"/>
              </w:rPr>
              <w:t>Nombre completo de la persona propietaria</w:t>
            </w:r>
          </w:p>
        </w:tc>
        <w:tc>
          <w:tcPr>
            <w:tcW w:w="608" w:type="dxa"/>
            <w:shd w:val="clear" w:color="auto" w:fill="BFBFBF" w:themeFill="background1" w:themeFillShade="BF"/>
            <w:vAlign w:val="center"/>
          </w:tcPr>
          <w:p w14:paraId="76ADFFB3" w14:textId="77777777" w:rsidR="00F94B48" w:rsidRPr="00F32542" w:rsidRDefault="00F94B48" w:rsidP="00F94B48">
            <w:pPr>
              <w:widowControl w:val="0"/>
              <w:spacing w:after="0" w:line="240" w:lineRule="auto"/>
              <w:jc w:val="center"/>
              <w:rPr>
                <w:rFonts w:ascii="Arial" w:eastAsia="Calibri" w:hAnsi="Arial" w:cs="Times New Roman"/>
                <w:b/>
                <w:sz w:val="16"/>
                <w:szCs w:val="16"/>
                <w:lang w:val="es-ES"/>
              </w:rPr>
            </w:pPr>
            <w:r w:rsidRPr="00F32542">
              <w:rPr>
                <w:rFonts w:ascii="Arial" w:eastAsia="Calibri" w:hAnsi="Arial" w:cs="Times New Roman"/>
                <w:b/>
                <w:sz w:val="16"/>
                <w:szCs w:val="16"/>
                <w:lang w:val="es-ES"/>
              </w:rPr>
              <w:t>Edad</w:t>
            </w:r>
          </w:p>
        </w:tc>
        <w:tc>
          <w:tcPr>
            <w:tcW w:w="2113" w:type="dxa"/>
            <w:shd w:val="clear" w:color="auto" w:fill="BFBFBF" w:themeFill="background1" w:themeFillShade="BF"/>
            <w:vAlign w:val="center"/>
          </w:tcPr>
          <w:p w14:paraId="0C3776FC" w14:textId="77777777" w:rsidR="00F94B48" w:rsidRPr="00F32542" w:rsidRDefault="00F94B48" w:rsidP="00F94B48">
            <w:pPr>
              <w:widowControl w:val="0"/>
              <w:spacing w:after="0" w:line="240" w:lineRule="auto"/>
              <w:jc w:val="center"/>
              <w:rPr>
                <w:rFonts w:ascii="Arial" w:eastAsia="Calibri" w:hAnsi="Arial" w:cs="Times New Roman"/>
                <w:b/>
                <w:sz w:val="16"/>
                <w:szCs w:val="16"/>
                <w:lang w:val="es-ES"/>
              </w:rPr>
            </w:pPr>
            <w:r w:rsidRPr="00F32542">
              <w:rPr>
                <w:rFonts w:ascii="Arial" w:eastAsia="Calibri" w:hAnsi="Arial" w:cs="Times New Roman"/>
                <w:b/>
                <w:sz w:val="16"/>
                <w:szCs w:val="16"/>
                <w:lang w:val="es-ES"/>
              </w:rPr>
              <w:t>Nombre completo de la persona suplente</w:t>
            </w:r>
          </w:p>
        </w:tc>
        <w:tc>
          <w:tcPr>
            <w:tcW w:w="613" w:type="dxa"/>
            <w:shd w:val="clear" w:color="auto" w:fill="BFBFBF" w:themeFill="background1" w:themeFillShade="BF"/>
            <w:vAlign w:val="center"/>
          </w:tcPr>
          <w:p w14:paraId="46DC45E3" w14:textId="77777777" w:rsidR="00F94B48" w:rsidRPr="00F32542" w:rsidRDefault="00F94B48" w:rsidP="00F94B48">
            <w:pPr>
              <w:widowControl w:val="0"/>
              <w:spacing w:after="0" w:line="240" w:lineRule="auto"/>
              <w:jc w:val="center"/>
              <w:rPr>
                <w:rFonts w:ascii="Arial" w:eastAsia="Calibri" w:hAnsi="Arial" w:cs="Times New Roman"/>
                <w:b/>
                <w:sz w:val="16"/>
                <w:szCs w:val="16"/>
                <w:lang w:val="es-ES"/>
              </w:rPr>
            </w:pPr>
            <w:r w:rsidRPr="00F32542">
              <w:rPr>
                <w:rFonts w:ascii="Arial" w:eastAsia="Calibri" w:hAnsi="Arial" w:cs="Times New Roman"/>
                <w:b/>
                <w:sz w:val="16"/>
                <w:szCs w:val="16"/>
                <w:lang w:val="es-ES"/>
              </w:rPr>
              <w:t>Edad</w:t>
            </w:r>
          </w:p>
        </w:tc>
      </w:tr>
      <w:tr w:rsidR="00F94B48" w:rsidRPr="00F32542" w14:paraId="7624D9FB" w14:textId="77777777" w:rsidTr="00B65D24">
        <w:trPr>
          <w:jc w:val="center"/>
        </w:trPr>
        <w:tc>
          <w:tcPr>
            <w:tcW w:w="709" w:type="dxa"/>
            <w:vAlign w:val="center"/>
          </w:tcPr>
          <w:p w14:paraId="2D832EAC"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1</w:t>
            </w:r>
          </w:p>
        </w:tc>
        <w:tc>
          <w:tcPr>
            <w:tcW w:w="857" w:type="dxa"/>
            <w:vAlign w:val="center"/>
          </w:tcPr>
          <w:p w14:paraId="1CA24BC3"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Hombre</w:t>
            </w:r>
          </w:p>
        </w:tc>
        <w:tc>
          <w:tcPr>
            <w:tcW w:w="2387" w:type="dxa"/>
            <w:vAlign w:val="center"/>
          </w:tcPr>
          <w:p w14:paraId="19413210"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Federico </w:t>
            </w:r>
            <w:proofErr w:type="spellStart"/>
            <w:r w:rsidRPr="00F32542">
              <w:rPr>
                <w:rFonts w:ascii="Arial" w:eastAsia="Calibri" w:hAnsi="Arial" w:cs="Times New Roman"/>
                <w:sz w:val="18"/>
                <w:szCs w:val="18"/>
                <w:lang w:val="es-ES"/>
              </w:rPr>
              <w:t>Döring</w:t>
            </w:r>
            <w:proofErr w:type="spellEnd"/>
            <w:r w:rsidRPr="00F32542">
              <w:rPr>
                <w:rFonts w:ascii="Arial" w:eastAsia="Calibri" w:hAnsi="Arial" w:cs="Times New Roman"/>
                <w:sz w:val="18"/>
                <w:szCs w:val="18"/>
                <w:lang w:val="es-ES"/>
              </w:rPr>
              <w:t xml:space="preserve"> Casar </w:t>
            </w:r>
          </w:p>
        </w:tc>
        <w:tc>
          <w:tcPr>
            <w:tcW w:w="608" w:type="dxa"/>
            <w:vAlign w:val="center"/>
          </w:tcPr>
          <w:p w14:paraId="752A4875"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50</w:t>
            </w:r>
          </w:p>
        </w:tc>
        <w:tc>
          <w:tcPr>
            <w:tcW w:w="2113" w:type="dxa"/>
            <w:vAlign w:val="center"/>
          </w:tcPr>
          <w:p w14:paraId="722A96A1"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Luis Antonio Oviedo Garza </w:t>
            </w:r>
          </w:p>
        </w:tc>
        <w:tc>
          <w:tcPr>
            <w:tcW w:w="613" w:type="dxa"/>
            <w:vAlign w:val="center"/>
          </w:tcPr>
          <w:p w14:paraId="66E18E81"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62</w:t>
            </w:r>
          </w:p>
        </w:tc>
      </w:tr>
      <w:tr w:rsidR="00F94B48" w:rsidRPr="00F32542" w14:paraId="6E790F83" w14:textId="77777777" w:rsidTr="00B65D24">
        <w:trPr>
          <w:jc w:val="center"/>
        </w:trPr>
        <w:tc>
          <w:tcPr>
            <w:tcW w:w="709" w:type="dxa"/>
            <w:vAlign w:val="center"/>
          </w:tcPr>
          <w:p w14:paraId="7ECB5A55"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w:t>
            </w:r>
          </w:p>
        </w:tc>
        <w:tc>
          <w:tcPr>
            <w:tcW w:w="857" w:type="dxa"/>
            <w:vAlign w:val="center"/>
          </w:tcPr>
          <w:p w14:paraId="5A555B4D"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Mujer</w:t>
            </w:r>
          </w:p>
        </w:tc>
        <w:tc>
          <w:tcPr>
            <w:tcW w:w="2387" w:type="dxa"/>
            <w:vAlign w:val="center"/>
          </w:tcPr>
          <w:p w14:paraId="179C6C85"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Luisa Adriana Gutiérrez Ureña </w:t>
            </w:r>
          </w:p>
        </w:tc>
        <w:tc>
          <w:tcPr>
            <w:tcW w:w="608" w:type="dxa"/>
            <w:vAlign w:val="center"/>
          </w:tcPr>
          <w:p w14:paraId="66FBF218"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36</w:t>
            </w:r>
          </w:p>
        </w:tc>
        <w:tc>
          <w:tcPr>
            <w:tcW w:w="2113" w:type="dxa"/>
            <w:vAlign w:val="center"/>
          </w:tcPr>
          <w:p w14:paraId="6A83835E"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Itzel Abigail Arellano Cruces </w:t>
            </w:r>
          </w:p>
        </w:tc>
        <w:tc>
          <w:tcPr>
            <w:tcW w:w="613" w:type="dxa"/>
            <w:vAlign w:val="center"/>
          </w:tcPr>
          <w:p w14:paraId="5253A8A1"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28</w:t>
            </w:r>
          </w:p>
        </w:tc>
      </w:tr>
      <w:tr w:rsidR="00F94B48" w:rsidRPr="00F32542" w14:paraId="0B28B294" w14:textId="77777777" w:rsidTr="00B65D24">
        <w:trPr>
          <w:jc w:val="center"/>
        </w:trPr>
        <w:tc>
          <w:tcPr>
            <w:tcW w:w="709" w:type="dxa"/>
            <w:vAlign w:val="center"/>
          </w:tcPr>
          <w:p w14:paraId="35550B6D"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3</w:t>
            </w:r>
          </w:p>
        </w:tc>
        <w:tc>
          <w:tcPr>
            <w:tcW w:w="857" w:type="dxa"/>
            <w:vAlign w:val="center"/>
          </w:tcPr>
          <w:p w14:paraId="1AA431BC"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Hombre</w:t>
            </w:r>
          </w:p>
        </w:tc>
        <w:tc>
          <w:tcPr>
            <w:tcW w:w="2387" w:type="dxa"/>
            <w:vAlign w:val="center"/>
          </w:tcPr>
          <w:p w14:paraId="2814CAAC"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proofErr w:type="spellStart"/>
            <w:r w:rsidRPr="00F32542">
              <w:rPr>
                <w:rFonts w:ascii="Arial" w:eastAsia="Calibri" w:hAnsi="Arial" w:cs="Times New Roman"/>
                <w:sz w:val="18"/>
                <w:szCs w:val="18"/>
                <w:lang w:val="es-ES"/>
              </w:rPr>
              <w:t>Anibal</w:t>
            </w:r>
            <w:proofErr w:type="spellEnd"/>
            <w:r w:rsidRPr="00F32542">
              <w:rPr>
                <w:rFonts w:ascii="Arial" w:eastAsia="Calibri" w:hAnsi="Arial" w:cs="Times New Roman"/>
                <w:sz w:val="18"/>
                <w:szCs w:val="18"/>
                <w:lang w:val="es-ES"/>
              </w:rPr>
              <w:t xml:space="preserve"> Alexandro </w:t>
            </w:r>
            <w:proofErr w:type="spellStart"/>
            <w:r w:rsidRPr="00F32542">
              <w:rPr>
                <w:rFonts w:ascii="Arial" w:eastAsia="Calibri" w:hAnsi="Arial" w:cs="Times New Roman"/>
                <w:sz w:val="18"/>
                <w:szCs w:val="18"/>
                <w:lang w:val="es-ES"/>
              </w:rPr>
              <w:t>Cáñez</w:t>
            </w:r>
            <w:proofErr w:type="spellEnd"/>
            <w:r w:rsidRPr="00F32542">
              <w:rPr>
                <w:rFonts w:ascii="Arial" w:eastAsia="Calibri" w:hAnsi="Arial" w:cs="Times New Roman"/>
                <w:sz w:val="18"/>
                <w:szCs w:val="18"/>
                <w:lang w:val="es-ES"/>
              </w:rPr>
              <w:t xml:space="preserve"> Morales </w:t>
            </w:r>
          </w:p>
        </w:tc>
        <w:tc>
          <w:tcPr>
            <w:tcW w:w="608" w:type="dxa"/>
            <w:vAlign w:val="center"/>
          </w:tcPr>
          <w:p w14:paraId="40AFE600"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37</w:t>
            </w:r>
          </w:p>
        </w:tc>
        <w:tc>
          <w:tcPr>
            <w:tcW w:w="2113" w:type="dxa"/>
            <w:vAlign w:val="center"/>
          </w:tcPr>
          <w:p w14:paraId="37176CB6"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Alain León </w:t>
            </w:r>
            <w:proofErr w:type="spellStart"/>
            <w:r w:rsidRPr="00F32542">
              <w:rPr>
                <w:rFonts w:ascii="Arial" w:eastAsia="Calibri" w:hAnsi="Arial" w:cs="Times New Roman"/>
                <w:sz w:val="18"/>
                <w:szCs w:val="18"/>
                <w:lang w:val="es-ES"/>
              </w:rPr>
              <w:t>Rasetti</w:t>
            </w:r>
            <w:proofErr w:type="spellEnd"/>
            <w:r w:rsidRPr="00F32542">
              <w:rPr>
                <w:rFonts w:ascii="Arial" w:eastAsia="Calibri" w:hAnsi="Arial" w:cs="Times New Roman"/>
                <w:sz w:val="18"/>
                <w:szCs w:val="18"/>
                <w:lang w:val="es-ES"/>
              </w:rPr>
              <w:t xml:space="preserve"> </w:t>
            </w:r>
          </w:p>
        </w:tc>
        <w:tc>
          <w:tcPr>
            <w:tcW w:w="613" w:type="dxa"/>
            <w:vAlign w:val="center"/>
          </w:tcPr>
          <w:p w14:paraId="18B24C60"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28</w:t>
            </w:r>
          </w:p>
        </w:tc>
      </w:tr>
      <w:tr w:rsidR="00F94B48" w:rsidRPr="00F32542" w14:paraId="4B7F9B8F" w14:textId="77777777" w:rsidTr="00B65D24">
        <w:trPr>
          <w:jc w:val="center"/>
        </w:trPr>
        <w:tc>
          <w:tcPr>
            <w:tcW w:w="709" w:type="dxa"/>
            <w:vAlign w:val="center"/>
          </w:tcPr>
          <w:p w14:paraId="335797FB"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4</w:t>
            </w:r>
          </w:p>
        </w:tc>
        <w:tc>
          <w:tcPr>
            <w:tcW w:w="857" w:type="dxa"/>
            <w:vAlign w:val="center"/>
          </w:tcPr>
          <w:p w14:paraId="426E4536"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Mujer</w:t>
            </w:r>
          </w:p>
        </w:tc>
        <w:tc>
          <w:tcPr>
            <w:tcW w:w="2387" w:type="dxa"/>
            <w:vAlign w:val="center"/>
          </w:tcPr>
          <w:p w14:paraId="1B61F7F8"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Ana Jocelyn Villagrán Villasana </w:t>
            </w:r>
          </w:p>
        </w:tc>
        <w:tc>
          <w:tcPr>
            <w:tcW w:w="608" w:type="dxa"/>
            <w:vAlign w:val="center"/>
          </w:tcPr>
          <w:p w14:paraId="1872A649"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31</w:t>
            </w:r>
          </w:p>
        </w:tc>
        <w:tc>
          <w:tcPr>
            <w:tcW w:w="2113" w:type="dxa"/>
            <w:vAlign w:val="center"/>
          </w:tcPr>
          <w:p w14:paraId="0161F30C"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Ámbar Reyes Moto </w:t>
            </w:r>
          </w:p>
        </w:tc>
        <w:tc>
          <w:tcPr>
            <w:tcW w:w="613" w:type="dxa"/>
            <w:vAlign w:val="center"/>
          </w:tcPr>
          <w:p w14:paraId="25B5D380"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25</w:t>
            </w:r>
          </w:p>
        </w:tc>
      </w:tr>
      <w:tr w:rsidR="00F94B48" w:rsidRPr="00F32542" w14:paraId="4D992B19" w14:textId="77777777" w:rsidTr="00B65D24">
        <w:trPr>
          <w:jc w:val="center"/>
        </w:trPr>
        <w:tc>
          <w:tcPr>
            <w:tcW w:w="709" w:type="dxa"/>
            <w:vAlign w:val="center"/>
          </w:tcPr>
          <w:p w14:paraId="797F9BEB"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5</w:t>
            </w:r>
          </w:p>
        </w:tc>
        <w:tc>
          <w:tcPr>
            <w:tcW w:w="857" w:type="dxa"/>
            <w:vAlign w:val="center"/>
          </w:tcPr>
          <w:p w14:paraId="2F8D7C29"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Hombre</w:t>
            </w:r>
          </w:p>
        </w:tc>
        <w:tc>
          <w:tcPr>
            <w:tcW w:w="2387" w:type="dxa"/>
            <w:vAlign w:val="center"/>
          </w:tcPr>
          <w:p w14:paraId="61E0F90C"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Rodrigo Miranda Berumen </w:t>
            </w:r>
          </w:p>
        </w:tc>
        <w:tc>
          <w:tcPr>
            <w:tcW w:w="608" w:type="dxa"/>
            <w:vAlign w:val="center"/>
          </w:tcPr>
          <w:p w14:paraId="0EBF3E7E"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29</w:t>
            </w:r>
          </w:p>
        </w:tc>
        <w:tc>
          <w:tcPr>
            <w:tcW w:w="2113" w:type="dxa"/>
            <w:vAlign w:val="center"/>
          </w:tcPr>
          <w:p w14:paraId="59CD2849"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Luis Paris Oviedo Guarneros </w:t>
            </w:r>
          </w:p>
        </w:tc>
        <w:tc>
          <w:tcPr>
            <w:tcW w:w="613" w:type="dxa"/>
            <w:vAlign w:val="center"/>
          </w:tcPr>
          <w:p w14:paraId="2E8F616C"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35</w:t>
            </w:r>
          </w:p>
        </w:tc>
      </w:tr>
      <w:tr w:rsidR="00F94B48" w:rsidRPr="00F32542" w14:paraId="70A6E5BF" w14:textId="77777777" w:rsidTr="00B65D24">
        <w:trPr>
          <w:jc w:val="center"/>
        </w:trPr>
        <w:tc>
          <w:tcPr>
            <w:tcW w:w="709" w:type="dxa"/>
            <w:vAlign w:val="center"/>
          </w:tcPr>
          <w:p w14:paraId="08174723"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6</w:t>
            </w:r>
          </w:p>
        </w:tc>
        <w:tc>
          <w:tcPr>
            <w:tcW w:w="857" w:type="dxa"/>
            <w:vAlign w:val="center"/>
          </w:tcPr>
          <w:p w14:paraId="0010B028"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Mujer</w:t>
            </w:r>
          </w:p>
        </w:tc>
        <w:tc>
          <w:tcPr>
            <w:tcW w:w="2387" w:type="dxa"/>
            <w:vAlign w:val="center"/>
          </w:tcPr>
          <w:p w14:paraId="1B42A8FA"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María Gabriela Salido Magos </w:t>
            </w:r>
          </w:p>
        </w:tc>
        <w:tc>
          <w:tcPr>
            <w:tcW w:w="608" w:type="dxa"/>
            <w:vAlign w:val="center"/>
          </w:tcPr>
          <w:p w14:paraId="67594C5F"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50</w:t>
            </w:r>
          </w:p>
        </w:tc>
        <w:tc>
          <w:tcPr>
            <w:tcW w:w="2113" w:type="dxa"/>
            <w:vAlign w:val="center"/>
          </w:tcPr>
          <w:p w14:paraId="67D3BFE9"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Vania </w:t>
            </w:r>
            <w:proofErr w:type="spellStart"/>
            <w:r w:rsidRPr="00F32542">
              <w:rPr>
                <w:rFonts w:ascii="Arial" w:eastAsia="Calibri" w:hAnsi="Arial" w:cs="Times New Roman"/>
                <w:sz w:val="18"/>
                <w:szCs w:val="18"/>
                <w:lang w:val="es-ES"/>
              </w:rPr>
              <w:t>Yael</w:t>
            </w:r>
            <w:proofErr w:type="spellEnd"/>
            <w:r w:rsidRPr="00F32542">
              <w:rPr>
                <w:rFonts w:ascii="Arial" w:eastAsia="Calibri" w:hAnsi="Arial" w:cs="Times New Roman"/>
                <w:sz w:val="18"/>
                <w:szCs w:val="18"/>
                <w:lang w:val="es-ES"/>
              </w:rPr>
              <w:t xml:space="preserve"> González Veloz </w:t>
            </w:r>
          </w:p>
        </w:tc>
        <w:tc>
          <w:tcPr>
            <w:tcW w:w="613" w:type="dxa"/>
            <w:vAlign w:val="center"/>
          </w:tcPr>
          <w:p w14:paraId="417640F6"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27</w:t>
            </w:r>
          </w:p>
        </w:tc>
      </w:tr>
      <w:tr w:rsidR="00F94B48" w:rsidRPr="00F32542" w14:paraId="2C8DAF94" w14:textId="77777777" w:rsidTr="00B65D24">
        <w:trPr>
          <w:jc w:val="center"/>
        </w:trPr>
        <w:tc>
          <w:tcPr>
            <w:tcW w:w="709" w:type="dxa"/>
            <w:vAlign w:val="center"/>
          </w:tcPr>
          <w:p w14:paraId="4DC8BC0F"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7</w:t>
            </w:r>
          </w:p>
        </w:tc>
        <w:tc>
          <w:tcPr>
            <w:tcW w:w="857" w:type="dxa"/>
            <w:vAlign w:val="center"/>
          </w:tcPr>
          <w:p w14:paraId="28E3660A"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Hombre</w:t>
            </w:r>
          </w:p>
        </w:tc>
        <w:tc>
          <w:tcPr>
            <w:tcW w:w="2387" w:type="dxa"/>
            <w:vAlign w:val="center"/>
          </w:tcPr>
          <w:p w14:paraId="36CE5843"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Andrés Sánchez Miranda </w:t>
            </w:r>
          </w:p>
        </w:tc>
        <w:tc>
          <w:tcPr>
            <w:tcW w:w="608" w:type="dxa"/>
            <w:vAlign w:val="center"/>
          </w:tcPr>
          <w:p w14:paraId="251CD8E2"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36</w:t>
            </w:r>
          </w:p>
        </w:tc>
        <w:tc>
          <w:tcPr>
            <w:tcW w:w="2113" w:type="dxa"/>
            <w:vAlign w:val="center"/>
          </w:tcPr>
          <w:p w14:paraId="5EB92812"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Isabel Priscila Vera Hernández </w:t>
            </w:r>
          </w:p>
        </w:tc>
        <w:tc>
          <w:tcPr>
            <w:tcW w:w="613" w:type="dxa"/>
            <w:vAlign w:val="center"/>
          </w:tcPr>
          <w:p w14:paraId="00432FCE"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39</w:t>
            </w:r>
          </w:p>
        </w:tc>
      </w:tr>
      <w:tr w:rsidR="00F94B48" w:rsidRPr="00F32542" w14:paraId="27A82579" w14:textId="77777777" w:rsidTr="00B65D24">
        <w:trPr>
          <w:jc w:val="center"/>
        </w:trPr>
        <w:tc>
          <w:tcPr>
            <w:tcW w:w="709" w:type="dxa"/>
            <w:vAlign w:val="center"/>
          </w:tcPr>
          <w:p w14:paraId="52958E04"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8</w:t>
            </w:r>
          </w:p>
        </w:tc>
        <w:tc>
          <w:tcPr>
            <w:tcW w:w="857" w:type="dxa"/>
            <w:vAlign w:val="center"/>
          </w:tcPr>
          <w:p w14:paraId="4E762218"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Mujer</w:t>
            </w:r>
          </w:p>
        </w:tc>
        <w:tc>
          <w:tcPr>
            <w:tcW w:w="2387" w:type="dxa"/>
            <w:vAlign w:val="center"/>
          </w:tcPr>
          <w:p w14:paraId="2506C91D"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Frida Jimena Guillen Ortíz </w:t>
            </w:r>
          </w:p>
        </w:tc>
        <w:tc>
          <w:tcPr>
            <w:tcW w:w="608" w:type="dxa"/>
            <w:vAlign w:val="center"/>
          </w:tcPr>
          <w:p w14:paraId="105E2193"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24</w:t>
            </w:r>
          </w:p>
        </w:tc>
        <w:tc>
          <w:tcPr>
            <w:tcW w:w="2113" w:type="dxa"/>
            <w:vAlign w:val="center"/>
          </w:tcPr>
          <w:p w14:paraId="063AB52F"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proofErr w:type="spellStart"/>
            <w:r w:rsidRPr="00F32542">
              <w:rPr>
                <w:rFonts w:ascii="Arial" w:eastAsia="Calibri" w:hAnsi="Arial" w:cs="Times New Roman"/>
                <w:sz w:val="18"/>
                <w:szCs w:val="18"/>
                <w:lang w:val="es-ES"/>
              </w:rPr>
              <w:t>Ahichell</w:t>
            </w:r>
            <w:proofErr w:type="spellEnd"/>
            <w:r w:rsidRPr="00F32542">
              <w:rPr>
                <w:rFonts w:ascii="Arial" w:eastAsia="Calibri" w:hAnsi="Arial" w:cs="Times New Roman"/>
                <w:sz w:val="18"/>
                <w:szCs w:val="18"/>
                <w:lang w:val="es-ES"/>
              </w:rPr>
              <w:t xml:space="preserve"> Sánchez Valle </w:t>
            </w:r>
          </w:p>
        </w:tc>
        <w:tc>
          <w:tcPr>
            <w:tcW w:w="613" w:type="dxa"/>
            <w:vAlign w:val="center"/>
          </w:tcPr>
          <w:p w14:paraId="15458912"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27</w:t>
            </w:r>
          </w:p>
        </w:tc>
      </w:tr>
      <w:tr w:rsidR="00F94B48" w:rsidRPr="00F32542" w14:paraId="7D6732FF" w14:textId="77777777" w:rsidTr="00B65D24">
        <w:trPr>
          <w:jc w:val="center"/>
        </w:trPr>
        <w:tc>
          <w:tcPr>
            <w:tcW w:w="709" w:type="dxa"/>
            <w:vAlign w:val="center"/>
          </w:tcPr>
          <w:p w14:paraId="78B253B1"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9</w:t>
            </w:r>
          </w:p>
        </w:tc>
        <w:tc>
          <w:tcPr>
            <w:tcW w:w="857" w:type="dxa"/>
            <w:vAlign w:val="center"/>
          </w:tcPr>
          <w:p w14:paraId="6C41AB1A"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Hombre</w:t>
            </w:r>
          </w:p>
        </w:tc>
        <w:tc>
          <w:tcPr>
            <w:tcW w:w="2387" w:type="dxa"/>
            <w:vAlign w:val="center"/>
          </w:tcPr>
          <w:p w14:paraId="2E4E03C0"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Israel Landgrave Castillo </w:t>
            </w:r>
          </w:p>
        </w:tc>
        <w:tc>
          <w:tcPr>
            <w:tcW w:w="608" w:type="dxa"/>
            <w:vAlign w:val="center"/>
          </w:tcPr>
          <w:p w14:paraId="01F2A79C"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45</w:t>
            </w:r>
          </w:p>
        </w:tc>
        <w:tc>
          <w:tcPr>
            <w:tcW w:w="2113" w:type="dxa"/>
            <w:vAlign w:val="center"/>
          </w:tcPr>
          <w:p w14:paraId="5514AA64"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Ricardo Zárate León </w:t>
            </w:r>
          </w:p>
        </w:tc>
        <w:tc>
          <w:tcPr>
            <w:tcW w:w="613" w:type="dxa"/>
            <w:vAlign w:val="center"/>
          </w:tcPr>
          <w:p w14:paraId="14D9AA4E"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32</w:t>
            </w:r>
          </w:p>
        </w:tc>
      </w:tr>
      <w:tr w:rsidR="00F94B48" w:rsidRPr="00F32542" w14:paraId="6245B71D" w14:textId="77777777" w:rsidTr="00B65D24">
        <w:trPr>
          <w:jc w:val="center"/>
        </w:trPr>
        <w:tc>
          <w:tcPr>
            <w:tcW w:w="709" w:type="dxa"/>
            <w:vAlign w:val="center"/>
          </w:tcPr>
          <w:p w14:paraId="7B1C5778"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10</w:t>
            </w:r>
          </w:p>
        </w:tc>
        <w:tc>
          <w:tcPr>
            <w:tcW w:w="857" w:type="dxa"/>
            <w:vAlign w:val="center"/>
          </w:tcPr>
          <w:p w14:paraId="09549A19"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Mujer</w:t>
            </w:r>
          </w:p>
        </w:tc>
        <w:tc>
          <w:tcPr>
            <w:tcW w:w="2387" w:type="dxa"/>
            <w:vAlign w:val="center"/>
          </w:tcPr>
          <w:p w14:paraId="0DA85C2B"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Ana Jessica Ramírez Colín </w:t>
            </w:r>
          </w:p>
        </w:tc>
        <w:tc>
          <w:tcPr>
            <w:tcW w:w="608" w:type="dxa"/>
            <w:vAlign w:val="center"/>
          </w:tcPr>
          <w:p w14:paraId="0EE4A21C"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25</w:t>
            </w:r>
          </w:p>
        </w:tc>
        <w:tc>
          <w:tcPr>
            <w:tcW w:w="2113" w:type="dxa"/>
            <w:vAlign w:val="center"/>
          </w:tcPr>
          <w:p w14:paraId="742BC065"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 xml:space="preserve">Guadalupe Estefanía Gaona Oyola </w:t>
            </w:r>
          </w:p>
        </w:tc>
        <w:tc>
          <w:tcPr>
            <w:tcW w:w="613" w:type="dxa"/>
            <w:vAlign w:val="center"/>
          </w:tcPr>
          <w:p w14:paraId="4D80D3AF"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27</w:t>
            </w:r>
          </w:p>
        </w:tc>
      </w:tr>
      <w:tr w:rsidR="00F94B48" w:rsidRPr="00F32542" w14:paraId="367D757C" w14:textId="77777777" w:rsidTr="00B65D24">
        <w:trPr>
          <w:jc w:val="center"/>
        </w:trPr>
        <w:tc>
          <w:tcPr>
            <w:tcW w:w="709" w:type="dxa"/>
            <w:vAlign w:val="center"/>
          </w:tcPr>
          <w:p w14:paraId="278ECBDF"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lastRenderedPageBreak/>
              <w:t>11</w:t>
            </w:r>
          </w:p>
        </w:tc>
        <w:tc>
          <w:tcPr>
            <w:tcW w:w="857" w:type="dxa"/>
            <w:vAlign w:val="center"/>
          </w:tcPr>
          <w:p w14:paraId="2C2FF8EA"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Hombre</w:t>
            </w:r>
          </w:p>
        </w:tc>
        <w:tc>
          <w:tcPr>
            <w:tcW w:w="2387" w:type="dxa"/>
            <w:vAlign w:val="center"/>
          </w:tcPr>
          <w:p w14:paraId="476CE6C0"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rPr>
              <w:t xml:space="preserve">Luis Alberto Granados Llamas </w:t>
            </w:r>
          </w:p>
        </w:tc>
        <w:tc>
          <w:tcPr>
            <w:tcW w:w="608" w:type="dxa"/>
            <w:vAlign w:val="center"/>
          </w:tcPr>
          <w:p w14:paraId="37DD2100"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26</w:t>
            </w:r>
          </w:p>
        </w:tc>
        <w:tc>
          <w:tcPr>
            <w:tcW w:w="2113" w:type="dxa"/>
            <w:vAlign w:val="center"/>
          </w:tcPr>
          <w:p w14:paraId="3947E141"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rPr>
              <w:t xml:space="preserve">Uriel Alejandro Pérez Ayala </w:t>
            </w:r>
          </w:p>
        </w:tc>
        <w:tc>
          <w:tcPr>
            <w:tcW w:w="613" w:type="dxa"/>
            <w:vAlign w:val="center"/>
          </w:tcPr>
          <w:p w14:paraId="159955CE"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27</w:t>
            </w:r>
          </w:p>
        </w:tc>
      </w:tr>
      <w:tr w:rsidR="00F94B48" w:rsidRPr="00F32542" w14:paraId="0196E9BE" w14:textId="77777777" w:rsidTr="00B65D24">
        <w:trPr>
          <w:jc w:val="center"/>
        </w:trPr>
        <w:tc>
          <w:tcPr>
            <w:tcW w:w="709" w:type="dxa"/>
            <w:vAlign w:val="center"/>
          </w:tcPr>
          <w:p w14:paraId="0610F1FD"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12</w:t>
            </w:r>
          </w:p>
        </w:tc>
        <w:tc>
          <w:tcPr>
            <w:tcW w:w="857" w:type="dxa"/>
            <w:vAlign w:val="center"/>
          </w:tcPr>
          <w:p w14:paraId="53202584"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Mujer</w:t>
            </w:r>
          </w:p>
        </w:tc>
        <w:tc>
          <w:tcPr>
            <w:tcW w:w="2387" w:type="dxa"/>
            <w:vAlign w:val="center"/>
          </w:tcPr>
          <w:p w14:paraId="134C120C"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rPr>
              <w:t xml:space="preserve">Liza Fernanda Carmona Ortega </w:t>
            </w:r>
          </w:p>
        </w:tc>
        <w:tc>
          <w:tcPr>
            <w:tcW w:w="608" w:type="dxa"/>
            <w:vAlign w:val="center"/>
          </w:tcPr>
          <w:p w14:paraId="685D08B6"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26</w:t>
            </w:r>
          </w:p>
        </w:tc>
        <w:tc>
          <w:tcPr>
            <w:tcW w:w="2113" w:type="dxa"/>
            <w:vAlign w:val="center"/>
          </w:tcPr>
          <w:p w14:paraId="54240A5A"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rPr>
              <w:t xml:space="preserve">María Fernanda Santoyo Cano </w:t>
            </w:r>
          </w:p>
        </w:tc>
        <w:tc>
          <w:tcPr>
            <w:tcW w:w="613" w:type="dxa"/>
            <w:vAlign w:val="center"/>
          </w:tcPr>
          <w:p w14:paraId="05AE0F8B"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23</w:t>
            </w:r>
          </w:p>
        </w:tc>
      </w:tr>
      <w:tr w:rsidR="00F94B48" w:rsidRPr="00F32542" w14:paraId="30CA5659" w14:textId="77777777" w:rsidTr="00B65D24">
        <w:trPr>
          <w:jc w:val="center"/>
        </w:trPr>
        <w:tc>
          <w:tcPr>
            <w:tcW w:w="709" w:type="dxa"/>
            <w:vAlign w:val="center"/>
          </w:tcPr>
          <w:p w14:paraId="1591D1E0"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13</w:t>
            </w:r>
          </w:p>
        </w:tc>
        <w:tc>
          <w:tcPr>
            <w:tcW w:w="857" w:type="dxa"/>
            <w:vAlign w:val="center"/>
          </w:tcPr>
          <w:p w14:paraId="162D4C87"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Hombre</w:t>
            </w:r>
          </w:p>
        </w:tc>
        <w:tc>
          <w:tcPr>
            <w:tcW w:w="2387" w:type="dxa"/>
            <w:vAlign w:val="center"/>
          </w:tcPr>
          <w:p w14:paraId="62DDA754" w14:textId="77777777" w:rsidR="00F94B48" w:rsidRPr="00F32542" w:rsidRDefault="00F94B48" w:rsidP="00F94B48">
            <w:pPr>
              <w:widowControl w:val="0"/>
              <w:spacing w:after="0" w:line="240" w:lineRule="auto"/>
              <w:jc w:val="center"/>
              <w:rPr>
                <w:rFonts w:ascii="Arial" w:eastAsia="Calibri" w:hAnsi="Arial" w:cs="Times New Roman"/>
                <w:sz w:val="18"/>
                <w:szCs w:val="18"/>
              </w:rPr>
            </w:pPr>
            <w:r w:rsidRPr="00F32542">
              <w:rPr>
                <w:rFonts w:ascii="Arial" w:eastAsia="Calibri" w:hAnsi="Arial" w:cs="Times New Roman"/>
                <w:sz w:val="18"/>
                <w:szCs w:val="18"/>
              </w:rPr>
              <w:t xml:space="preserve">Moisés Alain Matamoros Vences </w:t>
            </w:r>
          </w:p>
        </w:tc>
        <w:tc>
          <w:tcPr>
            <w:tcW w:w="608" w:type="dxa"/>
            <w:vAlign w:val="center"/>
          </w:tcPr>
          <w:p w14:paraId="6C692043"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27</w:t>
            </w:r>
          </w:p>
        </w:tc>
        <w:tc>
          <w:tcPr>
            <w:tcW w:w="2113" w:type="dxa"/>
            <w:vAlign w:val="center"/>
          </w:tcPr>
          <w:p w14:paraId="18078B4D" w14:textId="77777777" w:rsidR="00F94B48" w:rsidRPr="00F32542" w:rsidRDefault="00F94B48" w:rsidP="00F94B48">
            <w:pPr>
              <w:widowControl w:val="0"/>
              <w:spacing w:after="0" w:line="240" w:lineRule="auto"/>
              <w:jc w:val="center"/>
              <w:rPr>
                <w:rFonts w:ascii="Arial" w:eastAsia="Calibri" w:hAnsi="Arial" w:cs="Times New Roman"/>
                <w:sz w:val="18"/>
                <w:szCs w:val="18"/>
              </w:rPr>
            </w:pPr>
            <w:r w:rsidRPr="00F32542">
              <w:rPr>
                <w:rFonts w:ascii="Arial" w:eastAsia="Calibri" w:hAnsi="Arial" w:cs="Times New Roman"/>
                <w:sz w:val="18"/>
                <w:szCs w:val="18"/>
              </w:rPr>
              <w:t xml:space="preserve">Eduardo Daniel Aguilar Hernández </w:t>
            </w:r>
          </w:p>
        </w:tc>
        <w:tc>
          <w:tcPr>
            <w:tcW w:w="613" w:type="dxa"/>
            <w:vAlign w:val="center"/>
          </w:tcPr>
          <w:p w14:paraId="7477BE3E"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27</w:t>
            </w:r>
          </w:p>
        </w:tc>
      </w:tr>
      <w:tr w:rsidR="00F94B48" w:rsidRPr="00F32542" w14:paraId="64335C5A" w14:textId="77777777" w:rsidTr="00B65D24">
        <w:trPr>
          <w:jc w:val="center"/>
        </w:trPr>
        <w:tc>
          <w:tcPr>
            <w:tcW w:w="709" w:type="dxa"/>
            <w:vAlign w:val="center"/>
          </w:tcPr>
          <w:p w14:paraId="5D5F57B1"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14</w:t>
            </w:r>
          </w:p>
        </w:tc>
        <w:tc>
          <w:tcPr>
            <w:tcW w:w="857" w:type="dxa"/>
            <w:vAlign w:val="center"/>
          </w:tcPr>
          <w:p w14:paraId="2DB40675"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Mujer</w:t>
            </w:r>
          </w:p>
        </w:tc>
        <w:tc>
          <w:tcPr>
            <w:tcW w:w="2387" w:type="dxa"/>
            <w:vAlign w:val="center"/>
          </w:tcPr>
          <w:p w14:paraId="6E687238" w14:textId="77777777" w:rsidR="00F94B48" w:rsidRPr="00F32542" w:rsidRDefault="00F94B48" w:rsidP="00F94B48">
            <w:pPr>
              <w:widowControl w:val="0"/>
              <w:spacing w:after="0" w:line="240" w:lineRule="auto"/>
              <w:jc w:val="center"/>
              <w:rPr>
                <w:rFonts w:ascii="Arial" w:eastAsia="Calibri" w:hAnsi="Arial" w:cs="Times New Roman"/>
                <w:sz w:val="18"/>
                <w:szCs w:val="18"/>
              </w:rPr>
            </w:pPr>
            <w:r w:rsidRPr="00F32542">
              <w:rPr>
                <w:rFonts w:ascii="Arial" w:eastAsia="Calibri" w:hAnsi="Arial" w:cs="Times New Roman"/>
                <w:sz w:val="18"/>
                <w:szCs w:val="18"/>
              </w:rPr>
              <w:t xml:space="preserve">Elsa Alicia Montserrat Llarena Jiménez </w:t>
            </w:r>
          </w:p>
        </w:tc>
        <w:tc>
          <w:tcPr>
            <w:tcW w:w="608" w:type="dxa"/>
            <w:vAlign w:val="center"/>
          </w:tcPr>
          <w:p w14:paraId="37F2C5A1"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28</w:t>
            </w:r>
          </w:p>
        </w:tc>
        <w:tc>
          <w:tcPr>
            <w:tcW w:w="2113" w:type="dxa"/>
            <w:vAlign w:val="center"/>
          </w:tcPr>
          <w:p w14:paraId="779491EB" w14:textId="77777777" w:rsidR="00F94B48" w:rsidRPr="00F32542" w:rsidRDefault="00F94B48" w:rsidP="00F94B48">
            <w:pPr>
              <w:widowControl w:val="0"/>
              <w:spacing w:after="0" w:line="240" w:lineRule="auto"/>
              <w:jc w:val="center"/>
              <w:rPr>
                <w:rFonts w:ascii="Arial" w:eastAsia="Calibri" w:hAnsi="Arial" w:cs="Times New Roman"/>
                <w:sz w:val="18"/>
                <w:szCs w:val="18"/>
              </w:rPr>
            </w:pPr>
            <w:r w:rsidRPr="00F32542">
              <w:rPr>
                <w:rFonts w:ascii="Arial" w:eastAsia="Calibri" w:hAnsi="Arial" w:cs="Times New Roman"/>
                <w:sz w:val="18"/>
                <w:szCs w:val="18"/>
              </w:rPr>
              <w:t xml:space="preserve">Alina Andrea Guzmán López </w:t>
            </w:r>
          </w:p>
        </w:tc>
        <w:tc>
          <w:tcPr>
            <w:tcW w:w="613" w:type="dxa"/>
            <w:vAlign w:val="center"/>
          </w:tcPr>
          <w:p w14:paraId="19AEDBCF"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28</w:t>
            </w:r>
          </w:p>
        </w:tc>
      </w:tr>
      <w:tr w:rsidR="00F94B48" w:rsidRPr="00F32542" w14:paraId="5DA9E072" w14:textId="77777777" w:rsidTr="00B65D24">
        <w:trPr>
          <w:jc w:val="center"/>
        </w:trPr>
        <w:tc>
          <w:tcPr>
            <w:tcW w:w="709" w:type="dxa"/>
            <w:vAlign w:val="center"/>
          </w:tcPr>
          <w:p w14:paraId="216AE5D4"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15</w:t>
            </w:r>
          </w:p>
        </w:tc>
        <w:tc>
          <w:tcPr>
            <w:tcW w:w="857" w:type="dxa"/>
            <w:vAlign w:val="center"/>
          </w:tcPr>
          <w:p w14:paraId="1CFFB688"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Hombre</w:t>
            </w:r>
          </w:p>
        </w:tc>
        <w:tc>
          <w:tcPr>
            <w:tcW w:w="2387" w:type="dxa"/>
            <w:vAlign w:val="center"/>
          </w:tcPr>
          <w:p w14:paraId="190A41F2" w14:textId="77777777" w:rsidR="00F94B48" w:rsidRPr="00F32542" w:rsidRDefault="00F94B48" w:rsidP="00F94B48">
            <w:pPr>
              <w:widowControl w:val="0"/>
              <w:spacing w:after="0" w:line="240" w:lineRule="auto"/>
              <w:jc w:val="center"/>
              <w:rPr>
                <w:rFonts w:ascii="Arial" w:eastAsia="Calibri" w:hAnsi="Arial" w:cs="Times New Roman"/>
                <w:sz w:val="18"/>
                <w:szCs w:val="18"/>
              </w:rPr>
            </w:pPr>
            <w:r w:rsidRPr="00F32542">
              <w:rPr>
                <w:rFonts w:ascii="Arial" w:eastAsia="Calibri" w:hAnsi="Arial" w:cs="Times New Roman"/>
                <w:sz w:val="18"/>
                <w:szCs w:val="18"/>
              </w:rPr>
              <w:t xml:space="preserve">Raúl Enrique Varela Curiel </w:t>
            </w:r>
          </w:p>
        </w:tc>
        <w:tc>
          <w:tcPr>
            <w:tcW w:w="608" w:type="dxa"/>
            <w:vAlign w:val="center"/>
          </w:tcPr>
          <w:p w14:paraId="39909FC8"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26</w:t>
            </w:r>
          </w:p>
        </w:tc>
        <w:tc>
          <w:tcPr>
            <w:tcW w:w="2113" w:type="dxa"/>
            <w:vAlign w:val="center"/>
          </w:tcPr>
          <w:p w14:paraId="7C4E7E57" w14:textId="77777777" w:rsidR="00F94B48" w:rsidRPr="00F32542" w:rsidRDefault="00F94B48" w:rsidP="00F94B48">
            <w:pPr>
              <w:widowControl w:val="0"/>
              <w:spacing w:after="0" w:line="240" w:lineRule="auto"/>
              <w:jc w:val="center"/>
              <w:rPr>
                <w:rFonts w:ascii="Arial" w:eastAsia="Calibri" w:hAnsi="Arial" w:cs="Times New Roman"/>
                <w:sz w:val="18"/>
                <w:szCs w:val="18"/>
              </w:rPr>
            </w:pPr>
            <w:r w:rsidRPr="00F32542">
              <w:rPr>
                <w:rFonts w:ascii="Arial" w:eastAsia="Calibri" w:hAnsi="Arial" w:cs="Times New Roman"/>
                <w:sz w:val="18"/>
                <w:szCs w:val="18"/>
              </w:rPr>
              <w:t xml:space="preserve">Aarón Lisandro Soto García </w:t>
            </w:r>
          </w:p>
        </w:tc>
        <w:tc>
          <w:tcPr>
            <w:tcW w:w="613" w:type="dxa"/>
            <w:vAlign w:val="center"/>
          </w:tcPr>
          <w:p w14:paraId="6A51C2C5"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26</w:t>
            </w:r>
          </w:p>
        </w:tc>
      </w:tr>
      <w:tr w:rsidR="00F94B48" w:rsidRPr="00F32542" w14:paraId="138704B8" w14:textId="77777777" w:rsidTr="00B65D24">
        <w:trPr>
          <w:trHeight w:val="457"/>
          <w:jc w:val="center"/>
        </w:trPr>
        <w:tc>
          <w:tcPr>
            <w:tcW w:w="709" w:type="dxa"/>
            <w:vAlign w:val="center"/>
          </w:tcPr>
          <w:p w14:paraId="5914704C"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16</w:t>
            </w:r>
          </w:p>
        </w:tc>
        <w:tc>
          <w:tcPr>
            <w:tcW w:w="857" w:type="dxa"/>
            <w:vAlign w:val="center"/>
          </w:tcPr>
          <w:p w14:paraId="0024E942"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Mujer</w:t>
            </w:r>
          </w:p>
        </w:tc>
        <w:tc>
          <w:tcPr>
            <w:tcW w:w="2387" w:type="dxa"/>
            <w:vAlign w:val="center"/>
          </w:tcPr>
          <w:p w14:paraId="23152DB2" w14:textId="77777777" w:rsidR="00F94B48" w:rsidRPr="00F32542" w:rsidRDefault="00F94B48" w:rsidP="00F94B48">
            <w:pPr>
              <w:widowControl w:val="0"/>
              <w:spacing w:after="0" w:line="240" w:lineRule="auto"/>
              <w:jc w:val="center"/>
              <w:rPr>
                <w:rFonts w:ascii="Arial" w:eastAsia="Calibri" w:hAnsi="Arial" w:cs="Times New Roman"/>
                <w:sz w:val="18"/>
                <w:szCs w:val="18"/>
              </w:rPr>
            </w:pPr>
            <w:r w:rsidRPr="00F32542">
              <w:rPr>
                <w:rFonts w:ascii="Arial" w:eastAsia="Calibri" w:hAnsi="Arial" w:cs="Times New Roman"/>
                <w:sz w:val="18"/>
                <w:szCs w:val="18"/>
              </w:rPr>
              <w:t xml:space="preserve">Janet Hernández Pérez </w:t>
            </w:r>
          </w:p>
        </w:tc>
        <w:tc>
          <w:tcPr>
            <w:tcW w:w="608" w:type="dxa"/>
            <w:vAlign w:val="center"/>
          </w:tcPr>
          <w:p w14:paraId="7E86B94A"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26</w:t>
            </w:r>
          </w:p>
        </w:tc>
        <w:tc>
          <w:tcPr>
            <w:tcW w:w="2113" w:type="dxa"/>
            <w:vAlign w:val="center"/>
          </w:tcPr>
          <w:p w14:paraId="117F39E1" w14:textId="77777777" w:rsidR="00F94B48" w:rsidRPr="00F32542" w:rsidRDefault="00F94B48" w:rsidP="00F94B48">
            <w:pPr>
              <w:widowControl w:val="0"/>
              <w:spacing w:after="0" w:line="240" w:lineRule="auto"/>
              <w:jc w:val="center"/>
              <w:rPr>
                <w:rFonts w:ascii="Arial" w:eastAsia="Calibri" w:hAnsi="Arial" w:cs="Times New Roman"/>
                <w:sz w:val="18"/>
                <w:szCs w:val="18"/>
              </w:rPr>
            </w:pPr>
            <w:r w:rsidRPr="00F32542">
              <w:rPr>
                <w:rFonts w:ascii="Arial" w:eastAsia="Calibri" w:hAnsi="Arial" w:cs="Times New Roman"/>
                <w:sz w:val="18"/>
                <w:szCs w:val="18"/>
              </w:rPr>
              <w:t xml:space="preserve">Aria López Ávalos </w:t>
            </w:r>
          </w:p>
        </w:tc>
        <w:tc>
          <w:tcPr>
            <w:tcW w:w="613" w:type="dxa"/>
            <w:vAlign w:val="center"/>
          </w:tcPr>
          <w:p w14:paraId="58DC3917" w14:textId="77777777" w:rsidR="00F94B48" w:rsidRPr="00F32542" w:rsidRDefault="00F94B48" w:rsidP="00F94B48">
            <w:pPr>
              <w:widowControl w:val="0"/>
              <w:spacing w:after="0" w:line="240" w:lineRule="auto"/>
              <w:jc w:val="center"/>
              <w:rPr>
                <w:rFonts w:ascii="Arial" w:eastAsia="Calibri" w:hAnsi="Arial" w:cs="Times New Roman"/>
                <w:sz w:val="18"/>
                <w:szCs w:val="18"/>
                <w:lang w:val="es-ES"/>
              </w:rPr>
            </w:pPr>
            <w:r w:rsidRPr="00F32542">
              <w:rPr>
                <w:rFonts w:ascii="Arial" w:eastAsia="Calibri" w:hAnsi="Arial" w:cs="Times New Roman"/>
                <w:sz w:val="18"/>
                <w:szCs w:val="18"/>
                <w:lang w:val="es-ES"/>
              </w:rPr>
              <w:t>23</w:t>
            </w:r>
          </w:p>
        </w:tc>
      </w:tr>
    </w:tbl>
    <w:p w14:paraId="3DCCC6C2" w14:textId="77777777" w:rsidR="00F94B48" w:rsidRPr="00F32542" w:rsidRDefault="00F94B48" w:rsidP="00F94B48">
      <w:pPr>
        <w:widowControl w:val="0"/>
        <w:spacing w:after="0" w:line="360" w:lineRule="auto"/>
        <w:jc w:val="both"/>
        <w:rPr>
          <w:rFonts w:ascii="Arial" w:eastAsia="Calibri" w:hAnsi="Arial" w:cs="Times New Roman"/>
          <w:sz w:val="28"/>
          <w:lang w:val="es-ES"/>
        </w:rPr>
      </w:pPr>
    </w:p>
    <w:p w14:paraId="73F1D7FD" w14:textId="77777777" w:rsidR="00F94B48" w:rsidRPr="00F32542" w:rsidRDefault="00F94B48" w:rsidP="00F94B48">
      <w:pPr>
        <w:spacing w:after="0" w:line="360" w:lineRule="auto"/>
        <w:jc w:val="both"/>
        <w:rPr>
          <w:rFonts w:ascii="Arial" w:eastAsia="Calibri" w:hAnsi="Arial" w:cs="Times New Roman"/>
          <w:sz w:val="28"/>
          <w:lang w:val="es-ES"/>
        </w:rPr>
      </w:pPr>
      <w:r w:rsidRPr="00F32542">
        <w:rPr>
          <w:rFonts w:ascii="Arial" w:eastAsia="Calibri" w:hAnsi="Arial" w:cs="Times New Roman"/>
          <w:sz w:val="28"/>
          <w:lang w:val="es-ES"/>
        </w:rPr>
        <w:t xml:space="preserve">Por tanto, la integración final de la lista definitiva del PAN, a partir de la intercalación de sus listas A y B, iniciando con la primera fórmula de la lista A, de conformidad con lo dispuesto en los artículos 24, fracción V, del </w:t>
      </w:r>
      <w:r w:rsidRPr="00F32542">
        <w:rPr>
          <w:rFonts w:ascii="Arial" w:eastAsia="Calibri" w:hAnsi="Arial" w:cs="Times New Roman"/>
          <w:i/>
          <w:sz w:val="28"/>
          <w:lang w:val="es-ES"/>
        </w:rPr>
        <w:t>Código Electoral</w:t>
      </w:r>
      <w:r w:rsidRPr="00F32542">
        <w:rPr>
          <w:rFonts w:ascii="Arial" w:eastAsia="Calibri" w:hAnsi="Arial" w:cs="Times New Roman"/>
          <w:sz w:val="28"/>
          <w:lang w:val="es-ES"/>
        </w:rPr>
        <w:t xml:space="preserve">, y 4, inciso c), fracción </w:t>
      </w:r>
      <w:proofErr w:type="spellStart"/>
      <w:r w:rsidRPr="00F32542">
        <w:rPr>
          <w:rFonts w:ascii="Arial" w:eastAsia="Calibri" w:hAnsi="Arial" w:cs="Times New Roman"/>
          <w:sz w:val="28"/>
          <w:lang w:val="es-ES"/>
        </w:rPr>
        <w:t>viii</w:t>
      </w:r>
      <w:proofErr w:type="spellEnd"/>
      <w:r w:rsidRPr="00F32542">
        <w:rPr>
          <w:rFonts w:ascii="Arial" w:eastAsia="Calibri" w:hAnsi="Arial" w:cs="Times New Roman"/>
          <w:sz w:val="28"/>
          <w:lang w:val="es-ES"/>
        </w:rPr>
        <w:t xml:space="preserve">, de los </w:t>
      </w:r>
      <w:r w:rsidRPr="00F32542">
        <w:rPr>
          <w:rFonts w:ascii="Arial" w:eastAsia="Calibri" w:hAnsi="Arial" w:cs="Times New Roman"/>
          <w:i/>
          <w:sz w:val="28"/>
          <w:lang w:val="es-ES"/>
        </w:rPr>
        <w:t>Lineamientos para la asignación</w:t>
      </w:r>
      <w:r w:rsidRPr="00F32542">
        <w:rPr>
          <w:rFonts w:ascii="Arial" w:eastAsia="Calibri" w:hAnsi="Arial" w:cs="Times New Roman"/>
          <w:sz w:val="28"/>
          <w:lang w:val="es-ES"/>
        </w:rPr>
        <w:t>, queda en los siguientes términos:</w:t>
      </w:r>
    </w:p>
    <w:p w14:paraId="1FF80B1C" w14:textId="77777777" w:rsidR="00F94B48" w:rsidRPr="00F32542" w:rsidRDefault="00F94B48" w:rsidP="00F94B48">
      <w:pPr>
        <w:spacing w:after="0" w:line="360" w:lineRule="auto"/>
        <w:jc w:val="both"/>
        <w:rPr>
          <w:rFonts w:ascii="Arial" w:eastAsia="Calibri" w:hAnsi="Arial" w:cs="Times New Roman"/>
          <w:sz w:val="28"/>
          <w:lang w:val="es-ES"/>
        </w:rPr>
      </w:pPr>
    </w:p>
    <w:tbl>
      <w:tblPr>
        <w:tblStyle w:val="Tablaconcuadrcula54"/>
        <w:tblW w:w="0" w:type="auto"/>
        <w:tblInd w:w="-75" w:type="dxa"/>
        <w:tblLook w:val="04A0" w:firstRow="1" w:lastRow="0" w:firstColumn="1" w:lastColumn="0" w:noHBand="0" w:noVBand="1"/>
      </w:tblPr>
      <w:tblGrid>
        <w:gridCol w:w="1005"/>
        <w:gridCol w:w="908"/>
        <w:gridCol w:w="2410"/>
        <w:gridCol w:w="2268"/>
        <w:gridCol w:w="1463"/>
      </w:tblGrid>
      <w:tr w:rsidR="00F94B48" w:rsidRPr="00F32542" w14:paraId="430A7747" w14:textId="77777777" w:rsidTr="00C97D23">
        <w:trPr>
          <w:trHeight w:val="646"/>
          <w:tblHeader/>
        </w:trPr>
        <w:tc>
          <w:tcPr>
            <w:tcW w:w="0" w:type="auto"/>
            <w:gridSpan w:val="5"/>
            <w:shd w:val="clear" w:color="auto" w:fill="BFBFBF" w:themeFill="background1" w:themeFillShade="BF"/>
            <w:vAlign w:val="center"/>
          </w:tcPr>
          <w:p w14:paraId="09CEF0F1" w14:textId="77777777" w:rsidR="00F94B48" w:rsidRPr="00F32542" w:rsidRDefault="00F94B48" w:rsidP="00C97D23">
            <w:pPr>
              <w:spacing w:after="0" w:line="240" w:lineRule="auto"/>
              <w:jc w:val="center"/>
              <w:rPr>
                <w:rFonts w:ascii="Arial" w:eastAsia="Calibri" w:hAnsi="Arial" w:cs="Arial"/>
                <w:b/>
                <w:sz w:val="24"/>
                <w:szCs w:val="24"/>
              </w:rPr>
            </w:pPr>
            <w:r w:rsidRPr="00F32542">
              <w:rPr>
                <w:rFonts w:ascii="Arial" w:eastAsia="Calibri" w:hAnsi="Arial" w:cs="Arial"/>
                <w:b/>
                <w:sz w:val="24"/>
                <w:szCs w:val="24"/>
              </w:rPr>
              <w:t xml:space="preserve">LISTA DEFINITIVA </w:t>
            </w:r>
          </w:p>
          <w:p w14:paraId="62FDF0C4" w14:textId="77777777" w:rsidR="00F94B48" w:rsidRPr="00F32542" w:rsidRDefault="00F94B48" w:rsidP="00C97D23">
            <w:pPr>
              <w:spacing w:after="0" w:line="240" w:lineRule="auto"/>
              <w:jc w:val="center"/>
              <w:rPr>
                <w:rFonts w:ascii="Arial" w:eastAsia="Calibri" w:hAnsi="Arial" w:cs="Arial"/>
                <w:b/>
                <w:sz w:val="24"/>
                <w:szCs w:val="24"/>
              </w:rPr>
            </w:pPr>
            <w:r w:rsidRPr="00F32542">
              <w:rPr>
                <w:rFonts w:ascii="Arial" w:eastAsia="Calibri" w:hAnsi="Arial" w:cs="Arial"/>
                <w:b/>
                <w:sz w:val="24"/>
                <w:szCs w:val="24"/>
              </w:rPr>
              <w:t>PAN</w:t>
            </w:r>
          </w:p>
        </w:tc>
      </w:tr>
      <w:tr w:rsidR="00F94B48" w:rsidRPr="00F32542" w14:paraId="5D4DD7AA" w14:textId="77777777" w:rsidTr="00C97D23">
        <w:trPr>
          <w:tblHeader/>
        </w:trPr>
        <w:tc>
          <w:tcPr>
            <w:tcW w:w="1005" w:type="dxa"/>
            <w:shd w:val="clear" w:color="auto" w:fill="BFBFBF" w:themeFill="background1" w:themeFillShade="BF"/>
            <w:vAlign w:val="center"/>
          </w:tcPr>
          <w:p w14:paraId="038EC41A"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Fórmula</w:t>
            </w:r>
          </w:p>
        </w:tc>
        <w:tc>
          <w:tcPr>
            <w:tcW w:w="908" w:type="dxa"/>
            <w:shd w:val="clear" w:color="auto" w:fill="BFBFBF" w:themeFill="background1" w:themeFillShade="BF"/>
            <w:vAlign w:val="center"/>
          </w:tcPr>
          <w:p w14:paraId="1705BCBD"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Sexo</w:t>
            </w:r>
          </w:p>
        </w:tc>
        <w:tc>
          <w:tcPr>
            <w:tcW w:w="2410" w:type="dxa"/>
            <w:shd w:val="clear" w:color="auto" w:fill="BFBFBF" w:themeFill="background1" w:themeFillShade="BF"/>
            <w:vAlign w:val="center"/>
          </w:tcPr>
          <w:p w14:paraId="52266757"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Candidatura propietaria</w:t>
            </w:r>
          </w:p>
        </w:tc>
        <w:tc>
          <w:tcPr>
            <w:tcW w:w="2268" w:type="dxa"/>
            <w:shd w:val="clear" w:color="auto" w:fill="BFBFBF" w:themeFill="background1" w:themeFillShade="BF"/>
            <w:vAlign w:val="center"/>
          </w:tcPr>
          <w:p w14:paraId="265755CA" w14:textId="77777777" w:rsidR="00F94B48" w:rsidRPr="00F32542" w:rsidRDefault="00F94B48" w:rsidP="00C97D23">
            <w:pPr>
              <w:spacing w:after="0" w:line="240" w:lineRule="auto"/>
              <w:jc w:val="center"/>
              <w:rPr>
                <w:rFonts w:ascii="Arial" w:eastAsia="Calibri" w:hAnsi="Arial" w:cs="Arial"/>
                <w:b/>
                <w:sz w:val="20"/>
                <w:szCs w:val="20"/>
              </w:rPr>
            </w:pPr>
            <w:r w:rsidRPr="00F32542">
              <w:rPr>
                <w:rFonts w:ascii="Arial" w:eastAsia="Calibri" w:hAnsi="Arial" w:cs="Arial"/>
                <w:b/>
                <w:sz w:val="20"/>
                <w:szCs w:val="20"/>
              </w:rPr>
              <w:t>Candidatura suplente</w:t>
            </w:r>
          </w:p>
        </w:tc>
        <w:tc>
          <w:tcPr>
            <w:tcW w:w="1463" w:type="dxa"/>
            <w:shd w:val="clear" w:color="auto" w:fill="BFBFBF" w:themeFill="background1" w:themeFillShade="BF"/>
            <w:vAlign w:val="center"/>
          </w:tcPr>
          <w:p w14:paraId="7F82F069" w14:textId="77777777" w:rsidR="00F94B48" w:rsidRPr="00F32542" w:rsidRDefault="00F94B48" w:rsidP="00C97D23">
            <w:pPr>
              <w:spacing w:after="0" w:line="240" w:lineRule="auto"/>
              <w:jc w:val="center"/>
              <w:rPr>
                <w:rFonts w:ascii="Arial" w:eastAsia="Calibri" w:hAnsi="Arial" w:cs="Arial"/>
                <w:b/>
                <w:sz w:val="20"/>
                <w:szCs w:val="20"/>
              </w:rPr>
            </w:pPr>
            <w:r w:rsidRPr="00F32542">
              <w:rPr>
                <w:rFonts w:ascii="Arial" w:eastAsia="Calibri" w:hAnsi="Arial" w:cs="Arial"/>
                <w:b/>
                <w:sz w:val="20"/>
                <w:szCs w:val="20"/>
              </w:rPr>
              <w:t>Lista de origen y lugar</w:t>
            </w:r>
          </w:p>
        </w:tc>
      </w:tr>
      <w:tr w:rsidR="00F94B48" w:rsidRPr="00F32542" w14:paraId="64BB8536" w14:textId="77777777" w:rsidTr="00B65D24">
        <w:tc>
          <w:tcPr>
            <w:tcW w:w="1005" w:type="dxa"/>
            <w:shd w:val="clear" w:color="auto" w:fill="auto"/>
            <w:vAlign w:val="center"/>
          </w:tcPr>
          <w:p w14:paraId="0E5787C7" w14:textId="77777777" w:rsidR="00F94B48" w:rsidRPr="00F32542" w:rsidRDefault="00F94B48" w:rsidP="009B6ED0">
            <w:pPr>
              <w:widowControl w:val="0"/>
              <w:numPr>
                <w:ilvl w:val="0"/>
                <w:numId w:val="18"/>
              </w:numPr>
              <w:spacing w:after="0" w:line="240" w:lineRule="auto"/>
              <w:jc w:val="both"/>
              <w:rPr>
                <w:rFonts w:ascii="Arial" w:eastAsia="Calibri" w:hAnsi="Arial" w:cs="Arial"/>
                <w:b/>
                <w:sz w:val="20"/>
                <w:szCs w:val="20"/>
              </w:rPr>
            </w:pPr>
          </w:p>
        </w:tc>
        <w:tc>
          <w:tcPr>
            <w:tcW w:w="908" w:type="dxa"/>
            <w:shd w:val="clear" w:color="auto" w:fill="auto"/>
            <w:vAlign w:val="center"/>
          </w:tcPr>
          <w:p w14:paraId="4F0089CD"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H</w:t>
            </w:r>
          </w:p>
        </w:tc>
        <w:tc>
          <w:tcPr>
            <w:tcW w:w="2410" w:type="dxa"/>
            <w:shd w:val="clear" w:color="auto" w:fill="auto"/>
            <w:vAlign w:val="center"/>
          </w:tcPr>
          <w:p w14:paraId="62B35344"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Federico </w:t>
            </w:r>
            <w:proofErr w:type="spellStart"/>
            <w:r w:rsidRPr="00F32542">
              <w:rPr>
                <w:rFonts w:ascii="Arial" w:eastAsia="Calibri" w:hAnsi="Arial" w:cs="Arial"/>
                <w:sz w:val="20"/>
                <w:szCs w:val="20"/>
              </w:rPr>
              <w:t>Döring</w:t>
            </w:r>
            <w:proofErr w:type="spellEnd"/>
            <w:r w:rsidRPr="00F32542">
              <w:rPr>
                <w:rFonts w:ascii="Arial" w:eastAsia="Calibri" w:hAnsi="Arial" w:cs="Arial"/>
                <w:sz w:val="20"/>
                <w:szCs w:val="20"/>
              </w:rPr>
              <w:t xml:space="preserve"> Casar</w:t>
            </w:r>
          </w:p>
        </w:tc>
        <w:tc>
          <w:tcPr>
            <w:tcW w:w="2268" w:type="dxa"/>
            <w:shd w:val="clear" w:color="auto" w:fill="auto"/>
            <w:vAlign w:val="center"/>
          </w:tcPr>
          <w:p w14:paraId="148E30B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Luis Antonio Oviedo Garza</w:t>
            </w:r>
          </w:p>
        </w:tc>
        <w:tc>
          <w:tcPr>
            <w:tcW w:w="1463" w:type="dxa"/>
            <w:shd w:val="clear" w:color="auto" w:fill="auto"/>
            <w:vAlign w:val="center"/>
          </w:tcPr>
          <w:p w14:paraId="2DEFD498"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1A</w:t>
            </w:r>
          </w:p>
        </w:tc>
      </w:tr>
      <w:tr w:rsidR="00F94B48" w:rsidRPr="00F32542" w14:paraId="579A5524" w14:textId="77777777" w:rsidTr="00B65D24">
        <w:tc>
          <w:tcPr>
            <w:tcW w:w="1005" w:type="dxa"/>
            <w:shd w:val="clear" w:color="auto" w:fill="auto"/>
            <w:vAlign w:val="center"/>
          </w:tcPr>
          <w:p w14:paraId="08F25917" w14:textId="77777777" w:rsidR="00F94B48" w:rsidRPr="00F32542" w:rsidRDefault="00F94B48" w:rsidP="009B6ED0">
            <w:pPr>
              <w:widowControl w:val="0"/>
              <w:numPr>
                <w:ilvl w:val="0"/>
                <w:numId w:val="18"/>
              </w:numPr>
              <w:spacing w:after="0" w:line="240" w:lineRule="auto"/>
              <w:jc w:val="center"/>
              <w:rPr>
                <w:rFonts w:ascii="Arial" w:eastAsia="Calibri" w:hAnsi="Arial" w:cs="Arial"/>
                <w:b/>
                <w:sz w:val="20"/>
                <w:szCs w:val="20"/>
              </w:rPr>
            </w:pPr>
          </w:p>
        </w:tc>
        <w:tc>
          <w:tcPr>
            <w:tcW w:w="908" w:type="dxa"/>
            <w:shd w:val="clear" w:color="auto" w:fill="auto"/>
            <w:vAlign w:val="center"/>
          </w:tcPr>
          <w:p w14:paraId="54506D1E"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M</w:t>
            </w:r>
          </w:p>
        </w:tc>
        <w:tc>
          <w:tcPr>
            <w:tcW w:w="2410" w:type="dxa"/>
            <w:shd w:val="clear" w:color="auto" w:fill="auto"/>
            <w:vAlign w:val="center"/>
          </w:tcPr>
          <w:p w14:paraId="2C7706B8"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María Gabriela Salido Magos</w:t>
            </w:r>
          </w:p>
        </w:tc>
        <w:tc>
          <w:tcPr>
            <w:tcW w:w="2268" w:type="dxa"/>
            <w:shd w:val="clear" w:color="auto" w:fill="auto"/>
            <w:vAlign w:val="center"/>
          </w:tcPr>
          <w:p w14:paraId="6D498D1E"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Vania </w:t>
            </w:r>
            <w:proofErr w:type="spellStart"/>
            <w:r w:rsidRPr="00F32542">
              <w:rPr>
                <w:rFonts w:ascii="Arial" w:eastAsia="Calibri" w:hAnsi="Arial" w:cs="Arial"/>
                <w:sz w:val="20"/>
                <w:szCs w:val="20"/>
              </w:rPr>
              <w:t>Yael</w:t>
            </w:r>
            <w:proofErr w:type="spellEnd"/>
            <w:r w:rsidRPr="00F32542">
              <w:rPr>
                <w:rFonts w:ascii="Arial" w:eastAsia="Calibri" w:hAnsi="Arial" w:cs="Arial"/>
                <w:sz w:val="20"/>
                <w:szCs w:val="20"/>
              </w:rPr>
              <w:t xml:space="preserve"> González Veloz</w:t>
            </w:r>
          </w:p>
        </w:tc>
        <w:tc>
          <w:tcPr>
            <w:tcW w:w="1463" w:type="dxa"/>
            <w:shd w:val="clear" w:color="auto" w:fill="auto"/>
            <w:vAlign w:val="center"/>
          </w:tcPr>
          <w:p w14:paraId="39B7B4A8"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1B</w:t>
            </w:r>
          </w:p>
        </w:tc>
      </w:tr>
      <w:tr w:rsidR="00F94B48" w:rsidRPr="00F32542" w14:paraId="7D18DB2C" w14:textId="77777777" w:rsidTr="00B65D24">
        <w:tc>
          <w:tcPr>
            <w:tcW w:w="1005" w:type="dxa"/>
            <w:shd w:val="clear" w:color="auto" w:fill="auto"/>
            <w:vAlign w:val="center"/>
          </w:tcPr>
          <w:p w14:paraId="56C12430" w14:textId="77777777" w:rsidR="00F94B48" w:rsidRPr="00F32542" w:rsidRDefault="00F94B48" w:rsidP="009B6ED0">
            <w:pPr>
              <w:widowControl w:val="0"/>
              <w:numPr>
                <w:ilvl w:val="0"/>
                <w:numId w:val="18"/>
              </w:numPr>
              <w:spacing w:after="0" w:line="240" w:lineRule="auto"/>
              <w:jc w:val="center"/>
              <w:rPr>
                <w:rFonts w:ascii="Arial" w:eastAsia="Calibri" w:hAnsi="Arial" w:cs="Arial"/>
                <w:b/>
                <w:sz w:val="20"/>
                <w:szCs w:val="20"/>
              </w:rPr>
            </w:pPr>
          </w:p>
        </w:tc>
        <w:tc>
          <w:tcPr>
            <w:tcW w:w="908" w:type="dxa"/>
            <w:shd w:val="clear" w:color="auto" w:fill="auto"/>
            <w:vAlign w:val="center"/>
          </w:tcPr>
          <w:p w14:paraId="4A9624AC"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M</w:t>
            </w:r>
          </w:p>
        </w:tc>
        <w:tc>
          <w:tcPr>
            <w:tcW w:w="2410" w:type="dxa"/>
            <w:shd w:val="clear" w:color="auto" w:fill="auto"/>
            <w:vAlign w:val="center"/>
          </w:tcPr>
          <w:p w14:paraId="7D09AF26"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Luisa Adriana Gutiérrez Ureña</w:t>
            </w:r>
          </w:p>
        </w:tc>
        <w:tc>
          <w:tcPr>
            <w:tcW w:w="2268" w:type="dxa"/>
            <w:shd w:val="clear" w:color="auto" w:fill="auto"/>
            <w:vAlign w:val="center"/>
          </w:tcPr>
          <w:p w14:paraId="77914EB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Itzel Abigail Arellano Cruces</w:t>
            </w:r>
          </w:p>
        </w:tc>
        <w:tc>
          <w:tcPr>
            <w:tcW w:w="1463" w:type="dxa"/>
            <w:shd w:val="clear" w:color="auto" w:fill="auto"/>
            <w:vAlign w:val="center"/>
          </w:tcPr>
          <w:p w14:paraId="1C86DEAA"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2A</w:t>
            </w:r>
          </w:p>
        </w:tc>
      </w:tr>
      <w:tr w:rsidR="00F94B48" w:rsidRPr="00F32542" w14:paraId="13A6D95A" w14:textId="77777777" w:rsidTr="00B65D24">
        <w:tc>
          <w:tcPr>
            <w:tcW w:w="1005" w:type="dxa"/>
            <w:shd w:val="clear" w:color="auto" w:fill="auto"/>
            <w:vAlign w:val="center"/>
          </w:tcPr>
          <w:p w14:paraId="3D9D28C3" w14:textId="77777777" w:rsidR="00F94B48" w:rsidRPr="00F32542" w:rsidRDefault="00F94B48" w:rsidP="009B6ED0">
            <w:pPr>
              <w:widowControl w:val="0"/>
              <w:numPr>
                <w:ilvl w:val="0"/>
                <w:numId w:val="18"/>
              </w:numPr>
              <w:spacing w:after="0" w:line="240" w:lineRule="auto"/>
              <w:jc w:val="center"/>
              <w:rPr>
                <w:rFonts w:ascii="Arial" w:eastAsia="Calibri" w:hAnsi="Arial" w:cs="Arial"/>
                <w:b/>
                <w:sz w:val="20"/>
                <w:szCs w:val="20"/>
              </w:rPr>
            </w:pPr>
          </w:p>
        </w:tc>
        <w:tc>
          <w:tcPr>
            <w:tcW w:w="908" w:type="dxa"/>
            <w:shd w:val="clear" w:color="auto" w:fill="auto"/>
            <w:vAlign w:val="center"/>
          </w:tcPr>
          <w:p w14:paraId="51318B65"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H</w:t>
            </w:r>
          </w:p>
        </w:tc>
        <w:tc>
          <w:tcPr>
            <w:tcW w:w="2410" w:type="dxa"/>
            <w:shd w:val="clear" w:color="auto" w:fill="auto"/>
            <w:vAlign w:val="center"/>
          </w:tcPr>
          <w:p w14:paraId="74BD714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Luis Alberto Chávez García</w:t>
            </w:r>
          </w:p>
        </w:tc>
        <w:tc>
          <w:tcPr>
            <w:tcW w:w="2268" w:type="dxa"/>
            <w:shd w:val="clear" w:color="auto" w:fill="auto"/>
            <w:vAlign w:val="center"/>
          </w:tcPr>
          <w:p w14:paraId="22AF13CC"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Frida Fernanda Alcántara Cabrera</w:t>
            </w:r>
          </w:p>
        </w:tc>
        <w:tc>
          <w:tcPr>
            <w:tcW w:w="1463" w:type="dxa"/>
            <w:shd w:val="clear" w:color="auto" w:fill="auto"/>
            <w:vAlign w:val="center"/>
          </w:tcPr>
          <w:p w14:paraId="319747B6"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2B</w:t>
            </w:r>
          </w:p>
        </w:tc>
      </w:tr>
      <w:tr w:rsidR="00F94B48" w:rsidRPr="00F32542" w14:paraId="45B4A24F" w14:textId="77777777" w:rsidTr="00B65D24">
        <w:tc>
          <w:tcPr>
            <w:tcW w:w="1005" w:type="dxa"/>
            <w:shd w:val="clear" w:color="auto" w:fill="auto"/>
            <w:vAlign w:val="center"/>
          </w:tcPr>
          <w:p w14:paraId="02ED0912" w14:textId="77777777" w:rsidR="00F94B48" w:rsidRPr="00F32542" w:rsidRDefault="00F94B48" w:rsidP="009B6ED0">
            <w:pPr>
              <w:widowControl w:val="0"/>
              <w:numPr>
                <w:ilvl w:val="0"/>
                <w:numId w:val="18"/>
              </w:numPr>
              <w:spacing w:after="0" w:line="240" w:lineRule="auto"/>
              <w:jc w:val="center"/>
              <w:rPr>
                <w:rFonts w:ascii="Arial" w:eastAsia="Calibri" w:hAnsi="Arial" w:cs="Arial"/>
                <w:b/>
                <w:sz w:val="20"/>
                <w:szCs w:val="20"/>
              </w:rPr>
            </w:pPr>
          </w:p>
        </w:tc>
        <w:tc>
          <w:tcPr>
            <w:tcW w:w="908" w:type="dxa"/>
            <w:shd w:val="clear" w:color="auto" w:fill="auto"/>
            <w:vAlign w:val="center"/>
          </w:tcPr>
          <w:p w14:paraId="5A81B3EE"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H</w:t>
            </w:r>
          </w:p>
        </w:tc>
        <w:tc>
          <w:tcPr>
            <w:tcW w:w="2410" w:type="dxa"/>
            <w:shd w:val="clear" w:color="auto" w:fill="auto"/>
            <w:vAlign w:val="center"/>
          </w:tcPr>
          <w:p w14:paraId="3CE09ABD" w14:textId="77777777" w:rsidR="00F94B48" w:rsidRPr="00F32542" w:rsidRDefault="00F94B48" w:rsidP="00F94B48">
            <w:pPr>
              <w:spacing w:after="0" w:line="240" w:lineRule="auto"/>
              <w:jc w:val="center"/>
              <w:rPr>
                <w:rFonts w:ascii="Arial" w:eastAsia="Calibri" w:hAnsi="Arial" w:cs="Arial"/>
                <w:sz w:val="20"/>
                <w:szCs w:val="20"/>
              </w:rPr>
            </w:pPr>
            <w:proofErr w:type="spellStart"/>
            <w:r w:rsidRPr="00F32542">
              <w:rPr>
                <w:rFonts w:ascii="Arial" w:eastAsia="Calibri" w:hAnsi="Arial" w:cs="Arial"/>
                <w:sz w:val="20"/>
                <w:szCs w:val="20"/>
              </w:rPr>
              <w:t>Anibal</w:t>
            </w:r>
            <w:proofErr w:type="spellEnd"/>
            <w:r w:rsidRPr="00F32542">
              <w:rPr>
                <w:rFonts w:ascii="Arial" w:eastAsia="Calibri" w:hAnsi="Arial" w:cs="Arial"/>
                <w:sz w:val="20"/>
                <w:szCs w:val="20"/>
              </w:rPr>
              <w:t xml:space="preserve"> Alexandro </w:t>
            </w:r>
            <w:proofErr w:type="spellStart"/>
            <w:r w:rsidRPr="00F32542">
              <w:rPr>
                <w:rFonts w:ascii="Arial" w:eastAsia="Calibri" w:hAnsi="Arial" w:cs="Arial"/>
                <w:sz w:val="20"/>
                <w:szCs w:val="20"/>
              </w:rPr>
              <w:t>Cáñez</w:t>
            </w:r>
            <w:proofErr w:type="spellEnd"/>
            <w:r w:rsidRPr="00F32542">
              <w:rPr>
                <w:rFonts w:ascii="Arial" w:eastAsia="Calibri" w:hAnsi="Arial" w:cs="Arial"/>
                <w:sz w:val="20"/>
                <w:szCs w:val="20"/>
              </w:rPr>
              <w:t xml:space="preserve"> Morales</w:t>
            </w:r>
          </w:p>
        </w:tc>
        <w:tc>
          <w:tcPr>
            <w:tcW w:w="2268" w:type="dxa"/>
            <w:shd w:val="clear" w:color="auto" w:fill="auto"/>
            <w:vAlign w:val="center"/>
          </w:tcPr>
          <w:p w14:paraId="0F9D170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Alain León </w:t>
            </w:r>
            <w:proofErr w:type="spellStart"/>
            <w:r w:rsidRPr="00F32542">
              <w:rPr>
                <w:rFonts w:ascii="Arial" w:eastAsia="Calibri" w:hAnsi="Arial" w:cs="Arial"/>
                <w:sz w:val="20"/>
                <w:szCs w:val="20"/>
              </w:rPr>
              <w:t>Rasetti</w:t>
            </w:r>
            <w:proofErr w:type="spellEnd"/>
          </w:p>
        </w:tc>
        <w:tc>
          <w:tcPr>
            <w:tcW w:w="1463" w:type="dxa"/>
            <w:shd w:val="clear" w:color="auto" w:fill="auto"/>
            <w:vAlign w:val="center"/>
          </w:tcPr>
          <w:p w14:paraId="1888731B"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3A</w:t>
            </w:r>
          </w:p>
        </w:tc>
      </w:tr>
      <w:tr w:rsidR="00F94B48" w:rsidRPr="00F32542" w14:paraId="67CD2F24" w14:textId="77777777" w:rsidTr="00B65D24">
        <w:tc>
          <w:tcPr>
            <w:tcW w:w="1005" w:type="dxa"/>
            <w:shd w:val="clear" w:color="auto" w:fill="auto"/>
            <w:vAlign w:val="center"/>
          </w:tcPr>
          <w:p w14:paraId="3DC37FD3" w14:textId="77777777" w:rsidR="00F94B48" w:rsidRPr="00F32542" w:rsidRDefault="00F94B48" w:rsidP="009B6ED0">
            <w:pPr>
              <w:widowControl w:val="0"/>
              <w:numPr>
                <w:ilvl w:val="0"/>
                <w:numId w:val="18"/>
              </w:numPr>
              <w:spacing w:after="0" w:line="240" w:lineRule="auto"/>
              <w:jc w:val="center"/>
              <w:rPr>
                <w:rFonts w:ascii="Arial" w:eastAsia="Calibri" w:hAnsi="Arial" w:cs="Arial"/>
                <w:b/>
                <w:sz w:val="20"/>
                <w:szCs w:val="20"/>
              </w:rPr>
            </w:pPr>
          </w:p>
        </w:tc>
        <w:tc>
          <w:tcPr>
            <w:tcW w:w="908" w:type="dxa"/>
            <w:shd w:val="clear" w:color="auto" w:fill="auto"/>
            <w:vAlign w:val="center"/>
          </w:tcPr>
          <w:p w14:paraId="100B944D"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M</w:t>
            </w:r>
          </w:p>
        </w:tc>
        <w:tc>
          <w:tcPr>
            <w:tcW w:w="2410" w:type="dxa"/>
            <w:shd w:val="clear" w:color="auto" w:fill="auto"/>
            <w:vAlign w:val="center"/>
          </w:tcPr>
          <w:p w14:paraId="27450ED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Andrea </w:t>
            </w:r>
            <w:proofErr w:type="spellStart"/>
            <w:r w:rsidRPr="00F32542">
              <w:rPr>
                <w:rFonts w:ascii="Arial" w:eastAsia="Calibri" w:hAnsi="Arial" w:cs="Arial"/>
                <w:sz w:val="20"/>
                <w:szCs w:val="20"/>
              </w:rPr>
              <w:t>Evelyne</w:t>
            </w:r>
            <w:proofErr w:type="spellEnd"/>
            <w:r w:rsidRPr="00F32542">
              <w:rPr>
                <w:rFonts w:ascii="Arial" w:eastAsia="Calibri" w:hAnsi="Arial" w:cs="Arial"/>
                <w:sz w:val="20"/>
                <w:szCs w:val="20"/>
              </w:rPr>
              <w:t xml:space="preserve"> </w:t>
            </w:r>
            <w:proofErr w:type="spellStart"/>
            <w:r w:rsidRPr="00F32542">
              <w:rPr>
                <w:rFonts w:ascii="Arial" w:eastAsia="Calibri" w:hAnsi="Arial" w:cs="Arial"/>
                <w:sz w:val="20"/>
                <w:szCs w:val="20"/>
              </w:rPr>
              <w:t>Vicenteño</w:t>
            </w:r>
            <w:proofErr w:type="spellEnd"/>
            <w:r w:rsidRPr="00F32542">
              <w:rPr>
                <w:rFonts w:ascii="Arial" w:eastAsia="Calibri" w:hAnsi="Arial" w:cs="Arial"/>
                <w:sz w:val="20"/>
                <w:szCs w:val="20"/>
              </w:rPr>
              <w:t xml:space="preserve"> Barrientos</w:t>
            </w:r>
          </w:p>
        </w:tc>
        <w:tc>
          <w:tcPr>
            <w:tcW w:w="2268" w:type="dxa"/>
            <w:shd w:val="clear" w:color="auto" w:fill="auto"/>
            <w:vAlign w:val="center"/>
          </w:tcPr>
          <w:p w14:paraId="1F57F34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Suri </w:t>
            </w:r>
            <w:proofErr w:type="spellStart"/>
            <w:r w:rsidRPr="00F32542">
              <w:rPr>
                <w:rFonts w:ascii="Arial" w:eastAsia="Calibri" w:hAnsi="Arial" w:cs="Arial"/>
                <w:sz w:val="20"/>
                <w:szCs w:val="20"/>
              </w:rPr>
              <w:t>Zaday</w:t>
            </w:r>
            <w:proofErr w:type="spellEnd"/>
            <w:r w:rsidRPr="00F32542">
              <w:rPr>
                <w:rFonts w:ascii="Arial" w:eastAsia="Calibri" w:hAnsi="Arial" w:cs="Arial"/>
                <w:sz w:val="20"/>
                <w:szCs w:val="20"/>
              </w:rPr>
              <w:t xml:space="preserve"> Aquino Cholula</w:t>
            </w:r>
          </w:p>
        </w:tc>
        <w:tc>
          <w:tcPr>
            <w:tcW w:w="1463" w:type="dxa"/>
            <w:shd w:val="clear" w:color="auto" w:fill="auto"/>
            <w:vAlign w:val="center"/>
          </w:tcPr>
          <w:p w14:paraId="0C1DA19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3B</w:t>
            </w:r>
          </w:p>
        </w:tc>
      </w:tr>
      <w:tr w:rsidR="00F94B48" w:rsidRPr="00F32542" w14:paraId="278D4B14" w14:textId="77777777" w:rsidTr="00B65D24">
        <w:tc>
          <w:tcPr>
            <w:tcW w:w="1005" w:type="dxa"/>
            <w:shd w:val="clear" w:color="auto" w:fill="auto"/>
            <w:vAlign w:val="center"/>
          </w:tcPr>
          <w:p w14:paraId="459659A2" w14:textId="77777777" w:rsidR="00F94B48" w:rsidRPr="00F32542" w:rsidRDefault="00F94B48" w:rsidP="009B6ED0">
            <w:pPr>
              <w:widowControl w:val="0"/>
              <w:numPr>
                <w:ilvl w:val="0"/>
                <w:numId w:val="18"/>
              </w:numPr>
              <w:spacing w:after="0" w:line="240" w:lineRule="auto"/>
              <w:jc w:val="center"/>
              <w:rPr>
                <w:rFonts w:ascii="Arial" w:eastAsia="Calibri" w:hAnsi="Arial" w:cs="Arial"/>
                <w:b/>
                <w:sz w:val="20"/>
                <w:szCs w:val="20"/>
              </w:rPr>
            </w:pPr>
          </w:p>
        </w:tc>
        <w:tc>
          <w:tcPr>
            <w:tcW w:w="908" w:type="dxa"/>
            <w:shd w:val="clear" w:color="auto" w:fill="auto"/>
            <w:vAlign w:val="center"/>
          </w:tcPr>
          <w:p w14:paraId="33F988B9"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M</w:t>
            </w:r>
          </w:p>
        </w:tc>
        <w:tc>
          <w:tcPr>
            <w:tcW w:w="2410" w:type="dxa"/>
            <w:shd w:val="clear" w:color="auto" w:fill="auto"/>
            <w:vAlign w:val="center"/>
          </w:tcPr>
          <w:p w14:paraId="06FEF821"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Ana Jocelyn Villagrán Villasana</w:t>
            </w:r>
          </w:p>
        </w:tc>
        <w:tc>
          <w:tcPr>
            <w:tcW w:w="2268" w:type="dxa"/>
            <w:shd w:val="clear" w:color="auto" w:fill="auto"/>
            <w:vAlign w:val="center"/>
          </w:tcPr>
          <w:p w14:paraId="7E81B21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Ámbar Reyes Moto</w:t>
            </w:r>
          </w:p>
        </w:tc>
        <w:tc>
          <w:tcPr>
            <w:tcW w:w="1463" w:type="dxa"/>
            <w:shd w:val="clear" w:color="auto" w:fill="auto"/>
            <w:vAlign w:val="center"/>
          </w:tcPr>
          <w:p w14:paraId="5099638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4A</w:t>
            </w:r>
          </w:p>
        </w:tc>
      </w:tr>
      <w:tr w:rsidR="00F94B48" w:rsidRPr="00F32542" w14:paraId="3F2BB382" w14:textId="77777777" w:rsidTr="00B65D24">
        <w:tc>
          <w:tcPr>
            <w:tcW w:w="1005" w:type="dxa"/>
            <w:shd w:val="clear" w:color="auto" w:fill="auto"/>
            <w:vAlign w:val="center"/>
          </w:tcPr>
          <w:p w14:paraId="728607D8" w14:textId="77777777" w:rsidR="00F94B48" w:rsidRPr="00F32542" w:rsidRDefault="00F94B48" w:rsidP="009B6ED0">
            <w:pPr>
              <w:widowControl w:val="0"/>
              <w:numPr>
                <w:ilvl w:val="0"/>
                <w:numId w:val="18"/>
              </w:numPr>
              <w:spacing w:after="0" w:line="240" w:lineRule="auto"/>
              <w:jc w:val="center"/>
              <w:rPr>
                <w:rFonts w:ascii="Arial" w:eastAsia="Calibri" w:hAnsi="Arial" w:cs="Arial"/>
                <w:b/>
                <w:sz w:val="20"/>
                <w:szCs w:val="20"/>
              </w:rPr>
            </w:pPr>
          </w:p>
        </w:tc>
        <w:tc>
          <w:tcPr>
            <w:tcW w:w="908" w:type="dxa"/>
            <w:shd w:val="clear" w:color="auto" w:fill="auto"/>
            <w:vAlign w:val="center"/>
          </w:tcPr>
          <w:p w14:paraId="1AE7D18C"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H</w:t>
            </w:r>
          </w:p>
        </w:tc>
        <w:tc>
          <w:tcPr>
            <w:tcW w:w="2410" w:type="dxa"/>
            <w:shd w:val="clear" w:color="auto" w:fill="auto"/>
            <w:vAlign w:val="center"/>
          </w:tcPr>
          <w:p w14:paraId="4A5EA6E0"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José Gonzalo Espina Miranda</w:t>
            </w:r>
          </w:p>
        </w:tc>
        <w:tc>
          <w:tcPr>
            <w:tcW w:w="2268" w:type="dxa"/>
            <w:shd w:val="clear" w:color="auto" w:fill="auto"/>
            <w:vAlign w:val="center"/>
          </w:tcPr>
          <w:p w14:paraId="2C34B000"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Mario Raphael De Cárcer</w:t>
            </w:r>
          </w:p>
        </w:tc>
        <w:tc>
          <w:tcPr>
            <w:tcW w:w="1463" w:type="dxa"/>
            <w:shd w:val="clear" w:color="auto" w:fill="auto"/>
            <w:vAlign w:val="center"/>
          </w:tcPr>
          <w:p w14:paraId="7C50B48E"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4B</w:t>
            </w:r>
          </w:p>
        </w:tc>
      </w:tr>
      <w:tr w:rsidR="00F94B48" w:rsidRPr="00F32542" w14:paraId="20C2C4B2" w14:textId="77777777" w:rsidTr="00B65D24">
        <w:tc>
          <w:tcPr>
            <w:tcW w:w="1005" w:type="dxa"/>
            <w:shd w:val="clear" w:color="auto" w:fill="auto"/>
            <w:vAlign w:val="center"/>
          </w:tcPr>
          <w:p w14:paraId="0A9248E3" w14:textId="77777777" w:rsidR="00F94B48" w:rsidRPr="00F32542" w:rsidRDefault="00F94B48" w:rsidP="009B6ED0">
            <w:pPr>
              <w:widowControl w:val="0"/>
              <w:numPr>
                <w:ilvl w:val="0"/>
                <w:numId w:val="18"/>
              </w:numPr>
              <w:spacing w:after="0" w:line="240" w:lineRule="auto"/>
              <w:jc w:val="center"/>
              <w:rPr>
                <w:rFonts w:ascii="Arial" w:eastAsia="Calibri" w:hAnsi="Arial" w:cs="Arial"/>
                <w:sz w:val="20"/>
                <w:szCs w:val="20"/>
              </w:rPr>
            </w:pPr>
          </w:p>
        </w:tc>
        <w:tc>
          <w:tcPr>
            <w:tcW w:w="908" w:type="dxa"/>
            <w:shd w:val="clear" w:color="auto" w:fill="auto"/>
            <w:vAlign w:val="center"/>
          </w:tcPr>
          <w:p w14:paraId="2902EAF5"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410" w:type="dxa"/>
            <w:shd w:val="clear" w:color="auto" w:fill="auto"/>
            <w:vAlign w:val="center"/>
          </w:tcPr>
          <w:p w14:paraId="6FFC7F36"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Rodrigo Miranda Berumen</w:t>
            </w:r>
          </w:p>
        </w:tc>
        <w:tc>
          <w:tcPr>
            <w:tcW w:w="2268" w:type="dxa"/>
            <w:shd w:val="clear" w:color="auto" w:fill="auto"/>
            <w:vAlign w:val="center"/>
          </w:tcPr>
          <w:p w14:paraId="44A91C06"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Luis Paris Oviedo Guarneros</w:t>
            </w:r>
          </w:p>
        </w:tc>
        <w:tc>
          <w:tcPr>
            <w:tcW w:w="1463" w:type="dxa"/>
            <w:shd w:val="clear" w:color="auto" w:fill="auto"/>
            <w:vAlign w:val="center"/>
          </w:tcPr>
          <w:p w14:paraId="26A4F11E"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5A</w:t>
            </w:r>
          </w:p>
        </w:tc>
      </w:tr>
      <w:tr w:rsidR="00F94B48" w:rsidRPr="00F32542" w14:paraId="29F70397" w14:textId="77777777" w:rsidTr="00B65D24">
        <w:tc>
          <w:tcPr>
            <w:tcW w:w="1005" w:type="dxa"/>
            <w:vAlign w:val="center"/>
          </w:tcPr>
          <w:p w14:paraId="6B00AE5D" w14:textId="77777777" w:rsidR="00F94B48" w:rsidRPr="00F32542" w:rsidRDefault="00F94B48" w:rsidP="009B6ED0">
            <w:pPr>
              <w:widowControl w:val="0"/>
              <w:numPr>
                <w:ilvl w:val="0"/>
                <w:numId w:val="18"/>
              </w:numPr>
              <w:spacing w:after="0" w:line="240" w:lineRule="auto"/>
              <w:jc w:val="center"/>
              <w:rPr>
                <w:rFonts w:ascii="Arial" w:eastAsia="Calibri" w:hAnsi="Arial" w:cs="Arial"/>
                <w:sz w:val="20"/>
                <w:szCs w:val="20"/>
              </w:rPr>
            </w:pPr>
          </w:p>
        </w:tc>
        <w:tc>
          <w:tcPr>
            <w:tcW w:w="908" w:type="dxa"/>
            <w:vAlign w:val="center"/>
          </w:tcPr>
          <w:p w14:paraId="142E0D7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410" w:type="dxa"/>
            <w:vAlign w:val="center"/>
          </w:tcPr>
          <w:p w14:paraId="45C836D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Mónica Jessica Menocal del Moral</w:t>
            </w:r>
          </w:p>
        </w:tc>
        <w:tc>
          <w:tcPr>
            <w:tcW w:w="2268" w:type="dxa"/>
            <w:vAlign w:val="center"/>
          </w:tcPr>
          <w:p w14:paraId="2CEDE746"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Fabiola Menocal Del Moral</w:t>
            </w:r>
          </w:p>
        </w:tc>
        <w:tc>
          <w:tcPr>
            <w:tcW w:w="1463" w:type="dxa"/>
            <w:vAlign w:val="center"/>
          </w:tcPr>
          <w:p w14:paraId="3DCE2F3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5B</w:t>
            </w:r>
          </w:p>
        </w:tc>
      </w:tr>
      <w:tr w:rsidR="00F94B48" w:rsidRPr="00F32542" w14:paraId="48415599" w14:textId="77777777" w:rsidTr="00B65D24">
        <w:tc>
          <w:tcPr>
            <w:tcW w:w="1005" w:type="dxa"/>
            <w:vAlign w:val="center"/>
          </w:tcPr>
          <w:p w14:paraId="045175D3" w14:textId="77777777" w:rsidR="00F94B48" w:rsidRPr="00F32542" w:rsidRDefault="00F94B48" w:rsidP="009B6ED0">
            <w:pPr>
              <w:widowControl w:val="0"/>
              <w:numPr>
                <w:ilvl w:val="0"/>
                <w:numId w:val="18"/>
              </w:numPr>
              <w:spacing w:after="0" w:line="240" w:lineRule="auto"/>
              <w:jc w:val="center"/>
              <w:rPr>
                <w:rFonts w:ascii="Arial" w:eastAsia="Calibri" w:hAnsi="Arial" w:cs="Arial"/>
                <w:sz w:val="20"/>
                <w:szCs w:val="20"/>
              </w:rPr>
            </w:pPr>
          </w:p>
        </w:tc>
        <w:tc>
          <w:tcPr>
            <w:tcW w:w="908" w:type="dxa"/>
            <w:vAlign w:val="center"/>
          </w:tcPr>
          <w:p w14:paraId="4421DB7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410" w:type="dxa"/>
            <w:vAlign w:val="center"/>
          </w:tcPr>
          <w:p w14:paraId="61EC7C4E"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Andrés Sánchez Miranda</w:t>
            </w:r>
          </w:p>
        </w:tc>
        <w:tc>
          <w:tcPr>
            <w:tcW w:w="2268" w:type="dxa"/>
            <w:vAlign w:val="center"/>
          </w:tcPr>
          <w:p w14:paraId="486998A6"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Isabel Priscila Vera Hernández</w:t>
            </w:r>
          </w:p>
        </w:tc>
        <w:tc>
          <w:tcPr>
            <w:tcW w:w="1463" w:type="dxa"/>
            <w:vAlign w:val="center"/>
          </w:tcPr>
          <w:p w14:paraId="1611E9C1"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7A</w:t>
            </w:r>
          </w:p>
        </w:tc>
      </w:tr>
      <w:tr w:rsidR="00F94B48" w:rsidRPr="00F32542" w14:paraId="5BC6CE0D" w14:textId="77777777" w:rsidTr="00B65D24">
        <w:tc>
          <w:tcPr>
            <w:tcW w:w="1005" w:type="dxa"/>
            <w:vAlign w:val="center"/>
          </w:tcPr>
          <w:p w14:paraId="0D7DA92C" w14:textId="77777777" w:rsidR="00F94B48" w:rsidRPr="00F32542" w:rsidRDefault="00F94B48" w:rsidP="009B6ED0">
            <w:pPr>
              <w:widowControl w:val="0"/>
              <w:numPr>
                <w:ilvl w:val="0"/>
                <w:numId w:val="18"/>
              </w:numPr>
              <w:spacing w:after="0" w:line="240" w:lineRule="auto"/>
              <w:jc w:val="center"/>
              <w:rPr>
                <w:rFonts w:ascii="Arial" w:eastAsia="Calibri" w:hAnsi="Arial" w:cs="Arial"/>
                <w:sz w:val="20"/>
                <w:szCs w:val="20"/>
              </w:rPr>
            </w:pPr>
          </w:p>
        </w:tc>
        <w:tc>
          <w:tcPr>
            <w:tcW w:w="908" w:type="dxa"/>
            <w:vAlign w:val="center"/>
          </w:tcPr>
          <w:p w14:paraId="28CFC79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410" w:type="dxa"/>
            <w:vAlign w:val="center"/>
          </w:tcPr>
          <w:p w14:paraId="4629A894"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Fernando </w:t>
            </w:r>
            <w:proofErr w:type="spellStart"/>
            <w:r w:rsidRPr="00F32542">
              <w:rPr>
                <w:rFonts w:ascii="Arial" w:eastAsia="Calibri" w:hAnsi="Arial" w:cs="Arial"/>
                <w:sz w:val="20"/>
                <w:szCs w:val="20"/>
              </w:rPr>
              <w:t>Belaunzarán</w:t>
            </w:r>
            <w:proofErr w:type="spellEnd"/>
            <w:r w:rsidRPr="00F32542">
              <w:rPr>
                <w:rFonts w:ascii="Arial" w:eastAsia="Calibri" w:hAnsi="Arial" w:cs="Arial"/>
                <w:sz w:val="20"/>
                <w:szCs w:val="20"/>
              </w:rPr>
              <w:t xml:space="preserve"> Méndez</w:t>
            </w:r>
          </w:p>
        </w:tc>
        <w:tc>
          <w:tcPr>
            <w:tcW w:w="2268" w:type="dxa"/>
            <w:vAlign w:val="center"/>
          </w:tcPr>
          <w:p w14:paraId="473507B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Ángel Luna Pacheco</w:t>
            </w:r>
          </w:p>
        </w:tc>
        <w:tc>
          <w:tcPr>
            <w:tcW w:w="1463" w:type="dxa"/>
            <w:vAlign w:val="center"/>
          </w:tcPr>
          <w:p w14:paraId="5876AC8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6B</w:t>
            </w:r>
          </w:p>
        </w:tc>
      </w:tr>
      <w:tr w:rsidR="00F94B48" w:rsidRPr="00F32542" w14:paraId="35F5BC8A" w14:textId="77777777" w:rsidTr="00B65D24">
        <w:tc>
          <w:tcPr>
            <w:tcW w:w="1005" w:type="dxa"/>
            <w:vAlign w:val="center"/>
          </w:tcPr>
          <w:p w14:paraId="74DBBC56" w14:textId="77777777" w:rsidR="00F94B48" w:rsidRPr="00F32542" w:rsidRDefault="00F94B48" w:rsidP="009B6ED0">
            <w:pPr>
              <w:widowControl w:val="0"/>
              <w:numPr>
                <w:ilvl w:val="0"/>
                <w:numId w:val="18"/>
              </w:numPr>
              <w:spacing w:after="0" w:line="240" w:lineRule="auto"/>
              <w:jc w:val="center"/>
              <w:rPr>
                <w:rFonts w:ascii="Arial" w:eastAsia="Calibri" w:hAnsi="Arial" w:cs="Arial"/>
                <w:sz w:val="20"/>
                <w:szCs w:val="20"/>
              </w:rPr>
            </w:pPr>
          </w:p>
        </w:tc>
        <w:tc>
          <w:tcPr>
            <w:tcW w:w="908" w:type="dxa"/>
            <w:vAlign w:val="center"/>
          </w:tcPr>
          <w:p w14:paraId="2CD5137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410" w:type="dxa"/>
            <w:vAlign w:val="center"/>
          </w:tcPr>
          <w:p w14:paraId="0559CA7A"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Frida Jimena Guillén Ortiz</w:t>
            </w:r>
          </w:p>
        </w:tc>
        <w:tc>
          <w:tcPr>
            <w:tcW w:w="2268" w:type="dxa"/>
            <w:vAlign w:val="center"/>
          </w:tcPr>
          <w:p w14:paraId="60B96DE7" w14:textId="77777777" w:rsidR="00F94B48" w:rsidRPr="00F32542" w:rsidRDefault="00F94B48" w:rsidP="00F94B48">
            <w:pPr>
              <w:spacing w:after="0" w:line="240" w:lineRule="auto"/>
              <w:jc w:val="center"/>
              <w:rPr>
                <w:rFonts w:ascii="Arial" w:eastAsia="Calibri" w:hAnsi="Arial" w:cs="Arial"/>
                <w:sz w:val="20"/>
                <w:szCs w:val="20"/>
              </w:rPr>
            </w:pPr>
            <w:proofErr w:type="spellStart"/>
            <w:r w:rsidRPr="00F32542">
              <w:rPr>
                <w:rFonts w:ascii="Arial" w:eastAsia="Calibri" w:hAnsi="Arial" w:cs="Arial"/>
                <w:sz w:val="20"/>
                <w:szCs w:val="20"/>
              </w:rPr>
              <w:t>Ahichell</w:t>
            </w:r>
            <w:proofErr w:type="spellEnd"/>
            <w:r w:rsidRPr="00F32542">
              <w:rPr>
                <w:rFonts w:ascii="Arial" w:eastAsia="Calibri" w:hAnsi="Arial" w:cs="Arial"/>
                <w:sz w:val="20"/>
                <w:szCs w:val="20"/>
              </w:rPr>
              <w:t xml:space="preserve"> Sánchez Valle</w:t>
            </w:r>
          </w:p>
        </w:tc>
        <w:tc>
          <w:tcPr>
            <w:tcW w:w="1463" w:type="dxa"/>
            <w:vAlign w:val="center"/>
          </w:tcPr>
          <w:p w14:paraId="44BA30FA"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8A</w:t>
            </w:r>
          </w:p>
        </w:tc>
      </w:tr>
      <w:tr w:rsidR="00F94B48" w:rsidRPr="00F32542" w14:paraId="5DFA4A25" w14:textId="77777777" w:rsidTr="00B65D24">
        <w:tc>
          <w:tcPr>
            <w:tcW w:w="1005" w:type="dxa"/>
            <w:vAlign w:val="center"/>
          </w:tcPr>
          <w:p w14:paraId="2F4ECC2E" w14:textId="77777777" w:rsidR="00F94B48" w:rsidRPr="00F32542" w:rsidRDefault="00F94B48" w:rsidP="009B6ED0">
            <w:pPr>
              <w:widowControl w:val="0"/>
              <w:numPr>
                <w:ilvl w:val="0"/>
                <w:numId w:val="18"/>
              </w:numPr>
              <w:spacing w:after="0" w:line="240" w:lineRule="auto"/>
              <w:jc w:val="center"/>
              <w:rPr>
                <w:rFonts w:ascii="Arial" w:eastAsia="Calibri" w:hAnsi="Arial" w:cs="Arial"/>
                <w:sz w:val="20"/>
                <w:szCs w:val="20"/>
              </w:rPr>
            </w:pPr>
          </w:p>
        </w:tc>
        <w:tc>
          <w:tcPr>
            <w:tcW w:w="908" w:type="dxa"/>
            <w:vAlign w:val="center"/>
          </w:tcPr>
          <w:p w14:paraId="7CFBD69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410" w:type="dxa"/>
            <w:vAlign w:val="center"/>
          </w:tcPr>
          <w:p w14:paraId="6463CBB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Georgina </w:t>
            </w:r>
            <w:proofErr w:type="spellStart"/>
            <w:r w:rsidRPr="00F32542">
              <w:rPr>
                <w:rFonts w:ascii="Arial" w:eastAsia="Calibri" w:hAnsi="Arial" w:cs="Arial"/>
                <w:sz w:val="20"/>
                <w:szCs w:val="20"/>
              </w:rPr>
              <w:t>Muguía</w:t>
            </w:r>
            <w:proofErr w:type="spellEnd"/>
            <w:r w:rsidRPr="00F32542">
              <w:rPr>
                <w:rFonts w:ascii="Arial" w:eastAsia="Calibri" w:hAnsi="Arial" w:cs="Arial"/>
                <w:sz w:val="20"/>
                <w:szCs w:val="20"/>
              </w:rPr>
              <w:t xml:space="preserve"> López</w:t>
            </w:r>
          </w:p>
        </w:tc>
        <w:tc>
          <w:tcPr>
            <w:tcW w:w="2268" w:type="dxa"/>
            <w:vAlign w:val="center"/>
          </w:tcPr>
          <w:p w14:paraId="638C527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Silvia Beltrán Cervantes</w:t>
            </w:r>
          </w:p>
        </w:tc>
        <w:tc>
          <w:tcPr>
            <w:tcW w:w="1463" w:type="dxa"/>
            <w:vAlign w:val="center"/>
          </w:tcPr>
          <w:p w14:paraId="1943ED7B"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7B</w:t>
            </w:r>
          </w:p>
        </w:tc>
      </w:tr>
      <w:tr w:rsidR="00F94B48" w:rsidRPr="00F32542" w14:paraId="39DA1E03" w14:textId="77777777" w:rsidTr="00B65D24">
        <w:tc>
          <w:tcPr>
            <w:tcW w:w="1005" w:type="dxa"/>
            <w:vAlign w:val="center"/>
          </w:tcPr>
          <w:p w14:paraId="65FB4BB3" w14:textId="77777777" w:rsidR="00F94B48" w:rsidRPr="00F32542" w:rsidRDefault="00F94B48" w:rsidP="009B6ED0">
            <w:pPr>
              <w:widowControl w:val="0"/>
              <w:numPr>
                <w:ilvl w:val="0"/>
                <w:numId w:val="18"/>
              </w:numPr>
              <w:spacing w:after="0" w:line="240" w:lineRule="auto"/>
              <w:jc w:val="center"/>
              <w:rPr>
                <w:rFonts w:ascii="Arial" w:eastAsia="Calibri" w:hAnsi="Arial" w:cs="Arial"/>
                <w:sz w:val="20"/>
                <w:szCs w:val="20"/>
              </w:rPr>
            </w:pPr>
          </w:p>
        </w:tc>
        <w:tc>
          <w:tcPr>
            <w:tcW w:w="908" w:type="dxa"/>
            <w:vAlign w:val="center"/>
          </w:tcPr>
          <w:p w14:paraId="7493FF3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410" w:type="dxa"/>
            <w:vAlign w:val="center"/>
          </w:tcPr>
          <w:p w14:paraId="6CB213F4"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Israel Landgrave Castillo</w:t>
            </w:r>
          </w:p>
        </w:tc>
        <w:tc>
          <w:tcPr>
            <w:tcW w:w="2268" w:type="dxa"/>
            <w:vAlign w:val="center"/>
          </w:tcPr>
          <w:p w14:paraId="06B45BF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Ricardo Zárate León</w:t>
            </w:r>
          </w:p>
        </w:tc>
        <w:tc>
          <w:tcPr>
            <w:tcW w:w="1463" w:type="dxa"/>
            <w:vAlign w:val="center"/>
          </w:tcPr>
          <w:p w14:paraId="50391B5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9A</w:t>
            </w:r>
          </w:p>
        </w:tc>
      </w:tr>
      <w:tr w:rsidR="00F94B48" w:rsidRPr="00F32542" w14:paraId="20D22367" w14:textId="77777777" w:rsidTr="00B65D24">
        <w:tc>
          <w:tcPr>
            <w:tcW w:w="1005" w:type="dxa"/>
            <w:vAlign w:val="center"/>
          </w:tcPr>
          <w:p w14:paraId="7FBE3147" w14:textId="77777777" w:rsidR="00F94B48" w:rsidRPr="00F32542" w:rsidRDefault="00F94B48" w:rsidP="009B6ED0">
            <w:pPr>
              <w:widowControl w:val="0"/>
              <w:numPr>
                <w:ilvl w:val="0"/>
                <w:numId w:val="18"/>
              </w:numPr>
              <w:spacing w:after="0" w:line="240" w:lineRule="auto"/>
              <w:jc w:val="center"/>
              <w:rPr>
                <w:rFonts w:ascii="Arial" w:eastAsia="Calibri" w:hAnsi="Arial" w:cs="Arial"/>
                <w:sz w:val="20"/>
                <w:szCs w:val="20"/>
              </w:rPr>
            </w:pPr>
          </w:p>
        </w:tc>
        <w:tc>
          <w:tcPr>
            <w:tcW w:w="908" w:type="dxa"/>
            <w:vAlign w:val="center"/>
          </w:tcPr>
          <w:p w14:paraId="3E7568FA"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410" w:type="dxa"/>
            <w:vAlign w:val="center"/>
          </w:tcPr>
          <w:p w14:paraId="39492626"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Ernesto Fernández </w:t>
            </w:r>
            <w:proofErr w:type="spellStart"/>
            <w:r w:rsidRPr="00F32542">
              <w:rPr>
                <w:rFonts w:ascii="Arial" w:eastAsia="Calibri" w:hAnsi="Arial" w:cs="Arial"/>
                <w:sz w:val="20"/>
                <w:szCs w:val="20"/>
              </w:rPr>
              <w:t>Tachiquín</w:t>
            </w:r>
            <w:proofErr w:type="spellEnd"/>
            <w:r w:rsidRPr="00F32542">
              <w:rPr>
                <w:rFonts w:ascii="Arial" w:eastAsia="Calibri" w:hAnsi="Arial" w:cs="Arial"/>
                <w:sz w:val="20"/>
                <w:szCs w:val="20"/>
              </w:rPr>
              <w:t xml:space="preserve"> </w:t>
            </w:r>
          </w:p>
        </w:tc>
        <w:tc>
          <w:tcPr>
            <w:tcW w:w="2268" w:type="dxa"/>
            <w:vAlign w:val="center"/>
          </w:tcPr>
          <w:p w14:paraId="464945CA"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Raymundo Espinoza </w:t>
            </w:r>
            <w:proofErr w:type="spellStart"/>
            <w:r w:rsidRPr="00F32542">
              <w:rPr>
                <w:rFonts w:ascii="Arial" w:eastAsia="Calibri" w:hAnsi="Arial" w:cs="Arial"/>
                <w:sz w:val="20"/>
                <w:szCs w:val="20"/>
              </w:rPr>
              <w:t>Amezquita</w:t>
            </w:r>
            <w:proofErr w:type="spellEnd"/>
          </w:p>
        </w:tc>
        <w:tc>
          <w:tcPr>
            <w:tcW w:w="1463" w:type="dxa"/>
            <w:vAlign w:val="center"/>
          </w:tcPr>
          <w:p w14:paraId="040722E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8B</w:t>
            </w:r>
          </w:p>
        </w:tc>
      </w:tr>
      <w:tr w:rsidR="00F94B48" w:rsidRPr="00F32542" w14:paraId="73027CC4" w14:textId="77777777" w:rsidTr="00B65D24">
        <w:tc>
          <w:tcPr>
            <w:tcW w:w="1005" w:type="dxa"/>
            <w:vAlign w:val="center"/>
          </w:tcPr>
          <w:p w14:paraId="38A4DE17" w14:textId="77777777" w:rsidR="00F94B48" w:rsidRPr="00F32542" w:rsidRDefault="00F94B48" w:rsidP="009B6ED0">
            <w:pPr>
              <w:widowControl w:val="0"/>
              <w:numPr>
                <w:ilvl w:val="0"/>
                <w:numId w:val="18"/>
              </w:numPr>
              <w:spacing w:after="0" w:line="240" w:lineRule="auto"/>
              <w:jc w:val="center"/>
              <w:rPr>
                <w:rFonts w:ascii="Arial" w:eastAsia="Calibri" w:hAnsi="Arial" w:cs="Arial"/>
                <w:sz w:val="20"/>
                <w:szCs w:val="20"/>
              </w:rPr>
            </w:pPr>
          </w:p>
        </w:tc>
        <w:tc>
          <w:tcPr>
            <w:tcW w:w="908" w:type="dxa"/>
            <w:vAlign w:val="center"/>
          </w:tcPr>
          <w:p w14:paraId="27E8F09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410" w:type="dxa"/>
            <w:vAlign w:val="center"/>
          </w:tcPr>
          <w:p w14:paraId="2E63DC8E"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Ana Jessica Ramírez Colín</w:t>
            </w:r>
          </w:p>
        </w:tc>
        <w:tc>
          <w:tcPr>
            <w:tcW w:w="2268" w:type="dxa"/>
            <w:vAlign w:val="center"/>
          </w:tcPr>
          <w:p w14:paraId="4810F06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Guadalupe Estefanía Gaona Oyola</w:t>
            </w:r>
          </w:p>
        </w:tc>
        <w:tc>
          <w:tcPr>
            <w:tcW w:w="1463" w:type="dxa"/>
            <w:vAlign w:val="center"/>
          </w:tcPr>
          <w:p w14:paraId="4CE47251"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10A</w:t>
            </w:r>
          </w:p>
        </w:tc>
      </w:tr>
      <w:tr w:rsidR="00F94B48" w:rsidRPr="00F32542" w14:paraId="34318175" w14:textId="77777777" w:rsidTr="00B65D24">
        <w:tc>
          <w:tcPr>
            <w:tcW w:w="1005" w:type="dxa"/>
            <w:vAlign w:val="center"/>
          </w:tcPr>
          <w:p w14:paraId="41796842" w14:textId="77777777" w:rsidR="00F94B48" w:rsidRPr="00F32542" w:rsidRDefault="00F94B48" w:rsidP="009B6ED0">
            <w:pPr>
              <w:widowControl w:val="0"/>
              <w:numPr>
                <w:ilvl w:val="0"/>
                <w:numId w:val="18"/>
              </w:numPr>
              <w:spacing w:after="0" w:line="240" w:lineRule="auto"/>
              <w:jc w:val="center"/>
              <w:rPr>
                <w:rFonts w:ascii="Arial" w:eastAsia="Calibri" w:hAnsi="Arial" w:cs="Arial"/>
                <w:sz w:val="20"/>
                <w:szCs w:val="20"/>
              </w:rPr>
            </w:pPr>
          </w:p>
        </w:tc>
        <w:tc>
          <w:tcPr>
            <w:tcW w:w="908" w:type="dxa"/>
            <w:vAlign w:val="center"/>
          </w:tcPr>
          <w:p w14:paraId="69A18BF5"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410" w:type="dxa"/>
            <w:vAlign w:val="center"/>
          </w:tcPr>
          <w:p w14:paraId="758329F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Diana </w:t>
            </w:r>
            <w:proofErr w:type="spellStart"/>
            <w:r w:rsidRPr="00F32542">
              <w:rPr>
                <w:rFonts w:ascii="Arial" w:eastAsia="Calibri" w:hAnsi="Arial" w:cs="Arial"/>
                <w:sz w:val="20"/>
                <w:szCs w:val="20"/>
              </w:rPr>
              <w:t>Karine</w:t>
            </w:r>
            <w:proofErr w:type="spellEnd"/>
            <w:r w:rsidRPr="00F32542">
              <w:rPr>
                <w:rFonts w:ascii="Arial" w:eastAsia="Calibri" w:hAnsi="Arial" w:cs="Arial"/>
                <w:sz w:val="20"/>
                <w:szCs w:val="20"/>
              </w:rPr>
              <w:t xml:space="preserve"> Raya Govea</w:t>
            </w:r>
          </w:p>
        </w:tc>
        <w:tc>
          <w:tcPr>
            <w:tcW w:w="2268" w:type="dxa"/>
            <w:vAlign w:val="center"/>
          </w:tcPr>
          <w:p w14:paraId="43EED60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Karina Isabel Reyes Flores</w:t>
            </w:r>
          </w:p>
        </w:tc>
        <w:tc>
          <w:tcPr>
            <w:tcW w:w="1463" w:type="dxa"/>
            <w:vAlign w:val="center"/>
          </w:tcPr>
          <w:p w14:paraId="3C94D16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9B</w:t>
            </w:r>
          </w:p>
        </w:tc>
      </w:tr>
      <w:tr w:rsidR="00F94B48" w:rsidRPr="00F32542" w14:paraId="3682BFFD" w14:textId="77777777" w:rsidTr="00B65D24">
        <w:tc>
          <w:tcPr>
            <w:tcW w:w="1005" w:type="dxa"/>
            <w:vAlign w:val="center"/>
          </w:tcPr>
          <w:p w14:paraId="6A402BB6" w14:textId="77777777" w:rsidR="00F94B48" w:rsidRPr="00F32542" w:rsidRDefault="00F94B48" w:rsidP="009B6ED0">
            <w:pPr>
              <w:widowControl w:val="0"/>
              <w:numPr>
                <w:ilvl w:val="0"/>
                <w:numId w:val="18"/>
              </w:numPr>
              <w:spacing w:after="0" w:line="240" w:lineRule="auto"/>
              <w:jc w:val="center"/>
              <w:rPr>
                <w:rFonts w:ascii="Arial" w:eastAsia="Calibri" w:hAnsi="Arial" w:cs="Arial"/>
                <w:sz w:val="20"/>
                <w:szCs w:val="20"/>
              </w:rPr>
            </w:pPr>
          </w:p>
        </w:tc>
        <w:tc>
          <w:tcPr>
            <w:tcW w:w="908" w:type="dxa"/>
            <w:vAlign w:val="center"/>
          </w:tcPr>
          <w:p w14:paraId="3AD9C686"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410" w:type="dxa"/>
            <w:vAlign w:val="center"/>
          </w:tcPr>
          <w:p w14:paraId="4FA1E19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Luis Alberto Granados Llamas</w:t>
            </w:r>
          </w:p>
        </w:tc>
        <w:tc>
          <w:tcPr>
            <w:tcW w:w="2268" w:type="dxa"/>
            <w:vAlign w:val="center"/>
          </w:tcPr>
          <w:p w14:paraId="1059233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Uriel Alejandro Pérez Ayala</w:t>
            </w:r>
          </w:p>
        </w:tc>
        <w:tc>
          <w:tcPr>
            <w:tcW w:w="1463" w:type="dxa"/>
            <w:vAlign w:val="center"/>
          </w:tcPr>
          <w:p w14:paraId="46A802D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11A</w:t>
            </w:r>
          </w:p>
        </w:tc>
      </w:tr>
      <w:tr w:rsidR="00F94B48" w:rsidRPr="00F32542" w14:paraId="2BEF49F2" w14:textId="77777777" w:rsidTr="00B65D24">
        <w:tc>
          <w:tcPr>
            <w:tcW w:w="1005" w:type="dxa"/>
            <w:vAlign w:val="center"/>
          </w:tcPr>
          <w:p w14:paraId="510C0F5F" w14:textId="77777777" w:rsidR="00F94B48" w:rsidRPr="00F32542" w:rsidRDefault="00F94B48" w:rsidP="009B6ED0">
            <w:pPr>
              <w:widowControl w:val="0"/>
              <w:numPr>
                <w:ilvl w:val="0"/>
                <w:numId w:val="18"/>
              </w:numPr>
              <w:spacing w:after="0" w:line="240" w:lineRule="auto"/>
              <w:jc w:val="center"/>
              <w:rPr>
                <w:rFonts w:ascii="Arial" w:eastAsia="Calibri" w:hAnsi="Arial" w:cs="Arial"/>
                <w:sz w:val="20"/>
                <w:szCs w:val="20"/>
              </w:rPr>
            </w:pPr>
          </w:p>
        </w:tc>
        <w:tc>
          <w:tcPr>
            <w:tcW w:w="908" w:type="dxa"/>
            <w:vAlign w:val="center"/>
          </w:tcPr>
          <w:p w14:paraId="56B68DC5"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410" w:type="dxa"/>
            <w:vAlign w:val="center"/>
          </w:tcPr>
          <w:p w14:paraId="3469ABB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Emiliano Aguilar Esquivel</w:t>
            </w:r>
          </w:p>
        </w:tc>
        <w:tc>
          <w:tcPr>
            <w:tcW w:w="2268" w:type="dxa"/>
            <w:vAlign w:val="center"/>
          </w:tcPr>
          <w:p w14:paraId="54EE3E16"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Viridiana Meza Olivares</w:t>
            </w:r>
          </w:p>
        </w:tc>
        <w:tc>
          <w:tcPr>
            <w:tcW w:w="1463" w:type="dxa"/>
            <w:vAlign w:val="center"/>
          </w:tcPr>
          <w:p w14:paraId="52D0B65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10B</w:t>
            </w:r>
          </w:p>
        </w:tc>
      </w:tr>
    </w:tbl>
    <w:p w14:paraId="15F4A0CF" w14:textId="77777777" w:rsidR="00F94B48" w:rsidRPr="00F32542" w:rsidRDefault="00F94B48" w:rsidP="00F94B48">
      <w:pPr>
        <w:spacing w:after="0" w:line="360" w:lineRule="auto"/>
        <w:ind w:left="435"/>
        <w:contextualSpacing/>
        <w:jc w:val="both"/>
        <w:rPr>
          <w:rFonts w:ascii="Arial" w:eastAsia="Calibri" w:hAnsi="Arial" w:cs="Arial"/>
          <w:b/>
          <w:sz w:val="28"/>
          <w:szCs w:val="28"/>
        </w:rPr>
      </w:pPr>
    </w:p>
    <w:p w14:paraId="64C9DB25" w14:textId="77777777" w:rsidR="00F94B48" w:rsidRPr="00F32542" w:rsidRDefault="00F94B48" w:rsidP="00F94B48">
      <w:pPr>
        <w:widowControl w:val="0"/>
        <w:spacing w:after="0" w:line="360" w:lineRule="auto"/>
        <w:jc w:val="both"/>
        <w:rPr>
          <w:rFonts w:ascii="Arial" w:eastAsia="Calibri" w:hAnsi="Arial" w:cs="Times New Roman"/>
          <w:sz w:val="28"/>
          <w:lang w:val="es-ES"/>
        </w:rPr>
      </w:pPr>
      <w:r w:rsidRPr="00F32542">
        <w:rPr>
          <w:rFonts w:ascii="Arial" w:eastAsia="Calibri" w:hAnsi="Arial" w:cs="Times New Roman"/>
          <w:sz w:val="28"/>
          <w:lang w:val="es-ES"/>
        </w:rPr>
        <w:t xml:space="preserve">Ante lo fundado del agravio expuesto por el actor del </w:t>
      </w:r>
      <w:r w:rsidRPr="00F32542">
        <w:rPr>
          <w:rFonts w:ascii="Arial" w:eastAsia="Calibri" w:hAnsi="Arial" w:cs="Times New Roman"/>
          <w:b/>
          <w:bCs/>
          <w:iCs/>
          <w:sz w:val="28"/>
          <w:lang w:val="es-ES"/>
        </w:rPr>
        <w:t>TECDMX-JLDC-100/2021</w:t>
      </w:r>
      <w:r w:rsidRPr="00F32542">
        <w:rPr>
          <w:rFonts w:ascii="Arial" w:eastAsia="Calibri" w:hAnsi="Arial" w:cs="Times New Roman"/>
          <w:sz w:val="28"/>
          <w:lang w:val="es-ES"/>
        </w:rPr>
        <w:t xml:space="preserve">, con lo cual alcanzó su pretensión de ser restituido en el lugar que originalmente había sido designado por el </w:t>
      </w:r>
      <w:r w:rsidRPr="00F32542">
        <w:rPr>
          <w:rFonts w:ascii="Arial" w:eastAsia="Calibri" w:hAnsi="Arial" w:cs="Times New Roman"/>
          <w:i/>
          <w:sz w:val="28"/>
          <w:lang w:val="es-ES"/>
        </w:rPr>
        <w:t>PAN</w:t>
      </w:r>
      <w:r w:rsidRPr="00F32542">
        <w:rPr>
          <w:rFonts w:ascii="Arial" w:eastAsia="Calibri" w:hAnsi="Arial" w:cs="Times New Roman"/>
          <w:sz w:val="28"/>
          <w:lang w:val="es-ES"/>
        </w:rPr>
        <w:t xml:space="preserve"> en la lista A, es innecesario analizar los restantes agravios que formula, así como los planteados por el </w:t>
      </w:r>
      <w:r w:rsidRPr="00F32542">
        <w:rPr>
          <w:rFonts w:ascii="Arial" w:eastAsia="Calibri" w:hAnsi="Arial" w:cs="Times New Roman"/>
          <w:i/>
          <w:sz w:val="28"/>
          <w:lang w:val="es-ES"/>
        </w:rPr>
        <w:t>PAN</w:t>
      </w:r>
      <w:r w:rsidRPr="00F32542">
        <w:rPr>
          <w:rFonts w:ascii="Arial" w:eastAsia="Calibri" w:hAnsi="Arial" w:cs="Times New Roman"/>
          <w:sz w:val="28"/>
          <w:lang w:val="es-ES"/>
        </w:rPr>
        <w:t xml:space="preserve"> en el </w:t>
      </w:r>
      <w:r w:rsidRPr="00F32542">
        <w:rPr>
          <w:rFonts w:ascii="Arial" w:eastAsia="Calibri" w:hAnsi="Arial" w:cs="Times New Roman"/>
          <w:b/>
          <w:bCs/>
          <w:iCs/>
          <w:sz w:val="28"/>
          <w:lang w:val="es-ES"/>
        </w:rPr>
        <w:t>TECDMX-JEL-206/2021</w:t>
      </w:r>
      <w:r w:rsidRPr="00F32542">
        <w:rPr>
          <w:rFonts w:ascii="Arial" w:eastAsia="Calibri" w:hAnsi="Arial" w:cs="Times New Roman"/>
          <w:sz w:val="28"/>
          <w:lang w:val="es-ES"/>
        </w:rPr>
        <w:t xml:space="preserve">, puesto que estaban encaminados a evidenciar la ilegalidad del reajuste de la aludida lista A, situación que ha quedado acreditada.  </w:t>
      </w:r>
    </w:p>
    <w:p w14:paraId="2EE91241" w14:textId="77777777" w:rsidR="00F94B48" w:rsidRPr="00F32542" w:rsidRDefault="00F94B48" w:rsidP="00F94B48">
      <w:pPr>
        <w:widowControl w:val="0"/>
        <w:spacing w:after="0" w:line="360" w:lineRule="auto"/>
        <w:jc w:val="both"/>
        <w:rPr>
          <w:rFonts w:ascii="Arial" w:eastAsia="Calibri" w:hAnsi="Arial" w:cs="Times New Roman"/>
          <w:sz w:val="28"/>
          <w:lang w:val="es-ES"/>
        </w:rPr>
      </w:pPr>
    </w:p>
    <w:p w14:paraId="3E6E0C19" w14:textId="77777777" w:rsidR="00F94B48" w:rsidRPr="00F32542" w:rsidRDefault="00FD4C93" w:rsidP="00F94B48">
      <w:pPr>
        <w:widowControl w:val="0"/>
        <w:spacing w:after="0" w:line="360" w:lineRule="auto"/>
        <w:jc w:val="both"/>
        <w:rPr>
          <w:rFonts w:ascii="Arial" w:eastAsia="Calibri" w:hAnsi="Arial" w:cs="Times New Roman"/>
          <w:b/>
          <w:sz w:val="28"/>
          <w:lang w:val="es-ES"/>
        </w:rPr>
      </w:pPr>
      <w:r w:rsidRPr="00F32542">
        <w:rPr>
          <w:rFonts w:ascii="Arial" w:eastAsia="Calibri" w:hAnsi="Arial" w:cs="Times New Roman"/>
          <w:b/>
          <w:sz w:val="28"/>
          <w:lang w:val="es-ES"/>
        </w:rPr>
        <w:t>3</w:t>
      </w:r>
      <w:r w:rsidR="00F94B48" w:rsidRPr="00F32542">
        <w:rPr>
          <w:rFonts w:ascii="Arial" w:eastAsia="Calibri" w:hAnsi="Arial" w:cs="Times New Roman"/>
          <w:b/>
          <w:sz w:val="28"/>
          <w:lang w:val="es-ES"/>
        </w:rPr>
        <w:t>. Votación de la diputación migrante</w:t>
      </w:r>
      <w:r w:rsidR="00C97D23" w:rsidRPr="00F32542">
        <w:rPr>
          <w:rFonts w:ascii="Arial" w:eastAsia="Calibri" w:hAnsi="Arial" w:cs="Times New Roman"/>
          <w:b/>
          <w:sz w:val="28"/>
          <w:lang w:val="es-ES"/>
        </w:rPr>
        <w:t>.</w:t>
      </w:r>
    </w:p>
    <w:p w14:paraId="1ED2F5AC" w14:textId="77777777" w:rsidR="00F94B48" w:rsidRPr="00F32542" w:rsidRDefault="00F94B48" w:rsidP="00F94B48">
      <w:pPr>
        <w:widowControl w:val="0"/>
        <w:spacing w:after="0" w:line="360" w:lineRule="auto"/>
        <w:jc w:val="both"/>
        <w:rPr>
          <w:rFonts w:ascii="Arial" w:eastAsia="Calibri" w:hAnsi="Arial" w:cs="Arial"/>
          <w:b/>
          <w:sz w:val="28"/>
          <w:szCs w:val="28"/>
        </w:rPr>
      </w:pPr>
    </w:p>
    <w:p w14:paraId="1E27921E" w14:textId="77777777" w:rsidR="00F94B48" w:rsidRPr="00F32542" w:rsidRDefault="00F94B48" w:rsidP="00F94B48">
      <w:pPr>
        <w:widowControl w:val="0"/>
        <w:spacing w:after="0" w:line="360" w:lineRule="auto"/>
        <w:jc w:val="both"/>
        <w:rPr>
          <w:rFonts w:ascii="Arial" w:eastAsia="Calibri" w:hAnsi="Arial" w:cs="Arial"/>
          <w:b/>
          <w:sz w:val="28"/>
          <w:szCs w:val="28"/>
        </w:rPr>
      </w:pPr>
      <w:r w:rsidRPr="00F32542">
        <w:rPr>
          <w:rFonts w:ascii="Arial" w:eastAsia="Calibri" w:hAnsi="Arial" w:cs="Arial"/>
          <w:b/>
          <w:sz w:val="28"/>
          <w:szCs w:val="28"/>
        </w:rPr>
        <w:t>TECDMX-JLDC-102/2021 (Guillermo Sánchez Torres)</w:t>
      </w:r>
    </w:p>
    <w:p w14:paraId="6F1D3913" w14:textId="77777777" w:rsidR="00F94B48" w:rsidRPr="00F32542" w:rsidRDefault="00F94B48" w:rsidP="00F94B48">
      <w:pPr>
        <w:widowControl w:val="0"/>
        <w:spacing w:after="0" w:line="360" w:lineRule="auto"/>
        <w:jc w:val="both"/>
        <w:rPr>
          <w:rFonts w:ascii="Arial" w:eastAsia="Calibri" w:hAnsi="Arial" w:cs="Arial"/>
          <w:bCs/>
          <w:sz w:val="28"/>
          <w:szCs w:val="28"/>
          <w:lang w:val="es-ES"/>
        </w:rPr>
      </w:pPr>
    </w:p>
    <w:p w14:paraId="4F23863D" w14:textId="77777777" w:rsidR="00F94B48" w:rsidRPr="00F32542" w:rsidRDefault="00F94B48" w:rsidP="00F94B48">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La responsable efectuó la distribución de curules por representación proporcional dejando de considerar la votación válida emitida empleada para la asignación de la diputación migrante, a efecto de distribuir las restantes treinta y dos diputaciones, lo que generó un desequilibrio en los partidos, pues el PAN quedó sobrerrepresentado al ganar siete diputaciones por mayoría relativa, y asignarle diez por representación proporcional.</w:t>
      </w:r>
    </w:p>
    <w:p w14:paraId="20E1A136" w14:textId="77777777" w:rsidR="00F94B48" w:rsidRPr="00F32542" w:rsidRDefault="00F94B48" w:rsidP="00F94B48">
      <w:pPr>
        <w:widowControl w:val="0"/>
        <w:spacing w:after="0" w:line="360" w:lineRule="auto"/>
        <w:jc w:val="both"/>
        <w:rPr>
          <w:rFonts w:ascii="Arial" w:eastAsia="Calibri" w:hAnsi="Arial" w:cs="Arial"/>
          <w:sz w:val="28"/>
          <w:szCs w:val="28"/>
          <w:lang w:val="es-ES"/>
        </w:rPr>
      </w:pPr>
    </w:p>
    <w:p w14:paraId="0AF2604C" w14:textId="77777777" w:rsidR="00F94B48" w:rsidRPr="00F32542" w:rsidRDefault="00F94B48" w:rsidP="00F94B48">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Para una justa y correcta distribución, era necesario incorporar la votación de la diputación migrante y hacer la asignación de treinta y tres diputaciones, correspondiendo la primera a la diputación migrante; siendo que, de desarrollar la fórmula en tales términos, resultaría una asignación total paritaria, en la que Movimiento Ciudadano —partido postulante de la parte actora— tendría derecho a dos diputaciones, de las cuales una le correspondería a la fórmula del demandante, por ser la de más alto porcentaje de votación distrital. </w:t>
      </w:r>
    </w:p>
    <w:p w14:paraId="0F65089F" w14:textId="77777777" w:rsidR="00F94B48" w:rsidRPr="00F32542" w:rsidRDefault="00F94B48" w:rsidP="00F94B48">
      <w:pPr>
        <w:widowControl w:val="0"/>
        <w:spacing w:after="0" w:line="360" w:lineRule="auto"/>
        <w:jc w:val="both"/>
        <w:rPr>
          <w:rFonts w:ascii="Arial" w:eastAsia="Calibri" w:hAnsi="Arial" w:cs="Arial"/>
          <w:sz w:val="28"/>
          <w:szCs w:val="28"/>
          <w:lang w:val="es-ES"/>
        </w:rPr>
      </w:pPr>
    </w:p>
    <w:p w14:paraId="32087A67" w14:textId="77777777" w:rsidR="00F94B48" w:rsidRPr="00F32542" w:rsidRDefault="00F94B48" w:rsidP="00F94B48">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La asignación directa de la diputación de representación proporcional vulneró los principios de legalidad, certeza y seguridad jurídica, sin que su votación se considere para el cálculo del resto de las diputaciones de representación proporcional, por lo que el acto impugnado es desproporcional e inconstitucional, pues los lineamientos no pueden estar por encima de las disposiciones constitucionales o sobre la ley especial. </w:t>
      </w:r>
    </w:p>
    <w:p w14:paraId="0A4C9591" w14:textId="77777777" w:rsidR="00F94B48" w:rsidRPr="00F32542" w:rsidRDefault="00F94B48" w:rsidP="00F94B48">
      <w:pPr>
        <w:widowControl w:val="0"/>
        <w:spacing w:after="0" w:line="360" w:lineRule="auto"/>
        <w:jc w:val="both"/>
        <w:rPr>
          <w:rFonts w:ascii="Arial" w:eastAsia="Calibri" w:hAnsi="Arial" w:cs="Arial"/>
          <w:sz w:val="28"/>
          <w:szCs w:val="28"/>
          <w:lang w:val="es-ES"/>
        </w:rPr>
      </w:pPr>
    </w:p>
    <w:p w14:paraId="37128E7A" w14:textId="77777777" w:rsidR="00F94B48" w:rsidRPr="00F32542" w:rsidRDefault="00F94B48" w:rsidP="00F94B48">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Es necesaria la aplicación de la perspectiva de género a su favor, como instrumento para constatar que existe una relación desequilibrada de poder, al no efectuarse una adecuada distribución discriminación de los partidos minoritarios, sin tomarlos en cuenta para lograr una paridad.</w:t>
      </w:r>
    </w:p>
    <w:p w14:paraId="5DF0BE01" w14:textId="77777777" w:rsidR="00F94B48" w:rsidRPr="00F32542" w:rsidRDefault="00F94B48" w:rsidP="00F94B48">
      <w:pPr>
        <w:widowControl w:val="0"/>
        <w:spacing w:after="0" w:line="360" w:lineRule="auto"/>
        <w:jc w:val="both"/>
        <w:rPr>
          <w:rFonts w:ascii="Arial" w:eastAsia="Calibri" w:hAnsi="Arial" w:cs="Arial"/>
          <w:sz w:val="28"/>
          <w:szCs w:val="28"/>
          <w:lang w:val="es-ES"/>
        </w:rPr>
      </w:pPr>
    </w:p>
    <w:p w14:paraId="77B6047A" w14:textId="77777777" w:rsidR="00F94B48" w:rsidRPr="00F32542" w:rsidRDefault="00F94B48" w:rsidP="00F94B48">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El agravio es </w:t>
      </w:r>
      <w:r w:rsidRPr="00F32542">
        <w:rPr>
          <w:rFonts w:ascii="Arial" w:eastAsia="Calibri" w:hAnsi="Arial" w:cs="Arial"/>
          <w:b/>
          <w:sz w:val="28"/>
          <w:szCs w:val="28"/>
          <w:lang w:val="es-ES"/>
        </w:rPr>
        <w:t>infundado</w:t>
      </w:r>
      <w:r w:rsidRPr="00F32542">
        <w:rPr>
          <w:rFonts w:ascii="Arial" w:eastAsia="Calibri" w:hAnsi="Arial" w:cs="Arial"/>
          <w:sz w:val="28"/>
          <w:szCs w:val="28"/>
          <w:lang w:val="es-ES"/>
        </w:rPr>
        <w:t xml:space="preserve">, </w:t>
      </w:r>
      <w:proofErr w:type="gramStart"/>
      <w:r w:rsidRPr="00F32542">
        <w:rPr>
          <w:rFonts w:ascii="Arial" w:eastAsia="Calibri" w:hAnsi="Arial" w:cs="Arial"/>
          <w:sz w:val="28"/>
          <w:szCs w:val="28"/>
          <w:lang w:val="es-ES"/>
        </w:rPr>
        <w:t>en razón de</w:t>
      </w:r>
      <w:proofErr w:type="gramEnd"/>
      <w:r w:rsidRPr="00F32542">
        <w:rPr>
          <w:rFonts w:ascii="Arial" w:eastAsia="Calibri" w:hAnsi="Arial" w:cs="Arial"/>
          <w:sz w:val="28"/>
          <w:szCs w:val="28"/>
          <w:lang w:val="es-ES"/>
        </w:rPr>
        <w:t xml:space="preserve"> que la parte actora lo sustenta en premisas falsas.</w:t>
      </w:r>
    </w:p>
    <w:p w14:paraId="1CD6AD8A" w14:textId="77777777" w:rsidR="00F94B48" w:rsidRPr="00F32542" w:rsidRDefault="00F94B48" w:rsidP="00F94B48">
      <w:pPr>
        <w:widowControl w:val="0"/>
        <w:spacing w:after="0" w:line="360" w:lineRule="auto"/>
        <w:jc w:val="both"/>
        <w:rPr>
          <w:rFonts w:ascii="Arial" w:eastAsia="Calibri" w:hAnsi="Arial" w:cs="Arial"/>
          <w:sz w:val="28"/>
          <w:szCs w:val="28"/>
          <w:lang w:val="es-ES"/>
        </w:rPr>
      </w:pPr>
    </w:p>
    <w:p w14:paraId="72CC4C4A" w14:textId="77777777" w:rsidR="00F94B48" w:rsidRPr="00F32542" w:rsidRDefault="00F94B48" w:rsidP="00F94B48">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En efecto, en un primer momento, la parte demandante cuestiona que </w:t>
      </w:r>
      <w:r w:rsidRPr="00F32542">
        <w:rPr>
          <w:rFonts w:ascii="Arial" w:eastAsia="Calibri" w:hAnsi="Arial" w:cs="Arial"/>
          <w:sz w:val="28"/>
          <w:szCs w:val="28"/>
          <w:lang w:val="es-ES"/>
        </w:rPr>
        <w:lastRenderedPageBreak/>
        <w:t xml:space="preserve">la autoridad responsable desarrolló la fórmula de asignación de diputaciones de representación proporcional sin considerar la votación de la diputación migrante, lo cual es incorrecto, puesto que sí fue considerada. </w:t>
      </w:r>
    </w:p>
    <w:p w14:paraId="2297A5D3" w14:textId="77777777" w:rsidR="00F94B48" w:rsidRPr="00F32542" w:rsidRDefault="00F94B48" w:rsidP="00F94B48">
      <w:pPr>
        <w:widowControl w:val="0"/>
        <w:spacing w:after="0" w:line="360" w:lineRule="auto"/>
        <w:jc w:val="both"/>
        <w:rPr>
          <w:rFonts w:ascii="Arial" w:eastAsia="Calibri" w:hAnsi="Arial" w:cs="Arial"/>
          <w:sz w:val="28"/>
          <w:szCs w:val="28"/>
          <w:lang w:val="es-ES"/>
        </w:rPr>
      </w:pPr>
    </w:p>
    <w:p w14:paraId="2EC15BB5" w14:textId="77777777" w:rsidR="00F94B48" w:rsidRPr="00F32542" w:rsidRDefault="00F94B48" w:rsidP="00F94B48">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Lo anterior, como se advierte del apartado C de la consideración 25 del acuerdo impugnado, en el que el </w:t>
      </w:r>
      <w:r w:rsidRPr="00F32542">
        <w:rPr>
          <w:rFonts w:ascii="Arial" w:eastAsia="Calibri" w:hAnsi="Arial" w:cs="Arial"/>
          <w:i/>
          <w:sz w:val="28"/>
          <w:szCs w:val="28"/>
          <w:lang w:val="es-ES"/>
        </w:rPr>
        <w:t>Consejo General</w:t>
      </w:r>
      <w:r w:rsidRPr="00F32542">
        <w:rPr>
          <w:rFonts w:ascii="Arial" w:eastAsia="Calibri" w:hAnsi="Arial" w:cs="Arial"/>
          <w:sz w:val="28"/>
          <w:szCs w:val="28"/>
          <w:lang w:val="es-ES"/>
        </w:rPr>
        <w:t xml:space="preserve"> precisó que, en términos del artículo 4, inciso c), fracción XIV, de los </w:t>
      </w:r>
      <w:r w:rsidRPr="00F32542">
        <w:rPr>
          <w:rFonts w:ascii="Arial" w:eastAsia="Calibri" w:hAnsi="Arial" w:cs="Arial"/>
          <w:i/>
          <w:sz w:val="28"/>
          <w:szCs w:val="28"/>
          <w:lang w:val="es-ES"/>
        </w:rPr>
        <w:t>Lineamientos para la asignación</w:t>
      </w:r>
      <w:r w:rsidRPr="00F32542">
        <w:rPr>
          <w:rFonts w:ascii="Arial" w:eastAsia="Calibri" w:hAnsi="Arial" w:cs="Arial"/>
          <w:sz w:val="28"/>
          <w:szCs w:val="28"/>
          <w:lang w:val="es-ES"/>
        </w:rPr>
        <w:t xml:space="preserve">, la votación total emitida se constituye con la suma de todos los votos depositados en las urnas, por lo que se considerará como votación total la emitida en la Ciudad de México y en el extranjero. </w:t>
      </w:r>
    </w:p>
    <w:p w14:paraId="4AE7F03E" w14:textId="77777777" w:rsidR="00F94B48" w:rsidRPr="00F32542" w:rsidRDefault="00F94B48" w:rsidP="00F94B48">
      <w:pPr>
        <w:widowControl w:val="0"/>
        <w:spacing w:after="0" w:line="360" w:lineRule="auto"/>
        <w:jc w:val="both"/>
        <w:rPr>
          <w:rFonts w:ascii="Arial" w:eastAsia="Calibri" w:hAnsi="Arial" w:cs="Arial"/>
          <w:sz w:val="28"/>
          <w:szCs w:val="28"/>
          <w:lang w:val="es-ES"/>
        </w:rPr>
      </w:pPr>
    </w:p>
    <w:p w14:paraId="3EF84AEC" w14:textId="77777777" w:rsidR="00F94B48" w:rsidRPr="00F32542" w:rsidRDefault="00F94B48" w:rsidP="00F94B48">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Posteriormente, indicó que, según lo previsto en el artículo 27, fracción V, inciso b), del </w:t>
      </w:r>
      <w:r w:rsidRPr="00F32542">
        <w:rPr>
          <w:rFonts w:ascii="Arial" w:eastAsia="Calibri" w:hAnsi="Arial" w:cs="Arial"/>
          <w:i/>
          <w:sz w:val="28"/>
          <w:szCs w:val="28"/>
          <w:lang w:val="es-ES"/>
        </w:rPr>
        <w:t>Código Electoral</w:t>
      </w:r>
      <w:r w:rsidRPr="00F32542">
        <w:rPr>
          <w:rFonts w:ascii="Arial" w:eastAsia="Calibri" w:hAnsi="Arial" w:cs="Arial"/>
          <w:sz w:val="28"/>
          <w:szCs w:val="28"/>
          <w:lang w:val="es-ES"/>
        </w:rPr>
        <w:t xml:space="preserve">, en relación con el artículo 4, inciso c), fracción XIV, de los </w:t>
      </w:r>
      <w:r w:rsidRPr="00F32542">
        <w:rPr>
          <w:rFonts w:ascii="Arial" w:eastAsia="Calibri" w:hAnsi="Arial" w:cs="Arial"/>
          <w:i/>
          <w:sz w:val="28"/>
          <w:szCs w:val="28"/>
          <w:lang w:val="es-ES"/>
        </w:rPr>
        <w:t>Lineamientos para la asignación</w:t>
      </w:r>
      <w:r w:rsidRPr="00F32542">
        <w:rPr>
          <w:rFonts w:ascii="Arial" w:eastAsia="Calibri" w:hAnsi="Arial" w:cs="Arial"/>
          <w:sz w:val="28"/>
          <w:szCs w:val="28"/>
          <w:lang w:val="es-ES"/>
        </w:rPr>
        <w:t xml:space="preserve">, a la votación total emitida se le deducirán los votos nulos y los votos para candidaturas no registradas, siendo que el resultado constituye la votación válida emitida. </w:t>
      </w:r>
    </w:p>
    <w:p w14:paraId="565F15C0" w14:textId="77777777" w:rsidR="00F94B48" w:rsidRPr="00F32542" w:rsidRDefault="00F94B48" w:rsidP="00F94B48">
      <w:pPr>
        <w:widowControl w:val="0"/>
        <w:spacing w:after="0" w:line="360" w:lineRule="auto"/>
        <w:jc w:val="both"/>
        <w:rPr>
          <w:rFonts w:ascii="Arial" w:eastAsia="Calibri" w:hAnsi="Arial" w:cs="Arial"/>
          <w:sz w:val="28"/>
          <w:szCs w:val="28"/>
          <w:lang w:val="es-ES"/>
        </w:rPr>
      </w:pPr>
    </w:p>
    <w:p w14:paraId="18D254AC" w14:textId="77777777" w:rsidR="00F94B48" w:rsidRPr="00F32542" w:rsidRDefault="00F94B48" w:rsidP="00F94B48">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Por ende, el argumento del actor se sustenta en una premisa falsa, ya que la autoridad responsable sí consideró la votación válida emitida para la elección de la diputación migrante al llevar a cabo la asignación de diputaciones de representación proporcional. </w:t>
      </w:r>
    </w:p>
    <w:p w14:paraId="58070FDE" w14:textId="77777777" w:rsidR="00F94B48" w:rsidRPr="00F32542" w:rsidRDefault="00F94B48" w:rsidP="00F94B48">
      <w:pPr>
        <w:widowControl w:val="0"/>
        <w:spacing w:after="0" w:line="360" w:lineRule="auto"/>
        <w:jc w:val="both"/>
        <w:rPr>
          <w:rFonts w:ascii="Arial" w:eastAsia="Calibri" w:hAnsi="Arial" w:cs="Arial"/>
          <w:sz w:val="28"/>
          <w:szCs w:val="28"/>
          <w:lang w:val="es-ES"/>
        </w:rPr>
      </w:pPr>
    </w:p>
    <w:p w14:paraId="21F89922" w14:textId="77777777" w:rsidR="00F94B48" w:rsidRPr="00F32542" w:rsidRDefault="00F94B48" w:rsidP="00F94B48">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Lo cual es acorde con lo que resolvió este Tribunal Electoral en la sentencia del expediente </w:t>
      </w:r>
      <w:r w:rsidRPr="00F32542">
        <w:rPr>
          <w:rFonts w:ascii="Arial" w:eastAsia="Calibri" w:hAnsi="Arial" w:cs="Arial"/>
          <w:b/>
          <w:bCs/>
          <w:sz w:val="28"/>
          <w:szCs w:val="28"/>
          <w:lang w:val="es-ES"/>
        </w:rPr>
        <w:t>TECDMX-JEL-416/2020 y acumulados</w:t>
      </w:r>
      <w:r w:rsidRPr="00F32542">
        <w:rPr>
          <w:rFonts w:ascii="Arial" w:eastAsia="Calibri" w:hAnsi="Arial" w:cs="Arial"/>
          <w:sz w:val="28"/>
          <w:szCs w:val="28"/>
          <w:lang w:val="es-ES"/>
        </w:rPr>
        <w:t xml:space="preserve">, en el sentido de que la disposición contenida en el artículo 4 de los </w:t>
      </w:r>
      <w:r w:rsidRPr="00F32542">
        <w:rPr>
          <w:rFonts w:ascii="Arial" w:eastAsia="Calibri" w:hAnsi="Arial" w:cs="Arial"/>
          <w:i/>
          <w:sz w:val="28"/>
          <w:szCs w:val="28"/>
          <w:lang w:val="es-ES"/>
        </w:rPr>
        <w:t>Lineamientos para la asignación</w:t>
      </w:r>
      <w:r w:rsidRPr="00F32542">
        <w:rPr>
          <w:rFonts w:ascii="Arial" w:eastAsia="Calibri" w:hAnsi="Arial" w:cs="Arial"/>
          <w:sz w:val="28"/>
          <w:szCs w:val="28"/>
          <w:lang w:val="es-ES"/>
        </w:rPr>
        <w:t xml:space="preserve">, significa que, para efectos de llevar </w:t>
      </w:r>
      <w:r w:rsidRPr="00F32542">
        <w:rPr>
          <w:rFonts w:ascii="Arial" w:eastAsia="Calibri" w:hAnsi="Arial" w:cs="Arial"/>
          <w:sz w:val="28"/>
          <w:szCs w:val="28"/>
          <w:lang w:val="es-ES"/>
        </w:rPr>
        <w:lastRenderedPageBreak/>
        <w:t xml:space="preserve">a cabo la distribución de las curules por el principio de representación proporcional, la autoridad electoral estaba obligada a tomar en consideración el porcentaje de votación que se emitiera para elegir a la diputación migrante. </w:t>
      </w:r>
    </w:p>
    <w:p w14:paraId="59176CE4" w14:textId="77777777" w:rsidR="00F94B48" w:rsidRPr="00F32542" w:rsidRDefault="00F94B48" w:rsidP="00F94B48">
      <w:pPr>
        <w:widowControl w:val="0"/>
        <w:spacing w:after="0" w:line="360" w:lineRule="auto"/>
        <w:jc w:val="both"/>
        <w:rPr>
          <w:rFonts w:ascii="Arial" w:eastAsia="Calibri" w:hAnsi="Arial" w:cs="Arial"/>
          <w:sz w:val="28"/>
          <w:szCs w:val="28"/>
          <w:lang w:val="es-ES"/>
        </w:rPr>
      </w:pPr>
    </w:p>
    <w:p w14:paraId="72B941DD" w14:textId="77777777" w:rsidR="00F94B48" w:rsidRPr="00F32542" w:rsidRDefault="00F94B48" w:rsidP="00F94B48">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Al respecto, se consideró que esa regla era conforme a derecho, puesto que, en un sistema electoral como el nuestro, es necesario que cada partido demuestre el genuino valor porcentual de su fuerza electoral. </w:t>
      </w:r>
    </w:p>
    <w:p w14:paraId="4820AFB9" w14:textId="77777777" w:rsidR="00F94B48" w:rsidRPr="00F32542" w:rsidRDefault="00F94B48" w:rsidP="00F94B48">
      <w:pPr>
        <w:widowControl w:val="0"/>
        <w:spacing w:after="0" w:line="360" w:lineRule="auto"/>
        <w:jc w:val="both"/>
        <w:rPr>
          <w:rFonts w:ascii="Arial" w:eastAsia="Calibri" w:hAnsi="Arial" w:cs="Arial"/>
          <w:sz w:val="28"/>
          <w:szCs w:val="28"/>
          <w:lang w:val="es-ES"/>
        </w:rPr>
      </w:pPr>
    </w:p>
    <w:p w14:paraId="2902308A" w14:textId="77777777" w:rsidR="00F94B48" w:rsidRPr="00F32542" w:rsidRDefault="00F94B48" w:rsidP="00F94B48">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Por ende, se dijo: </w:t>
      </w:r>
    </w:p>
    <w:p w14:paraId="540CD9ED" w14:textId="77777777" w:rsidR="00F94B48" w:rsidRPr="00F32542" w:rsidRDefault="00F94B48" w:rsidP="00F94B48">
      <w:pPr>
        <w:widowControl w:val="0"/>
        <w:spacing w:after="0" w:line="360" w:lineRule="auto"/>
        <w:jc w:val="both"/>
        <w:rPr>
          <w:rFonts w:ascii="Arial" w:eastAsia="Calibri" w:hAnsi="Arial" w:cs="Arial"/>
          <w:sz w:val="28"/>
          <w:szCs w:val="28"/>
          <w:lang w:val="es-ES"/>
        </w:rPr>
      </w:pPr>
    </w:p>
    <w:p w14:paraId="0C1130FE" w14:textId="77777777" w:rsidR="00F94B48" w:rsidRPr="00F32542" w:rsidRDefault="00F94B48" w:rsidP="00F94B48">
      <w:pPr>
        <w:widowControl w:val="0"/>
        <w:spacing w:after="0" w:line="240" w:lineRule="auto"/>
        <w:ind w:left="567" w:right="567"/>
        <w:jc w:val="both"/>
        <w:rPr>
          <w:rFonts w:ascii="Arial" w:eastAsia="Calibri" w:hAnsi="Arial" w:cs="Times New Roman"/>
          <w:sz w:val="24"/>
          <w:szCs w:val="24"/>
        </w:rPr>
      </w:pPr>
      <w:r w:rsidRPr="00F32542">
        <w:rPr>
          <w:rFonts w:ascii="Arial" w:eastAsia="Calibri" w:hAnsi="Arial" w:cs="Times New Roman"/>
          <w:sz w:val="24"/>
          <w:szCs w:val="24"/>
        </w:rPr>
        <w:t xml:space="preserve">“De modo tal, que mediante las operaciones aritméticas respectivas se conozca con precisión en qué proporción obtuvo el respaldo de la voluntad popular expresada en las urnas, con el objeto de que pueda llevar al congreso local, en su caso, el mismo grado de representatividad ciudadana que genuinamente le corresponde. </w:t>
      </w:r>
    </w:p>
    <w:p w14:paraId="0A91363A" w14:textId="77777777" w:rsidR="00F94B48" w:rsidRPr="00F32542" w:rsidRDefault="00F94B48" w:rsidP="00F94B48">
      <w:pPr>
        <w:widowControl w:val="0"/>
        <w:spacing w:after="0" w:line="240" w:lineRule="auto"/>
        <w:ind w:left="567" w:right="567"/>
        <w:jc w:val="both"/>
        <w:rPr>
          <w:rFonts w:ascii="Arial" w:eastAsia="Calibri" w:hAnsi="Arial" w:cs="Times New Roman"/>
          <w:sz w:val="24"/>
          <w:szCs w:val="24"/>
        </w:rPr>
      </w:pPr>
    </w:p>
    <w:p w14:paraId="7FD9FA27" w14:textId="77777777" w:rsidR="00F94B48" w:rsidRPr="00F32542" w:rsidRDefault="00F94B48" w:rsidP="00F94B48">
      <w:pPr>
        <w:widowControl w:val="0"/>
        <w:spacing w:after="0" w:line="240" w:lineRule="auto"/>
        <w:ind w:left="567" w:right="567"/>
        <w:jc w:val="both"/>
        <w:rPr>
          <w:rFonts w:ascii="Arial" w:eastAsia="Calibri" w:hAnsi="Arial" w:cs="Times New Roman"/>
          <w:sz w:val="24"/>
          <w:szCs w:val="24"/>
        </w:rPr>
      </w:pPr>
      <w:r w:rsidRPr="00F32542">
        <w:rPr>
          <w:rFonts w:ascii="Arial" w:eastAsia="Calibri" w:hAnsi="Arial" w:cs="Times New Roman"/>
          <w:sz w:val="24"/>
          <w:szCs w:val="24"/>
        </w:rPr>
        <w:t xml:space="preserve">En ese sentido, determinar que, para la aplicación de la fórmula electoral con el fin de llevar a cabo la asignación de las diputaciones por el principio de representación proporcional, es necesario no tomar en consideración el porcentaje de votación emitido en el extranjero, distorsionaría en gran medida el sistema de representación proporcional. </w:t>
      </w:r>
    </w:p>
    <w:p w14:paraId="685E9503" w14:textId="77777777" w:rsidR="00F94B48" w:rsidRPr="00F32542" w:rsidRDefault="00F94B48" w:rsidP="00F94B48">
      <w:pPr>
        <w:widowControl w:val="0"/>
        <w:spacing w:after="0" w:line="240" w:lineRule="auto"/>
        <w:ind w:left="567" w:right="567"/>
        <w:jc w:val="both"/>
        <w:rPr>
          <w:rFonts w:ascii="Arial" w:eastAsia="Calibri" w:hAnsi="Arial" w:cs="Times New Roman"/>
          <w:sz w:val="24"/>
          <w:szCs w:val="24"/>
        </w:rPr>
      </w:pPr>
    </w:p>
    <w:p w14:paraId="0F879532" w14:textId="77777777" w:rsidR="00F94B48" w:rsidRPr="00F32542" w:rsidRDefault="00F94B48" w:rsidP="00F94B48">
      <w:pPr>
        <w:widowControl w:val="0"/>
        <w:spacing w:after="0" w:line="240" w:lineRule="auto"/>
        <w:ind w:left="567" w:right="567"/>
        <w:jc w:val="both"/>
        <w:rPr>
          <w:rFonts w:ascii="Arial" w:eastAsia="Calibri" w:hAnsi="Arial" w:cs="Times New Roman"/>
          <w:sz w:val="24"/>
          <w:szCs w:val="24"/>
        </w:rPr>
      </w:pPr>
      <w:r w:rsidRPr="00F32542">
        <w:rPr>
          <w:rFonts w:ascii="Arial" w:eastAsia="Calibri" w:hAnsi="Arial" w:cs="Times New Roman"/>
          <w:sz w:val="24"/>
          <w:szCs w:val="24"/>
        </w:rPr>
        <w:t>Lo anterior, pues se omitiría tomar en consideración un porcentaje importante de votación, que incluso, representa una curul en el Congreso Local.</w:t>
      </w:r>
    </w:p>
    <w:p w14:paraId="5F73515D" w14:textId="77777777" w:rsidR="00F94B48" w:rsidRPr="00F32542" w:rsidRDefault="00F94B48" w:rsidP="00F94B48">
      <w:pPr>
        <w:widowControl w:val="0"/>
        <w:spacing w:after="0" w:line="240" w:lineRule="auto"/>
        <w:ind w:left="567" w:right="567"/>
        <w:jc w:val="both"/>
        <w:rPr>
          <w:rFonts w:ascii="Arial" w:eastAsia="Calibri" w:hAnsi="Arial" w:cs="Times New Roman"/>
          <w:sz w:val="24"/>
          <w:szCs w:val="24"/>
        </w:rPr>
      </w:pPr>
    </w:p>
    <w:p w14:paraId="66055172" w14:textId="77777777" w:rsidR="00F94B48" w:rsidRPr="00F32542" w:rsidRDefault="00F94B48" w:rsidP="00F94B48">
      <w:pPr>
        <w:widowControl w:val="0"/>
        <w:spacing w:after="0" w:line="240" w:lineRule="auto"/>
        <w:ind w:left="567" w:right="567"/>
        <w:jc w:val="both"/>
        <w:rPr>
          <w:rFonts w:ascii="Arial" w:eastAsia="Calibri" w:hAnsi="Arial" w:cs="Times New Roman"/>
          <w:sz w:val="24"/>
          <w:szCs w:val="24"/>
        </w:rPr>
      </w:pPr>
      <w:r w:rsidRPr="00F32542">
        <w:rPr>
          <w:rFonts w:ascii="Arial" w:eastAsia="Calibri" w:hAnsi="Arial" w:cs="Times New Roman"/>
          <w:sz w:val="24"/>
          <w:szCs w:val="24"/>
        </w:rPr>
        <w:t xml:space="preserve"> Por ende, es que en el caso se insista que para fijar de manera completa los límites de tolerancia en relación con la representatividad de los partidos políticos, es necesario que se tomen en cuenta todos los escaños que integran el Congreso, incluyendo el de la Diputación Migrante, pues sólo de esa manera se llegaría a una conclusión veraz y completa de la representatividad con que cuenta cada partido político, en relación con el total de las diputaciones que integran el Congreso Local. </w:t>
      </w:r>
    </w:p>
    <w:p w14:paraId="75127B7F" w14:textId="77777777" w:rsidR="00F94B48" w:rsidRPr="00F32542" w:rsidRDefault="00F94B48" w:rsidP="00F94B48">
      <w:pPr>
        <w:widowControl w:val="0"/>
        <w:spacing w:after="0" w:line="240" w:lineRule="auto"/>
        <w:ind w:left="567" w:right="567"/>
        <w:jc w:val="both"/>
        <w:rPr>
          <w:rFonts w:ascii="Arial" w:eastAsia="Calibri" w:hAnsi="Arial" w:cs="Times New Roman"/>
          <w:sz w:val="24"/>
          <w:szCs w:val="24"/>
        </w:rPr>
      </w:pPr>
    </w:p>
    <w:p w14:paraId="6118A55B" w14:textId="77777777" w:rsidR="00F94B48" w:rsidRPr="00F32542" w:rsidRDefault="00F94B48" w:rsidP="00F94B48">
      <w:pPr>
        <w:widowControl w:val="0"/>
        <w:spacing w:after="0" w:line="240" w:lineRule="auto"/>
        <w:ind w:left="567" w:right="567"/>
        <w:jc w:val="both"/>
        <w:rPr>
          <w:rFonts w:ascii="Arial" w:eastAsia="Calibri" w:hAnsi="Arial" w:cs="Arial"/>
          <w:sz w:val="24"/>
          <w:szCs w:val="24"/>
          <w:lang w:val="es-ES"/>
        </w:rPr>
      </w:pPr>
      <w:r w:rsidRPr="00F32542">
        <w:rPr>
          <w:rFonts w:ascii="Arial" w:eastAsia="Calibri" w:hAnsi="Arial" w:cs="Times New Roman"/>
          <w:sz w:val="24"/>
          <w:szCs w:val="24"/>
        </w:rPr>
        <w:t xml:space="preserve">Considerar lo contrario implicaría un ejercicio sesgado de la representatividad de cada partido político que integra el Congreso local, porque no habría una correcta relación entre el número de curules en el órgano legislativo y los votos obtenidos por cada partido </w:t>
      </w:r>
      <w:r w:rsidRPr="00F32542">
        <w:rPr>
          <w:rFonts w:ascii="Arial" w:eastAsia="Calibri" w:hAnsi="Arial" w:cs="Times New Roman"/>
          <w:sz w:val="24"/>
          <w:szCs w:val="24"/>
        </w:rPr>
        <w:lastRenderedPageBreak/>
        <w:t>político que cuenta con representación en dicho órgano”.</w:t>
      </w:r>
    </w:p>
    <w:p w14:paraId="098C7565" w14:textId="77777777" w:rsidR="00F94B48" w:rsidRPr="00F32542" w:rsidRDefault="00F94B48" w:rsidP="00F94B48">
      <w:pPr>
        <w:widowControl w:val="0"/>
        <w:spacing w:after="0" w:line="360" w:lineRule="auto"/>
        <w:jc w:val="both"/>
        <w:rPr>
          <w:rFonts w:ascii="Arial" w:eastAsia="Calibri" w:hAnsi="Arial" w:cs="Times New Roman"/>
          <w:sz w:val="28"/>
          <w:szCs w:val="28"/>
        </w:rPr>
      </w:pPr>
    </w:p>
    <w:p w14:paraId="6C80554B" w14:textId="77777777" w:rsidR="00F94B48" w:rsidRPr="00F32542" w:rsidRDefault="00F94B48" w:rsidP="00F94B48">
      <w:pPr>
        <w:widowControl w:val="0"/>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De manera que la pretensión de la parte actora se sustenta en una falsa apreciación, </w:t>
      </w:r>
      <w:proofErr w:type="gramStart"/>
      <w:r w:rsidRPr="00F32542">
        <w:rPr>
          <w:rFonts w:ascii="Arial" w:eastAsia="Calibri" w:hAnsi="Arial" w:cs="Times New Roman"/>
          <w:sz w:val="28"/>
          <w:szCs w:val="28"/>
        </w:rPr>
        <w:t>en razón de</w:t>
      </w:r>
      <w:proofErr w:type="gramEnd"/>
      <w:r w:rsidRPr="00F32542">
        <w:rPr>
          <w:rFonts w:ascii="Arial" w:eastAsia="Calibri" w:hAnsi="Arial" w:cs="Times New Roman"/>
          <w:sz w:val="28"/>
          <w:szCs w:val="28"/>
        </w:rPr>
        <w:t xml:space="preserve"> que la votación de la diputación migrante sí fue considerada en la asignación de representación proporcional. </w:t>
      </w:r>
    </w:p>
    <w:p w14:paraId="12550187" w14:textId="77777777" w:rsidR="00F94B48" w:rsidRPr="00F32542" w:rsidRDefault="00F94B48" w:rsidP="00F94B48">
      <w:pPr>
        <w:widowControl w:val="0"/>
        <w:spacing w:after="0" w:line="360" w:lineRule="auto"/>
        <w:jc w:val="both"/>
        <w:rPr>
          <w:rFonts w:ascii="Arial" w:eastAsia="Calibri" w:hAnsi="Arial" w:cs="Times New Roman"/>
          <w:sz w:val="28"/>
          <w:szCs w:val="28"/>
        </w:rPr>
      </w:pPr>
    </w:p>
    <w:p w14:paraId="62286571" w14:textId="77777777" w:rsidR="00F94B48" w:rsidRPr="00F32542" w:rsidRDefault="00F94B48" w:rsidP="00F94B48">
      <w:pPr>
        <w:widowControl w:val="0"/>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Por otra parte, la parte demandante también incurre en una premisa errónea, cuando plantea que la asignación debió realizarse respecto de treinta y tres curules.</w:t>
      </w:r>
    </w:p>
    <w:p w14:paraId="42C8923E" w14:textId="77777777" w:rsidR="00F94B48" w:rsidRPr="00F32542" w:rsidRDefault="00F94B48" w:rsidP="00F94B48">
      <w:pPr>
        <w:widowControl w:val="0"/>
        <w:spacing w:after="0" w:line="360" w:lineRule="auto"/>
        <w:jc w:val="both"/>
        <w:rPr>
          <w:rFonts w:ascii="Arial" w:eastAsia="Calibri" w:hAnsi="Arial" w:cs="Times New Roman"/>
          <w:sz w:val="28"/>
          <w:szCs w:val="28"/>
        </w:rPr>
      </w:pPr>
    </w:p>
    <w:p w14:paraId="239F2779" w14:textId="77777777" w:rsidR="00F94B48" w:rsidRPr="00F32542" w:rsidRDefault="00F94B48" w:rsidP="00F94B48">
      <w:pPr>
        <w:widowControl w:val="0"/>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Lo anterior, porque ciertamente se realizó en esos términos, es decir, el </w:t>
      </w:r>
      <w:r w:rsidRPr="00F32542">
        <w:rPr>
          <w:rFonts w:ascii="Arial" w:eastAsia="Calibri" w:hAnsi="Arial" w:cs="Times New Roman"/>
          <w:i/>
          <w:sz w:val="28"/>
          <w:szCs w:val="28"/>
        </w:rPr>
        <w:t>Consejo General</w:t>
      </w:r>
      <w:r w:rsidRPr="00F32542">
        <w:rPr>
          <w:rFonts w:ascii="Arial" w:eastAsia="Calibri" w:hAnsi="Arial" w:cs="Times New Roman"/>
          <w:sz w:val="28"/>
          <w:szCs w:val="28"/>
        </w:rPr>
        <w:t xml:space="preserve"> asignó treinta y tres curules de representación proporcional; ya que, por una parte, asignó la diputación migrante </w:t>
      </w:r>
      <w:r w:rsidR="00C97D23" w:rsidRPr="00F32542">
        <w:rPr>
          <w:rFonts w:ascii="Arial" w:eastAsia="Calibri" w:hAnsi="Arial" w:cs="Times New Roman"/>
          <w:sz w:val="28"/>
          <w:szCs w:val="28"/>
        </w:rPr>
        <w:t>—a</w:t>
      </w:r>
      <w:r w:rsidRPr="00F32542">
        <w:rPr>
          <w:rFonts w:ascii="Arial" w:eastAsia="Calibri" w:hAnsi="Arial" w:cs="Times New Roman"/>
          <w:sz w:val="28"/>
          <w:szCs w:val="28"/>
        </w:rPr>
        <w:t xml:space="preserve">cuerdo </w:t>
      </w:r>
      <w:r w:rsidRPr="00F32542">
        <w:rPr>
          <w:rFonts w:ascii="Arial" w:eastAsia="Calibri" w:hAnsi="Arial" w:cs="Times New Roman"/>
          <w:b/>
          <w:bCs/>
          <w:sz w:val="28"/>
          <w:szCs w:val="28"/>
        </w:rPr>
        <w:t>IECM-ACU-CG-32</w:t>
      </w:r>
      <w:r w:rsidR="00C97D23" w:rsidRPr="00F32542">
        <w:rPr>
          <w:rFonts w:ascii="Arial" w:eastAsia="Calibri" w:hAnsi="Arial" w:cs="Times New Roman"/>
          <w:b/>
          <w:bCs/>
          <w:sz w:val="28"/>
          <w:szCs w:val="28"/>
        </w:rPr>
        <w:t>3</w:t>
      </w:r>
      <w:r w:rsidRPr="00F32542">
        <w:rPr>
          <w:rFonts w:ascii="Arial" w:eastAsia="Calibri" w:hAnsi="Arial" w:cs="Times New Roman"/>
          <w:b/>
          <w:bCs/>
          <w:sz w:val="28"/>
          <w:szCs w:val="28"/>
        </w:rPr>
        <w:t>/2021</w:t>
      </w:r>
      <w:r w:rsidR="00C97D23" w:rsidRPr="00F32542">
        <w:rPr>
          <w:rFonts w:ascii="Arial" w:eastAsia="Calibri" w:hAnsi="Arial" w:cs="Times New Roman"/>
          <w:sz w:val="28"/>
          <w:szCs w:val="28"/>
        </w:rPr>
        <w:t>—</w:t>
      </w:r>
      <w:r w:rsidRPr="00F32542">
        <w:rPr>
          <w:rFonts w:ascii="Arial" w:eastAsia="Calibri" w:hAnsi="Arial" w:cs="Times New Roman"/>
          <w:sz w:val="28"/>
          <w:szCs w:val="28"/>
        </w:rPr>
        <w:t xml:space="preserve"> y, por otra parte, repartió treinta y dos curules </w:t>
      </w:r>
      <w:r w:rsidR="00C97D23" w:rsidRPr="00F32542">
        <w:rPr>
          <w:rFonts w:ascii="Arial" w:eastAsia="Calibri" w:hAnsi="Arial" w:cs="Times New Roman"/>
          <w:sz w:val="28"/>
          <w:szCs w:val="28"/>
        </w:rPr>
        <w:t>—</w:t>
      </w:r>
      <w:r w:rsidR="00C97D23" w:rsidRPr="00F32542">
        <w:rPr>
          <w:rFonts w:ascii="Arial" w:eastAsia="Calibri" w:hAnsi="Arial" w:cs="Times New Roman"/>
          <w:i/>
          <w:iCs/>
          <w:sz w:val="28"/>
          <w:szCs w:val="28"/>
        </w:rPr>
        <w:t>a</w:t>
      </w:r>
      <w:r w:rsidRPr="00F32542">
        <w:rPr>
          <w:rFonts w:ascii="Arial" w:eastAsia="Calibri" w:hAnsi="Arial" w:cs="Times New Roman"/>
          <w:i/>
          <w:iCs/>
          <w:sz w:val="28"/>
          <w:szCs w:val="28"/>
        </w:rPr>
        <w:t>cuerdo</w:t>
      </w:r>
      <w:r w:rsidR="00C97D23" w:rsidRPr="00F32542">
        <w:rPr>
          <w:rFonts w:ascii="Arial" w:eastAsia="Calibri" w:hAnsi="Arial" w:cs="Times New Roman"/>
          <w:i/>
          <w:iCs/>
          <w:sz w:val="28"/>
          <w:szCs w:val="28"/>
        </w:rPr>
        <w:t xml:space="preserve"> impugnado</w:t>
      </w:r>
      <w:r w:rsidR="00C97D23" w:rsidRPr="00F32542">
        <w:rPr>
          <w:rFonts w:ascii="Arial" w:eastAsia="Calibri" w:hAnsi="Arial" w:cs="Times New Roman"/>
          <w:sz w:val="28"/>
          <w:szCs w:val="28"/>
        </w:rPr>
        <w:t>—</w:t>
      </w:r>
      <w:r w:rsidRPr="00F32542">
        <w:rPr>
          <w:rFonts w:ascii="Arial" w:eastAsia="Calibri" w:hAnsi="Arial" w:cs="Times New Roman"/>
          <w:sz w:val="28"/>
          <w:szCs w:val="28"/>
        </w:rPr>
        <w:t xml:space="preserve"> mediante el desarrollo de la fórmula prevista en el </w:t>
      </w:r>
      <w:r w:rsidRPr="00F32542">
        <w:rPr>
          <w:rFonts w:ascii="Arial" w:eastAsia="Calibri" w:hAnsi="Arial" w:cs="Times New Roman"/>
          <w:i/>
          <w:sz w:val="28"/>
          <w:szCs w:val="28"/>
        </w:rPr>
        <w:t>Código Electoral</w:t>
      </w:r>
      <w:r w:rsidRPr="00F32542">
        <w:rPr>
          <w:rFonts w:ascii="Arial" w:eastAsia="Calibri" w:hAnsi="Arial" w:cs="Times New Roman"/>
          <w:sz w:val="28"/>
          <w:szCs w:val="28"/>
        </w:rPr>
        <w:t xml:space="preserve"> y los </w:t>
      </w:r>
      <w:r w:rsidRPr="00F32542">
        <w:rPr>
          <w:rFonts w:ascii="Arial" w:eastAsia="Calibri" w:hAnsi="Arial" w:cs="Times New Roman"/>
          <w:i/>
          <w:sz w:val="28"/>
          <w:szCs w:val="28"/>
        </w:rPr>
        <w:t>Lineamientos para la asignación</w:t>
      </w:r>
      <w:r w:rsidRPr="00F32542">
        <w:rPr>
          <w:rFonts w:ascii="Arial" w:eastAsia="Calibri" w:hAnsi="Arial" w:cs="Times New Roman"/>
          <w:sz w:val="28"/>
          <w:szCs w:val="28"/>
        </w:rPr>
        <w:t xml:space="preserve">. </w:t>
      </w:r>
    </w:p>
    <w:p w14:paraId="2BBA035B" w14:textId="77777777" w:rsidR="00F94B48" w:rsidRPr="00F32542" w:rsidRDefault="00F94B48" w:rsidP="00F94B48">
      <w:pPr>
        <w:widowControl w:val="0"/>
        <w:spacing w:after="0" w:line="360" w:lineRule="auto"/>
        <w:jc w:val="both"/>
        <w:rPr>
          <w:rFonts w:ascii="Arial" w:eastAsia="Calibri" w:hAnsi="Arial" w:cs="Times New Roman"/>
          <w:sz w:val="28"/>
          <w:szCs w:val="28"/>
        </w:rPr>
      </w:pPr>
    </w:p>
    <w:p w14:paraId="1A1F8EF4" w14:textId="77777777" w:rsidR="00F94B48" w:rsidRPr="00F32542" w:rsidRDefault="00F94B48" w:rsidP="00F94B48">
      <w:pPr>
        <w:widowControl w:val="0"/>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Lo anterior, como lo estableció este </w:t>
      </w:r>
      <w:r w:rsidRPr="00F32542">
        <w:rPr>
          <w:rFonts w:ascii="Arial" w:eastAsia="Calibri" w:hAnsi="Arial" w:cs="Times New Roman"/>
          <w:i/>
          <w:sz w:val="28"/>
          <w:szCs w:val="28"/>
        </w:rPr>
        <w:t>Órgano Jurisdiccional</w:t>
      </w:r>
      <w:r w:rsidRPr="00F32542">
        <w:rPr>
          <w:rFonts w:ascii="Arial" w:eastAsia="Calibri" w:hAnsi="Arial" w:cs="Times New Roman"/>
          <w:sz w:val="28"/>
          <w:szCs w:val="28"/>
        </w:rPr>
        <w:t xml:space="preserve"> en la sentencia del expediente </w:t>
      </w:r>
      <w:r w:rsidRPr="00F32542">
        <w:rPr>
          <w:rFonts w:ascii="Arial" w:eastAsia="Calibri" w:hAnsi="Arial" w:cs="Times New Roman"/>
          <w:b/>
          <w:bCs/>
          <w:sz w:val="28"/>
          <w:szCs w:val="28"/>
        </w:rPr>
        <w:t>TECDMX-JEL-416/2020 y acumulado</w:t>
      </w:r>
      <w:r w:rsidRPr="00F32542">
        <w:rPr>
          <w:rFonts w:ascii="Arial" w:eastAsia="Calibri" w:hAnsi="Arial" w:cs="Times New Roman"/>
          <w:b/>
          <w:sz w:val="28"/>
          <w:szCs w:val="28"/>
        </w:rPr>
        <w:t>s</w:t>
      </w:r>
      <w:r w:rsidRPr="00F32542">
        <w:rPr>
          <w:rFonts w:ascii="Arial" w:eastAsia="Calibri" w:hAnsi="Arial" w:cs="Times New Roman"/>
          <w:sz w:val="28"/>
          <w:szCs w:val="28"/>
        </w:rPr>
        <w:t xml:space="preserve">, en los términos siguientes: </w:t>
      </w:r>
    </w:p>
    <w:p w14:paraId="47BBF8C3" w14:textId="77777777" w:rsidR="00F94B48" w:rsidRPr="00F32542" w:rsidRDefault="00F94B48" w:rsidP="00F94B48">
      <w:pPr>
        <w:widowControl w:val="0"/>
        <w:spacing w:after="0" w:line="360" w:lineRule="auto"/>
        <w:jc w:val="both"/>
        <w:rPr>
          <w:rFonts w:ascii="Arial" w:eastAsia="Calibri" w:hAnsi="Arial" w:cs="Times New Roman"/>
          <w:sz w:val="28"/>
          <w:szCs w:val="28"/>
        </w:rPr>
      </w:pPr>
    </w:p>
    <w:p w14:paraId="11432DAE" w14:textId="77777777" w:rsidR="00F94B48" w:rsidRPr="00F32542" w:rsidRDefault="00F94B48" w:rsidP="00F94B48">
      <w:pPr>
        <w:widowControl w:val="0"/>
        <w:spacing w:after="0" w:line="240" w:lineRule="auto"/>
        <w:ind w:left="567" w:right="567"/>
        <w:jc w:val="both"/>
        <w:rPr>
          <w:rFonts w:ascii="Arial" w:eastAsia="Calibri" w:hAnsi="Arial" w:cs="Times New Roman"/>
          <w:sz w:val="24"/>
          <w:szCs w:val="24"/>
        </w:rPr>
      </w:pPr>
      <w:r w:rsidRPr="00F32542">
        <w:rPr>
          <w:rFonts w:ascii="Arial" w:eastAsia="Calibri" w:hAnsi="Arial" w:cs="Times New Roman"/>
          <w:sz w:val="24"/>
          <w:szCs w:val="24"/>
        </w:rPr>
        <w:t xml:space="preserve">“…es un hecho no controvertido que, derivado de los diversos análisis llevados a cabo por la autoridad electoral, con el fin de llevar a cabo la implementación de la figura de la Diputación Migrante, se determinó que su elección se llevaría a cabo por el principio de representación proporcional y, no, por el de mayoría relativa, tal como se encuentra previsto en la legislación local. </w:t>
      </w:r>
    </w:p>
    <w:p w14:paraId="593C21B5" w14:textId="77777777" w:rsidR="00F94B48" w:rsidRPr="00F32542" w:rsidRDefault="00F94B48" w:rsidP="00F94B48">
      <w:pPr>
        <w:widowControl w:val="0"/>
        <w:spacing w:after="0" w:line="240" w:lineRule="auto"/>
        <w:ind w:left="567" w:right="567"/>
        <w:jc w:val="both"/>
        <w:rPr>
          <w:rFonts w:ascii="Arial" w:eastAsia="Calibri" w:hAnsi="Arial" w:cs="Times New Roman"/>
          <w:sz w:val="24"/>
          <w:szCs w:val="24"/>
        </w:rPr>
      </w:pPr>
    </w:p>
    <w:p w14:paraId="72E6111D" w14:textId="77777777" w:rsidR="00F94B48" w:rsidRPr="00F32542" w:rsidRDefault="00F94B48" w:rsidP="00F94B48">
      <w:pPr>
        <w:widowControl w:val="0"/>
        <w:spacing w:after="0" w:line="240" w:lineRule="auto"/>
        <w:ind w:left="567" w:right="567"/>
        <w:jc w:val="both"/>
        <w:rPr>
          <w:rFonts w:ascii="Arial" w:eastAsia="Calibri" w:hAnsi="Arial" w:cs="Times New Roman"/>
          <w:sz w:val="24"/>
          <w:szCs w:val="24"/>
        </w:rPr>
      </w:pPr>
      <w:r w:rsidRPr="00F32542">
        <w:rPr>
          <w:rFonts w:ascii="Arial" w:eastAsia="Calibri" w:hAnsi="Arial" w:cs="Times New Roman"/>
          <w:sz w:val="24"/>
          <w:szCs w:val="24"/>
        </w:rPr>
        <w:t xml:space="preserve">Sin embargo, contrario a lo señalado por la parte actora, dicha determinación de ningún modo reducirá el número de curules que por dicho principio serán asignadas en favor de los partidos políticos. </w:t>
      </w:r>
    </w:p>
    <w:p w14:paraId="7F2B891B" w14:textId="77777777" w:rsidR="00F94B48" w:rsidRPr="00F32542" w:rsidRDefault="00F94B48" w:rsidP="00F94B48">
      <w:pPr>
        <w:widowControl w:val="0"/>
        <w:spacing w:after="0" w:line="240" w:lineRule="auto"/>
        <w:ind w:left="567" w:right="567"/>
        <w:jc w:val="both"/>
        <w:rPr>
          <w:rFonts w:ascii="Arial" w:eastAsia="Calibri" w:hAnsi="Arial" w:cs="Times New Roman"/>
          <w:sz w:val="24"/>
          <w:szCs w:val="24"/>
        </w:rPr>
      </w:pPr>
    </w:p>
    <w:p w14:paraId="4437CF83" w14:textId="77777777" w:rsidR="00F94B48" w:rsidRPr="00F32542" w:rsidRDefault="00F94B48" w:rsidP="00F94B48">
      <w:pPr>
        <w:widowControl w:val="0"/>
        <w:spacing w:after="0" w:line="240" w:lineRule="auto"/>
        <w:ind w:left="567" w:right="567"/>
        <w:jc w:val="both"/>
        <w:rPr>
          <w:rFonts w:ascii="Arial" w:eastAsia="Calibri" w:hAnsi="Arial" w:cs="Times New Roman"/>
          <w:sz w:val="24"/>
          <w:szCs w:val="24"/>
        </w:rPr>
      </w:pPr>
      <w:r w:rsidRPr="00F32542">
        <w:rPr>
          <w:rFonts w:ascii="Arial" w:eastAsia="Calibri" w:hAnsi="Arial" w:cs="Times New Roman"/>
          <w:sz w:val="24"/>
          <w:szCs w:val="24"/>
        </w:rPr>
        <w:lastRenderedPageBreak/>
        <w:t>Ello es así, ya que de conformidad con lo previsto en el numeral 12 de los Lineamientos para el registro de la Diputación Migrante, se trata de una fórmula que de manera específica deberá ser asignada para dicha candidatura y, en la que, podrán participar todos los partidos políticos en igualdad de circunstancias.</w:t>
      </w:r>
    </w:p>
    <w:p w14:paraId="2C20B46D" w14:textId="77777777" w:rsidR="00F94B48" w:rsidRPr="00F32542" w:rsidRDefault="00F94B48" w:rsidP="00F94B48">
      <w:pPr>
        <w:widowControl w:val="0"/>
        <w:spacing w:after="0" w:line="240" w:lineRule="auto"/>
        <w:ind w:left="567" w:right="567"/>
        <w:jc w:val="both"/>
        <w:rPr>
          <w:rFonts w:ascii="Arial" w:eastAsia="Calibri" w:hAnsi="Arial" w:cs="Times New Roman"/>
          <w:sz w:val="24"/>
          <w:szCs w:val="24"/>
        </w:rPr>
      </w:pPr>
    </w:p>
    <w:p w14:paraId="7DB67949" w14:textId="77777777" w:rsidR="00F94B48" w:rsidRPr="00F32542" w:rsidRDefault="00F94B48" w:rsidP="00F94B48">
      <w:pPr>
        <w:widowControl w:val="0"/>
        <w:spacing w:after="0" w:line="240" w:lineRule="auto"/>
        <w:ind w:left="567" w:right="567"/>
        <w:jc w:val="both"/>
        <w:rPr>
          <w:rFonts w:ascii="Arial" w:eastAsia="Calibri" w:hAnsi="Arial" w:cs="Times New Roman"/>
          <w:sz w:val="24"/>
          <w:szCs w:val="24"/>
        </w:rPr>
      </w:pPr>
      <w:r w:rsidRPr="00F32542">
        <w:rPr>
          <w:rFonts w:ascii="Arial" w:eastAsia="Calibri" w:hAnsi="Arial" w:cs="Times New Roman"/>
          <w:sz w:val="24"/>
          <w:szCs w:val="24"/>
        </w:rPr>
        <w:t xml:space="preserve">Esto es, si bien es cierto </w:t>
      </w:r>
      <w:proofErr w:type="gramStart"/>
      <w:r w:rsidRPr="00F32542">
        <w:rPr>
          <w:rFonts w:ascii="Arial" w:eastAsia="Calibri" w:hAnsi="Arial" w:cs="Times New Roman"/>
          <w:sz w:val="24"/>
          <w:szCs w:val="24"/>
        </w:rPr>
        <w:t>que</w:t>
      </w:r>
      <w:proofErr w:type="gramEnd"/>
      <w:r w:rsidRPr="00F32542">
        <w:rPr>
          <w:rFonts w:ascii="Arial" w:eastAsia="Calibri" w:hAnsi="Arial" w:cs="Times New Roman"/>
          <w:sz w:val="24"/>
          <w:szCs w:val="24"/>
        </w:rPr>
        <w:t xml:space="preserve"> a través de dicho procedimiento, se obliga a los partidos políticos a postular una candidatura a la Diputación Migrante, ello obedeció a la necesidad de instaurar dicha figura de representación popular y, sobre todo, a la imposibilidad técnica y material para llevar a cabo su postulación por el principio de mayoría relativa, ello, de conformidad con las razones asentadas con anterioridad. </w:t>
      </w:r>
    </w:p>
    <w:p w14:paraId="5C57CE7E" w14:textId="77777777" w:rsidR="00F94B48" w:rsidRPr="00F32542" w:rsidRDefault="00F94B48" w:rsidP="00F94B48">
      <w:pPr>
        <w:widowControl w:val="0"/>
        <w:spacing w:after="0" w:line="240" w:lineRule="auto"/>
        <w:ind w:left="567" w:right="567"/>
        <w:jc w:val="both"/>
        <w:rPr>
          <w:rFonts w:ascii="Arial" w:eastAsia="Calibri" w:hAnsi="Arial" w:cs="Times New Roman"/>
          <w:sz w:val="24"/>
          <w:szCs w:val="24"/>
        </w:rPr>
      </w:pPr>
    </w:p>
    <w:p w14:paraId="2F99A40C" w14:textId="77777777" w:rsidR="00F94B48" w:rsidRPr="00F32542" w:rsidRDefault="00F94B48" w:rsidP="00F94B48">
      <w:pPr>
        <w:widowControl w:val="0"/>
        <w:spacing w:after="0" w:line="240" w:lineRule="auto"/>
        <w:ind w:left="567" w:right="567"/>
        <w:jc w:val="both"/>
        <w:rPr>
          <w:rFonts w:ascii="Arial" w:eastAsia="Calibri" w:hAnsi="Arial" w:cs="Times New Roman"/>
          <w:sz w:val="24"/>
          <w:szCs w:val="24"/>
        </w:rPr>
      </w:pPr>
      <w:r w:rsidRPr="00F32542">
        <w:rPr>
          <w:rFonts w:ascii="Arial" w:eastAsia="Calibri" w:hAnsi="Arial" w:cs="Times New Roman"/>
          <w:sz w:val="24"/>
          <w:szCs w:val="24"/>
        </w:rPr>
        <w:t xml:space="preserve">Por ende, este Tribunal Electoral estima que la parte actora parte de una premisa errónea al afirmar que el número de curules por el principio de representación proporcional se reducirá, pues como se analizó, se tiene contemplado elegir treinta y tres diputaciones por dicho principio, tal y como se encuentra previsto en el artículo 29 de la Constitución Local y 11 del Código Local. </w:t>
      </w:r>
    </w:p>
    <w:p w14:paraId="343725E5" w14:textId="77777777" w:rsidR="00F94B48" w:rsidRPr="00F32542" w:rsidRDefault="00F94B48" w:rsidP="00F94B48">
      <w:pPr>
        <w:widowControl w:val="0"/>
        <w:spacing w:after="0" w:line="240" w:lineRule="auto"/>
        <w:ind w:left="567" w:right="567"/>
        <w:jc w:val="both"/>
        <w:rPr>
          <w:rFonts w:ascii="Arial" w:eastAsia="Calibri" w:hAnsi="Arial" w:cs="Times New Roman"/>
          <w:sz w:val="24"/>
          <w:szCs w:val="24"/>
        </w:rPr>
      </w:pPr>
    </w:p>
    <w:p w14:paraId="42B58B3F" w14:textId="77777777" w:rsidR="00F94B48" w:rsidRPr="00F32542" w:rsidRDefault="00F94B48" w:rsidP="00F94B48">
      <w:pPr>
        <w:widowControl w:val="0"/>
        <w:spacing w:after="0" w:line="240" w:lineRule="auto"/>
        <w:ind w:left="567" w:right="567"/>
        <w:jc w:val="both"/>
        <w:rPr>
          <w:rFonts w:ascii="Arial" w:eastAsia="Calibri" w:hAnsi="Arial" w:cs="Times New Roman"/>
          <w:sz w:val="24"/>
          <w:szCs w:val="24"/>
        </w:rPr>
      </w:pPr>
      <w:r w:rsidRPr="00F32542">
        <w:rPr>
          <w:rFonts w:ascii="Arial" w:eastAsia="Calibri" w:hAnsi="Arial" w:cs="Times New Roman"/>
          <w:sz w:val="24"/>
          <w:szCs w:val="24"/>
        </w:rPr>
        <w:t xml:space="preserve">Si bien es cierto que una de ellas se encuentra reservada para la Diputación Migrante, ello obedeció a la imposibilidad jurídica y material para llevar a cabo la elección por el principio de mayoría relativa, lo que se previó desde que se emitió el acuerdo IECMACU-CG-060-2020, el cual, estuvo en la aptitud de poder controvertirlo, empero, al no hacerlo, el mismo adquirió definitividad. </w:t>
      </w:r>
    </w:p>
    <w:p w14:paraId="49ABCD8C" w14:textId="77777777" w:rsidR="00F94B48" w:rsidRPr="00F32542" w:rsidRDefault="00F94B48" w:rsidP="00F94B48">
      <w:pPr>
        <w:widowControl w:val="0"/>
        <w:spacing w:after="0" w:line="240" w:lineRule="auto"/>
        <w:ind w:left="567" w:right="567"/>
        <w:jc w:val="both"/>
        <w:rPr>
          <w:rFonts w:ascii="Arial" w:eastAsia="Calibri" w:hAnsi="Arial" w:cs="Times New Roman"/>
          <w:sz w:val="24"/>
          <w:szCs w:val="24"/>
        </w:rPr>
      </w:pPr>
    </w:p>
    <w:p w14:paraId="5EF94FA5" w14:textId="77777777" w:rsidR="00F94B48" w:rsidRPr="00F32542" w:rsidRDefault="00F94B48" w:rsidP="00F94B48">
      <w:pPr>
        <w:widowControl w:val="0"/>
        <w:spacing w:after="0" w:line="240" w:lineRule="auto"/>
        <w:ind w:left="567" w:right="567"/>
        <w:jc w:val="both"/>
        <w:rPr>
          <w:rFonts w:ascii="Arial" w:eastAsia="Calibri" w:hAnsi="Arial" w:cs="Times New Roman"/>
          <w:sz w:val="24"/>
          <w:szCs w:val="24"/>
        </w:rPr>
      </w:pPr>
      <w:r w:rsidRPr="00F32542">
        <w:rPr>
          <w:rFonts w:ascii="Arial" w:eastAsia="Calibri" w:hAnsi="Arial" w:cs="Times New Roman"/>
          <w:sz w:val="24"/>
          <w:szCs w:val="24"/>
        </w:rPr>
        <w:t xml:space="preserve">Además, debe señalarse </w:t>
      </w:r>
      <w:proofErr w:type="gramStart"/>
      <w:r w:rsidRPr="00F32542">
        <w:rPr>
          <w:rFonts w:ascii="Arial" w:eastAsia="Calibri" w:hAnsi="Arial" w:cs="Times New Roman"/>
          <w:sz w:val="24"/>
          <w:szCs w:val="24"/>
        </w:rPr>
        <w:t>que</w:t>
      </w:r>
      <w:proofErr w:type="gramEnd"/>
      <w:r w:rsidRPr="00F32542">
        <w:rPr>
          <w:rFonts w:ascii="Arial" w:eastAsia="Calibri" w:hAnsi="Arial" w:cs="Times New Roman"/>
          <w:sz w:val="24"/>
          <w:szCs w:val="24"/>
        </w:rPr>
        <w:t xml:space="preserve"> con el procedimiento implementado para la postulación de la candidatura a la Diputación Migrante, de ninguna manera afectará las aspiraciones de los partidos minoritarios, pues cada partido político en igualdad de condiciones podrá participar con su propia candidatura”.</w:t>
      </w:r>
    </w:p>
    <w:p w14:paraId="1D715A57" w14:textId="77777777" w:rsidR="00F94B48" w:rsidRPr="00F32542" w:rsidRDefault="00F94B48" w:rsidP="00F94B48">
      <w:pPr>
        <w:widowControl w:val="0"/>
        <w:spacing w:after="0" w:line="360" w:lineRule="auto"/>
        <w:jc w:val="both"/>
        <w:rPr>
          <w:rFonts w:ascii="Arial" w:eastAsia="Calibri" w:hAnsi="Arial" w:cs="Times New Roman"/>
          <w:sz w:val="28"/>
        </w:rPr>
      </w:pPr>
    </w:p>
    <w:p w14:paraId="20A37694" w14:textId="77777777" w:rsidR="00F94B48" w:rsidRPr="00F32542" w:rsidRDefault="00F94B48" w:rsidP="00F94B48">
      <w:pPr>
        <w:widowControl w:val="0"/>
        <w:spacing w:after="0" w:line="360" w:lineRule="auto"/>
        <w:jc w:val="both"/>
        <w:rPr>
          <w:rFonts w:ascii="Arial" w:eastAsia="Calibri" w:hAnsi="Arial" w:cs="Times New Roman"/>
          <w:sz w:val="28"/>
        </w:rPr>
      </w:pPr>
      <w:r w:rsidRPr="00F32542">
        <w:rPr>
          <w:rFonts w:ascii="Arial" w:eastAsia="Calibri" w:hAnsi="Arial" w:cs="Times New Roman"/>
          <w:sz w:val="28"/>
        </w:rPr>
        <w:t xml:space="preserve">Por tanto, es falsa la apreciación de la parte actora en el sentido de que se asignaron sólo treinta y dos curules de representación proporcional. </w:t>
      </w:r>
    </w:p>
    <w:p w14:paraId="3A08BD5E" w14:textId="77777777" w:rsidR="00F94B48" w:rsidRPr="00F32542" w:rsidRDefault="00F94B48" w:rsidP="00F94B48">
      <w:pPr>
        <w:widowControl w:val="0"/>
        <w:spacing w:after="0" w:line="360" w:lineRule="auto"/>
        <w:jc w:val="both"/>
        <w:rPr>
          <w:rFonts w:ascii="Arial" w:eastAsia="Calibri" w:hAnsi="Arial" w:cs="Times New Roman"/>
          <w:sz w:val="28"/>
        </w:rPr>
      </w:pPr>
    </w:p>
    <w:p w14:paraId="7C55A26D" w14:textId="77777777" w:rsidR="00F94B48" w:rsidRPr="00F32542" w:rsidRDefault="00F94B48" w:rsidP="00F94B48">
      <w:pPr>
        <w:widowControl w:val="0"/>
        <w:spacing w:after="0" w:line="360" w:lineRule="auto"/>
        <w:jc w:val="both"/>
        <w:rPr>
          <w:rFonts w:ascii="Arial" w:eastAsia="Calibri" w:hAnsi="Arial" w:cs="Arial"/>
          <w:sz w:val="28"/>
          <w:szCs w:val="28"/>
          <w:lang w:val="es-ES"/>
        </w:rPr>
      </w:pPr>
      <w:r w:rsidRPr="00F32542">
        <w:rPr>
          <w:rFonts w:ascii="Arial" w:eastAsia="Calibri" w:hAnsi="Arial" w:cs="Times New Roman"/>
          <w:sz w:val="28"/>
        </w:rPr>
        <w:t xml:space="preserve">Finalmente, es inatendible su manifestación en cuanto a que, de desarrollar la fórmula de asignación en los términos contenidos en el ejercicio que al efecto que realizó, el partido que lo postuló, Movimiento Ciudadano, alcanzaría dos diputaciones, una de las cuales le correspondería por integrar </w:t>
      </w:r>
      <w:r w:rsidRPr="00F32542">
        <w:rPr>
          <w:rFonts w:ascii="Arial" w:eastAsia="Calibri" w:hAnsi="Arial" w:cs="Arial"/>
          <w:sz w:val="28"/>
          <w:szCs w:val="28"/>
          <w:lang w:val="es-ES"/>
        </w:rPr>
        <w:t xml:space="preserve">la fórmula de más alto </w:t>
      </w:r>
      <w:r w:rsidRPr="00F32542">
        <w:rPr>
          <w:rFonts w:ascii="Arial" w:eastAsia="Calibri" w:hAnsi="Arial" w:cs="Arial"/>
          <w:sz w:val="28"/>
          <w:szCs w:val="28"/>
          <w:lang w:val="es-ES"/>
        </w:rPr>
        <w:lastRenderedPageBreak/>
        <w:t>porcentaje de votación distrital.</w:t>
      </w:r>
    </w:p>
    <w:p w14:paraId="7C452349" w14:textId="77777777" w:rsidR="00F94B48" w:rsidRPr="00F32542" w:rsidRDefault="00F94B48" w:rsidP="00F94B48">
      <w:pPr>
        <w:widowControl w:val="0"/>
        <w:spacing w:after="0" w:line="360" w:lineRule="auto"/>
        <w:jc w:val="both"/>
        <w:rPr>
          <w:rFonts w:ascii="Arial" w:eastAsia="Calibri" w:hAnsi="Arial" w:cs="Arial"/>
          <w:sz w:val="28"/>
          <w:szCs w:val="28"/>
          <w:lang w:val="es-ES"/>
        </w:rPr>
      </w:pPr>
    </w:p>
    <w:p w14:paraId="036792BF" w14:textId="77777777" w:rsidR="00F94B48" w:rsidRPr="00F32542" w:rsidRDefault="00F94B48" w:rsidP="00F94B48">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Es así, porque, de la demanda, se observa que la parte actora incurrió en dos imprecisiones al realizar el ejercicio hipotético que refiere, puesto que, por una parte, a la votación total emitida, la cual, como se vio, es la suma de votos emitidos en la Ciudad de México y el extranjero, sumó nuevamente la votación recibida en la elección de la diputación migrante, con lo que alteró las cantidades correspondientes.  </w:t>
      </w:r>
    </w:p>
    <w:p w14:paraId="37755A2A" w14:textId="77777777" w:rsidR="00F94B48" w:rsidRPr="00F32542" w:rsidRDefault="00F94B48" w:rsidP="00F94B48">
      <w:pPr>
        <w:widowControl w:val="0"/>
        <w:spacing w:after="0" w:line="360" w:lineRule="auto"/>
        <w:jc w:val="both"/>
        <w:rPr>
          <w:rFonts w:ascii="Arial" w:eastAsia="Calibri" w:hAnsi="Arial" w:cs="Arial"/>
          <w:sz w:val="28"/>
          <w:szCs w:val="28"/>
          <w:lang w:val="es-ES"/>
        </w:rPr>
      </w:pPr>
    </w:p>
    <w:p w14:paraId="2C10E09D" w14:textId="77777777" w:rsidR="00F94B48" w:rsidRPr="00F32542" w:rsidRDefault="00F94B48" w:rsidP="00F94B48">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Además, la parte demandante, en su línea argumentativa, mencionó –en los términos en que se determinó en el acuerdo impugnado– que los partidos políticos que tienen derecho a participar en la asignación son el </w:t>
      </w:r>
      <w:r w:rsidRPr="00F32542">
        <w:rPr>
          <w:rFonts w:ascii="Arial" w:eastAsia="Calibri" w:hAnsi="Arial" w:cs="Arial"/>
          <w:i/>
          <w:sz w:val="28"/>
          <w:szCs w:val="28"/>
          <w:lang w:val="es-ES"/>
        </w:rPr>
        <w:t>PAN, PRI, PRD, PVEM</w:t>
      </w:r>
      <w:r w:rsidRPr="00F32542">
        <w:rPr>
          <w:rFonts w:ascii="Arial" w:eastAsia="Calibri" w:hAnsi="Arial" w:cs="Arial"/>
          <w:sz w:val="28"/>
          <w:szCs w:val="28"/>
          <w:lang w:val="es-ES"/>
        </w:rPr>
        <w:t xml:space="preserve">, Movimiento Ciudadano y Morena. </w:t>
      </w:r>
    </w:p>
    <w:p w14:paraId="1E85BB55" w14:textId="77777777" w:rsidR="00F94B48" w:rsidRPr="00F32542" w:rsidRDefault="00F94B48" w:rsidP="00F94B48">
      <w:pPr>
        <w:widowControl w:val="0"/>
        <w:spacing w:after="0" w:line="360" w:lineRule="auto"/>
        <w:jc w:val="both"/>
        <w:rPr>
          <w:rFonts w:ascii="Arial" w:eastAsia="Calibri" w:hAnsi="Arial" w:cs="Arial"/>
          <w:sz w:val="28"/>
          <w:szCs w:val="28"/>
          <w:lang w:val="es-ES"/>
        </w:rPr>
      </w:pPr>
    </w:p>
    <w:p w14:paraId="0B706C9F" w14:textId="77777777" w:rsidR="00F94B48" w:rsidRPr="00F32542" w:rsidRDefault="00F94B48" w:rsidP="00F94B48">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Sin embargo, al obtener la votación local emitida –que es la base para obtener el cociente natural– incluyó la votación del Partido del Trabajo, el cual, al no haber alcanzado el umbral mínimo, perdió el derecho a participar en la asignación y, por ende, su votación debía ser descontada. </w:t>
      </w:r>
    </w:p>
    <w:p w14:paraId="7303C0D6" w14:textId="77777777" w:rsidR="00F94B48" w:rsidRPr="00F32542" w:rsidRDefault="00F94B48" w:rsidP="00F94B48">
      <w:pPr>
        <w:widowControl w:val="0"/>
        <w:spacing w:after="0" w:line="360" w:lineRule="auto"/>
        <w:jc w:val="both"/>
        <w:rPr>
          <w:rFonts w:ascii="Arial" w:eastAsia="Calibri" w:hAnsi="Arial" w:cs="Arial"/>
          <w:sz w:val="28"/>
          <w:szCs w:val="28"/>
          <w:lang w:val="es-ES"/>
        </w:rPr>
      </w:pPr>
    </w:p>
    <w:p w14:paraId="7209D0F8" w14:textId="77777777" w:rsidR="00F94B48" w:rsidRPr="00F32542" w:rsidRDefault="00F94B48" w:rsidP="00F94B48">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Ello, porque como la propia parte demandante lo refirió, la votación local emitida es la que resulta de deducir de la votación válida emitida la votación a favor de candidaturas sin partido y los votos a favor de los partidos que no alcanzaron el umbral del tres por ciento de la votación válida emitida (</w:t>
      </w:r>
      <w:r w:rsidRPr="00F32542">
        <w:rPr>
          <w:rFonts w:ascii="Arial" w:eastAsia="Calibri" w:hAnsi="Arial" w:cs="Arial"/>
          <w:i/>
          <w:sz w:val="28"/>
          <w:szCs w:val="28"/>
          <w:lang w:val="es-ES"/>
        </w:rPr>
        <w:t>PT</w:t>
      </w:r>
      <w:r w:rsidRPr="00F32542">
        <w:rPr>
          <w:rFonts w:ascii="Arial" w:eastAsia="Calibri" w:hAnsi="Arial" w:cs="Arial"/>
          <w:sz w:val="28"/>
          <w:szCs w:val="28"/>
          <w:lang w:val="es-ES"/>
        </w:rPr>
        <w:t xml:space="preserve">, </w:t>
      </w:r>
      <w:r w:rsidRPr="00F32542">
        <w:rPr>
          <w:rFonts w:ascii="Arial" w:eastAsia="Calibri" w:hAnsi="Arial" w:cs="Arial"/>
          <w:i/>
          <w:sz w:val="28"/>
          <w:szCs w:val="28"/>
          <w:lang w:val="es-ES"/>
        </w:rPr>
        <w:t>Elige</w:t>
      </w:r>
      <w:r w:rsidRPr="00F32542">
        <w:rPr>
          <w:rFonts w:ascii="Arial" w:eastAsia="Calibri" w:hAnsi="Arial" w:cs="Arial"/>
          <w:sz w:val="28"/>
          <w:szCs w:val="28"/>
          <w:lang w:val="es-ES"/>
        </w:rPr>
        <w:t xml:space="preserve">, </w:t>
      </w:r>
      <w:r w:rsidRPr="00F32542">
        <w:rPr>
          <w:rFonts w:ascii="Arial" w:eastAsia="Calibri" w:hAnsi="Arial" w:cs="Arial"/>
          <w:i/>
          <w:sz w:val="28"/>
          <w:szCs w:val="28"/>
          <w:lang w:val="es-ES"/>
        </w:rPr>
        <w:t xml:space="preserve">PES, RSP, </w:t>
      </w:r>
      <w:proofErr w:type="spellStart"/>
      <w:r w:rsidRPr="00F32542">
        <w:rPr>
          <w:rFonts w:ascii="Arial" w:eastAsia="Calibri" w:hAnsi="Arial" w:cs="Arial"/>
          <w:i/>
          <w:sz w:val="28"/>
          <w:szCs w:val="28"/>
          <w:lang w:val="es-ES"/>
        </w:rPr>
        <w:t>PFxM</w:t>
      </w:r>
      <w:proofErr w:type="spellEnd"/>
      <w:r w:rsidRPr="00F32542">
        <w:rPr>
          <w:rFonts w:ascii="Arial" w:eastAsia="Calibri" w:hAnsi="Arial" w:cs="Arial"/>
          <w:sz w:val="28"/>
          <w:szCs w:val="28"/>
          <w:lang w:val="es-ES"/>
        </w:rPr>
        <w:t xml:space="preserve">). </w:t>
      </w:r>
    </w:p>
    <w:p w14:paraId="7DA2A46A" w14:textId="77777777" w:rsidR="00F94B48" w:rsidRPr="00F32542" w:rsidRDefault="00F94B48" w:rsidP="00F94B48">
      <w:pPr>
        <w:widowControl w:val="0"/>
        <w:spacing w:after="0" w:line="360" w:lineRule="auto"/>
        <w:jc w:val="both"/>
        <w:rPr>
          <w:rFonts w:ascii="Arial" w:eastAsia="Calibri" w:hAnsi="Arial" w:cs="Arial"/>
          <w:sz w:val="28"/>
          <w:szCs w:val="28"/>
          <w:lang w:val="es-ES"/>
        </w:rPr>
      </w:pPr>
    </w:p>
    <w:p w14:paraId="638A6D1E" w14:textId="77777777" w:rsidR="00F94B48" w:rsidRPr="00F32542" w:rsidRDefault="00F94B48" w:rsidP="00F94B48">
      <w:pPr>
        <w:widowControl w:val="0"/>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Por ende, ante las dos inexactitudes mencionadas, el ejercicio que realizó la parte actora en su demanda es incorrecto, puesto que no </w:t>
      </w:r>
      <w:r w:rsidRPr="00F32542">
        <w:rPr>
          <w:rFonts w:ascii="Arial" w:eastAsia="Calibri" w:hAnsi="Arial" w:cs="Arial"/>
          <w:sz w:val="28"/>
          <w:szCs w:val="28"/>
          <w:lang w:val="es-ES"/>
        </w:rPr>
        <w:lastRenderedPageBreak/>
        <w:t xml:space="preserve">corresponde a la verdadera votación que debió considerar en cada fase. </w:t>
      </w:r>
    </w:p>
    <w:p w14:paraId="5089066B" w14:textId="77777777" w:rsidR="00F94B48" w:rsidRPr="00F32542" w:rsidRDefault="00F94B48" w:rsidP="00F94B48">
      <w:pPr>
        <w:widowControl w:val="0"/>
        <w:spacing w:after="0" w:line="360" w:lineRule="auto"/>
        <w:jc w:val="both"/>
        <w:rPr>
          <w:rFonts w:ascii="Arial" w:eastAsia="Calibri" w:hAnsi="Arial" w:cs="Times New Roman"/>
          <w:sz w:val="28"/>
        </w:rPr>
      </w:pPr>
    </w:p>
    <w:p w14:paraId="33C80DA4" w14:textId="77777777" w:rsidR="00F94B48" w:rsidRPr="00F32542" w:rsidRDefault="00F94B48" w:rsidP="00F94B48">
      <w:pPr>
        <w:widowControl w:val="0"/>
        <w:spacing w:after="0" w:line="360" w:lineRule="auto"/>
        <w:jc w:val="both"/>
        <w:rPr>
          <w:rFonts w:ascii="Arial" w:eastAsia="Calibri" w:hAnsi="Arial" w:cs="Times New Roman"/>
          <w:sz w:val="28"/>
        </w:rPr>
      </w:pPr>
      <w:r w:rsidRPr="00F32542">
        <w:rPr>
          <w:rFonts w:ascii="Arial" w:eastAsia="Calibri" w:hAnsi="Arial" w:cs="Times New Roman"/>
          <w:sz w:val="28"/>
        </w:rPr>
        <w:t xml:space="preserve">En ese sentido, dado que los argumentos expuestos por la parte actora se sustentan en premisas falsas, su conclusión es ineficaz para obtener un fallo favorable. </w:t>
      </w:r>
    </w:p>
    <w:p w14:paraId="1CC00D18" w14:textId="77777777" w:rsidR="00F94B48" w:rsidRPr="00F32542" w:rsidRDefault="00F94B48" w:rsidP="00F94B48">
      <w:pPr>
        <w:widowControl w:val="0"/>
        <w:spacing w:after="0" w:line="360" w:lineRule="auto"/>
        <w:jc w:val="both"/>
        <w:rPr>
          <w:rFonts w:ascii="Arial" w:eastAsia="Calibri" w:hAnsi="Arial" w:cs="Times New Roman"/>
          <w:sz w:val="28"/>
        </w:rPr>
      </w:pPr>
    </w:p>
    <w:p w14:paraId="0EC31442" w14:textId="77777777" w:rsidR="00F94B48" w:rsidRPr="00F32542" w:rsidRDefault="00F94B48" w:rsidP="00F94B48">
      <w:pPr>
        <w:widowControl w:val="0"/>
        <w:spacing w:after="0" w:line="360" w:lineRule="auto"/>
        <w:jc w:val="both"/>
        <w:rPr>
          <w:rFonts w:ascii="Arial" w:eastAsia="Calibri" w:hAnsi="Arial" w:cs="Times New Roman"/>
          <w:sz w:val="28"/>
        </w:rPr>
      </w:pPr>
      <w:r w:rsidRPr="00F32542">
        <w:rPr>
          <w:rFonts w:ascii="Arial" w:eastAsia="Calibri" w:hAnsi="Arial" w:cs="Times New Roman"/>
          <w:sz w:val="28"/>
        </w:rPr>
        <w:t xml:space="preserve">Al respecto, es orientadora la </w:t>
      </w:r>
      <w:r w:rsidR="00C97D23" w:rsidRPr="00F32542">
        <w:rPr>
          <w:rFonts w:ascii="Arial" w:eastAsia="Calibri" w:hAnsi="Arial" w:cs="Times New Roman"/>
          <w:sz w:val="28"/>
        </w:rPr>
        <w:t>j</w:t>
      </w:r>
      <w:r w:rsidRPr="00F32542">
        <w:rPr>
          <w:rFonts w:ascii="Arial" w:eastAsia="Calibri" w:hAnsi="Arial" w:cs="Times New Roman"/>
          <w:sz w:val="28"/>
        </w:rPr>
        <w:t xml:space="preserve">urisprudencia </w:t>
      </w:r>
      <w:r w:rsidRPr="00F32542">
        <w:rPr>
          <w:rFonts w:ascii="Arial" w:eastAsia="Calibri" w:hAnsi="Arial" w:cs="Times New Roman"/>
          <w:b/>
          <w:bCs/>
          <w:sz w:val="28"/>
        </w:rPr>
        <w:t>2a./J. 108/2012 (10a.)</w:t>
      </w:r>
      <w:r w:rsidRPr="00F32542">
        <w:rPr>
          <w:rFonts w:ascii="Arial" w:eastAsia="Calibri" w:hAnsi="Arial" w:cs="Arial"/>
          <w:sz w:val="32"/>
          <w:szCs w:val="32"/>
          <w:vertAlign w:val="superscript"/>
        </w:rPr>
        <w:footnoteReference w:id="40"/>
      </w:r>
      <w:r w:rsidRPr="00F32542">
        <w:rPr>
          <w:rFonts w:ascii="Arial" w:eastAsia="Calibri" w:hAnsi="Arial" w:cs="Times New Roman"/>
          <w:sz w:val="28"/>
        </w:rPr>
        <w:t xml:space="preserve"> emitida por la Segunda Sala de la</w:t>
      </w:r>
      <w:r w:rsidR="00C97D23" w:rsidRPr="00F32542">
        <w:rPr>
          <w:rFonts w:ascii="Arial" w:eastAsia="Calibri" w:hAnsi="Arial" w:cs="Times New Roman"/>
          <w:sz w:val="28"/>
        </w:rPr>
        <w:t xml:space="preserve"> </w:t>
      </w:r>
      <w:r w:rsidR="00C97D23" w:rsidRPr="00F32542">
        <w:rPr>
          <w:rFonts w:ascii="Arial" w:eastAsia="Calibri" w:hAnsi="Arial" w:cs="Times New Roman"/>
          <w:i/>
          <w:iCs/>
          <w:sz w:val="28"/>
        </w:rPr>
        <w:t>SCJN</w:t>
      </w:r>
      <w:r w:rsidRPr="00F32542">
        <w:rPr>
          <w:rFonts w:ascii="Arial" w:eastAsia="Calibri" w:hAnsi="Arial" w:cs="Times New Roman"/>
          <w:sz w:val="28"/>
        </w:rPr>
        <w:t>, cuyo rubro y texto son los siguientes:</w:t>
      </w:r>
    </w:p>
    <w:p w14:paraId="6CECE6D7" w14:textId="77777777" w:rsidR="00F94B48" w:rsidRPr="00F32542" w:rsidRDefault="00F94B48" w:rsidP="00F94B48">
      <w:pPr>
        <w:widowControl w:val="0"/>
        <w:spacing w:after="0" w:line="360" w:lineRule="auto"/>
        <w:jc w:val="both"/>
        <w:rPr>
          <w:rFonts w:ascii="Arial" w:eastAsia="Calibri" w:hAnsi="Arial" w:cs="Times New Roman"/>
          <w:sz w:val="28"/>
        </w:rPr>
      </w:pPr>
    </w:p>
    <w:p w14:paraId="5760AF27" w14:textId="77777777" w:rsidR="00F94B48" w:rsidRPr="00F32542" w:rsidRDefault="00F94B48" w:rsidP="00F94B48">
      <w:pPr>
        <w:widowControl w:val="0"/>
        <w:spacing w:after="0" w:line="240" w:lineRule="auto"/>
        <w:ind w:left="567" w:right="567"/>
        <w:jc w:val="both"/>
        <w:rPr>
          <w:rFonts w:ascii="Arial" w:eastAsia="Calibri" w:hAnsi="Arial" w:cs="Arial"/>
          <w:b/>
          <w:sz w:val="24"/>
          <w:szCs w:val="24"/>
        </w:rPr>
      </w:pPr>
      <w:r w:rsidRPr="00F32542">
        <w:rPr>
          <w:rFonts w:ascii="Arial" w:eastAsia="Calibri" w:hAnsi="Arial" w:cs="Arial"/>
          <w:sz w:val="24"/>
          <w:szCs w:val="24"/>
        </w:rPr>
        <w:t>“</w:t>
      </w:r>
      <w:r w:rsidRPr="00F32542">
        <w:rPr>
          <w:rFonts w:ascii="Arial" w:eastAsia="Calibri" w:hAnsi="Arial" w:cs="Arial"/>
          <w:b/>
          <w:sz w:val="24"/>
          <w:szCs w:val="24"/>
        </w:rPr>
        <w:t xml:space="preserve">AGRAVIOS INOPERANTES. LO SON AQUELLOS QUE SE SUSTENTAN EN PREMISAS FALSAS. </w:t>
      </w:r>
      <w:r w:rsidRPr="00F32542">
        <w:rPr>
          <w:rFonts w:ascii="Arial" w:eastAsia="Calibri" w:hAnsi="Arial" w:cs="Arial"/>
          <w:sz w:val="24"/>
          <w:szCs w:val="24"/>
        </w:rPr>
        <w:t>Los agravios cuya construcción parte de una premisa falsa son inoperantes, ya que a ningún fin práctico conduciría su análisis y calificación, pues al partir de una suposición que no resultó verdadera, su conclusión resulta ineficaz para obtener la revocación de la sentencia recurrida”.</w:t>
      </w:r>
    </w:p>
    <w:p w14:paraId="332C5E7C" w14:textId="77777777" w:rsidR="00F94B48" w:rsidRPr="00F32542" w:rsidRDefault="00F94B48" w:rsidP="00F94B48">
      <w:pPr>
        <w:widowControl w:val="0"/>
        <w:spacing w:after="0" w:line="360" w:lineRule="auto"/>
        <w:jc w:val="both"/>
        <w:rPr>
          <w:rFonts w:ascii="Arial" w:eastAsia="Calibri" w:hAnsi="Arial" w:cs="Times New Roman"/>
          <w:sz w:val="28"/>
        </w:rPr>
      </w:pPr>
    </w:p>
    <w:p w14:paraId="4831836D" w14:textId="77777777" w:rsidR="00F94B48" w:rsidRPr="00F32542" w:rsidRDefault="00F94B48" w:rsidP="00F94B48">
      <w:pPr>
        <w:widowControl w:val="0"/>
        <w:spacing w:after="0" w:line="360" w:lineRule="auto"/>
        <w:jc w:val="both"/>
        <w:rPr>
          <w:rFonts w:ascii="Arial" w:eastAsia="Calibri" w:hAnsi="Arial" w:cs="Times New Roman"/>
          <w:sz w:val="28"/>
        </w:rPr>
      </w:pPr>
      <w:r w:rsidRPr="00F32542">
        <w:rPr>
          <w:rFonts w:ascii="Arial" w:eastAsia="Calibri" w:hAnsi="Arial" w:cs="Times New Roman"/>
          <w:sz w:val="28"/>
        </w:rPr>
        <w:t xml:space="preserve">En ese contexto, aunque la </w:t>
      </w:r>
      <w:r w:rsidRPr="00F32542">
        <w:rPr>
          <w:rFonts w:ascii="Arial" w:eastAsia="Calibri" w:hAnsi="Arial" w:cs="Times New Roman"/>
          <w:i/>
          <w:sz w:val="28"/>
        </w:rPr>
        <w:t>parte actora</w:t>
      </w:r>
      <w:r w:rsidRPr="00F32542">
        <w:rPr>
          <w:rFonts w:ascii="Arial" w:eastAsia="Calibri" w:hAnsi="Arial" w:cs="Times New Roman"/>
          <w:sz w:val="28"/>
        </w:rPr>
        <w:t xml:space="preserve"> sostiene que debe resolverse con una perspectiva de género a su favor, lo cierto es que el sustento de su pretensión es incorrecto, ya que el partido político que lo postuló </w:t>
      </w:r>
      <w:r w:rsidR="00C97D23" w:rsidRPr="00F32542">
        <w:rPr>
          <w:rFonts w:ascii="Arial" w:eastAsia="Calibri" w:hAnsi="Arial" w:cs="Times New Roman"/>
          <w:sz w:val="28"/>
        </w:rPr>
        <w:t>—</w:t>
      </w:r>
      <w:r w:rsidRPr="00F32542">
        <w:rPr>
          <w:rFonts w:ascii="Arial" w:eastAsia="Calibri" w:hAnsi="Arial" w:cs="Times New Roman"/>
          <w:sz w:val="28"/>
        </w:rPr>
        <w:t>Movimiento Ciudadano</w:t>
      </w:r>
      <w:r w:rsidR="00C97D23" w:rsidRPr="00F32542">
        <w:rPr>
          <w:rFonts w:ascii="Arial" w:eastAsia="Calibri" w:hAnsi="Arial" w:cs="Times New Roman"/>
          <w:sz w:val="28"/>
        </w:rPr>
        <w:t>—</w:t>
      </w:r>
      <w:r w:rsidRPr="00F32542">
        <w:rPr>
          <w:rFonts w:ascii="Arial" w:eastAsia="Calibri" w:hAnsi="Arial" w:cs="Times New Roman"/>
          <w:sz w:val="28"/>
        </w:rPr>
        <w:t xml:space="preserve"> sólo tiene derecho a una diputación, la cual correspondió a una fórmula integrada por hombres (primera posición de la lista definitiva); mientras que el planteamiento en el cual sustenta que su partido tiene derecho a una segunda diputación por representación proporcional se sustenta en premisas incorrectas. </w:t>
      </w:r>
    </w:p>
    <w:p w14:paraId="2E8BD845" w14:textId="77777777" w:rsidR="00F94B48" w:rsidRPr="00F32542" w:rsidRDefault="00F94B48" w:rsidP="00F94B48">
      <w:pPr>
        <w:widowControl w:val="0"/>
        <w:spacing w:after="0" w:line="360" w:lineRule="auto"/>
        <w:jc w:val="both"/>
        <w:rPr>
          <w:rFonts w:ascii="Arial" w:eastAsia="Calibri" w:hAnsi="Arial" w:cs="Times New Roman"/>
          <w:sz w:val="28"/>
        </w:rPr>
      </w:pPr>
    </w:p>
    <w:p w14:paraId="45F4A994" w14:textId="77777777" w:rsidR="00F94B48" w:rsidRPr="00F32542" w:rsidRDefault="00F94B48" w:rsidP="00F94B48">
      <w:pPr>
        <w:widowControl w:val="0"/>
        <w:spacing w:after="0" w:line="360" w:lineRule="auto"/>
        <w:jc w:val="both"/>
        <w:rPr>
          <w:rFonts w:ascii="Arial" w:eastAsia="Calibri" w:hAnsi="Arial" w:cs="Times New Roman"/>
          <w:sz w:val="28"/>
        </w:rPr>
      </w:pPr>
      <w:r w:rsidRPr="00F32542">
        <w:rPr>
          <w:rFonts w:ascii="Arial" w:eastAsia="Calibri" w:hAnsi="Arial" w:cs="Times New Roman"/>
          <w:sz w:val="28"/>
        </w:rPr>
        <w:t xml:space="preserve">De manera que no se advierte alguna situación de discriminación o relación desequilibrada de poder en su perjuicio. </w:t>
      </w:r>
    </w:p>
    <w:p w14:paraId="561A7CCA" w14:textId="77777777" w:rsidR="00F94B48" w:rsidRPr="00F32542" w:rsidRDefault="00F94B48" w:rsidP="00F94B48">
      <w:pPr>
        <w:spacing w:after="0" w:line="360" w:lineRule="auto"/>
        <w:jc w:val="both"/>
        <w:rPr>
          <w:rFonts w:ascii="Arial" w:eastAsia="Times New Roman" w:hAnsi="Arial" w:cs="Arial"/>
          <w:sz w:val="28"/>
          <w:szCs w:val="28"/>
          <w:lang w:eastAsia="es-MX"/>
        </w:rPr>
      </w:pPr>
    </w:p>
    <w:p w14:paraId="51322C0C" w14:textId="77777777" w:rsidR="00F94B48" w:rsidRPr="00F32542" w:rsidRDefault="00F94B48" w:rsidP="00F43BF1">
      <w:pPr>
        <w:pStyle w:val="Prrafodelista"/>
        <w:numPr>
          <w:ilvl w:val="0"/>
          <w:numId w:val="2"/>
        </w:numPr>
        <w:spacing w:line="360" w:lineRule="auto"/>
        <w:rPr>
          <w:rFonts w:ascii="Arial" w:hAnsi="Arial" w:cs="Arial"/>
          <w:bCs/>
          <w:szCs w:val="28"/>
        </w:rPr>
      </w:pPr>
      <w:r w:rsidRPr="00F32542">
        <w:rPr>
          <w:rFonts w:ascii="Arial" w:hAnsi="Arial" w:cs="Arial"/>
          <w:b/>
          <w:szCs w:val="28"/>
          <w:lang w:eastAsia="es-MX"/>
        </w:rPr>
        <w:lastRenderedPageBreak/>
        <w:t xml:space="preserve">Aspectos preliminares a la distribución </w:t>
      </w:r>
      <w:r w:rsidR="007D0D40" w:rsidRPr="00F32542">
        <w:rPr>
          <w:rFonts w:ascii="Arial" w:hAnsi="Arial" w:cs="Arial"/>
          <w:b/>
          <w:szCs w:val="28"/>
          <w:lang w:eastAsia="es-MX"/>
        </w:rPr>
        <w:t xml:space="preserve">y asignación </w:t>
      </w:r>
      <w:r w:rsidRPr="00F32542">
        <w:rPr>
          <w:rFonts w:ascii="Arial" w:hAnsi="Arial" w:cs="Arial"/>
          <w:b/>
          <w:szCs w:val="28"/>
          <w:lang w:eastAsia="es-MX"/>
        </w:rPr>
        <w:t>de diputaciones</w:t>
      </w:r>
      <w:r w:rsidR="007D0D40" w:rsidRPr="00F32542">
        <w:rPr>
          <w:rFonts w:ascii="Arial" w:hAnsi="Arial" w:cs="Arial"/>
          <w:b/>
          <w:szCs w:val="28"/>
          <w:lang w:eastAsia="es-MX"/>
        </w:rPr>
        <w:t xml:space="preserve"> plurinominales</w:t>
      </w:r>
      <w:r w:rsidRPr="00F32542">
        <w:rPr>
          <w:rFonts w:ascii="Arial" w:hAnsi="Arial" w:cs="Arial"/>
          <w:b/>
          <w:szCs w:val="28"/>
          <w:lang w:eastAsia="es-MX"/>
        </w:rPr>
        <w:t>.</w:t>
      </w:r>
    </w:p>
    <w:p w14:paraId="0CD099F6" w14:textId="77777777" w:rsidR="00F94B48" w:rsidRPr="00F32542" w:rsidRDefault="00F94B48" w:rsidP="00F94B48">
      <w:pPr>
        <w:spacing w:after="0" w:line="360" w:lineRule="auto"/>
        <w:rPr>
          <w:rFonts w:ascii="Arial" w:hAnsi="Arial" w:cs="Arial"/>
          <w:b/>
          <w:sz w:val="28"/>
          <w:szCs w:val="28"/>
          <w:lang w:eastAsia="es-MX"/>
        </w:rPr>
      </w:pPr>
    </w:p>
    <w:p w14:paraId="39AF1E6D" w14:textId="77777777" w:rsidR="00F94B48" w:rsidRPr="00F32542" w:rsidRDefault="00F94B48" w:rsidP="00F94B48">
      <w:pPr>
        <w:spacing w:after="0" w:line="360" w:lineRule="auto"/>
        <w:jc w:val="both"/>
        <w:rPr>
          <w:rFonts w:ascii="Arial" w:hAnsi="Arial" w:cs="Arial"/>
          <w:bCs/>
          <w:sz w:val="28"/>
          <w:szCs w:val="28"/>
          <w:lang w:eastAsia="es-ES"/>
        </w:rPr>
      </w:pPr>
      <w:r w:rsidRPr="00F32542">
        <w:rPr>
          <w:rFonts w:ascii="Arial" w:hAnsi="Arial" w:cs="Arial"/>
          <w:b/>
          <w:sz w:val="28"/>
          <w:szCs w:val="28"/>
          <w:lang w:eastAsia="es-MX"/>
        </w:rPr>
        <w:t>TECDMX-JLDC-109/2021 (</w:t>
      </w:r>
      <w:r w:rsidRPr="00F32542">
        <w:rPr>
          <w:rFonts w:ascii="Arial" w:hAnsi="Arial" w:cs="Arial"/>
          <w:b/>
          <w:bCs/>
          <w:sz w:val="28"/>
          <w:szCs w:val="28"/>
        </w:rPr>
        <w:t xml:space="preserve">Nayaret </w:t>
      </w:r>
      <w:proofErr w:type="spellStart"/>
      <w:r w:rsidRPr="00F32542">
        <w:rPr>
          <w:rFonts w:ascii="Arial" w:hAnsi="Arial" w:cs="Arial"/>
          <w:b/>
          <w:bCs/>
          <w:sz w:val="28"/>
          <w:szCs w:val="28"/>
        </w:rPr>
        <w:t>Yazmín</w:t>
      </w:r>
      <w:proofErr w:type="spellEnd"/>
      <w:r w:rsidRPr="00F32542">
        <w:rPr>
          <w:rFonts w:ascii="Arial" w:hAnsi="Arial" w:cs="Arial"/>
          <w:b/>
          <w:bCs/>
          <w:sz w:val="28"/>
          <w:szCs w:val="28"/>
        </w:rPr>
        <w:t xml:space="preserve"> Calderón Martínez)</w:t>
      </w:r>
    </w:p>
    <w:p w14:paraId="0E2F0DF2" w14:textId="77777777" w:rsidR="00F94B48" w:rsidRPr="00F32542" w:rsidRDefault="00F94B48" w:rsidP="00F94B48">
      <w:pPr>
        <w:spacing w:after="0" w:line="360" w:lineRule="auto"/>
        <w:jc w:val="both"/>
        <w:rPr>
          <w:rFonts w:ascii="Arial" w:hAnsi="Arial" w:cs="Arial"/>
          <w:bCs/>
          <w:sz w:val="28"/>
          <w:szCs w:val="28"/>
          <w:lang w:eastAsia="es-ES"/>
        </w:rPr>
      </w:pPr>
    </w:p>
    <w:p w14:paraId="3E36C84B" w14:textId="77777777" w:rsidR="00F94B48" w:rsidRPr="00F32542" w:rsidRDefault="00F94B48" w:rsidP="00F94B48">
      <w:pPr>
        <w:spacing w:after="0" w:line="360" w:lineRule="auto"/>
        <w:jc w:val="both"/>
        <w:rPr>
          <w:rFonts w:ascii="Arial" w:hAnsi="Arial" w:cs="Arial"/>
          <w:bCs/>
          <w:sz w:val="28"/>
          <w:szCs w:val="28"/>
          <w:lang w:eastAsia="es-ES"/>
        </w:rPr>
      </w:pPr>
      <w:r w:rsidRPr="00F32542">
        <w:rPr>
          <w:rFonts w:ascii="Arial" w:hAnsi="Arial" w:cs="Arial"/>
          <w:bCs/>
          <w:sz w:val="28"/>
          <w:szCs w:val="28"/>
        </w:rPr>
        <w:t xml:space="preserve">La </w:t>
      </w:r>
      <w:r w:rsidRPr="00F32542">
        <w:rPr>
          <w:rFonts w:ascii="Arial" w:hAnsi="Arial" w:cs="Arial"/>
          <w:bCs/>
          <w:i/>
          <w:iCs/>
          <w:sz w:val="28"/>
          <w:szCs w:val="28"/>
        </w:rPr>
        <w:t>demandante</w:t>
      </w:r>
      <w:r w:rsidRPr="00F32542">
        <w:rPr>
          <w:rFonts w:ascii="Arial" w:hAnsi="Arial" w:cs="Arial"/>
          <w:bCs/>
          <w:sz w:val="28"/>
          <w:szCs w:val="28"/>
        </w:rPr>
        <w:t xml:space="preserve"> solicita la revisión de todos los datos numéricos y porcentuales para contar con certeza sobre la asignación de diputaciones por el principio de representación proporcional, pues debe tomarse en cuenta que se repartieron treinta y tres curules y no 40 como anteriormente se hacía. Por ende, al no haberse verificado esa situación, existe sobrerrepresentación en el </w:t>
      </w:r>
      <w:r w:rsidRPr="00F32542">
        <w:rPr>
          <w:rFonts w:ascii="Arial" w:hAnsi="Arial" w:cs="Arial"/>
          <w:bCs/>
          <w:i/>
          <w:iCs/>
          <w:sz w:val="28"/>
          <w:szCs w:val="28"/>
        </w:rPr>
        <w:t>Congreso</w:t>
      </w:r>
      <w:r w:rsidRPr="00F32542">
        <w:rPr>
          <w:rFonts w:ascii="Arial" w:hAnsi="Arial" w:cs="Arial"/>
          <w:bCs/>
          <w:sz w:val="28"/>
          <w:szCs w:val="28"/>
        </w:rPr>
        <w:t>.</w:t>
      </w:r>
    </w:p>
    <w:p w14:paraId="56AEB4BE" w14:textId="77777777" w:rsidR="00F94B48" w:rsidRPr="00F32542" w:rsidRDefault="00F94B48" w:rsidP="00F94B48">
      <w:pPr>
        <w:spacing w:after="0" w:line="360" w:lineRule="auto"/>
        <w:jc w:val="both"/>
        <w:rPr>
          <w:rFonts w:ascii="Arial" w:hAnsi="Arial" w:cs="Arial"/>
          <w:bCs/>
          <w:sz w:val="28"/>
          <w:szCs w:val="28"/>
          <w:lang w:eastAsia="es-ES"/>
        </w:rPr>
      </w:pPr>
    </w:p>
    <w:p w14:paraId="0758D284" w14:textId="77777777" w:rsidR="00F94B48" w:rsidRPr="00F32542" w:rsidRDefault="00F94B48" w:rsidP="00F94B48">
      <w:pPr>
        <w:spacing w:after="0" w:line="360" w:lineRule="auto"/>
        <w:jc w:val="both"/>
        <w:rPr>
          <w:rFonts w:ascii="Arial" w:hAnsi="Arial" w:cs="Arial"/>
          <w:bCs/>
          <w:sz w:val="28"/>
          <w:szCs w:val="28"/>
          <w:lang w:eastAsia="es-ES"/>
        </w:rPr>
      </w:pPr>
      <w:r w:rsidRPr="00F32542">
        <w:rPr>
          <w:rFonts w:ascii="Arial" w:hAnsi="Arial" w:cs="Arial"/>
          <w:sz w:val="28"/>
          <w:szCs w:val="28"/>
          <w:lang w:eastAsia="es-MX"/>
        </w:rPr>
        <w:t xml:space="preserve">Asimismo, la </w:t>
      </w:r>
      <w:r w:rsidRPr="00F32542">
        <w:rPr>
          <w:rFonts w:ascii="Arial" w:hAnsi="Arial" w:cs="Arial"/>
          <w:i/>
          <w:iCs/>
          <w:sz w:val="28"/>
          <w:szCs w:val="28"/>
          <w:lang w:eastAsia="es-MX"/>
        </w:rPr>
        <w:t>parte actora</w:t>
      </w:r>
      <w:r w:rsidRPr="00F32542">
        <w:rPr>
          <w:rFonts w:ascii="Arial" w:hAnsi="Arial" w:cs="Arial"/>
          <w:sz w:val="28"/>
          <w:szCs w:val="28"/>
          <w:lang w:eastAsia="es-MX"/>
        </w:rPr>
        <w:t xml:space="preserve"> afirma que </w:t>
      </w:r>
      <w:r w:rsidRPr="00F32542">
        <w:rPr>
          <w:rFonts w:ascii="Arial" w:hAnsi="Arial" w:cs="Arial"/>
          <w:bCs/>
          <w:sz w:val="28"/>
          <w:szCs w:val="28"/>
        </w:rPr>
        <w:t xml:space="preserve">existe contradicción en el artículo 29 de la </w:t>
      </w:r>
      <w:r w:rsidRPr="00F32542">
        <w:rPr>
          <w:rFonts w:ascii="Arial" w:hAnsi="Arial" w:cs="Arial"/>
          <w:bCs/>
          <w:i/>
          <w:iCs/>
          <w:sz w:val="28"/>
          <w:szCs w:val="28"/>
        </w:rPr>
        <w:t>Constitución Local</w:t>
      </w:r>
      <w:r w:rsidRPr="00F32542">
        <w:rPr>
          <w:rFonts w:ascii="Arial" w:hAnsi="Arial" w:cs="Arial"/>
          <w:bCs/>
          <w:sz w:val="28"/>
          <w:szCs w:val="28"/>
        </w:rPr>
        <w:t>, ya que primero establece veintinueve diputaciones por el principio de representación, y luego señala “</w:t>
      </w:r>
      <w:r w:rsidRPr="00F32542">
        <w:rPr>
          <w:rFonts w:ascii="Arial" w:hAnsi="Arial" w:cs="Arial"/>
          <w:bCs/>
          <w:i/>
          <w:iCs/>
          <w:sz w:val="28"/>
          <w:szCs w:val="28"/>
        </w:rPr>
        <w:t>no más de 40</w:t>
      </w:r>
      <w:r w:rsidRPr="00F32542">
        <w:rPr>
          <w:rFonts w:ascii="Arial" w:hAnsi="Arial" w:cs="Arial"/>
          <w:bCs/>
          <w:sz w:val="28"/>
          <w:szCs w:val="28"/>
        </w:rPr>
        <w:t xml:space="preserve">”. </w:t>
      </w:r>
    </w:p>
    <w:p w14:paraId="7590BE3C" w14:textId="77777777" w:rsidR="00F94B48" w:rsidRPr="00F32542" w:rsidRDefault="00F94B48" w:rsidP="00F94B48">
      <w:pPr>
        <w:spacing w:after="0" w:line="360" w:lineRule="auto"/>
        <w:jc w:val="both"/>
        <w:rPr>
          <w:rFonts w:ascii="Arial" w:hAnsi="Arial" w:cs="Arial"/>
          <w:bCs/>
          <w:sz w:val="28"/>
          <w:szCs w:val="28"/>
          <w:lang w:eastAsia="es-MX"/>
        </w:rPr>
      </w:pPr>
    </w:p>
    <w:p w14:paraId="4CDEEB0C" w14:textId="77777777" w:rsidR="00F94B48" w:rsidRPr="00F32542" w:rsidRDefault="00F94B48" w:rsidP="00F94B48">
      <w:pPr>
        <w:spacing w:after="0" w:line="360" w:lineRule="auto"/>
        <w:jc w:val="both"/>
        <w:rPr>
          <w:rFonts w:ascii="Arial" w:hAnsi="Arial" w:cs="Arial"/>
          <w:b/>
          <w:sz w:val="28"/>
          <w:szCs w:val="28"/>
          <w:lang w:eastAsia="es-MX"/>
        </w:rPr>
      </w:pPr>
      <w:r w:rsidRPr="00F32542">
        <w:rPr>
          <w:rFonts w:ascii="Arial" w:hAnsi="Arial" w:cs="Arial"/>
          <w:b/>
          <w:sz w:val="28"/>
          <w:szCs w:val="28"/>
          <w:lang w:eastAsia="es-MX"/>
        </w:rPr>
        <w:t>Estudio de los planteamientos.</w:t>
      </w:r>
    </w:p>
    <w:p w14:paraId="1EEC10E4" w14:textId="77777777" w:rsidR="00F94B48" w:rsidRPr="00F32542" w:rsidRDefault="00F94B48" w:rsidP="00F94B48">
      <w:pPr>
        <w:spacing w:after="0" w:line="360" w:lineRule="auto"/>
        <w:jc w:val="both"/>
        <w:rPr>
          <w:rFonts w:ascii="Arial" w:hAnsi="Arial" w:cs="Arial"/>
          <w:bCs/>
          <w:sz w:val="28"/>
          <w:szCs w:val="28"/>
          <w:lang w:eastAsia="es-MX"/>
        </w:rPr>
      </w:pPr>
    </w:p>
    <w:p w14:paraId="6150B306" w14:textId="77777777" w:rsidR="00F94B48" w:rsidRPr="00F32542" w:rsidRDefault="00F94B48" w:rsidP="00F94B48">
      <w:pPr>
        <w:spacing w:after="0" w:line="360" w:lineRule="auto"/>
        <w:jc w:val="both"/>
        <w:rPr>
          <w:rFonts w:ascii="Arial" w:hAnsi="Arial" w:cs="Arial"/>
          <w:bCs/>
          <w:sz w:val="28"/>
          <w:szCs w:val="28"/>
          <w:lang w:eastAsia="es-ES"/>
        </w:rPr>
      </w:pPr>
      <w:r w:rsidRPr="00F32542">
        <w:rPr>
          <w:rFonts w:ascii="Arial" w:hAnsi="Arial" w:cs="Arial"/>
          <w:bCs/>
          <w:sz w:val="28"/>
          <w:szCs w:val="28"/>
          <w:lang w:eastAsia="es-MX"/>
        </w:rPr>
        <w:t xml:space="preserve">La </w:t>
      </w:r>
      <w:r w:rsidRPr="00F32542">
        <w:rPr>
          <w:rFonts w:ascii="Arial" w:hAnsi="Arial" w:cs="Arial"/>
          <w:bCs/>
          <w:i/>
          <w:iCs/>
          <w:sz w:val="28"/>
          <w:szCs w:val="28"/>
          <w:lang w:eastAsia="es-MX"/>
        </w:rPr>
        <w:t>parte demandante</w:t>
      </w:r>
      <w:r w:rsidRPr="00F32542">
        <w:rPr>
          <w:rFonts w:ascii="Arial" w:hAnsi="Arial" w:cs="Arial"/>
          <w:bCs/>
          <w:sz w:val="28"/>
          <w:szCs w:val="28"/>
          <w:lang w:eastAsia="es-MX"/>
        </w:rPr>
        <w:t xml:space="preserve"> solicita la revisión de todos los datos numéricos y porcentuales para contar con certeza sobre la asignación de diputaciones por el principio de representación proporcional.</w:t>
      </w:r>
    </w:p>
    <w:p w14:paraId="6FF0CFDC" w14:textId="77777777" w:rsidR="00F94B48" w:rsidRPr="00F32542" w:rsidRDefault="00F94B48" w:rsidP="00F94B48">
      <w:pPr>
        <w:spacing w:after="0" w:line="360" w:lineRule="auto"/>
        <w:jc w:val="both"/>
        <w:rPr>
          <w:rFonts w:ascii="Arial" w:hAnsi="Arial" w:cs="Arial"/>
          <w:bCs/>
          <w:sz w:val="28"/>
          <w:szCs w:val="28"/>
          <w:lang w:eastAsia="es-MX"/>
        </w:rPr>
      </w:pPr>
    </w:p>
    <w:p w14:paraId="04630D3B"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hAnsi="Arial" w:cs="Arial"/>
          <w:bCs/>
          <w:sz w:val="28"/>
          <w:szCs w:val="28"/>
          <w:lang w:eastAsia="es-MX"/>
        </w:rPr>
        <w:t xml:space="preserve">Al respecto, el </w:t>
      </w:r>
      <w:r w:rsidRPr="00F32542">
        <w:rPr>
          <w:rFonts w:ascii="Arial" w:hAnsi="Arial" w:cs="Arial"/>
          <w:bCs/>
          <w:i/>
          <w:iCs/>
          <w:sz w:val="28"/>
          <w:szCs w:val="28"/>
          <w:lang w:eastAsia="es-MX"/>
        </w:rPr>
        <w:t>Tribunal Electoral</w:t>
      </w:r>
      <w:r w:rsidRPr="00F32542">
        <w:rPr>
          <w:rFonts w:ascii="Arial" w:hAnsi="Arial" w:cs="Arial"/>
          <w:bCs/>
          <w:sz w:val="28"/>
          <w:szCs w:val="28"/>
          <w:lang w:eastAsia="es-MX"/>
        </w:rPr>
        <w:t xml:space="preserve"> determina que el agravio es </w:t>
      </w:r>
      <w:r w:rsidRPr="00F32542">
        <w:rPr>
          <w:rFonts w:ascii="Arial" w:hAnsi="Arial" w:cs="Arial"/>
          <w:b/>
          <w:sz w:val="28"/>
          <w:szCs w:val="28"/>
          <w:lang w:eastAsia="es-MX"/>
        </w:rPr>
        <w:t>inoperante</w:t>
      </w:r>
      <w:r w:rsidRPr="00F32542">
        <w:rPr>
          <w:rFonts w:ascii="Arial" w:hAnsi="Arial" w:cs="Arial"/>
          <w:bCs/>
          <w:sz w:val="28"/>
          <w:szCs w:val="28"/>
          <w:lang w:eastAsia="es-MX"/>
        </w:rPr>
        <w:t xml:space="preserve">, pues la </w:t>
      </w:r>
      <w:r w:rsidRPr="00F32542">
        <w:rPr>
          <w:rFonts w:ascii="Arial" w:hAnsi="Arial" w:cs="Arial"/>
          <w:bCs/>
          <w:i/>
          <w:iCs/>
          <w:sz w:val="28"/>
          <w:szCs w:val="28"/>
          <w:lang w:eastAsia="es-MX"/>
        </w:rPr>
        <w:t>parte actora</w:t>
      </w:r>
      <w:r w:rsidRPr="00F32542">
        <w:rPr>
          <w:rFonts w:ascii="Arial" w:hAnsi="Arial" w:cs="Arial"/>
          <w:bCs/>
          <w:sz w:val="28"/>
          <w:szCs w:val="28"/>
          <w:lang w:eastAsia="es-MX"/>
        </w:rPr>
        <w:t xml:space="preserve"> no controvierte de manera frontal el</w:t>
      </w:r>
      <w:r w:rsidRPr="00F32542">
        <w:rPr>
          <w:rFonts w:ascii="Arial" w:eastAsia="Calibri" w:hAnsi="Arial" w:cs="Arial"/>
          <w:b/>
          <w:bCs/>
          <w:sz w:val="28"/>
          <w:szCs w:val="28"/>
        </w:rPr>
        <w:t xml:space="preserve"> </w:t>
      </w:r>
      <w:r w:rsidRPr="00F32542">
        <w:rPr>
          <w:rFonts w:ascii="Arial" w:eastAsia="Calibri" w:hAnsi="Arial" w:cs="Arial"/>
          <w:i/>
          <w:iCs/>
          <w:sz w:val="28"/>
          <w:szCs w:val="28"/>
        </w:rPr>
        <w:t>acuerdo impugnado</w:t>
      </w:r>
      <w:r w:rsidRPr="00F32542">
        <w:rPr>
          <w:rFonts w:ascii="Arial" w:eastAsia="Calibri" w:hAnsi="Arial" w:cs="Arial"/>
          <w:sz w:val="28"/>
          <w:szCs w:val="28"/>
        </w:rPr>
        <w:t xml:space="preserve">, sino que se limita a pedir los datos utilizados por el </w:t>
      </w:r>
      <w:r w:rsidRPr="00F32542">
        <w:rPr>
          <w:rFonts w:ascii="Arial" w:eastAsia="Calibri" w:hAnsi="Arial" w:cs="Arial"/>
          <w:i/>
          <w:iCs/>
          <w:sz w:val="28"/>
          <w:szCs w:val="28"/>
        </w:rPr>
        <w:t>IECM</w:t>
      </w:r>
      <w:r w:rsidRPr="00F32542">
        <w:rPr>
          <w:rFonts w:ascii="Arial" w:eastAsia="Calibri" w:hAnsi="Arial" w:cs="Arial"/>
          <w:sz w:val="28"/>
          <w:szCs w:val="28"/>
        </w:rPr>
        <w:t xml:space="preserve"> para llevar a cabo la asignación de diputaciones por el principio de representación proporcional.</w:t>
      </w:r>
    </w:p>
    <w:p w14:paraId="66FF4FE5" w14:textId="77777777" w:rsidR="00F94B48" w:rsidRPr="00F32542" w:rsidRDefault="00F94B48" w:rsidP="00F94B48">
      <w:pPr>
        <w:spacing w:after="0" w:line="360" w:lineRule="auto"/>
        <w:jc w:val="both"/>
        <w:rPr>
          <w:rFonts w:ascii="Arial" w:eastAsia="Calibri" w:hAnsi="Arial" w:cs="Arial"/>
          <w:sz w:val="28"/>
          <w:szCs w:val="28"/>
        </w:rPr>
      </w:pPr>
    </w:p>
    <w:p w14:paraId="6BA8FE9F"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lastRenderedPageBreak/>
        <w:t xml:space="preserve">En efecto, si bien la </w:t>
      </w:r>
      <w:r w:rsidRPr="00F32542">
        <w:rPr>
          <w:rFonts w:ascii="Arial" w:eastAsia="Calibri" w:hAnsi="Arial" w:cs="Arial"/>
          <w:i/>
          <w:iCs/>
          <w:sz w:val="28"/>
          <w:szCs w:val="28"/>
        </w:rPr>
        <w:t>demandante</w:t>
      </w:r>
      <w:r w:rsidRPr="00F32542">
        <w:rPr>
          <w:rFonts w:ascii="Arial" w:eastAsia="Calibri" w:hAnsi="Arial" w:cs="Arial"/>
          <w:sz w:val="28"/>
          <w:szCs w:val="28"/>
        </w:rPr>
        <w:t xml:space="preserve"> expresa el motivo —revisar la asignación de diputaciones por el principio de representación proporcional— por el cual solicita los datos en cuestión, lo cierto es que dicha razón no es suficiente para que esta autoridad juzgadora realice un análisis con relación al acuerdo controvertido en este juicio.</w:t>
      </w:r>
    </w:p>
    <w:p w14:paraId="4D3D1252" w14:textId="77777777" w:rsidR="00F94B48" w:rsidRPr="00F32542" w:rsidRDefault="00F94B48" w:rsidP="00F94B48">
      <w:pPr>
        <w:spacing w:after="0" w:line="360" w:lineRule="auto"/>
        <w:jc w:val="both"/>
        <w:rPr>
          <w:rFonts w:ascii="Arial" w:eastAsia="Calibri" w:hAnsi="Arial" w:cs="Arial"/>
          <w:sz w:val="28"/>
          <w:szCs w:val="28"/>
        </w:rPr>
      </w:pPr>
    </w:p>
    <w:p w14:paraId="3AF4B7AB"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Por el contrario, la solicitud de la </w:t>
      </w:r>
      <w:r w:rsidRPr="00F32542">
        <w:rPr>
          <w:rFonts w:ascii="Arial" w:eastAsia="Calibri" w:hAnsi="Arial" w:cs="Arial"/>
          <w:i/>
          <w:iCs/>
          <w:sz w:val="28"/>
          <w:szCs w:val="28"/>
        </w:rPr>
        <w:t>inconforme</w:t>
      </w:r>
      <w:r w:rsidRPr="00F32542">
        <w:rPr>
          <w:rFonts w:ascii="Arial" w:eastAsia="Calibri" w:hAnsi="Arial" w:cs="Arial"/>
          <w:sz w:val="28"/>
          <w:szCs w:val="28"/>
        </w:rPr>
        <w:t xml:space="preserve"> constituye una manifestación genérica bajo la cual —se insiste— este Tribunal no está en condiciones de efectuar el estudio de la legalidad del acuerdo por medio del cual se realizó la asignación de diputaciones por el principio de representación proporcional. </w:t>
      </w:r>
    </w:p>
    <w:p w14:paraId="5936F9D4" w14:textId="77777777" w:rsidR="00F94B48" w:rsidRPr="00F32542" w:rsidRDefault="00F94B48" w:rsidP="00F94B48">
      <w:pPr>
        <w:spacing w:after="0" w:line="360" w:lineRule="auto"/>
        <w:jc w:val="both"/>
        <w:rPr>
          <w:rFonts w:ascii="Arial" w:eastAsia="Calibri" w:hAnsi="Arial" w:cs="Arial"/>
          <w:sz w:val="28"/>
          <w:szCs w:val="28"/>
        </w:rPr>
      </w:pPr>
    </w:p>
    <w:p w14:paraId="2D1B2AA2"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En todo caso, la enjuiciante debió expresar por qué razón controvertía el</w:t>
      </w:r>
      <w:r w:rsidRPr="00F32542">
        <w:rPr>
          <w:rFonts w:ascii="Arial" w:eastAsia="Calibri" w:hAnsi="Arial" w:cs="Arial"/>
          <w:b/>
          <w:bCs/>
          <w:sz w:val="28"/>
          <w:szCs w:val="28"/>
        </w:rPr>
        <w:t xml:space="preserve"> </w:t>
      </w:r>
      <w:r w:rsidRPr="00F32542">
        <w:rPr>
          <w:rFonts w:ascii="Arial" w:eastAsia="Calibri" w:hAnsi="Arial" w:cs="Arial"/>
          <w:i/>
          <w:iCs/>
          <w:sz w:val="28"/>
          <w:szCs w:val="28"/>
        </w:rPr>
        <w:t>acuerdo impugnado</w:t>
      </w:r>
      <w:r w:rsidRPr="00F32542">
        <w:rPr>
          <w:rFonts w:ascii="Arial" w:eastAsia="Calibri" w:hAnsi="Arial" w:cs="Arial"/>
          <w:sz w:val="28"/>
          <w:szCs w:val="28"/>
        </w:rPr>
        <w:t>, o bien, si existía alguna circunstancia probada que justificara su petición, a efecto de que esta autoridad juzgadora estuviera en condiciones de pronunciarse sobre la materia de controversia.</w:t>
      </w:r>
    </w:p>
    <w:p w14:paraId="063F62EB" w14:textId="77777777" w:rsidR="00F94B48" w:rsidRPr="00F32542" w:rsidRDefault="00F94B48" w:rsidP="00F94B48">
      <w:pPr>
        <w:spacing w:after="0" w:line="360" w:lineRule="auto"/>
        <w:jc w:val="both"/>
        <w:rPr>
          <w:rFonts w:ascii="Arial" w:eastAsia="Calibri" w:hAnsi="Arial" w:cs="Arial"/>
          <w:sz w:val="28"/>
          <w:szCs w:val="28"/>
        </w:rPr>
      </w:pPr>
    </w:p>
    <w:p w14:paraId="48C29196"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Sin que sea óbice a lo anterior, que la </w:t>
      </w:r>
      <w:r w:rsidRPr="00F32542">
        <w:rPr>
          <w:rFonts w:ascii="Arial" w:eastAsia="Calibri" w:hAnsi="Arial" w:cs="Arial"/>
          <w:i/>
          <w:iCs/>
          <w:sz w:val="28"/>
          <w:szCs w:val="28"/>
        </w:rPr>
        <w:t>demandante</w:t>
      </w:r>
      <w:r w:rsidRPr="00F32542">
        <w:rPr>
          <w:rFonts w:ascii="Arial" w:eastAsia="Calibri" w:hAnsi="Arial" w:cs="Arial"/>
          <w:sz w:val="28"/>
          <w:szCs w:val="28"/>
        </w:rPr>
        <w:t xml:space="preserve"> exprese que anteriormente se repartían cuarenta curules y no treinta y tres como ahora, o que existe una contradicción en el artículo </w:t>
      </w:r>
      <w:r w:rsidRPr="00F32542">
        <w:rPr>
          <w:rFonts w:ascii="Arial" w:eastAsia="Calibri" w:hAnsi="Arial" w:cs="Arial"/>
          <w:bCs/>
          <w:sz w:val="28"/>
          <w:szCs w:val="28"/>
        </w:rPr>
        <w:t xml:space="preserve">29 de la </w:t>
      </w:r>
      <w:r w:rsidRPr="00F32542">
        <w:rPr>
          <w:rFonts w:ascii="Arial" w:eastAsia="Calibri" w:hAnsi="Arial" w:cs="Arial"/>
          <w:bCs/>
          <w:i/>
          <w:iCs/>
          <w:sz w:val="28"/>
          <w:szCs w:val="28"/>
        </w:rPr>
        <w:t>Constitución Local</w:t>
      </w:r>
      <w:r w:rsidRPr="00F32542">
        <w:rPr>
          <w:rFonts w:ascii="Arial" w:eastAsia="Calibri" w:hAnsi="Arial" w:cs="Arial"/>
          <w:bCs/>
          <w:sz w:val="28"/>
          <w:szCs w:val="28"/>
        </w:rPr>
        <w:t xml:space="preserve"> respecto al número de diputaciones por el principio de representación proporcional, </w:t>
      </w:r>
      <w:r w:rsidRPr="00F32542">
        <w:rPr>
          <w:rFonts w:ascii="Arial" w:eastAsia="Calibri" w:hAnsi="Arial" w:cs="Arial"/>
          <w:sz w:val="28"/>
          <w:szCs w:val="28"/>
        </w:rPr>
        <w:t>pues estas afirmaciones en nada abonan para calificar de modo distinto el agravio en estudio, debido a que tampoco están dirigidas a reclamar —de manera frontal— la asignación de diputaciones por el principio de representación proporcional.</w:t>
      </w:r>
    </w:p>
    <w:p w14:paraId="6B57F484" w14:textId="77777777" w:rsidR="00F94B48" w:rsidRPr="00F32542" w:rsidRDefault="00F94B48" w:rsidP="00F94B48">
      <w:pPr>
        <w:spacing w:after="0" w:line="360" w:lineRule="auto"/>
        <w:jc w:val="both"/>
        <w:rPr>
          <w:rFonts w:ascii="Arial" w:eastAsia="Calibri" w:hAnsi="Arial" w:cs="Arial"/>
          <w:sz w:val="28"/>
          <w:szCs w:val="28"/>
        </w:rPr>
      </w:pPr>
    </w:p>
    <w:p w14:paraId="284C61AB" w14:textId="77777777" w:rsidR="00F94B48" w:rsidRPr="00F32542" w:rsidRDefault="00F94B48" w:rsidP="00F94B48">
      <w:pPr>
        <w:spacing w:after="0" w:line="360" w:lineRule="auto"/>
        <w:jc w:val="both"/>
        <w:rPr>
          <w:rFonts w:ascii="Arial" w:hAnsi="Arial" w:cs="Arial"/>
          <w:bCs/>
          <w:sz w:val="28"/>
          <w:szCs w:val="28"/>
        </w:rPr>
      </w:pPr>
      <w:r w:rsidRPr="00F32542">
        <w:rPr>
          <w:rFonts w:ascii="Arial" w:hAnsi="Arial" w:cs="Arial"/>
          <w:bCs/>
          <w:sz w:val="28"/>
          <w:szCs w:val="28"/>
        </w:rPr>
        <w:lastRenderedPageBreak/>
        <w:t xml:space="preserve">Robustece lo resuelto, las jurisprudencias </w:t>
      </w:r>
      <w:r w:rsidRPr="00F32542">
        <w:rPr>
          <w:rFonts w:ascii="Arial" w:hAnsi="Arial" w:cs="Arial"/>
          <w:b/>
          <w:sz w:val="28"/>
          <w:szCs w:val="28"/>
        </w:rPr>
        <w:t>IV.3o. J/12</w:t>
      </w:r>
      <w:r w:rsidRPr="00F32542">
        <w:rPr>
          <w:rFonts w:ascii="Arial" w:hAnsi="Arial" w:cs="Arial"/>
          <w:bCs/>
          <w:sz w:val="28"/>
          <w:szCs w:val="28"/>
        </w:rPr>
        <w:t xml:space="preserve">, </w:t>
      </w:r>
      <w:r w:rsidRPr="00F32542">
        <w:rPr>
          <w:rFonts w:ascii="Arial" w:hAnsi="Arial" w:cs="Arial"/>
          <w:b/>
          <w:sz w:val="28"/>
          <w:szCs w:val="28"/>
        </w:rPr>
        <w:t>I.6o.C. J/15</w:t>
      </w:r>
      <w:r w:rsidRPr="00F32542">
        <w:rPr>
          <w:rFonts w:ascii="Arial" w:hAnsi="Arial" w:cs="Arial"/>
          <w:bCs/>
          <w:sz w:val="28"/>
          <w:szCs w:val="28"/>
        </w:rPr>
        <w:t xml:space="preserve"> y </w:t>
      </w:r>
      <w:r w:rsidRPr="00F32542">
        <w:rPr>
          <w:rFonts w:ascii="Arial" w:hAnsi="Arial" w:cs="Arial"/>
          <w:b/>
          <w:sz w:val="28"/>
          <w:szCs w:val="28"/>
        </w:rPr>
        <w:t>2a./J. 109/2009</w:t>
      </w:r>
      <w:r w:rsidRPr="00F32542">
        <w:rPr>
          <w:rFonts w:ascii="Arial" w:hAnsi="Arial" w:cs="Arial"/>
          <w:bCs/>
          <w:sz w:val="28"/>
          <w:szCs w:val="28"/>
        </w:rPr>
        <w:t xml:space="preserve"> de rubros “</w:t>
      </w:r>
      <w:r w:rsidRPr="00F32542">
        <w:rPr>
          <w:rFonts w:ascii="Arial" w:hAnsi="Arial" w:cs="Arial"/>
          <w:b/>
          <w:sz w:val="28"/>
          <w:szCs w:val="28"/>
        </w:rPr>
        <w:t>AGRAVIOS. DEBEN DE IMPUGNAR LA ILEGALIDAD DEL FALLO RECURRIDO</w:t>
      </w:r>
      <w:r w:rsidRPr="00F32542">
        <w:rPr>
          <w:rFonts w:ascii="Arial" w:hAnsi="Arial" w:cs="Arial"/>
          <w:bCs/>
          <w:sz w:val="28"/>
          <w:szCs w:val="28"/>
        </w:rPr>
        <w:t>”</w:t>
      </w:r>
      <w:r w:rsidRPr="00F32542">
        <w:rPr>
          <w:rStyle w:val="Refdenotaalpie"/>
          <w:rFonts w:ascii="Arial" w:hAnsi="Arial" w:cs="Arial"/>
          <w:sz w:val="28"/>
          <w:szCs w:val="28"/>
        </w:rPr>
        <w:footnoteReference w:id="41"/>
      </w:r>
      <w:r w:rsidRPr="00F32542">
        <w:rPr>
          <w:rFonts w:ascii="Arial" w:hAnsi="Arial" w:cs="Arial"/>
          <w:bCs/>
          <w:sz w:val="28"/>
          <w:szCs w:val="28"/>
        </w:rPr>
        <w:t>, “</w:t>
      </w:r>
      <w:r w:rsidRPr="00F32542">
        <w:rPr>
          <w:rFonts w:ascii="Arial" w:hAnsi="Arial" w:cs="Arial"/>
          <w:b/>
          <w:sz w:val="28"/>
          <w:szCs w:val="28"/>
        </w:rPr>
        <w:t>CONCEPTOS DE VIOLACIÓN INOPERANTES, CUANDO NO ATACAN LAS CONSIDERACIONES DE LA SENTENCIA IMPUGNADA</w:t>
      </w:r>
      <w:r w:rsidRPr="00F32542">
        <w:rPr>
          <w:rFonts w:ascii="Arial" w:hAnsi="Arial" w:cs="Arial"/>
          <w:bCs/>
          <w:sz w:val="28"/>
          <w:szCs w:val="28"/>
        </w:rPr>
        <w:t>” y “</w:t>
      </w:r>
      <w:r w:rsidRPr="00F32542">
        <w:rPr>
          <w:rFonts w:ascii="Arial" w:hAnsi="Arial" w:cs="Arial"/>
          <w:b/>
          <w:sz w:val="28"/>
          <w:szCs w:val="28"/>
        </w:rPr>
        <w:t>AGRAVIOS INOPERANTES EN LA REVISIÓN. SON AQUELLOS QUE REITERAN LOS CONCEPTOS DE VIOLACIÓN, ABUNDAN SOBRE ELLOS O LOS COMPLEMENTAN, SIN COMBATIR LAS CONSIDERACIONES DE LA SENTENCIA RECURRIDA</w:t>
      </w:r>
      <w:r w:rsidRPr="00F32542">
        <w:rPr>
          <w:rFonts w:ascii="Arial" w:hAnsi="Arial" w:cs="Arial"/>
          <w:bCs/>
          <w:sz w:val="28"/>
          <w:szCs w:val="28"/>
        </w:rPr>
        <w:t>”</w:t>
      </w:r>
      <w:r w:rsidRPr="00F32542">
        <w:rPr>
          <w:rStyle w:val="Refdenotaalpie"/>
          <w:rFonts w:ascii="Arial" w:hAnsi="Arial" w:cs="Arial"/>
          <w:sz w:val="28"/>
          <w:szCs w:val="28"/>
        </w:rPr>
        <w:footnoteReference w:id="42"/>
      </w:r>
      <w:r w:rsidRPr="00F32542">
        <w:rPr>
          <w:rFonts w:ascii="Arial" w:hAnsi="Arial" w:cs="Arial"/>
          <w:bCs/>
          <w:sz w:val="28"/>
          <w:szCs w:val="28"/>
        </w:rPr>
        <w:t>.</w:t>
      </w:r>
    </w:p>
    <w:p w14:paraId="154B9E63" w14:textId="77777777" w:rsidR="00F94B48" w:rsidRPr="00F32542" w:rsidRDefault="00F94B48" w:rsidP="00F94B48">
      <w:pPr>
        <w:spacing w:after="0" w:line="360" w:lineRule="auto"/>
        <w:jc w:val="both"/>
        <w:rPr>
          <w:rFonts w:ascii="Arial" w:hAnsi="Arial" w:cs="Arial"/>
          <w:bCs/>
          <w:sz w:val="28"/>
          <w:szCs w:val="28"/>
        </w:rPr>
      </w:pPr>
    </w:p>
    <w:p w14:paraId="1107F776" w14:textId="77777777" w:rsidR="00F94B48" w:rsidRPr="00F32542" w:rsidRDefault="00F94B48" w:rsidP="00F94B48">
      <w:pPr>
        <w:spacing w:after="0" w:line="360" w:lineRule="auto"/>
        <w:jc w:val="both"/>
        <w:rPr>
          <w:rFonts w:ascii="Arial" w:hAnsi="Arial" w:cs="Arial"/>
          <w:bCs/>
          <w:sz w:val="28"/>
          <w:szCs w:val="28"/>
        </w:rPr>
      </w:pPr>
      <w:r w:rsidRPr="00F32542">
        <w:rPr>
          <w:rFonts w:ascii="Arial" w:hAnsi="Arial" w:cs="Arial"/>
          <w:bCs/>
          <w:sz w:val="28"/>
          <w:szCs w:val="28"/>
        </w:rPr>
        <w:t xml:space="preserve">Además, de cualquier forma, el artículo 29, apartado A, párrafo 2 de la </w:t>
      </w:r>
      <w:r w:rsidRPr="00F32542">
        <w:rPr>
          <w:rFonts w:ascii="Arial" w:hAnsi="Arial" w:cs="Arial"/>
          <w:bCs/>
          <w:i/>
          <w:iCs/>
          <w:sz w:val="28"/>
          <w:szCs w:val="28"/>
        </w:rPr>
        <w:t>Constitución Local</w:t>
      </w:r>
      <w:r w:rsidRPr="00F32542">
        <w:rPr>
          <w:rFonts w:ascii="Arial" w:hAnsi="Arial" w:cs="Arial"/>
          <w:bCs/>
          <w:sz w:val="28"/>
          <w:szCs w:val="28"/>
        </w:rPr>
        <w:t xml:space="preserve"> dispone que el </w:t>
      </w:r>
      <w:r w:rsidRPr="00F32542">
        <w:rPr>
          <w:rFonts w:ascii="Arial" w:hAnsi="Arial" w:cs="Arial"/>
          <w:bCs/>
          <w:i/>
          <w:iCs/>
          <w:sz w:val="28"/>
          <w:szCs w:val="28"/>
        </w:rPr>
        <w:t>Congreso local</w:t>
      </w:r>
      <w:r w:rsidRPr="00F32542">
        <w:rPr>
          <w:rFonts w:ascii="Arial" w:hAnsi="Arial" w:cs="Arial"/>
          <w:bCs/>
          <w:sz w:val="28"/>
          <w:szCs w:val="28"/>
        </w:rPr>
        <w:t xml:space="preserve"> se integrará por sesenta diputaciones, treinta y tres electas por el principio de mayoría relativa, y treinta y tres conforme al principio de representación proporcional; y si bien, posteriormente, el apartado B, párrafo 2, inciso a) del citado precepto establece que “</w:t>
      </w:r>
      <w:r w:rsidRPr="00F32542">
        <w:rPr>
          <w:rFonts w:ascii="Arial" w:hAnsi="Arial" w:cs="Arial"/>
          <w:bCs/>
          <w:i/>
          <w:iCs/>
          <w:sz w:val="28"/>
          <w:szCs w:val="28"/>
        </w:rPr>
        <w:t>ningún partido podrá contar con más de cuarenta diputaciones electas por ambos principios</w:t>
      </w:r>
      <w:r w:rsidRPr="00F32542">
        <w:rPr>
          <w:rFonts w:ascii="Arial" w:hAnsi="Arial" w:cs="Arial"/>
          <w:bCs/>
          <w:sz w:val="28"/>
          <w:szCs w:val="28"/>
        </w:rPr>
        <w:t>”, esta porción normativa se refiere al número máximo de diputaciones —del total de sesenta y seis— que cada partido tiene derecho a obtener, y no así al número de personas que conforman el cuerpo legislativo; el cual, se insiste, es de sesenta y seis.</w:t>
      </w:r>
    </w:p>
    <w:p w14:paraId="79AD25E2" w14:textId="77777777" w:rsidR="00F94B48" w:rsidRPr="00F32542" w:rsidRDefault="00F94B48" w:rsidP="00F94B48">
      <w:pPr>
        <w:spacing w:after="0" w:line="360" w:lineRule="auto"/>
        <w:jc w:val="both"/>
        <w:rPr>
          <w:rFonts w:ascii="Arial" w:hAnsi="Arial" w:cs="Arial"/>
          <w:bCs/>
          <w:sz w:val="28"/>
          <w:szCs w:val="28"/>
        </w:rPr>
      </w:pPr>
    </w:p>
    <w:p w14:paraId="02933BE7" w14:textId="77777777" w:rsidR="00F94B48" w:rsidRPr="00F32542" w:rsidRDefault="00F94B48" w:rsidP="00F94B48">
      <w:pPr>
        <w:spacing w:after="0" w:line="360" w:lineRule="auto"/>
        <w:jc w:val="both"/>
        <w:rPr>
          <w:rFonts w:ascii="Arial" w:hAnsi="Arial" w:cs="Arial"/>
          <w:bCs/>
          <w:sz w:val="28"/>
          <w:szCs w:val="28"/>
        </w:rPr>
      </w:pPr>
      <w:r w:rsidRPr="00F32542">
        <w:rPr>
          <w:rFonts w:ascii="Arial" w:hAnsi="Arial" w:cs="Arial"/>
          <w:bCs/>
          <w:sz w:val="28"/>
          <w:szCs w:val="28"/>
        </w:rPr>
        <w:t xml:space="preserve">En las relatadas circunstancias, el agravio es </w:t>
      </w:r>
      <w:r w:rsidRPr="00F32542">
        <w:rPr>
          <w:rFonts w:ascii="Arial" w:hAnsi="Arial" w:cs="Arial"/>
          <w:b/>
          <w:sz w:val="28"/>
          <w:szCs w:val="28"/>
        </w:rPr>
        <w:t>inoperante</w:t>
      </w:r>
      <w:r w:rsidRPr="00F32542">
        <w:rPr>
          <w:rFonts w:ascii="Arial" w:hAnsi="Arial" w:cs="Arial"/>
          <w:bCs/>
          <w:sz w:val="28"/>
          <w:szCs w:val="28"/>
        </w:rPr>
        <w:t>.</w:t>
      </w:r>
    </w:p>
    <w:p w14:paraId="656DB680" w14:textId="77777777" w:rsidR="00F94B48" w:rsidRPr="00F32542" w:rsidRDefault="00F94B48" w:rsidP="007D0D40">
      <w:pPr>
        <w:pStyle w:val="Prrafodelista"/>
        <w:widowControl w:val="0"/>
        <w:spacing w:line="360" w:lineRule="auto"/>
        <w:ind w:left="1080"/>
        <w:rPr>
          <w:rFonts w:ascii="Arial" w:hAnsi="Arial" w:cs="Arial"/>
          <w:b/>
          <w:bCs/>
          <w:color w:val="000000"/>
          <w:szCs w:val="28"/>
        </w:rPr>
      </w:pPr>
    </w:p>
    <w:p w14:paraId="3CFF4570" w14:textId="77777777" w:rsidR="00F94B48" w:rsidRPr="00F32542" w:rsidRDefault="00F94B48" w:rsidP="00F43BF1">
      <w:pPr>
        <w:pStyle w:val="Prrafodelista"/>
        <w:widowControl w:val="0"/>
        <w:numPr>
          <w:ilvl w:val="0"/>
          <w:numId w:val="2"/>
        </w:numPr>
        <w:spacing w:line="360" w:lineRule="auto"/>
        <w:rPr>
          <w:rFonts w:ascii="Arial" w:hAnsi="Arial" w:cs="Arial"/>
          <w:b/>
          <w:bCs/>
          <w:color w:val="000000"/>
          <w:szCs w:val="28"/>
        </w:rPr>
      </w:pPr>
      <w:r w:rsidRPr="00F32542">
        <w:rPr>
          <w:rFonts w:ascii="Arial" w:hAnsi="Arial" w:cs="Arial"/>
          <w:b/>
          <w:bCs/>
          <w:color w:val="000000"/>
          <w:szCs w:val="28"/>
        </w:rPr>
        <w:t xml:space="preserve"> Acción afirmativa para personas indígenas</w:t>
      </w:r>
    </w:p>
    <w:p w14:paraId="2817AA9D" w14:textId="77777777" w:rsidR="00F94B48" w:rsidRPr="00F32542" w:rsidRDefault="00F94B48" w:rsidP="00F94B48">
      <w:pPr>
        <w:spacing w:after="0" w:line="360" w:lineRule="auto"/>
        <w:contextualSpacing/>
        <w:jc w:val="both"/>
        <w:rPr>
          <w:rFonts w:ascii="Arial" w:eastAsia="Times New Roman" w:hAnsi="Arial" w:cs="Arial"/>
          <w:bCs/>
          <w:color w:val="000000"/>
          <w:sz w:val="28"/>
          <w:szCs w:val="28"/>
        </w:rPr>
      </w:pPr>
    </w:p>
    <w:p w14:paraId="2EF9031B" w14:textId="77777777" w:rsidR="00F94B48" w:rsidRPr="00F32542" w:rsidRDefault="00F94B48" w:rsidP="00F94B48">
      <w:p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A continuación, se analizarán los siguientes planteamientos:</w:t>
      </w:r>
    </w:p>
    <w:p w14:paraId="21F8F3E2" w14:textId="77777777" w:rsidR="00F94B48" w:rsidRPr="00F32542" w:rsidRDefault="00F94B48" w:rsidP="00F94B48">
      <w:pPr>
        <w:spacing w:after="0" w:line="360" w:lineRule="auto"/>
        <w:contextualSpacing/>
        <w:jc w:val="both"/>
        <w:rPr>
          <w:rFonts w:ascii="Arial" w:eastAsia="Times New Roman" w:hAnsi="Arial" w:cs="Arial"/>
          <w:bCs/>
          <w:color w:val="000000"/>
          <w:sz w:val="28"/>
          <w:szCs w:val="28"/>
        </w:rPr>
      </w:pPr>
    </w:p>
    <w:p w14:paraId="66B0ED1B" w14:textId="77777777" w:rsidR="00F94B48" w:rsidRPr="00F32542" w:rsidRDefault="00F94B48" w:rsidP="00F94B48">
      <w:pPr>
        <w:spacing w:after="0" w:line="360" w:lineRule="auto"/>
        <w:contextualSpacing/>
        <w:jc w:val="both"/>
        <w:rPr>
          <w:rFonts w:ascii="Arial" w:eastAsia="Times New Roman" w:hAnsi="Arial" w:cs="Arial"/>
          <w:b/>
          <w:bCs/>
          <w:color w:val="000000"/>
          <w:sz w:val="28"/>
          <w:szCs w:val="28"/>
        </w:rPr>
      </w:pPr>
      <w:r w:rsidRPr="00F32542">
        <w:rPr>
          <w:rFonts w:ascii="Arial" w:eastAsia="Times New Roman" w:hAnsi="Arial" w:cs="Arial"/>
          <w:b/>
          <w:bCs/>
          <w:color w:val="000000"/>
          <w:sz w:val="28"/>
          <w:szCs w:val="28"/>
        </w:rPr>
        <w:t xml:space="preserve">TECDMX-JLDC-90/2021 (Alejandro Argüelles </w:t>
      </w:r>
      <w:proofErr w:type="spellStart"/>
      <w:r w:rsidRPr="00F32542">
        <w:rPr>
          <w:rFonts w:ascii="Arial" w:eastAsia="Times New Roman" w:hAnsi="Arial" w:cs="Arial"/>
          <w:b/>
          <w:bCs/>
          <w:color w:val="000000"/>
          <w:sz w:val="28"/>
          <w:szCs w:val="28"/>
        </w:rPr>
        <w:t>Almontes</w:t>
      </w:r>
      <w:proofErr w:type="spellEnd"/>
      <w:r w:rsidRPr="00F32542">
        <w:rPr>
          <w:rFonts w:ascii="Arial" w:eastAsia="Times New Roman" w:hAnsi="Arial" w:cs="Arial"/>
          <w:b/>
          <w:bCs/>
          <w:color w:val="000000"/>
          <w:sz w:val="28"/>
          <w:szCs w:val="28"/>
        </w:rPr>
        <w:t xml:space="preserve">) </w:t>
      </w:r>
    </w:p>
    <w:p w14:paraId="2C851401" w14:textId="77777777" w:rsidR="00F94B48" w:rsidRPr="00F32542" w:rsidRDefault="00F94B48" w:rsidP="00F94B48">
      <w:pPr>
        <w:spacing w:after="0" w:line="360" w:lineRule="auto"/>
        <w:contextualSpacing/>
        <w:jc w:val="both"/>
        <w:rPr>
          <w:rFonts w:ascii="Arial" w:eastAsia="Times New Roman" w:hAnsi="Arial" w:cs="Arial"/>
          <w:bCs/>
          <w:color w:val="000000"/>
          <w:sz w:val="28"/>
          <w:szCs w:val="28"/>
        </w:rPr>
      </w:pPr>
    </w:p>
    <w:p w14:paraId="085D331F" w14:textId="77777777" w:rsidR="00F94B48" w:rsidRPr="00F32542" w:rsidRDefault="00F94B48" w:rsidP="00F94B48">
      <w:p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La </w:t>
      </w:r>
      <w:r w:rsidRPr="00F32542">
        <w:rPr>
          <w:rFonts w:ascii="Arial" w:eastAsia="Times New Roman" w:hAnsi="Arial" w:cs="Arial"/>
          <w:bCs/>
          <w:i/>
          <w:color w:val="000000"/>
          <w:sz w:val="28"/>
          <w:szCs w:val="28"/>
        </w:rPr>
        <w:t>parte actora</w:t>
      </w:r>
      <w:r w:rsidRPr="00F32542">
        <w:rPr>
          <w:rFonts w:ascii="Arial" w:eastAsia="Times New Roman" w:hAnsi="Arial" w:cs="Arial"/>
          <w:bCs/>
          <w:color w:val="000000"/>
          <w:sz w:val="28"/>
          <w:szCs w:val="28"/>
        </w:rPr>
        <w:t xml:space="preserve"> cuestiona que el </w:t>
      </w:r>
      <w:r w:rsidRPr="00F32542">
        <w:rPr>
          <w:rFonts w:ascii="Arial" w:eastAsia="Times New Roman" w:hAnsi="Arial" w:cs="Arial"/>
          <w:bCs/>
          <w:i/>
          <w:color w:val="000000"/>
          <w:sz w:val="28"/>
          <w:szCs w:val="28"/>
        </w:rPr>
        <w:t>Consejo General</w:t>
      </w:r>
      <w:r w:rsidRPr="00F32542">
        <w:rPr>
          <w:rFonts w:ascii="Arial" w:eastAsia="Times New Roman" w:hAnsi="Arial" w:cs="Arial"/>
          <w:bCs/>
          <w:color w:val="000000"/>
          <w:sz w:val="28"/>
          <w:szCs w:val="28"/>
        </w:rPr>
        <w:t xml:space="preserve"> no se pronunció sobre las acciones afirmativas en materia de personas integrantes de comunidades indígenas que debieron concretarse en la integración del </w:t>
      </w:r>
      <w:r w:rsidRPr="00F32542">
        <w:rPr>
          <w:rFonts w:ascii="Arial" w:eastAsia="Times New Roman" w:hAnsi="Arial" w:cs="Arial"/>
          <w:bCs/>
          <w:i/>
          <w:color w:val="000000"/>
          <w:sz w:val="28"/>
          <w:szCs w:val="28"/>
        </w:rPr>
        <w:t>Congreso</w:t>
      </w:r>
      <w:r w:rsidRPr="00F32542">
        <w:rPr>
          <w:rFonts w:ascii="Arial" w:eastAsia="Times New Roman" w:hAnsi="Arial" w:cs="Arial"/>
          <w:bCs/>
          <w:color w:val="000000"/>
          <w:sz w:val="28"/>
          <w:szCs w:val="28"/>
        </w:rPr>
        <w:t xml:space="preserve"> y no solo en la postulación de candidaturas, omisión que le agravia, pues pretende le sea reconocida su identidad y pertenencia a una comunidad indígena y barrio originario y, en función de ello, ser incluido en la lista de diputaciones de representación proporcional asignadas al </w:t>
      </w:r>
      <w:r w:rsidRPr="00F32542">
        <w:rPr>
          <w:rFonts w:ascii="Arial" w:eastAsia="Times New Roman" w:hAnsi="Arial" w:cs="Arial"/>
          <w:bCs/>
          <w:i/>
          <w:color w:val="000000"/>
          <w:sz w:val="28"/>
          <w:szCs w:val="28"/>
        </w:rPr>
        <w:t>PRI</w:t>
      </w:r>
      <w:r w:rsidRPr="00F32542">
        <w:rPr>
          <w:rFonts w:ascii="Arial" w:eastAsia="Times New Roman" w:hAnsi="Arial" w:cs="Arial"/>
          <w:bCs/>
          <w:color w:val="000000"/>
          <w:sz w:val="28"/>
          <w:szCs w:val="28"/>
        </w:rPr>
        <w:t>, aplicando una acción afirmativa a su favor.</w:t>
      </w:r>
    </w:p>
    <w:p w14:paraId="7A7EEE0C" w14:textId="77777777" w:rsidR="00F94B48" w:rsidRPr="00F32542" w:rsidRDefault="00F94B48" w:rsidP="00F94B48">
      <w:pPr>
        <w:spacing w:after="0" w:line="360" w:lineRule="auto"/>
        <w:contextualSpacing/>
        <w:jc w:val="both"/>
        <w:rPr>
          <w:rFonts w:ascii="Arial" w:eastAsia="Times New Roman" w:hAnsi="Arial" w:cs="Arial"/>
          <w:bCs/>
          <w:color w:val="000000"/>
          <w:sz w:val="28"/>
          <w:szCs w:val="28"/>
        </w:rPr>
      </w:pPr>
    </w:p>
    <w:p w14:paraId="727F2EA1" w14:textId="77777777" w:rsidR="00F94B48" w:rsidRPr="00F32542" w:rsidRDefault="00F94B48" w:rsidP="00F94B48">
      <w:p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Por tanto, dice que el acuerdo impugnado adolece de una falta de motivación y fundamentación pues no refiere qué mecanismos aplicó ni cuáles razones consideró para garantizar la participación de personas indígenas en la integración del </w:t>
      </w:r>
      <w:r w:rsidRPr="00F32542">
        <w:rPr>
          <w:rFonts w:ascii="Arial" w:eastAsia="Times New Roman" w:hAnsi="Arial" w:cs="Arial"/>
          <w:bCs/>
          <w:i/>
          <w:color w:val="000000"/>
          <w:sz w:val="28"/>
          <w:szCs w:val="28"/>
        </w:rPr>
        <w:t>Congreso</w:t>
      </w:r>
      <w:r w:rsidRPr="00F32542">
        <w:rPr>
          <w:rFonts w:ascii="Arial" w:eastAsia="Times New Roman" w:hAnsi="Arial" w:cs="Arial"/>
          <w:bCs/>
          <w:color w:val="000000"/>
          <w:sz w:val="28"/>
          <w:szCs w:val="28"/>
        </w:rPr>
        <w:t xml:space="preserve">. </w:t>
      </w:r>
    </w:p>
    <w:p w14:paraId="142CC277" w14:textId="77777777" w:rsidR="00F94B48" w:rsidRPr="00F32542" w:rsidRDefault="00F94B48" w:rsidP="00F94B48">
      <w:pPr>
        <w:spacing w:after="0" w:line="360" w:lineRule="auto"/>
        <w:contextualSpacing/>
        <w:jc w:val="both"/>
        <w:rPr>
          <w:rFonts w:ascii="Arial" w:eastAsia="Times New Roman" w:hAnsi="Arial" w:cs="Arial"/>
          <w:bCs/>
          <w:color w:val="000000"/>
          <w:sz w:val="28"/>
          <w:szCs w:val="28"/>
        </w:rPr>
      </w:pPr>
    </w:p>
    <w:p w14:paraId="142CF8F8" w14:textId="77777777" w:rsidR="00F94B48" w:rsidRPr="00F32542" w:rsidRDefault="00F94B48" w:rsidP="00F94B48">
      <w:pPr>
        <w:spacing w:after="0" w:line="360" w:lineRule="auto"/>
        <w:jc w:val="both"/>
        <w:rPr>
          <w:rFonts w:ascii="Arial" w:eastAsia="Times New Roman" w:hAnsi="Arial" w:cs="Arial"/>
          <w:b/>
          <w:bCs/>
          <w:color w:val="000000"/>
          <w:sz w:val="28"/>
          <w:szCs w:val="28"/>
        </w:rPr>
      </w:pPr>
      <w:r w:rsidRPr="00F32542">
        <w:rPr>
          <w:rFonts w:ascii="Arial" w:eastAsia="Times New Roman" w:hAnsi="Arial" w:cs="Arial"/>
          <w:b/>
          <w:bCs/>
          <w:color w:val="000000"/>
          <w:sz w:val="28"/>
          <w:szCs w:val="28"/>
        </w:rPr>
        <w:t>TECDMX-JLDC-94/2021 (Alberto Abraham Melo Torres)</w:t>
      </w:r>
    </w:p>
    <w:p w14:paraId="1C57FC3E" w14:textId="77777777" w:rsidR="00F94B48" w:rsidRPr="00F32542" w:rsidRDefault="00F94B48" w:rsidP="00F94B48">
      <w:pPr>
        <w:spacing w:after="0" w:line="360" w:lineRule="auto"/>
        <w:contextualSpacing/>
        <w:jc w:val="both"/>
        <w:rPr>
          <w:rFonts w:ascii="Arial" w:eastAsia="Times New Roman" w:hAnsi="Arial" w:cs="Arial"/>
          <w:bCs/>
          <w:color w:val="000000"/>
          <w:sz w:val="28"/>
          <w:szCs w:val="28"/>
        </w:rPr>
      </w:pPr>
    </w:p>
    <w:p w14:paraId="76748833" w14:textId="77777777" w:rsidR="00F94B48" w:rsidRPr="00F32542" w:rsidRDefault="00F94B48" w:rsidP="00F94B48">
      <w:p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El actor solicita que, con una interpretación sistemática y funcional del artículo 22 del </w:t>
      </w:r>
      <w:r w:rsidRPr="00F32542">
        <w:rPr>
          <w:rFonts w:ascii="Arial" w:eastAsia="Times New Roman" w:hAnsi="Arial" w:cs="Arial"/>
          <w:bCs/>
          <w:i/>
          <w:color w:val="000000"/>
          <w:sz w:val="28"/>
          <w:szCs w:val="28"/>
        </w:rPr>
        <w:t>Código local,</w:t>
      </w:r>
      <w:r w:rsidRPr="00F32542">
        <w:rPr>
          <w:rFonts w:ascii="Arial" w:eastAsia="Times New Roman" w:hAnsi="Arial" w:cs="Arial"/>
          <w:bCs/>
          <w:color w:val="000000"/>
          <w:sz w:val="28"/>
          <w:szCs w:val="28"/>
        </w:rPr>
        <w:t xml:space="preserve"> se pondere su acceso a una diputación al tener la calidad de indígena y así, se logre la representación de ese grupo históricamente desfavorecido, pues se debe tutelar el adecuado acceso de todos los grupos en esa situación, no sólo a mujeres y migrantes, sino también incluyendo a las personas indígenas; solo entonces se podrá hablar de una igualdad sustancial.  </w:t>
      </w:r>
    </w:p>
    <w:p w14:paraId="6F99F6C6" w14:textId="77777777" w:rsidR="00F94B48" w:rsidRPr="00F32542" w:rsidRDefault="00F94B48" w:rsidP="00F94B48">
      <w:pPr>
        <w:spacing w:after="0" w:line="360" w:lineRule="auto"/>
        <w:contextualSpacing/>
        <w:jc w:val="both"/>
        <w:rPr>
          <w:rFonts w:ascii="Arial" w:eastAsia="Times New Roman" w:hAnsi="Arial" w:cs="Arial"/>
          <w:bCs/>
          <w:color w:val="000000"/>
          <w:sz w:val="28"/>
          <w:szCs w:val="28"/>
        </w:rPr>
      </w:pPr>
    </w:p>
    <w:p w14:paraId="009CF9A7" w14:textId="77777777" w:rsidR="00F94B48" w:rsidRPr="00F32542" w:rsidRDefault="00F94B48" w:rsidP="00F94B48">
      <w:p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lastRenderedPageBreak/>
        <w:t xml:space="preserve">Los agravios son </w:t>
      </w:r>
      <w:r w:rsidRPr="00F32542">
        <w:rPr>
          <w:rFonts w:ascii="Arial" w:eastAsia="Times New Roman" w:hAnsi="Arial" w:cs="Arial"/>
          <w:b/>
          <w:bCs/>
          <w:color w:val="000000"/>
          <w:sz w:val="28"/>
          <w:szCs w:val="28"/>
        </w:rPr>
        <w:t>infundados</w:t>
      </w:r>
      <w:r w:rsidRPr="00F32542">
        <w:rPr>
          <w:rFonts w:ascii="Arial" w:eastAsia="Times New Roman" w:hAnsi="Arial" w:cs="Arial"/>
          <w:bCs/>
          <w:color w:val="000000"/>
          <w:sz w:val="28"/>
          <w:szCs w:val="28"/>
        </w:rPr>
        <w:t xml:space="preserve">, ya que no es jurídicamente factible que este Tribunal Electoral aplique la acción afirmativa solicitada por las </w:t>
      </w:r>
      <w:r w:rsidRPr="00F32542">
        <w:rPr>
          <w:rFonts w:ascii="Arial" w:eastAsia="Times New Roman" w:hAnsi="Arial" w:cs="Arial"/>
          <w:bCs/>
          <w:i/>
          <w:color w:val="000000"/>
          <w:sz w:val="28"/>
          <w:szCs w:val="28"/>
        </w:rPr>
        <w:t>partes actoras</w:t>
      </w:r>
      <w:r w:rsidRPr="00F32542">
        <w:rPr>
          <w:rFonts w:ascii="Arial" w:eastAsia="Times New Roman" w:hAnsi="Arial" w:cs="Arial"/>
          <w:bCs/>
          <w:color w:val="000000"/>
          <w:sz w:val="28"/>
          <w:szCs w:val="28"/>
        </w:rPr>
        <w:t xml:space="preserve">, al no haber sido pedida su implementación con la oportunidad debida. </w:t>
      </w:r>
    </w:p>
    <w:p w14:paraId="2122288D" w14:textId="77777777" w:rsidR="00F94B48" w:rsidRPr="00F32542" w:rsidRDefault="00F94B48" w:rsidP="00F94B48">
      <w:pPr>
        <w:spacing w:after="0" w:line="360" w:lineRule="auto"/>
        <w:contextualSpacing/>
        <w:jc w:val="both"/>
        <w:rPr>
          <w:rFonts w:ascii="Arial" w:eastAsia="Times New Roman" w:hAnsi="Arial" w:cs="Arial"/>
          <w:bCs/>
          <w:color w:val="000000"/>
          <w:sz w:val="28"/>
          <w:szCs w:val="28"/>
        </w:rPr>
      </w:pPr>
    </w:p>
    <w:p w14:paraId="367A7B7F" w14:textId="77777777" w:rsidR="007D0D40" w:rsidRPr="00F32542" w:rsidRDefault="007D0D40" w:rsidP="007D0D40">
      <w:pPr>
        <w:spacing w:after="0" w:line="360" w:lineRule="auto"/>
        <w:jc w:val="both"/>
        <w:rPr>
          <w:rFonts w:ascii="Arial" w:eastAsia="Times New Roman" w:hAnsi="Arial" w:cs="Arial"/>
          <w:b/>
          <w:bCs/>
          <w:color w:val="000000"/>
          <w:sz w:val="28"/>
          <w:szCs w:val="28"/>
        </w:rPr>
      </w:pPr>
      <w:r w:rsidRPr="00F32542">
        <w:rPr>
          <w:rFonts w:ascii="Arial" w:eastAsia="Times New Roman" w:hAnsi="Arial" w:cs="Arial"/>
          <w:b/>
          <w:bCs/>
          <w:color w:val="000000"/>
          <w:sz w:val="28"/>
          <w:szCs w:val="28"/>
        </w:rPr>
        <w:t xml:space="preserve">1. Perspectiva intercultural. </w:t>
      </w:r>
    </w:p>
    <w:p w14:paraId="13E0870D" w14:textId="77777777" w:rsidR="007D0D40" w:rsidRPr="00F32542" w:rsidRDefault="007D0D40" w:rsidP="007D0D40">
      <w:pPr>
        <w:spacing w:after="0" w:line="360" w:lineRule="auto"/>
        <w:jc w:val="both"/>
        <w:rPr>
          <w:rFonts w:ascii="Arial" w:eastAsia="Times New Roman" w:hAnsi="Arial" w:cs="Arial"/>
          <w:b/>
          <w:bCs/>
          <w:color w:val="000000"/>
          <w:sz w:val="28"/>
          <w:szCs w:val="28"/>
        </w:rPr>
      </w:pPr>
    </w:p>
    <w:p w14:paraId="27A9B9AB" w14:textId="77777777" w:rsidR="007D0D40" w:rsidRPr="00F32542" w:rsidRDefault="007D0D40" w:rsidP="007D0D40">
      <w:pPr>
        <w:spacing w:after="0" w:line="360" w:lineRule="auto"/>
        <w:jc w:val="both"/>
        <w:rPr>
          <w:rFonts w:ascii="Arial" w:hAnsi="Arial" w:cs="Arial"/>
          <w:bCs/>
          <w:sz w:val="28"/>
          <w:szCs w:val="28"/>
        </w:rPr>
      </w:pPr>
      <w:r w:rsidRPr="00F32542">
        <w:rPr>
          <w:rFonts w:ascii="Arial" w:hAnsi="Arial" w:cs="Arial"/>
          <w:bCs/>
          <w:sz w:val="28"/>
          <w:szCs w:val="28"/>
        </w:rPr>
        <w:t>En aras de garantizar el derecho fundamental d</w:t>
      </w:r>
      <w:r w:rsidRPr="00F32542">
        <w:rPr>
          <w:rFonts w:ascii="Arial" w:hAnsi="Arial" w:cs="Arial"/>
          <w:sz w:val="28"/>
          <w:szCs w:val="28"/>
          <w:lang w:eastAsia="es-MX"/>
        </w:rPr>
        <w:t xml:space="preserve">e acceso a la tutela judicial efectiva —previsto en el artículo 17 de la </w:t>
      </w:r>
      <w:r w:rsidRPr="00F32542">
        <w:rPr>
          <w:rFonts w:ascii="Arial" w:hAnsi="Arial" w:cs="Arial"/>
          <w:i/>
          <w:sz w:val="28"/>
          <w:szCs w:val="28"/>
          <w:lang w:eastAsia="es-MX"/>
        </w:rPr>
        <w:t>Constitución Federal</w:t>
      </w:r>
      <w:r w:rsidRPr="00F32542">
        <w:rPr>
          <w:rFonts w:ascii="Arial" w:hAnsi="Arial" w:cs="Arial"/>
          <w:sz w:val="28"/>
          <w:szCs w:val="28"/>
          <w:lang w:eastAsia="es-MX"/>
        </w:rPr>
        <w:t xml:space="preserve">— de las partes actoras de los expedientes </w:t>
      </w:r>
      <w:r w:rsidRPr="00F32542">
        <w:rPr>
          <w:rFonts w:ascii="Arial" w:hAnsi="Arial" w:cs="Arial"/>
          <w:b/>
          <w:bCs/>
          <w:sz w:val="28"/>
          <w:szCs w:val="28"/>
          <w:lang w:eastAsia="es-MX"/>
        </w:rPr>
        <w:t>TECDMX-JLDC-90/2021</w:t>
      </w:r>
      <w:r w:rsidRPr="00F32542">
        <w:rPr>
          <w:rFonts w:ascii="Arial" w:hAnsi="Arial" w:cs="Arial"/>
          <w:sz w:val="28"/>
          <w:szCs w:val="28"/>
          <w:lang w:eastAsia="es-MX"/>
        </w:rPr>
        <w:t xml:space="preserve"> y </w:t>
      </w:r>
      <w:r w:rsidRPr="00F32542">
        <w:rPr>
          <w:rFonts w:ascii="Arial" w:hAnsi="Arial" w:cs="Arial"/>
          <w:b/>
          <w:bCs/>
          <w:sz w:val="28"/>
          <w:szCs w:val="28"/>
          <w:lang w:eastAsia="es-MX"/>
        </w:rPr>
        <w:t>TECDMX-94/2021</w:t>
      </w:r>
      <w:r w:rsidRPr="00F32542">
        <w:rPr>
          <w:rFonts w:ascii="Arial" w:hAnsi="Arial" w:cs="Arial"/>
          <w:sz w:val="28"/>
          <w:szCs w:val="28"/>
          <w:lang w:eastAsia="es-MX"/>
        </w:rPr>
        <w:t xml:space="preserve"> —quienes manifestaron ser personas indígenas que pertenecen a pueblos originarios de la Ciudad de México—, este órgano jurisdiccional efectuará el análisis respectivo desde una perspectiva intercultural.</w:t>
      </w:r>
    </w:p>
    <w:p w14:paraId="35449496" w14:textId="77777777" w:rsidR="007D0D40" w:rsidRPr="00F32542" w:rsidRDefault="007D0D40" w:rsidP="007D0D40">
      <w:pPr>
        <w:spacing w:after="0" w:line="360" w:lineRule="auto"/>
        <w:jc w:val="both"/>
        <w:rPr>
          <w:rFonts w:ascii="Arial" w:hAnsi="Arial" w:cs="Arial"/>
          <w:sz w:val="28"/>
          <w:szCs w:val="28"/>
          <w:lang w:eastAsia="es-MX"/>
        </w:rPr>
      </w:pPr>
    </w:p>
    <w:p w14:paraId="23051290" w14:textId="77777777" w:rsidR="007D0D40" w:rsidRPr="00F32542" w:rsidRDefault="007D0D40" w:rsidP="007D0D40">
      <w:pPr>
        <w:spacing w:after="0" w:line="360" w:lineRule="auto"/>
        <w:jc w:val="both"/>
        <w:rPr>
          <w:rFonts w:ascii="Arial" w:hAnsi="Arial" w:cs="Arial"/>
          <w:b/>
          <w:sz w:val="28"/>
          <w:szCs w:val="28"/>
        </w:rPr>
      </w:pPr>
      <w:r w:rsidRPr="00F32542">
        <w:rPr>
          <w:rFonts w:ascii="Arial" w:hAnsi="Arial" w:cs="Arial"/>
          <w:sz w:val="28"/>
          <w:szCs w:val="28"/>
        </w:rPr>
        <w:t xml:space="preserve">Lo anterior, en términos de la jurisprudencia </w:t>
      </w:r>
      <w:r w:rsidRPr="00F32542">
        <w:rPr>
          <w:rFonts w:ascii="Arial" w:hAnsi="Arial" w:cs="Arial"/>
          <w:b/>
          <w:sz w:val="28"/>
          <w:szCs w:val="28"/>
        </w:rPr>
        <w:t>19/2018</w:t>
      </w:r>
      <w:r w:rsidRPr="00F32542">
        <w:rPr>
          <w:rFonts w:ascii="Arial" w:hAnsi="Arial" w:cs="Arial"/>
          <w:sz w:val="28"/>
          <w:szCs w:val="28"/>
        </w:rPr>
        <w:t xml:space="preserve"> de la citada </w:t>
      </w:r>
      <w:r w:rsidRPr="00F32542">
        <w:rPr>
          <w:rFonts w:ascii="Arial" w:hAnsi="Arial" w:cs="Arial"/>
          <w:i/>
          <w:iCs/>
          <w:sz w:val="28"/>
          <w:szCs w:val="28"/>
        </w:rPr>
        <w:t>Sala Superior</w:t>
      </w:r>
      <w:r w:rsidRPr="00F32542">
        <w:rPr>
          <w:rFonts w:ascii="Arial" w:hAnsi="Arial" w:cs="Arial"/>
          <w:sz w:val="28"/>
          <w:szCs w:val="28"/>
        </w:rPr>
        <w:t>, cuyo rubro es “</w:t>
      </w:r>
      <w:r w:rsidRPr="00F32542">
        <w:rPr>
          <w:rFonts w:ascii="Arial" w:hAnsi="Arial" w:cs="Arial"/>
          <w:b/>
          <w:i/>
          <w:sz w:val="28"/>
          <w:szCs w:val="28"/>
        </w:rPr>
        <w:t>JUZGAR CON PERSPECTIVA INTERCULTURAL. ELEMENTOS MÍNIMOS PARA SU APLICACIÓN EN MATERIA ELECTORAL</w:t>
      </w:r>
      <w:r w:rsidRPr="00F32542">
        <w:rPr>
          <w:rFonts w:ascii="Arial" w:hAnsi="Arial" w:cs="Arial"/>
          <w:sz w:val="28"/>
          <w:szCs w:val="28"/>
        </w:rPr>
        <w:t>”</w:t>
      </w:r>
      <w:r w:rsidRPr="00F32542">
        <w:rPr>
          <w:rStyle w:val="Refdenotaalpie"/>
          <w:rFonts w:ascii="Arial" w:hAnsi="Arial" w:cs="Arial"/>
          <w:b/>
          <w:szCs w:val="28"/>
        </w:rPr>
        <w:footnoteReference w:id="43"/>
      </w:r>
      <w:r w:rsidRPr="00F32542">
        <w:rPr>
          <w:rFonts w:ascii="Arial" w:hAnsi="Arial" w:cs="Arial"/>
          <w:sz w:val="28"/>
          <w:szCs w:val="28"/>
        </w:rPr>
        <w:t>.</w:t>
      </w:r>
    </w:p>
    <w:p w14:paraId="14A5F083" w14:textId="77777777" w:rsidR="007D0D40" w:rsidRPr="00F32542" w:rsidRDefault="007D0D40" w:rsidP="007D0D40">
      <w:pPr>
        <w:spacing w:after="0" w:line="360" w:lineRule="auto"/>
        <w:jc w:val="both"/>
        <w:rPr>
          <w:rFonts w:ascii="Arial" w:hAnsi="Arial" w:cs="Arial"/>
          <w:sz w:val="28"/>
          <w:szCs w:val="28"/>
        </w:rPr>
      </w:pPr>
    </w:p>
    <w:p w14:paraId="3D088F08" w14:textId="77777777" w:rsidR="007D0D40" w:rsidRPr="00F32542" w:rsidRDefault="007D0D40" w:rsidP="007D0D40">
      <w:pPr>
        <w:spacing w:after="0" w:line="360" w:lineRule="auto"/>
        <w:jc w:val="both"/>
        <w:rPr>
          <w:rFonts w:ascii="Arial" w:hAnsi="Arial" w:cs="Arial"/>
          <w:sz w:val="28"/>
          <w:szCs w:val="28"/>
        </w:rPr>
      </w:pPr>
      <w:r w:rsidRPr="00F32542">
        <w:rPr>
          <w:rFonts w:ascii="Arial" w:hAnsi="Arial" w:cs="Arial"/>
          <w:sz w:val="28"/>
          <w:szCs w:val="28"/>
        </w:rPr>
        <w:t xml:space="preserve">Bajo esta perspectiva, para resolver los juicios en los que participen pueblos y comunidades indígenas y se involucren sus derechos, las autoridades jurisdiccionales —entre ellas el </w:t>
      </w:r>
      <w:r w:rsidRPr="00F32542">
        <w:rPr>
          <w:rFonts w:ascii="Arial" w:hAnsi="Arial" w:cs="Arial"/>
          <w:i/>
          <w:iCs/>
          <w:sz w:val="28"/>
          <w:szCs w:val="28"/>
        </w:rPr>
        <w:t>Tribunal Electoral</w:t>
      </w:r>
      <w:r w:rsidRPr="00F32542">
        <w:rPr>
          <w:rFonts w:ascii="Arial" w:hAnsi="Arial" w:cs="Arial"/>
          <w:sz w:val="28"/>
          <w:szCs w:val="28"/>
        </w:rPr>
        <w:t xml:space="preserve">— tienen el deber jurídico de </w:t>
      </w:r>
      <w:r w:rsidRPr="00F32542">
        <w:rPr>
          <w:rFonts w:ascii="Arial" w:hAnsi="Arial" w:cs="Arial"/>
          <w:bCs/>
          <w:sz w:val="28"/>
          <w:szCs w:val="28"/>
        </w:rPr>
        <w:t xml:space="preserve">conocer el derecho e instituciones de la comunidad </w:t>
      </w:r>
      <w:r w:rsidRPr="00F32542">
        <w:rPr>
          <w:rFonts w:ascii="Arial" w:hAnsi="Arial" w:cs="Arial"/>
          <w:sz w:val="28"/>
          <w:szCs w:val="28"/>
        </w:rPr>
        <w:t>antes de emitir la resolución que corresponda</w:t>
      </w:r>
      <w:r w:rsidRPr="00F32542">
        <w:rPr>
          <w:rFonts w:ascii="Arial" w:hAnsi="Arial" w:cs="Arial"/>
          <w:bCs/>
          <w:sz w:val="28"/>
          <w:szCs w:val="28"/>
        </w:rPr>
        <w:t>;</w:t>
      </w:r>
      <w:r w:rsidRPr="00F32542">
        <w:rPr>
          <w:rFonts w:ascii="Arial" w:hAnsi="Arial" w:cs="Arial"/>
          <w:b/>
          <w:sz w:val="28"/>
          <w:szCs w:val="28"/>
        </w:rPr>
        <w:t xml:space="preserve"> </w:t>
      </w:r>
      <w:r w:rsidRPr="00F32542">
        <w:rPr>
          <w:rFonts w:ascii="Arial" w:hAnsi="Arial" w:cs="Arial"/>
          <w:sz w:val="28"/>
          <w:szCs w:val="28"/>
        </w:rPr>
        <w:t>para lo cual, se pueden valer de diversos medios de prueba o de la información que resulte necesaria para potenciar al máximo los derechos fundamentales de estos pueblos y comunidades.</w:t>
      </w:r>
    </w:p>
    <w:p w14:paraId="0C63FDA7" w14:textId="77777777" w:rsidR="007D0D40" w:rsidRPr="00F32542" w:rsidRDefault="007D0D40" w:rsidP="007D0D40">
      <w:pPr>
        <w:spacing w:after="0" w:line="360" w:lineRule="auto"/>
        <w:jc w:val="both"/>
        <w:rPr>
          <w:rFonts w:ascii="Arial" w:hAnsi="Arial" w:cs="Arial"/>
          <w:sz w:val="28"/>
          <w:szCs w:val="28"/>
        </w:rPr>
      </w:pPr>
    </w:p>
    <w:p w14:paraId="730697AD" w14:textId="77777777" w:rsidR="007D0D40" w:rsidRPr="00F32542" w:rsidRDefault="007D0D40" w:rsidP="007D0D40">
      <w:pPr>
        <w:spacing w:after="0" w:line="360" w:lineRule="auto"/>
        <w:jc w:val="both"/>
        <w:rPr>
          <w:rFonts w:ascii="Arial" w:hAnsi="Arial" w:cs="Arial"/>
          <w:sz w:val="28"/>
          <w:szCs w:val="28"/>
        </w:rPr>
      </w:pPr>
      <w:r w:rsidRPr="00F32542">
        <w:rPr>
          <w:rFonts w:ascii="Arial" w:hAnsi="Arial" w:cs="Arial"/>
          <w:sz w:val="28"/>
          <w:szCs w:val="28"/>
        </w:rPr>
        <w:t xml:space="preserve">Por supuesto, sin que lo anterior implique acoger de forma favorable la pretensión de los pueblos y comunidades indígenas o de que quienes se </w:t>
      </w:r>
      <w:proofErr w:type="spellStart"/>
      <w:r w:rsidRPr="00F32542">
        <w:rPr>
          <w:rFonts w:ascii="Arial" w:hAnsi="Arial" w:cs="Arial"/>
          <w:sz w:val="28"/>
          <w:szCs w:val="28"/>
        </w:rPr>
        <w:t>autoadscriben</w:t>
      </w:r>
      <w:proofErr w:type="spellEnd"/>
      <w:r w:rsidRPr="00F32542">
        <w:rPr>
          <w:rFonts w:ascii="Arial" w:hAnsi="Arial" w:cs="Arial"/>
          <w:sz w:val="28"/>
          <w:szCs w:val="28"/>
        </w:rPr>
        <w:t xml:space="preserve"> a dichas colectividades, ya que esta circunstancia no exime a los tribunales de analizar las controversias sometidas a su jurisdicción con base en el contexto fáctico y parámetros normativos aplicables al caso concreto, en confrontación con el material probatorio que para tal efecto obre en autos; ello, en estricto apego al derecho fundamental de acceso a la tutela judicial efectiva.</w:t>
      </w:r>
    </w:p>
    <w:p w14:paraId="5EF5C7E6" w14:textId="77777777" w:rsidR="007D0D40" w:rsidRPr="00F32542" w:rsidRDefault="007D0D40" w:rsidP="007D0D40">
      <w:pPr>
        <w:spacing w:after="0" w:line="360" w:lineRule="auto"/>
        <w:jc w:val="both"/>
        <w:rPr>
          <w:rFonts w:ascii="Arial" w:hAnsi="Arial" w:cs="Arial"/>
          <w:sz w:val="28"/>
          <w:szCs w:val="28"/>
        </w:rPr>
      </w:pPr>
    </w:p>
    <w:p w14:paraId="1602ACBB" w14:textId="77777777" w:rsidR="007D0D40" w:rsidRPr="00F32542" w:rsidRDefault="007D0D40" w:rsidP="007D0D40">
      <w:pPr>
        <w:spacing w:after="0" w:line="360" w:lineRule="auto"/>
        <w:jc w:val="both"/>
        <w:rPr>
          <w:rFonts w:ascii="Arial" w:hAnsi="Arial" w:cs="Arial"/>
          <w:sz w:val="28"/>
          <w:szCs w:val="28"/>
        </w:rPr>
      </w:pPr>
      <w:r w:rsidRPr="00F32542">
        <w:rPr>
          <w:rFonts w:ascii="Arial" w:hAnsi="Arial" w:cs="Arial"/>
          <w:sz w:val="28"/>
          <w:szCs w:val="28"/>
        </w:rPr>
        <w:t xml:space="preserve">Al respecto, resulta orientador el criterio de la </w:t>
      </w:r>
      <w:r w:rsidRPr="00F32542">
        <w:rPr>
          <w:rFonts w:ascii="Arial" w:hAnsi="Arial" w:cs="Arial"/>
          <w:i/>
          <w:iCs/>
          <w:sz w:val="28"/>
          <w:szCs w:val="28"/>
        </w:rPr>
        <w:t>Sala Superior</w:t>
      </w:r>
      <w:r w:rsidRPr="00F32542">
        <w:rPr>
          <w:rFonts w:ascii="Arial" w:hAnsi="Arial" w:cs="Arial"/>
          <w:sz w:val="28"/>
          <w:szCs w:val="28"/>
        </w:rPr>
        <w:t xml:space="preserve"> contenido en la tesis </w:t>
      </w:r>
      <w:r w:rsidRPr="00F32542">
        <w:rPr>
          <w:rFonts w:ascii="Arial" w:hAnsi="Arial" w:cs="Arial"/>
          <w:b/>
          <w:bCs/>
          <w:sz w:val="28"/>
          <w:szCs w:val="28"/>
        </w:rPr>
        <w:t>LIV/2015</w:t>
      </w:r>
      <w:r w:rsidRPr="00F32542">
        <w:rPr>
          <w:rFonts w:ascii="Arial" w:hAnsi="Arial" w:cs="Arial"/>
          <w:sz w:val="28"/>
          <w:szCs w:val="28"/>
        </w:rPr>
        <w:t>, de rubro “</w:t>
      </w:r>
      <w:r w:rsidRPr="00F32542">
        <w:rPr>
          <w:rFonts w:ascii="Arial" w:hAnsi="Arial" w:cs="Arial"/>
          <w:b/>
          <w:bCs/>
          <w:i/>
          <w:iCs/>
          <w:sz w:val="28"/>
          <w:szCs w:val="28"/>
        </w:rPr>
        <w:t>COMUNIDADES INDÍGENAS. LA AUTOADSCRIPCIÓN DE SUS INTEGRANTES NO IMPLICA NECESARIAMENTE ACOGER SU PRETENSIÓN</w:t>
      </w:r>
      <w:r w:rsidRPr="00F32542">
        <w:rPr>
          <w:rFonts w:ascii="Arial" w:hAnsi="Arial" w:cs="Arial"/>
          <w:sz w:val="28"/>
          <w:szCs w:val="28"/>
        </w:rPr>
        <w:t>”</w:t>
      </w:r>
      <w:r w:rsidRPr="00F32542">
        <w:rPr>
          <w:rStyle w:val="Refdenotaalpie"/>
          <w:rFonts w:ascii="Arial" w:hAnsi="Arial" w:cs="Arial"/>
          <w:szCs w:val="28"/>
        </w:rPr>
        <w:footnoteReference w:id="44"/>
      </w:r>
      <w:r w:rsidRPr="00F32542">
        <w:rPr>
          <w:rFonts w:ascii="Arial" w:hAnsi="Arial" w:cs="Arial"/>
          <w:sz w:val="28"/>
          <w:szCs w:val="28"/>
        </w:rPr>
        <w:t>.</w:t>
      </w:r>
    </w:p>
    <w:p w14:paraId="7FA9442B" w14:textId="77777777" w:rsidR="007D0D40" w:rsidRPr="00F32542" w:rsidRDefault="007D0D40" w:rsidP="007D0D40">
      <w:pPr>
        <w:spacing w:after="0" w:line="360" w:lineRule="auto"/>
        <w:jc w:val="both"/>
        <w:rPr>
          <w:rFonts w:ascii="Arial" w:hAnsi="Arial" w:cs="Arial"/>
          <w:sz w:val="28"/>
          <w:szCs w:val="28"/>
        </w:rPr>
      </w:pPr>
    </w:p>
    <w:p w14:paraId="1BA91557" w14:textId="77777777" w:rsidR="007D0D40" w:rsidRPr="00F32542" w:rsidRDefault="007D0D40" w:rsidP="007D0D40">
      <w:pPr>
        <w:spacing w:after="0" w:line="360" w:lineRule="auto"/>
        <w:jc w:val="both"/>
        <w:rPr>
          <w:rFonts w:ascii="Arial" w:hAnsi="Arial" w:cs="Arial"/>
          <w:sz w:val="28"/>
          <w:szCs w:val="28"/>
        </w:rPr>
      </w:pPr>
      <w:r w:rsidRPr="00F32542">
        <w:rPr>
          <w:rFonts w:ascii="Arial" w:hAnsi="Arial" w:cs="Arial"/>
          <w:sz w:val="28"/>
          <w:szCs w:val="28"/>
        </w:rPr>
        <w:t>Lo que no se contrapone con el estudio de los asuntos bajo una perspectiva intercultural, pues con independencia del sentido en que se resuelven las controversias relacionadas con pueblos y comunidades indígenas, las autoridades jurisdiccionales tienen que reconocer y valorar las circunstancias particulares de esas entidades, a efecto de proteger los derechos reconocidos a ellas en el sistema jurídico al que se ha hecho alusión en el presente apartado.</w:t>
      </w:r>
    </w:p>
    <w:p w14:paraId="40A47DDA" w14:textId="77777777" w:rsidR="007D0D40" w:rsidRPr="00F32542" w:rsidRDefault="007D0D40" w:rsidP="00F94B48">
      <w:pPr>
        <w:spacing w:after="0" w:line="360" w:lineRule="auto"/>
        <w:contextualSpacing/>
        <w:jc w:val="both"/>
        <w:rPr>
          <w:rFonts w:ascii="Arial" w:eastAsia="Times New Roman" w:hAnsi="Arial" w:cs="Arial"/>
          <w:b/>
          <w:bCs/>
          <w:color w:val="000000"/>
          <w:sz w:val="28"/>
          <w:szCs w:val="28"/>
        </w:rPr>
      </w:pPr>
    </w:p>
    <w:p w14:paraId="017CE679" w14:textId="77777777" w:rsidR="007D0D40" w:rsidRPr="00F32542" w:rsidRDefault="007D0D40" w:rsidP="00F94B48">
      <w:pPr>
        <w:spacing w:after="0" w:line="360" w:lineRule="auto"/>
        <w:contextualSpacing/>
        <w:jc w:val="both"/>
        <w:rPr>
          <w:rFonts w:ascii="Arial" w:eastAsia="Times New Roman" w:hAnsi="Arial" w:cs="Arial"/>
          <w:b/>
          <w:bCs/>
          <w:color w:val="000000"/>
          <w:sz w:val="28"/>
          <w:szCs w:val="28"/>
        </w:rPr>
      </w:pPr>
      <w:r w:rsidRPr="00F32542">
        <w:rPr>
          <w:rFonts w:ascii="Arial" w:eastAsia="Times New Roman" w:hAnsi="Arial" w:cs="Arial"/>
          <w:b/>
          <w:bCs/>
          <w:color w:val="000000"/>
          <w:sz w:val="28"/>
          <w:szCs w:val="28"/>
        </w:rPr>
        <w:t xml:space="preserve">2. </w:t>
      </w:r>
      <w:r w:rsidR="00F94B48" w:rsidRPr="00F32542">
        <w:rPr>
          <w:rFonts w:ascii="Arial" w:eastAsia="Times New Roman" w:hAnsi="Arial" w:cs="Arial"/>
          <w:b/>
          <w:bCs/>
          <w:color w:val="000000"/>
          <w:sz w:val="28"/>
          <w:szCs w:val="28"/>
        </w:rPr>
        <w:t>Acciones afirmativas</w:t>
      </w:r>
      <w:r w:rsidRPr="00F32542">
        <w:rPr>
          <w:rFonts w:ascii="Arial" w:eastAsia="Times New Roman" w:hAnsi="Arial" w:cs="Arial"/>
          <w:b/>
          <w:bCs/>
          <w:color w:val="000000"/>
          <w:sz w:val="28"/>
          <w:szCs w:val="28"/>
        </w:rPr>
        <w:t xml:space="preserve">. </w:t>
      </w:r>
    </w:p>
    <w:p w14:paraId="2FA24E01" w14:textId="77777777" w:rsidR="007D0D40" w:rsidRPr="00F32542" w:rsidRDefault="007D0D40" w:rsidP="00F94B48">
      <w:pPr>
        <w:spacing w:after="0" w:line="360" w:lineRule="auto"/>
        <w:contextualSpacing/>
        <w:jc w:val="both"/>
        <w:rPr>
          <w:rFonts w:ascii="Arial" w:eastAsia="Calibri" w:hAnsi="Arial" w:cs="Times New Roman"/>
          <w:sz w:val="28"/>
          <w:szCs w:val="28"/>
        </w:rPr>
      </w:pPr>
    </w:p>
    <w:p w14:paraId="00974FFD" w14:textId="77777777" w:rsidR="00F94B48" w:rsidRPr="00F32542" w:rsidRDefault="00F94B48" w:rsidP="00F94B48">
      <w:pPr>
        <w:spacing w:after="0" w:line="360" w:lineRule="auto"/>
        <w:contextualSpacing/>
        <w:jc w:val="both"/>
        <w:rPr>
          <w:rFonts w:ascii="Arial" w:eastAsia="Times New Roman" w:hAnsi="Arial" w:cs="Arial"/>
          <w:b/>
          <w:bCs/>
          <w:color w:val="000000"/>
          <w:sz w:val="28"/>
          <w:szCs w:val="28"/>
        </w:rPr>
      </w:pPr>
      <w:r w:rsidRPr="00F32542">
        <w:rPr>
          <w:rFonts w:ascii="Arial" w:eastAsia="Calibri" w:hAnsi="Arial" w:cs="Times New Roman"/>
          <w:sz w:val="28"/>
          <w:szCs w:val="28"/>
        </w:rPr>
        <w:t xml:space="preserve">De lo dispuesto en los artículos 1, párrafos primero y último, y 4, primer párrafo, de la </w:t>
      </w:r>
      <w:r w:rsidRPr="00F32542">
        <w:rPr>
          <w:rFonts w:ascii="Arial" w:eastAsia="Calibri" w:hAnsi="Arial" w:cs="Times New Roman"/>
          <w:i/>
          <w:sz w:val="28"/>
          <w:szCs w:val="28"/>
        </w:rPr>
        <w:t>Constitución Federal</w:t>
      </w:r>
      <w:r w:rsidRPr="00F32542">
        <w:rPr>
          <w:rFonts w:ascii="Arial" w:eastAsia="Calibri" w:hAnsi="Arial" w:cs="Times New Roman"/>
          <w:sz w:val="28"/>
          <w:szCs w:val="28"/>
        </w:rPr>
        <w:t xml:space="preserve">; 1, párrafo 1, y 24, de la </w:t>
      </w:r>
      <w:r w:rsidRPr="00F32542">
        <w:rPr>
          <w:rFonts w:ascii="Arial" w:eastAsia="Calibri" w:hAnsi="Arial" w:cs="Times New Roman"/>
          <w:i/>
          <w:sz w:val="28"/>
          <w:szCs w:val="28"/>
        </w:rPr>
        <w:lastRenderedPageBreak/>
        <w:t>Convención Americana</w:t>
      </w:r>
      <w:r w:rsidRPr="00F32542">
        <w:rPr>
          <w:rFonts w:ascii="Arial" w:eastAsia="Calibri" w:hAnsi="Arial" w:cs="Times New Roman"/>
          <w:sz w:val="28"/>
          <w:szCs w:val="28"/>
        </w:rPr>
        <w:t xml:space="preserve">; 2, párrafo primero, y 3, del </w:t>
      </w:r>
      <w:r w:rsidRPr="00F32542">
        <w:rPr>
          <w:rFonts w:ascii="Arial" w:eastAsia="Calibri" w:hAnsi="Arial" w:cs="Times New Roman"/>
          <w:i/>
          <w:sz w:val="28"/>
          <w:szCs w:val="28"/>
        </w:rPr>
        <w:t>Pacto Internacional</w:t>
      </w:r>
      <w:r w:rsidRPr="00F32542">
        <w:rPr>
          <w:rFonts w:ascii="Arial" w:eastAsia="Calibri" w:hAnsi="Arial" w:cs="Times New Roman"/>
          <w:sz w:val="28"/>
          <w:szCs w:val="28"/>
        </w:rPr>
        <w:t>; 1, 2, 4 y 5, fracción I, de la Ley Federal para Prevenir y Eliminar la Discriminación, se desprende la obligación del Estado mexicano de establecer acciones afirmativas en favor de sectores sociales en desventaja, en tanto constituyen medidas temporales, razonables, proporcionales y objetivas orientadas a la igualdad material.</w:t>
      </w:r>
    </w:p>
    <w:p w14:paraId="47E450CC" w14:textId="77777777" w:rsidR="00F94B48" w:rsidRPr="00F32542" w:rsidRDefault="00F94B48" w:rsidP="00F94B48">
      <w:pPr>
        <w:spacing w:after="0" w:line="360" w:lineRule="auto"/>
        <w:jc w:val="both"/>
        <w:rPr>
          <w:rFonts w:ascii="Arial" w:eastAsia="Calibri" w:hAnsi="Arial" w:cs="Times New Roman"/>
          <w:sz w:val="28"/>
          <w:szCs w:val="28"/>
        </w:rPr>
      </w:pPr>
    </w:p>
    <w:p w14:paraId="1CFC86EE"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Sobre el particular, la </w:t>
      </w:r>
      <w:r w:rsidRPr="00F32542">
        <w:rPr>
          <w:rFonts w:ascii="Arial" w:eastAsia="Calibri" w:hAnsi="Arial" w:cs="Times New Roman"/>
          <w:i/>
          <w:sz w:val="28"/>
          <w:szCs w:val="28"/>
        </w:rPr>
        <w:t>Sala Superior</w:t>
      </w:r>
      <w:r w:rsidRPr="00F32542">
        <w:rPr>
          <w:rFonts w:ascii="Arial" w:eastAsia="Calibri" w:hAnsi="Arial" w:cs="Times New Roman"/>
          <w:sz w:val="28"/>
          <w:szCs w:val="28"/>
          <w:vertAlign w:val="superscript"/>
        </w:rPr>
        <w:footnoteReference w:id="45"/>
      </w:r>
      <w:r w:rsidRPr="00F32542">
        <w:rPr>
          <w:rFonts w:ascii="Arial" w:eastAsia="Calibri" w:hAnsi="Arial" w:cs="Times New Roman"/>
          <w:sz w:val="28"/>
          <w:szCs w:val="28"/>
        </w:rPr>
        <w:t xml:space="preserve"> ha considerado </w:t>
      </w:r>
      <w:proofErr w:type="gramStart"/>
      <w:r w:rsidRPr="00F32542">
        <w:rPr>
          <w:rFonts w:ascii="Arial" w:eastAsia="Calibri" w:hAnsi="Arial" w:cs="Times New Roman"/>
          <w:sz w:val="28"/>
          <w:szCs w:val="28"/>
        </w:rPr>
        <w:t>que</w:t>
      </w:r>
      <w:proofErr w:type="gramEnd"/>
      <w:r w:rsidRPr="00F32542">
        <w:rPr>
          <w:rFonts w:ascii="Arial" w:eastAsia="Calibri" w:hAnsi="Arial" w:cs="Times New Roman"/>
          <w:sz w:val="28"/>
          <w:szCs w:val="28"/>
        </w:rPr>
        <w:t xml:space="preserve"> en el sistema jurídico nacional, es posible que una norma tenga aparejada, de manera expresa o implícita, algún criterio de acción afirmativa, con el objeto de atender otros principios constitucionales, como es el caso del acceso a la representación política en condiciones de igualdad para ciertos grupos que, de lo contrario, difícilmente pudieran llegar a ejercerla.</w:t>
      </w:r>
    </w:p>
    <w:p w14:paraId="1ED11382" w14:textId="77777777" w:rsidR="00F94B48" w:rsidRPr="00F32542" w:rsidRDefault="00F94B48" w:rsidP="00F94B48">
      <w:pPr>
        <w:spacing w:after="0" w:line="360" w:lineRule="auto"/>
        <w:jc w:val="both"/>
        <w:rPr>
          <w:rFonts w:ascii="Arial" w:eastAsia="Calibri" w:hAnsi="Arial" w:cs="Times New Roman"/>
          <w:sz w:val="28"/>
          <w:szCs w:val="28"/>
        </w:rPr>
      </w:pPr>
    </w:p>
    <w:p w14:paraId="55E61ACC"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Asimismo, ha considerado que esas medidas de naturaleza transitoria tienen un carácter compensatorio, corrector, reparador y defensor, en beneficio del sector de la población a favor del cual proceden, para subsanar las condiciones de desventaja a las que históricamente se le ha relegado, impidiéndole ejercer con plenitud y efectividad sus derechos de naturaleza político-electoral.</w:t>
      </w:r>
    </w:p>
    <w:p w14:paraId="779EE344" w14:textId="77777777" w:rsidR="00F94B48" w:rsidRPr="00F32542" w:rsidRDefault="00F94B48" w:rsidP="00F94B48">
      <w:pPr>
        <w:spacing w:after="0" w:line="360" w:lineRule="auto"/>
        <w:jc w:val="both"/>
        <w:rPr>
          <w:rFonts w:ascii="Arial" w:eastAsia="Calibri" w:hAnsi="Arial" w:cs="Times New Roman"/>
          <w:sz w:val="28"/>
          <w:szCs w:val="28"/>
        </w:rPr>
      </w:pPr>
    </w:p>
    <w:p w14:paraId="25819BC5"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Además, en la jurisprudencia 11/2015, de rubro: “</w:t>
      </w:r>
      <w:r w:rsidRPr="00F32542">
        <w:rPr>
          <w:rFonts w:ascii="Arial" w:eastAsia="Calibri" w:hAnsi="Arial" w:cs="Times New Roman"/>
          <w:b/>
          <w:sz w:val="28"/>
          <w:szCs w:val="28"/>
        </w:rPr>
        <w:t>ACCIONES AFIRMATIVAS. ELEMENTOS FUNDAMENTALES</w:t>
      </w:r>
      <w:r w:rsidRPr="00F32542">
        <w:rPr>
          <w:rFonts w:ascii="Arial" w:eastAsia="Calibri" w:hAnsi="Arial" w:cs="Times New Roman"/>
          <w:b/>
          <w:i/>
          <w:sz w:val="28"/>
          <w:szCs w:val="28"/>
          <w:vertAlign w:val="superscript"/>
        </w:rPr>
        <w:footnoteReference w:id="46"/>
      </w:r>
      <w:r w:rsidRPr="00F32542">
        <w:rPr>
          <w:rFonts w:ascii="Arial" w:eastAsia="Calibri" w:hAnsi="Arial" w:cs="Times New Roman"/>
          <w:bCs/>
          <w:sz w:val="28"/>
          <w:szCs w:val="28"/>
        </w:rPr>
        <w:t>”, la Sala Superior ha establecido que los</w:t>
      </w:r>
      <w:r w:rsidRPr="00F32542">
        <w:rPr>
          <w:rFonts w:ascii="Arial" w:eastAsia="Calibri" w:hAnsi="Arial" w:cs="Times New Roman"/>
          <w:sz w:val="28"/>
          <w:szCs w:val="28"/>
        </w:rPr>
        <w:t xml:space="preserve"> elementos fundamentales de las acciones afirmativas consisten en:</w:t>
      </w:r>
    </w:p>
    <w:p w14:paraId="784195FA" w14:textId="77777777" w:rsidR="00F94B48" w:rsidRPr="00F32542" w:rsidRDefault="00F94B48" w:rsidP="00F94B48">
      <w:pPr>
        <w:spacing w:after="0" w:line="360" w:lineRule="auto"/>
        <w:jc w:val="both"/>
        <w:rPr>
          <w:rFonts w:ascii="Arial" w:eastAsia="Calibri" w:hAnsi="Arial" w:cs="Times New Roman"/>
          <w:sz w:val="28"/>
          <w:szCs w:val="28"/>
        </w:rPr>
      </w:pPr>
    </w:p>
    <w:p w14:paraId="0723879E" w14:textId="77777777" w:rsidR="00F94B48" w:rsidRPr="00F32542" w:rsidRDefault="00F94B48" w:rsidP="009B6ED0">
      <w:pPr>
        <w:numPr>
          <w:ilvl w:val="0"/>
          <w:numId w:val="13"/>
        </w:numPr>
        <w:spacing w:after="0" w:line="360" w:lineRule="auto"/>
        <w:contextualSpacing/>
        <w:jc w:val="both"/>
        <w:rPr>
          <w:rFonts w:ascii="Arial" w:eastAsia="Calibri" w:hAnsi="Arial" w:cs="Times New Roman"/>
          <w:color w:val="000000"/>
          <w:sz w:val="28"/>
          <w:szCs w:val="28"/>
        </w:rPr>
      </w:pPr>
      <w:r w:rsidRPr="00F32542">
        <w:rPr>
          <w:rFonts w:ascii="Arial" w:eastAsia="Calibri" w:hAnsi="Arial" w:cs="Times New Roman"/>
          <w:b/>
          <w:bCs/>
          <w:color w:val="000000"/>
          <w:sz w:val="28"/>
          <w:szCs w:val="28"/>
        </w:rPr>
        <w:t>El objeto y fin</w:t>
      </w:r>
      <w:r w:rsidRPr="00F32542">
        <w:rPr>
          <w:rFonts w:ascii="Arial" w:eastAsia="Calibri" w:hAnsi="Arial" w:cs="Times New Roman"/>
          <w:color w:val="000000"/>
          <w:sz w:val="28"/>
          <w:szCs w:val="28"/>
        </w:rPr>
        <w:t>, concerniente al propósito de hacer realidad la igualdad material y, por tanto, compensar o remediar una situación de injusticia, desventaja o discriminación; implica alcanzar una representación o un nivel de participación equilibrada, así como establecer las condiciones mínimas a fin de que las personas puedan partir de un mismo punto, para desplegar sus atributos y capacidades;</w:t>
      </w:r>
    </w:p>
    <w:p w14:paraId="79166C2C" w14:textId="77777777" w:rsidR="00F94B48" w:rsidRPr="00F32542" w:rsidRDefault="00F94B48" w:rsidP="00F94B48">
      <w:pPr>
        <w:spacing w:after="0" w:line="360" w:lineRule="auto"/>
        <w:jc w:val="both"/>
        <w:rPr>
          <w:rFonts w:ascii="Arial" w:eastAsia="Calibri" w:hAnsi="Arial" w:cs="Times New Roman"/>
          <w:color w:val="000000"/>
          <w:sz w:val="28"/>
          <w:szCs w:val="28"/>
        </w:rPr>
      </w:pPr>
    </w:p>
    <w:p w14:paraId="6C40C187" w14:textId="77777777" w:rsidR="00F94B48" w:rsidRPr="00F32542" w:rsidRDefault="00F94B48" w:rsidP="009B6ED0">
      <w:pPr>
        <w:widowControl w:val="0"/>
        <w:numPr>
          <w:ilvl w:val="0"/>
          <w:numId w:val="13"/>
        </w:numPr>
        <w:spacing w:after="0" w:line="360" w:lineRule="auto"/>
        <w:jc w:val="both"/>
        <w:rPr>
          <w:rFonts w:ascii="Arial" w:eastAsia="Calibri" w:hAnsi="Arial" w:cs="Times New Roman"/>
          <w:sz w:val="28"/>
          <w:szCs w:val="28"/>
        </w:rPr>
      </w:pPr>
      <w:r w:rsidRPr="00F32542">
        <w:rPr>
          <w:rFonts w:ascii="Arial" w:eastAsia="Calibri" w:hAnsi="Arial" w:cs="Times New Roman"/>
          <w:b/>
          <w:bCs/>
          <w:color w:val="000000"/>
          <w:sz w:val="28"/>
          <w:szCs w:val="28"/>
        </w:rPr>
        <w:t>Destinatarias</w:t>
      </w:r>
      <w:r w:rsidRPr="00F32542">
        <w:rPr>
          <w:rFonts w:ascii="Arial" w:eastAsia="Calibri" w:hAnsi="Arial" w:cs="Times New Roman"/>
          <w:color w:val="000000"/>
          <w:sz w:val="28"/>
          <w:szCs w:val="28"/>
        </w:rPr>
        <w:t xml:space="preserve">, que serán aquellas personas y grupos vulnerables, en desventaja y/o situación de discriminación que les obstaculiza gozar y ejercer efectivamente sus derechos; y, </w:t>
      </w:r>
    </w:p>
    <w:p w14:paraId="0B4D4777" w14:textId="77777777" w:rsidR="00F94B48" w:rsidRPr="00F32542" w:rsidRDefault="00F94B48" w:rsidP="00F94B48">
      <w:pPr>
        <w:widowControl w:val="0"/>
        <w:spacing w:after="0" w:line="360" w:lineRule="auto"/>
        <w:jc w:val="both"/>
        <w:rPr>
          <w:rFonts w:ascii="Arial" w:eastAsia="Calibri" w:hAnsi="Arial" w:cs="Times New Roman"/>
          <w:b/>
          <w:bCs/>
          <w:color w:val="000000"/>
          <w:sz w:val="28"/>
          <w:szCs w:val="28"/>
        </w:rPr>
      </w:pPr>
    </w:p>
    <w:p w14:paraId="2EBB579B" w14:textId="77777777" w:rsidR="00F94B48" w:rsidRPr="00F32542" w:rsidRDefault="00F94B48" w:rsidP="009B6ED0">
      <w:pPr>
        <w:widowControl w:val="0"/>
        <w:numPr>
          <w:ilvl w:val="0"/>
          <w:numId w:val="13"/>
        </w:numPr>
        <w:spacing w:after="0" w:line="360" w:lineRule="auto"/>
        <w:jc w:val="both"/>
        <w:rPr>
          <w:rFonts w:ascii="Arial" w:eastAsia="Calibri" w:hAnsi="Arial" w:cs="Times New Roman"/>
          <w:sz w:val="28"/>
          <w:szCs w:val="28"/>
        </w:rPr>
      </w:pPr>
      <w:r w:rsidRPr="00F32542">
        <w:rPr>
          <w:rFonts w:ascii="Arial" w:eastAsia="Calibri" w:hAnsi="Arial" w:cs="Times New Roman"/>
          <w:b/>
          <w:bCs/>
          <w:color w:val="000000"/>
          <w:sz w:val="28"/>
          <w:szCs w:val="28"/>
        </w:rPr>
        <w:t>Conducta exigible</w:t>
      </w:r>
      <w:r w:rsidRPr="00F32542">
        <w:rPr>
          <w:rFonts w:ascii="Arial" w:eastAsia="Calibri" w:hAnsi="Arial" w:cs="Times New Roman"/>
          <w:color w:val="000000"/>
          <w:sz w:val="28"/>
          <w:szCs w:val="28"/>
        </w:rPr>
        <w:t xml:space="preserve">, la cual abarca una amplia gama de instrumentos, políticas y prácticas de índole legislativa, ejecutiva, administrativa y reglamentaria. </w:t>
      </w:r>
    </w:p>
    <w:p w14:paraId="641C91B3" w14:textId="77777777" w:rsidR="00F94B48" w:rsidRPr="00F32542" w:rsidRDefault="00F94B48" w:rsidP="00F94B48">
      <w:pPr>
        <w:spacing w:after="0" w:line="360" w:lineRule="auto"/>
        <w:ind w:left="720"/>
        <w:contextualSpacing/>
        <w:jc w:val="both"/>
        <w:rPr>
          <w:rFonts w:ascii="Arial" w:eastAsia="Calibri" w:hAnsi="Arial" w:cs="Times New Roman"/>
          <w:sz w:val="28"/>
          <w:szCs w:val="28"/>
        </w:rPr>
      </w:pPr>
    </w:p>
    <w:p w14:paraId="370E694D" w14:textId="77777777" w:rsidR="00F94B48" w:rsidRPr="00F32542" w:rsidRDefault="00F94B48" w:rsidP="00F94B48">
      <w:pPr>
        <w:widowControl w:val="0"/>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De igual modo, la Sala Superior, al emitir la jurisprudencia 30/2014, de rubro “</w:t>
      </w:r>
      <w:r w:rsidRPr="00F32542">
        <w:rPr>
          <w:rFonts w:ascii="Arial" w:eastAsia="Calibri" w:hAnsi="Arial" w:cs="Times New Roman"/>
          <w:b/>
          <w:bCs/>
          <w:sz w:val="28"/>
          <w:szCs w:val="28"/>
        </w:rPr>
        <w:t>ACCIONES AFIRMATIVAS. CARACTERÍSTICAS Y OBJETIVO DE SU IMPLEMENTACIÓN</w:t>
      </w:r>
      <w:r w:rsidRPr="00F32542">
        <w:rPr>
          <w:rFonts w:ascii="Arial" w:eastAsia="Calibri" w:hAnsi="Arial" w:cs="Times New Roman"/>
          <w:sz w:val="28"/>
          <w:szCs w:val="28"/>
        </w:rPr>
        <w:t>”, adoptó el criterio de que ese tipo de medidas deben ser proporcionales y, por tanto, mantener un equilibrio entre su aplicación y los resultados que se pretende conseguir con ella, de manera que, con su ejecución, no generen una mayor desigualdad que la que se busca erradicar. Aparte de que deben consistir en medidas razonables y objetivas, para responder al interés de una colectividad y reparar una situación de injusticia hacia cierto sector de ésta, pero no para atender intereses meramente particulares.</w:t>
      </w:r>
    </w:p>
    <w:p w14:paraId="3EEA90AE" w14:textId="77777777" w:rsidR="00F94B48" w:rsidRPr="00F32542" w:rsidRDefault="00F94B48" w:rsidP="00F94B48">
      <w:pPr>
        <w:spacing w:after="0" w:line="360" w:lineRule="auto"/>
        <w:ind w:left="720"/>
        <w:contextualSpacing/>
        <w:jc w:val="both"/>
        <w:rPr>
          <w:rFonts w:ascii="Arial" w:eastAsia="Calibri" w:hAnsi="Arial" w:cs="Times New Roman"/>
          <w:sz w:val="28"/>
          <w:szCs w:val="28"/>
        </w:rPr>
      </w:pPr>
    </w:p>
    <w:p w14:paraId="47BD37A8" w14:textId="77777777" w:rsidR="00F94B48" w:rsidRPr="00F32542" w:rsidRDefault="0047436C" w:rsidP="0047436C">
      <w:pPr>
        <w:spacing w:after="0" w:line="360" w:lineRule="auto"/>
        <w:contextualSpacing/>
        <w:jc w:val="both"/>
        <w:rPr>
          <w:rFonts w:ascii="Arial" w:eastAsia="Times New Roman" w:hAnsi="Arial" w:cs="Arial"/>
          <w:b/>
          <w:bCs/>
          <w:color w:val="000000"/>
          <w:sz w:val="28"/>
          <w:szCs w:val="28"/>
        </w:rPr>
      </w:pPr>
      <w:r w:rsidRPr="00F32542">
        <w:rPr>
          <w:rFonts w:ascii="Arial" w:eastAsia="Times New Roman" w:hAnsi="Arial" w:cs="Arial"/>
          <w:b/>
          <w:bCs/>
          <w:color w:val="000000"/>
          <w:sz w:val="28"/>
          <w:szCs w:val="28"/>
        </w:rPr>
        <w:lastRenderedPageBreak/>
        <w:t xml:space="preserve">3. </w:t>
      </w:r>
      <w:r w:rsidR="00F94B48" w:rsidRPr="00F32542">
        <w:rPr>
          <w:rFonts w:ascii="Arial" w:eastAsia="Times New Roman" w:hAnsi="Arial" w:cs="Arial"/>
          <w:b/>
          <w:bCs/>
          <w:color w:val="000000"/>
          <w:sz w:val="28"/>
          <w:szCs w:val="28"/>
        </w:rPr>
        <w:t>Acción afirmativa para personas indígenas prevista en la normativa local</w:t>
      </w:r>
    </w:p>
    <w:p w14:paraId="410CF6B5" w14:textId="77777777" w:rsidR="00F94B48" w:rsidRPr="00F32542" w:rsidRDefault="00F94B48" w:rsidP="00F94B48">
      <w:pPr>
        <w:spacing w:after="0" w:line="360" w:lineRule="auto"/>
        <w:jc w:val="both"/>
        <w:rPr>
          <w:rFonts w:ascii="Arial" w:eastAsia="Times New Roman" w:hAnsi="Arial" w:cs="Arial"/>
          <w:b/>
          <w:bCs/>
          <w:color w:val="000000"/>
          <w:sz w:val="28"/>
          <w:szCs w:val="28"/>
        </w:rPr>
      </w:pPr>
    </w:p>
    <w:p w14:paraId="29614CF4"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En el artículo 2°, Apartado A, de la </w:t>
      </w:r>
      <w:r w:rsidRPr="00F32542">
        <w:rPr>
          <w:rFonts w:ascii="Arial" w:eastAsia="Calibri" w:hAnsi="Arial" w:cs="Times New Roman"/>
          <w:i/>
          <w:sz w:val="28"/>
          <w:szCs w:val="28"/>
        </w:rPr>
        <w:t>Constitución Federal</w:t>
      </w:r>
      <w:r w:rsidRPr="00F32542">
        <w:rPr>
          <w:rFonts w:ascii="Arial" w:eastAsia="Calibri" w:hAnsi="Arial" w:cs="Times New Roman"/>
          <w:sz w:val="28"/>
          <w:szCs w:val="28"/>
        </w:rPr>
        <w:t xml:space="preserve"> se reconoce y garantiza el derecho de los pueblos y las comunidades indígenas a la libre determinación y, en consecuencia, a la autonomía para ejercer diversos derechos, entre ellos, el de acceder y desempeñar los cargos públicos y de elección popular para los que hayan sido electos o designados, en un marco que respete el pacto federal.</w:t>
      </w:r>
    </w:p>
    <w:p w14:paraId="14D20642" w14:textId="77777777" w:rsidR="00F94B48" w:rsidRPr="00F32542" w:rsidRDefault="00F94B48" w:rsidP="00F94B48">
      <w:pPr>
        <w:spacing w:after="0" w:line="360" w:lineRule="auto"/>
        <w:jc w:val="both"/>
        <w:rPr>
          <w:rFonts w:ascii="Arial" w:eastAsia="Calibri" w:hAnsi="Arial" w:cs="Times New Roman"/>
          <w:sz w:val="28"/>
          <w:szCs w:val="28"/>
        </w:rPr>
      </w:pPr>
    </w:p>
    <w:p w14:paraId="5846CEBE"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Al respecto, se dispone que las constituciones y leyes de las entidades federativas establecerán las características de libre determinación y autonomía que mejor expresen las situaciones y aspiraciones de los pueblos indígenas en cada entidad, así como las normas para el reconocimiento de las comunidades indígenas como entidades de interés público.</w:t>
      </w:r>
    </w:p>
    <w:p w14:paraId="2F7634C7" w14:textId="77777777" w:rsidR="00F94B48" w:rsidRPr="00F32542" w:rsidRDefault="00F94B48" w:rsidP="00F94B48">
      <w:pPr>
        <w:spacing w:after="0" w:line="360" w:lineRule="auto"/>
        <w:jc w:val="both"/>
        <w:rPr>
          <w:rFonts w:ascii="Arial" w:eastAsia="Calibri" w:hAnsi="Arial" w:cs="Times New Roman"/>
          <w:sz w:val="28"/>
          <w:szCs w:val="28"/>
        </w:rPr>
      </w:pPr>
    </w:p>
    <w:p w14:paraId="64D38364"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De manera que el Constituyente Permanente reservó a las legislaturas de las entidades federativas, la forma en que se desarrollarán y materializarán los derechos reconocidos a los pueblos y comunidades indígenas.</w:t>
      </w:r>
    </w:p>
    <w:p w14:paraId="21649003" w14:textId="77777777" w:rsidR="00F94B48" w:rsidRPr="00F32542" w:rsidRDefault="00F94B48" w:rsidP="00F94B48">
      <w:pPr>
        <w:spacing w:after="0" w:line="360" w:lineRule="auto"/>
        <w:jc w:val="both"/>
        <w:rPr>
          <w:rFonts w:ascii="Arial" w:eastAsia="Calibri" w:hAnsi="Arial" w:cs="Times New Roman"/>
          <w:sz w:val="28"/>
          <w:szCs w:val="28"/>
        </w:rPr>
      </w:pPr>
    </w:p>
    <w:p w14:paraId="29F58028"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Ahora bien, el artículo 2, primer párrafo, de la </w:t>
      </w:r>
      <w:r w:rsidRPr="00F32542">
        <w:rPr>
          <w:rFonts w:ascii="Arial" w:eastAsia="Calibri" w:hAnsi="Arial" w:cs="Times New Roman"/>
          <w:i/>
          <w:sz w:val="28"/>
          <w:szCs w:val="28"/>
        </w:rPr>
        <w:t>Constitución Local</w:t>
      </w:r>
      <w:r w:rsidRPr="00F32542">
        <w:rPr>
          <w:rFonts w:ascii="Arial" w:eastAsia="Calibri" w:hAnsi="Arial" w:cs="Times New Roman"/>
          <w:sz w:val="28"/>
          <w:szCs w:val="28"/>
        </w:rPr>
        <w:t xml:space="preserve"> dispone que la Ciudad de México tiene una composición plurilingüe, pluriétnica y pluricultural, sustentada en la diversidad de sus habitantes, así como en los pueblos y barrios originarios históricamente asentados en su territorio y en sus comunidades indígenas residentes.</w:t>
      </w:r>
    </w:p>
    <w:p w14:paraId="4A4259CB" w14:textId="77777777" w:rsidR="00F94B48" w:rsidRPr="00F32542" w:rsidRDefault="00F94B48" w:rsidP="00F94B48">
      <w:pPr>
        <w:spacing w:after="0" w:line="360" w:lineRule="auto"/>
        <w:jc w:val="both"/>
        <w:rPr>
          <w:rFonts w:ascii="Arial" w:eastAsia="Calibri" w:hAnsi="Arial" w:cs="Times New Roman"/>
          <w:sz w:val="28"/>
          <w:szCs w:val="28"/>
        </w:rPr>
      </w:pPr>
    </w:p>
    <w:p w14:paraId="6E7BA3B9"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lastRenderedPageBreak/>
        <w:t xml:space="preserve">De igual modo, en el artículo 27, apartado B, numeral 4, prevé que la selección de candidaturas se hará de conformidad con lo que dispone la </w:t>
      </w:r>
      <w:r w:rsidRPr="00F32542">
        <w:rPr>
          <w:rFonts w:ascii="Arial" w:eastAsia="Calibri" w:hAnsi="Arial" w:cs="Times New Roman"/>
          <w:i/>
          <w:sz w:val="28"/>
          <w:szCs w:val="28"/>
        </w:rPr>
        <w:t>Constitución Federal,</w:t>
      </w:r>
      <w:r w:rsidRPr="00F32542">
        <w:rPr>
          <w:rFonts w:ascii="Arial" w:eastAsia="Calibri" w:hAnsi="Arial" w:cs="Times New Roman"/>
          <w:sz w:val="28"/>
          <w:szCs w:val="28"/>
        </w:rPr>
        <w:t xml:space="preserve"> la propia </w:t>
      </w:r>
      <w:r w:rsidRPr="00F32542">
        <w:rPr>
          <w:rFonts w:ascii="Arial" w:eastAsia="Calibri" w:hAnsi="Arial" w:cs="Times New Roman"/>
          <w:i/>
          <w:sz w:val="28"/>
          <w:szCs w:val="28"/>
        </w:rPr>
        <w:t>Constitución Local</w:t>
      </w:r>
      <w:r w:rsidRPr="00F32542">
        <w:rPr>
          <w:rFonts w:ascii="Arial" w:eastAsia="Calibri" w:hAnsi="Arial" w:cs="Times New Roman"/>
          <w:sz w:val="28"/>
          <w:szCs w:val="28"/>
        </w:rPr>
        <w:t>, la legislación electoral y los estatutos de los partidos políticos; se salvaguardarán los derechos políticos de las y los ciudadanos, así como la postulación de personas jóvenes e integrantes de pueblos y comunidades indígenas.</w:t>
      </w:r>
    </w:p>
    <w:p w14:paraId="1844EE64" w14:textId="77777777" w:rsidR="00F94B48" w:rsidRPr="00F32542" w:rsidRDefault="00F94B48" w:rsidP="00F94B48">
      <w:pPr>
        <w:spacing w:after="0" w:line="360" w:lineRule="auto"/>
        <w:jc w:val="both"/>
        <w:rPr>
          <w:rFonts w:ascii="Arial" w:eastAsia="Calibri" w:hAnsi="Arial" w:cs="Times New Roman"/>
          <w:sz w:val="28"/>
          <w:szCs w:val="28"/>
        </w:rPr>
      </w:pPr>
    </w:p>
    <w:p w14:paraId="277A214F"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En ese sentido, el artículo 59, apartado C, numeral 3, de la </w:t>
      </w:r>
      <w:r w:rsidRPr="00F32542">
        <w:rPr>
          <w:rFonts w:ascii="Arial" w:eastAsia="Calibri" w:hAnsi="Arial" w:cs="Times New Roman"/>
          <w:i/>
          <w:sz w:val="28"/>
          <w:szCs w:val="28"/>
        </w:rPr>
        <w:t>Constitución Local</w:t>
      </w:r>
      <w:r w:rsidRPr="00F32542">
        <w:rPr>
          <w:rFonts w:ascii="Arial" w:eastAsia="Calibri" w:hAnsi="Arial" w:cs="Times New Roman"/>
          <w:sz w:val="28"/>
          <w:szCs w:val="28"/>
        </w:rPr>
        <w:t xml:space="preserve"> establece que el derecho de acceso a cargos de representación popular, ejercido por las personas integrantes de pueblos originarios y comunidades indígenas, se respetará atendiendo al principio de proporcionalidad y de equidad; corresponderá a la ley local de la materia, garantizar las medidas de naturaleza político-electoral específicas para el cumplimiento de este precepto. </w:t>
      </w:r>
    </w:p>
    <w:p w14:paraId="135CA945" w14:textId="77777777" w:rsidR="00F94B48" w:rsidRPr="00F32542" w:rsidRDefault="00F94B48" w:rsidP="00F94B48">
      <w:pPr>
        <w:spacing w:after="0" w:line="360" w:lineRule="auto"/>
        <w:jc w:val="both"/>
        <w:rPr>
          <w:rFonts w:ascii="Arial" w:eastAsia="Times New Roman" w:hAnsi="Arial" w:cs="Arial"/>
          <w:b/>
          <w:bCs/>
          <w:color w:val="000000"/>
          <w:sz w:val="28"/>
          <w:szCs w:val="28"/>
        </w:rPr>
      </w:pPr>
    </w:p>
    <w:p w14:paraId="64D6802D"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Acorde con lo anterior, en el </w:t>
      </w:r>
      <w:r w:rsidRPr="00F32542">
        <w:rPr>
          <w:rFonts w:ascii="Arial" w:eastAsia="Calibri" w:hAnsi="Arial" w:cs="Times New Roman"/>
          <w:i/>
          <w:sz w:val="28"/>
          <w:szCs w:val="28"/>
        </w:rPr>
        <w:t>Código Electoral</w:t>
      </w:r>
      <w:r w:rsidRPr="00F32542">
        <w:rPr>
          <w:rFonts w:ascii="Arial" w:eastAsia="Calibri" w:hAnsi="Arial" w:cs="Times New Roman"/>
          <w:sz w:val="28"/>
          <w:szCs w:val="28"/>
        </w:rPr>
        <w:t>, artículo 14, se dispone que los partidos políticos procurarán incluir entre sus candidaturas a una persona con discapacidad y a una perteneciente a pueblos, barrios originarios y comunidades indígenas residentes de la Ciudad de México.</w:t>
      </w:r>
    </w:p>
    <w:p w14:paraId="14001C76" w14:textId="77777777" w:rsidR="00F94B48" w:rsidRPr="00F32542" w:rsidRDefault="00F94B48" w:rsidP="00F94B48">
      <w:pPr>
        <w:spacing w:after="0" w:line="360" w:lineRule="auto"/>
        <w:jc w:val="both"/>
        <w:rPr>
          <w:rFonts w:ascii="Arial" w:eastAsia="Calibri" w:hAnsi="Arial" w:cs="Times New Roman"/>
          <w:sz w:val="28"/>
          <w:szCs w:val="28"/>
        </w:rPr>
      </w:pPr>
    </w:p>
    <w:p w14:paraId="635093BC"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En ese contexto, a fin de cumplir con ese mandato constitucional, el IECM, en ejercicio de sus atribuciones reglamentarias, emitió los </w:t>
      </w:r>
      <w:r w:rsidRPr="00F32542">
        <w:rPr>
          <w:rFonts w:ascii="Arial" w:eastAsia="Calibri" w:hAnsi="Arial" w:cs="Times New Roman"/>
          <w:i/>
          <w:sz w:val="28"/>
          <w:szCs w:val="28"/>
        </w:rPr>
        <w:t>Lineamientos para la postulación</w:t>
      </w:r>
      <w:r w:rsidRPr="00F32542">
        <w:rPr>
          <w:rFonts w:ascii="Arial" w:eastAsia="Calibri" w:hAnsi="Arial" w:cs="Times New Roman"/>
          <w:sz w:val="28"/>
          <w:szCs w:val="28"/>
        </w:rPr>
        <w:t xml:space="preserve">, en cuyos artículos 39 y 40, se estableció lo siguiente: </w:t>
      </w:r>
    </w:p>
    <w:p w14:paraId="25408E55" w14:textId="77777777" w:rsidR="00F94B48" w:rsidRPr="00F32542" w:rsidRDefault="00F94B48" w:rsidP="00F94B48">
      <w:pPr>
        <w:spacing w:after="0" w:line="360" w:lineRule="auto"/>
        <w:jc w:val="both"/>
        <w:rPr>
          <w:rFonts w:ascii="Arial" w:eastAsia="Calibri" w:hAnsi="Arial" w:cs="Times New Roman"/>
          <w:sz w:val="28"/>
          <w:szCs w:val="28"/>
        </w:rPr>
      </w:pPr>
    </w:p>
    <w:p w14:paraId="38A11019" w14:textId="77777777" w:rsidR="00F94B48" w:rsidRPr="00F32542" w:rsidRDefault="00F94B48" w:rsidP="009B6ED0">
      <w:pPr>
        <w:numPr>
          <w:ilvl w:val="0"/>
          <w:numId w:val="13"/>
        </w:numPr>
        <w:spacing w:after="0" w:line="360" w:lineRule="auto"/>
        <w:contextualSpacing/>
        <w:jc w:val="both"/>
        <w:rPr>
          <w:rFonts w:ascii="Arial" w:eastAsia="Calibri" w:hAnsi="Arial" w:cs="Times New Roman"/>
          <w:sz w:val="28"/>
          <w:szCs w:val="28"/>
        </w:rPr>
      </w:pPr>
      <w:r w:rsidRPr="00F32542">
        <w:rPr>
          <w:rFonts w:ascii="Arial" w:eastAsia="Calibri" w:hAnsi="Arial" w:cs="Times New Roman"/>
          <w:sz w:val="28"/>
          <w:szCs w:val="28"/>
        </w:rPr>
        <w:lastRenderedPageBreak/>
        <w:t xml:space="preserve">Es derecho de los pueblos, barrios y comunidades indígenas, participar dentro del sistema de democracia representativa, que se ejerce mediante la previsión de acciones afirmativas a su favor, en las listas de candidaturas a los distintos cargos de elección popular. </w:t>
      </w:r>
    </w:p>
    <w:p w14:paraId="15F351EC" w14:textId="77777777" w:rsidR="00F94B48" w:rsidRPr="00F32542" w:rsidRDefault="00F94B48" w:rsidP="009B6ED0">
      <w:pPr>
        <w:numPr>
          <w:ilvl w:val="0"/>
          <w:numId w:val="13"/>
        </w:numPr>
        <w:spacing w:after="0" w:line="360" w:lineRule="auto"/>
        <w:contextualSpacing/>
        <w:jc w:val="both"/>
        <w:rPr>
          <w:rFonts w:ascii="Arial" w:eastAsia="Calibri" w:hAnsi="Arial" w:cs="Times New Roman"/>
          <w:sz w:val="28"/>
          <w:szCs w:val="28"/>
        </w:rPr>
      </w:pPr>
      <w:r w:rsidRPr="00F32542">
        <w:rPr>
          <w:rFonts w:ascii="Arial" w:eastAsia="Calibri" w:hAnsi="Arial" w:cs="Times New Roman"/>
          <w:sz w:val="28"/>
          <w:szCs w:val="28"/>
        </w:rPr>
        <w:t xml:space="preserve">En las postulaciones de personas pertenecientes a pueblos, barrios y comunidades indígenas, los partidos deben incluir la traducción de los documentos presentados por las personas postuladas, cuyo texto original esté escrito en un idioma diverso al español. </w:t>
      </w:r>
    </w:p>
    <w:p w14:paraId="329A7F1C" w14:textId="77777777" w:rsidR="00F94B48" w:rsidRPr="00F32542" w:rsidRDefault="00F94B48" w:rsidP="009B6ED0">
      <w:pPr>
        <w:numPr>
          <w:ilvl w:val="0"/>
          <w:numId w:val="13"/>
        </w:numPr>
        <w:spacing w:after="0" w:line="360" w:lineRule="auto"/>
        <w:contextualSpacing/>
        <w:jc w:val="both"/>
        <w:rPr>
          <w:rFonts w:ascii="Arial" w:eastAsia="Calibri" w:hAnsi="Arial" w:cs="Times New Roman"/>
          <w:sz w:val="28"/>
          <w:szCs w:val="28"/>
        </w:rPr>
      </w:pPr>
      <w:r w:rsidRPr="00F32542">
        <w:rPr>
          <w:rFonts w:ascii="Arial" w:eastAsia="Calibri" w:hAnsi="Arial" w:cs="Times New Roman"/>
          <w:sz w:val="28"/>
          <w:szCs w:val="28"/>
        </w:rPr>
        <w:t xml:space="preserve">Las candidaturas deben cumplir con la </w:t>
      </w:r>
      <w:proofErr w:type="spellStart"/>
      <w:r w:rsidRPr="00F32542">
        <w:rPr>
          <w:rFonts w:ascii="Arial" w:eastAsia="Calibri" w:hAnsi="Arial" w:cs="Times New Roman"/>
          <w:sz w:val="28"/>
          <w:szCs w:val="28"/>
        </w:rPr>
        <w:t>autoadscripción</w:t>
      </w:r>
      <w:proofErr w:type="spellEnd"/>
      <w:r w:rsidRPr="00F32542">
        <w:rPr>
          <w:rFonts w:ascii="Arial" w:eastAsia="Calibri" w:hAnsi="Arial" w:cs="Times New Roman"/>
          <w:sz w:val="28"/>
          <w:szCs w:val="28"/>
        </w:rPr>
        <w:t xml:space="preserve"> calificada, por lo que los partidos políticos postulantes deben presentar, además de la declaración por escrito de su </w:t>
      </w:r>
      <w:proofErr w:type="spellStart"/>
      <w:r w:rsidRPr="00F32542">
        <w:rPr>
          <w:rFonts w:ascii="Arial" w:eastAsia="Calibri" w:hAnsi="Arial" w:cs="Times New Roman"/>
          <w:sz w:val="28"/>
          <w:szCs w:val="28"/>
        </w:rPr>
        <w:t>autoadscripción</w:t>
      </w:r>
      <w:proofErr w:type="spellEnd"/>
      <w:r w:rsidRPr="00F32542">
        <w:rPr>
          <w:rFonts w:ascii="Arial" w:eastAsia="Calibri" w:hAnsi="Arial" w:cs="Times New Roman"/>
          <w:sz w:val="28"/>
          <w:szCs w:val="28"/>
        </w:rPr>
        <w:t xml:space="preserve">, elementos que demuestren el vínculo afectivo, documentado y comprobable con su colectividad o con las instituciones sociales, económicas, culturales y políticas respectivas, o se pruebe haber prestado en algún momento servicios comunitarios o desempeñado cargos tradicionales en el barrio, pueblo o comunidad. </w:t>
      </w:r>
    </w:p>
    <w:p w14:paraId="6C0B2DBC" w14:textId="77777777" w:rsidR="00F94B48" w:rsidRPr="00F32542" w:rsidRDefault="00F94B48" w:rsidP="009B6ED0">
      <w:pPr>
        <w:numPr>
          <w:ilvl w:val="0"/>
          <w:numId w:val="13"/>
        </w:numPr>
        <w:spacing w:after="0" w:line="360" w:lineRule="auto"/>
        <w:contextualSpacing/>
        <w:jc w:val="both"/>
        <w:rPr>
          <w:rFonts w:ascii="Arial" w:eastAsia="Calibri" w:hAnsi="Arial" w:cs="Times New Roman"/>
          <w:sz w:val="28"/>
          <w:szCs w:val="28"/>
        </w:rPr>
      </w:pPr>
      <w:r w:rsidRPr="00F32542">
        <w:rPr>
          <w:rFonts w:ascii="Arial" w:eastAsia="Calibri" w:hAnsi="Arial" w:cs="Times New Roman"/>
          <w:sz w:val="28"/>
          <w:szCs w:val="28"/>
        </w:rPr>
        <w:t xml:space="preserve">Para determinar la calidad de persona perteneciente a pueblos y barrios originarios, se puede tomar en cuenta el Catálogo de Colonias y Pueblos Originarios del Marco Geográfico de Participación Ciudadana 2016. </w:t>
      </w:r>
    </w:p>
    <w:p w14:paraId="03E679F7" w14:textId="77777777" w:rsidR="00F94B48" w:rsidRPr="00F32542" w:rsidRDefault="00F94B48" w:rsidP="009B6ED0">
      <w:pPr>
        <w:numPr>
          <w:ilvl w:val="0"/>
          <w:numId w:val="13"/>
        </w:numPr>
        <w:spacing w:after="0" w:line="360" w:lineRule="auto"/>
        <w:contextualSpacing/>
        <w:jc w:val="both"/>
        <w:rPr>
          <w:rFonts w:ascii="Arial" w:eastAsia="Calibri" w:hAnsi="Arial" w:cs="Times New Roman"/>
          <w:sz w:val="28"/>
          <w:szCs w:val="28"/>
        </w:rPr>
      </w:pPr>
      <w:r w:rsidRPr="00F32542">
        <w:rPr>
          <w:rFonts w:ascii="Arial" w:eastAsia="Calibri" w:hAnsi="Arial" w:cs="Times New Roman"/>
          <w:sz w:val="28"/>
          <w:szCs w:val="28"/>
        </w:rPr>
        <w:t xml:space="preserve">El ejercicio de los derechos políticos de las mujeres no puede restringirse con base en la aplicación de tradiciones, costumbres o sistemas normativos internos o propios que sean violatorios de los derechos humanos. </w:t>
      </w:r>
    </w:p>
    <w:p w14:paraId="3BE1A52A" w14:textId="77777777" w:rsidR="00F94B48" w:rsidRPr="00F32542" w:rsidRDefault="00F94B48" w:rsidP="009B6ED0">
      <w:pPr>
        <w:numPr>
          <w:ilvl w:val="0"/>
          <w:numId w:val="13"/>
        </w:numPr>
        <w:spacing w:after="0" w:line="360" w:lineRule="auto"/>
        <w:contextualSpacing/>
        <w:jc w:val="both"/>
        <w:rPr>
          <w:rFonts w:ascii="Arial" w:eastAsia="Calibri" w:hAnsi="Arial" w:cs="Times New Roman"/>
          <w:b/>
          <w:sz w:val="28"/>
          <w:szCs w:val="28"/>
        </w:rPr>
      </w:pPr>
      <w:r w:rsidRPr="00F32542">
        <w:rPr>
          <w:rFonts w:ascii="Arial" w:eastAsia="Calibri" w:hAnsi="Arial" w:cs="Times New Roman"/>
          <w:b/>
          <w:sz w:val="28"/>
          <w:szCs w:val="28"/>
        </w:rPr>
        <w:t xml:space="preserve">Los partidos políticos deben incluir en sus postulaciones de diputaciones de mayoría relativa, al menos una </w:t>
      </w:r>
      <w:r w:rsidRPr="00F32542">
        <w:rPr>
          <w:rFonts w:ascii="Arial" w:eastAsia="Calibri" w:hAnsi="Arial" w:cs="Times New Roman"/>
          <w:b/>
          <w:sz w:val="28"/>
          <w:szCs w:val="28"/>
        </w:rPr>
        <w:lastRenderedPageBreak/>
        <w:t>candidatura perteneciente a pueblos y barrios originarios o comunidades indígenas residentes en la Ciudad, según lo previsto en sus estatutos, y en el bloque alto o medio de competitividad.</w:t>
      </w:r>
    </w:p>
    <w:p w14:paraId="5A8A0B15" w14:textId="77777777" w:rsidR="00F94B48" w:rsidRPr="00F32542" w:rsidRDefault="00F94B48" w:rsidP="009B6ED0">
      <w:pPr>
        <w:numPr>
          <w:ilvl w:val="0"/>
          <w:numId w:val="13"/>
        </w:numPr>
        <w:spacing w:after="0" w:line="360" w:lineRule="auto"/>
        <w:contextualSpacing/>
        <w:jc w:val="both"/>
        <w:rPr>
          <w:rFonts w:ascii="Arial" w:eastAsia="Calibri" w:hAnsi="Arial" w:cs="Times New Roman"/>
          <w:b/>
          <w:sz w:val="28"/>
          <w:szCs w:val="28"/>
        </w:rPr>
      </w:pPr>
      <w:r w:rsidRPr="00F32542">
        <w:rPr>
          <w:rFonts w:ascii="Arial" w:eastAsia="Calibri" w:hAnsi="Arial" w:cs="Times New Roman"/>
          <w:b/>
          <w:sz w:val="28"/>
          <w:szCs w:val="28"/>
        </w:rPr>
        <w:t xml:space="preserve">Además, los partidos procurarán incluir en su lista A de representación proporcional, a integrantes de pueblos y barrios originarios o comunidades indígenas. </w:t>
      </w:r>
    </w:p>
    <w:p w14:paraId="7CD801C3" w14:textId="77777777" w:rsidR="00F94B48" w:rsidRPr="00F32542" w:rsidRDefault="00F94B48" w:rsidP="00F94B48">
      <w:pPr>
        <w:spacing w:after="0" w:line="360" w:lineRule="auto"/>
        <w:jc w:val="both"/>
        <w:rPr>
          <w:rFonts w:ascii="Arial" w:eastAsia="Calibri" w:hAnsi="Arial" w:cs="Times New Roman"/>
          <w:sz w:val="28"/>
          <w:szCs w:val="28"/>
        </w:rPr>
      </w:pPr>
    </w:p>
    <w:p w14:paraId="05C88D94"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De lo anterior se advierte que, para el actual proceso electoral local 2020-2021, el </w:t>
      </w:r>
      <w:r w:rsidRPr="00F32542">
        <w:rPr>
          <w:rFonts w:ascii="Arial" w:eastAsia="Calibri" w:hAnsi="Arial" w:cs="Times New Roman"/>
          <w:i/>
          <w:sz w:val="28"/>
          <w:szCs w:val="28"/>
        </w:rPr>
        <w:t>Instituto Electoral</w:t>
      </w:r>
      <w:r w:rsidRPr="00F32542">
        <w:rPr>
          <w:rFonts w:ascii="Arial" w:eastAsia="Calibri" w:hAnsi="Arial" w:cs="Times New Roman"/>
          <w:sz w:val="28"/>
          <w:szCs w:val="28"/>
        </w:rPr>
        <w:t xml:space="preserve"> estableció una acción afirmativa a favor de personas integrantes de pueblos y barrios originarios o comunidades indígenas, para la etapa de postulación; es decir, mediante su inclusión en las candidaturas a diputaciones al </w:t>
      </w:r>
      <w:r w:rsidRPr="00F32542">
        <w:rPr>
          <w:rFonts w:ascii="Arial" w:eastAsia="Calibri" w:hAnsi="Arial" w:cs="Times New Roman"/>
          <w:i/>
          <w:sz w:val="28"/>
          <w:szCs w:val="28"/>
        </w:rPr>
        <w:t>Congreso</w:t>
      </w:r>
      <w:r w:rsidRPr="00F32542">
        <w:rPr>
          <w:rFonts w:ascii="Arial" w:eastAsia="Calibri" w:hAnsi="Arial" w:cs="Times New Roman"/>
          <w:sz w:val="28"/>
          <w:szCs w:val="28"/>
        </w:rPr>
        <w:t>, tanto por el principio de mayoría relativa, como de representación proporcional.</w:t>
      </w:r>
    </w:p>
    <w:p w14:paraId="79EC246E" w14:textId="77777777" w:rsidR="00F94B48" w:rsidRPr="00F32542" w:rsidRDefault="00F94B48" w:rsidP="00F94B48">
      <w:pPr>
        <w:spacing w:after="0" w:line="360" w:lineRule="auto"/>
        <w:jc w:val="both"/>
        <w:rPr>
          <w:rFonts w:ascii="Arial" w:eastAsia="Calibri" w:hAnsi="Arial" w:cs="Times New Roman"/>
          <w:sz w:val="28"/>
          <w:szCs w:val="28"/>
        </w:rPr>
      </w:pPr>
    </w:p>
    <w:p w14:paraId="733E7C9B"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Así, quedó establecido que, por una parte, en las candidaturas a diputaciones de mayoría relativa, los partidos debían incluir al menos a una persona del citado grupo, dentro de los bloques de alta o media competitividad; mientras que, para las diputaciones de representación proporcional, los partidos debían procurar su inclusión en la Lista A de candidaturas plurinominales.  </w:t>
      </w:r>
    </w:p>
    <w:p w14:paraId="3F3F2ED5" w14:textId="77777777" w:rsidR="00F94B48" w:rsidRPr="00F32542" w:rsidRDefault="00F94B48" w:rsidP="00F94B48">
      <w:pPr>
        <w:spacing w:after="0" w:line="360" w:lineRule="auto"/>
        <w:jc w:val="both"/>
        <w:rPr>
          <w:rFonts w:ascii="Arial" w:eastAsia="Calibri" w:hAnsi="Arial" w:cs="Times New Roman"/>
          <w:sz w:val="28"/>
          <w:szCs w:val="28"/>
        </w:rPr>
      </w:pPr>
    </w:p>
    <w:p w14:paraId="75F48A33"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En ese sentido, la acción afirmativa en comento aspira a garantizar la participación de las personas integrantes de pueblos y barrios originarios o comunidades indígenas, en el actual proceso electoral local, con candidaturas reservadas para la postulación de personas </w:t>
      </w:r>
      <w:proofErr w:type="spellStart"/>
      <w:r w:rsidRPr="00F32542">
        <w:rPr>
          <w:rFonts w:ascii="Arial" w:eastAsia="Calibri" w:hAnsi="Arial" w:cs="Times New Roman"/>
          <w:sz w:val="28"/>
          <w:szCs w:val="28"/>
        </w:rPr>
        <w:t>autoadscritas</w:t>
      </w:r>
      <w:proofErr w:type="spellEnd"/>
      <w:r w:rsidRPr="00F32542">
        <w:rPr>
          <w:rFonts w:ascii="Arial" w:eastAsia="Calibri" w:hAnsi="Arial" w:cs="Times New Roman"/>
          <w:sz w:val="28"/>
          <w:szCs w:val="28"/>
        </w:rPr>
        <w:t xml:space="preserve"> a esa calidad, en atención al pleno reconocimiento a su identidad.</w:t>
      </w:r>
    </w:p>
    <w:p w14:paraId="4166CB27" w14:textId="77777777" w:rsidR="00F94B48" w:rsidRPr="00F32542" w:rsidRDefault="00F94B48" w:rsidP="00F94B48">
      <w:pPr>
        <w:spacing w:after="0" w:line="360" w:lineRule="auto"/>
        <w:jc w:val="both"/>
        <w:rPr>
          <w:rFonts w:ascii="Arial" w:eastAsia="Calibri" w:hAnsi="Arial" w:cs="Times New Roman"/>
          <w:sz w:val="28"/>
          <w:szCs w:val="28"/>
        </w:rPr>
      </w:pPr>
    </w:p>
    <w:p w14:paraId="1F8C5E21" w14:textId="77777777" w:rsidR="00F94B48" w:rsidRPr="00F32542" w:rsidRDefault="00F94B48" w:rsidP="00F94B48">
      <w:pPr>
        <w:widowControl w:val="0"/>
        <w:spacing w:after="0" w:line="360" w:lineRule="auto"/>
        <w:jc w:val="both"/>
        <w:rPr>
          <w:rFonts w:ascii="Arial" w:eastAsia="Calibri" w:hAnsi="Arial" w:cs="Arial"/>
          <w:bCs/>
          <w:sz w:val="28"/>
          <w:szCs w:val="28"/>
        </w:rPr>
      </w:pPr>
      <w:r w:rsidRPr="00F32542">
        <w:rPr>
          <w:rFonts w:ascii="Arial" w:eastAsia="Calibri" w:hAnsi="Arial" w:cs="Arial"/>
          <w:bCs/>
          <w:sz w:val="28"/>
          <w:szCs w:val="28"/>
        </w:rPr>
        <w:t xml:space="preserve">Respecto a ese tipo de medidas —acciones afirmativas—  cuando son dirigidas a beneficiar a personas indígenas, resulta aplicable lo considerado por la </w:t>
      </w:r>
      <w:r w:rsidRPr="00F32542">
        <w:rPr>
          <w:rFonts w:ascii="Arial" w:eastAsia="Calibri" w:hAnsi="Arial" w:cs="Arial"/>
          <w:bCs/>
          <w:i/>
          <w:sz w:val="28"/>
          <w:szCs w:val="28"/>
        </w:rPr>
        <w:t>Sala Superior</w:t>
      </w:r>
      <w:r w:rsidRPr="00F32542">
        <w:rPr>
          <w:rFonts w:ascii="Arial" w:eastAsia="Calibri" w:hAnsi="Arial" w:cs="Arial"/>
          <w:bCs/>
          <w:sz w:val="28"/>
          <w:szCs w:val="28"/>
        </w:rPr>
        <w:t>, en cuanto a que fortalecen la dimensión sustantiva del derecho a la igualdad jurídica de las personas pertenecientes a grupos colocados en desventaja —como lo son los integrantes de colectivos originarios— frente al resto de la ciudadanía, no ubicada en alguna categoría sospechosa; ello, a fin de que las personas pertenecientes a dichos colectivos, alcancen condiciones reales de participación política y acceso a cargos de elección popular.</w:t>
      </w:r>
    </w:p>
    <w:p w14:paraId="6703CBFD" w14:textId="77777777" w:rsidR="00F94B48" w:rsidRPr="00F32542" w:rsidRDefault="00F94B48" w:rsidP="00F94B48">
      <w:pPr>
        <w:spacing w:after="0" w:line="360" w:lineRule="auto"/>
        <w:jc w:val="both"/>
        <w:rPr>
          <w:rFonts w:ascii="Arial" w:eastAsia="Calibri" w:hAnsi="Arial" w:cs="Times New Roman"/>
          <w:sz w:val="28"/>
          <w:szCs w:val="28"/>
        </w:rPr>
      </w:pPr>
    </w:p>
    <w:p w14:paraId="17B58500" w14:textId="77777777" w:rsidR="00F94B48" w:rsidRPr="00F32542" w:rsidRDefault="00F94B48" w:rsidP="00F94B48">
      <w:pPr>
        <w:spacing w:after="0" w:line="360" w:lineRule="auto"/>
        <w:jc w:val="both"/>
        <w:rPr>
          <w:rFonts w:ascii="Arial" w:eastAsia="Calibri" w:hAnsi="Arial" w:cs="Times New Roman"/>
          <w:sz w:val="28"/>
          <w:szCs w:val="28"/>
          <w:shd w:val="clear" w:color="auto" w:fill="FFFFFF"/>
        </w:rPr>
      </w:pPr>
      <w:r w:rsidRPr="00F32542">
        <w:rPr>
          <w:rFonts w:ascii="Arial" w:eastAsia="Calibri" w:hAnsi="Arial" w:cs="Times New Roman"/>
          <w:sz w:val="28"/>
          <w:szCs w:val="28"/>
          <w:shd w:val="clear" w:color="auto" w:fill="FFFFFF"/>
        </w:rPr>
        <w:t xml:space="preserve">En ese sentido, la implementación de una acción afirmativa a su </w:t>
      </w:r>
      <w:proofErr w:type="gramStart"/>
      <w:r w:rsidRPr="00F32542">
        <w:rPr>
          <w:rFonts w:ascii="Arial" w:eastAsia="Calibri" w:hAnsi="Arial" w:cs="Times New Roman"/>
          <w:sz w:val="28"/>
          <w:szCs w:val="28"/>
          <w:shd w:val="clear" w:color="auto" w:fill="FFFFFF"/>
        </w:rPr>
        <w:t>favor,</w:t>
      </w:r>
      <w:proofErr w:type="gramEnd"/>
      <w:r w:rsidRPr="00F32542">
        <w:rPr>
          <w:rFonts w:ascii="Arial" w:eastAsia="Calibri" w:hAnsi="Arial" w:cs="Times New Roman"/>
          <w:sz w:val="28"/>
          <w:szCs w:val="28"/>
          <w:shd w:val="clear" w:color="auto" w:fill="FFFFFF"/>
        </w:rPr>
        <w:t xml:space="preserve"> constituye una medida que permite a las personas indígenas ser sujetas de un trato diferenciado, para tener la oportunidad de acceder a cargos de elección popular sin discriminar al resto de la población.</w:t>
      </w:r>
    </w:p>
    <w:p w14:paraId="29BC0D8B" w14:textId="77777777" w:rsidR="00F94B48" w:rsidRPr="00F32542" w:rsidRDefault="00F94B48" w:rsidP="00F94B48">
      <w:pPr>
        <w:spacing w:after="0" w:line="360" w:lineRule="auto"/>
        <w:jc w:val="both"/>
        <w:rPr>
          <w:rFonts w:ascii="Arial" w:eastAsia="Calibri" w:hAnsi="Arial" w:cs="Times New Roman"/>
          <w:sz w:val="28"/>
          <w:szCs w:val="28"/>
          <w:shd w:val="clear" w:color="auto" w:fill="FFFFFF"/>
        </w:rPr>
      </w:pPr>
    </w:p>
    <w:p w14:paraId="2E605E58" w14:textId="77777777" w:rsidR="00F94B48" w:rsidRPr="00F32542" w:rsidRDefault="00F94B48" w:rsidP="00F94B48">
      <w:pPr>
        <w:spacing w:after="0" w:line="360" w:lineRule="auto"/>
        <w:jc w:val="both"/>
        <w:rPr>
          <w:rFonts w:ascii="Arial" w:eastAsia="Calibri" w:hAnsi="Arial" w:cs="Times New Roman"/>
          <w:sz w:val="28"/>
          <w:szCs w:val="28"/>
          <w:shd w:val="clear" w:color="auto" w:fill="FFFFFF"/>
        </w:rPr>
      </w:pPr>
      <w:r w:rsidRPr="00F32542">
        <w:rPr>
          <w:rFonts w:ascii="Arial" w:eastAsia="Calibri" w:hAnsi="Arial" w:cs="Times New Roman"/>
          <w:sz w:val="28"/>
          <w:szCs w:val="28"/>
          <w:shd w:val="clear" w:color="auto" w:fill="FFFFFF"/>
        </w:rPr>
        <w:t xml:space="preserve">Lo dicho, se trata de una medida temporal, con miras a trascender al resultado de un proceso electoral, pues al garantizar la participación de personas integrantes de las comunidades originarias, se busca aumentar la representación indígena, mediante el acceso de sus integrantes al ejercicio de cargos de elección popular; esto, como se establece en la tesis </w:t>
      </w:r>
      <w:r w:rsidRPr="00F32542">
        <w:rPr>
          <w:rFonts w:ascii="Arial" w:eastAsia="Calibri" w:hAnsi="Arial" w:cs="Times New Roman"/>
          <w:b/>
          <w:sz w:val="28"/>
          <w:szCs w:val="28"/>
          <w:shd w:val="clear" w:color="auto" w:fill="FFFFFF"/>
        </w:rPr>
        <w:t>XXIV/201</w:t>
      </w:r>
      <w:bookmarkStart w:id="43" w:name="_ftnref2"/>
      <w:bookmarkEnd w:id="43"/>
      <w:r w:rsidRPr="00F32542">
        <w:rPr>
          <w:rFonts w:ascii="Arial" w:eastAsia="Calibri" w:hAnsi="Arial" w:cs="Times New Roman"/>
          <w:b/>
          <w:sz w:val="28"/>
          <w:szCs w:val="28"/>
          <w:shd w:val="clear" w:color="auto" w:fill="FFFFFF"/>
        </w:rPr>
        <w:t>8</w:t>
      </w:r>
      <w:r w:rsidRPr="00F32542">
        <w:rPr>
          <w:rFonts w:ascii="Arial" w:eastAsia="Calibri" w:hAnsi="Arial" w:cs="Times New Roman"/>
          <w:bCs/>
          <w:sz w:val="28"/>
          <w:szCs w:val="28"/>
          <w:shd w:val="clear" w:color="auto" w:fill="FFFFFF"/>
        </w:rPr>
        <w:t xml:space="preserve">, con </w:t>
      </w:r>
      <w:r w:rsidRPr="00F32542">
        <w:rPr>
          <w:rFonts w:ascii="Arial" w:eastAsia="Calibri" w:hAnsi="Arial" w:cs="Times New Roman"/>
          <w:sz w:val="28"/>
          <w:szCs w:val="28"/>
          <w:shd w:val="clear" w:color="auto" w:fill="FFFFFF"/>
        </w:rPr>
        <w:t>rubro: “</w:t>
      </w:r>
      <w:r w:rsidRPr="00F32542">
        <w:rPr>
          <w:rFonts w:ascii="Arial" w:eastAsia="Calibri" w:hAnsi="Arial" w:cs="Times New Roman"/>
          <w:b/>
          <w:bCs/>
          <w:sz w:val="28"/>
          <w:szCs w:val="28"/>
          <w:shd w:val="clear" w:color="auto" w:fill="FFFFFF"/>
        </w:rPr>
        <w:t>ACCIONES AFIRMATIVAS INDÍGENAS. A TRAVÉS DE UN TRATO DIFERENCIADO JUSTIFICADO ASEGURAN QUE LA POBLACIÓN INDÍGENA ACCEDA A CARGOS DE ELECCIÓN POPULAR</w:t>
      </w:r>
      <w:r w:rsidRPr="00F32542">
        <w:rPr>
          <w:rFonts w:ascii="Arial" w:eastAsia="Calibri" w:hAnsi="Arial" w:cs="Times New Roman"/>
          <w:sz w:val="28"/>
          <w:szCs w:val="28"/>
          <w:shd w:val="clear" w:color="auto" w:fill="FFFFFF"/>
        </w:rPr>
        <w:t>”.</w:t>
      </w:r>
    </w:p>
    <w:p w14:paraId="42102F6F" w14:textId="77777777" w:rsidR="00F94B48" w:rsidRPr="00F32542" w:rsidRDefault="00F94B48" w:rsidP="00F94B48">
      <w:pPr>
        <w:spacing w:after="0" w:line="360" w:lineRule="auto"/>
        <w:jc w:val="both"/>
        <w:rPr>
          <w:rFonts w:ascii="Arial" w:eastAsia="Calibri" w:hAnsi="Arial" w:cs="Times New Roman"/>
          <w:sz w:val="28"/>
          <w:szCs w:val="28"/>
        </w:rPr>
      </w:pPr>
    </w:p>
    <w:p w14:paraId="01F88A86" w14:textId="77777777" w:rsidR="007D0D40"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Ahora bien, por el momento, la normativa electoral de la Ciudad de México no prevé una diversa acción afirmativa, adicional a la prevista </w:t>
      </w:r>
      <w:r w:rsidRPr="00F32542">
        <w:rPr>
          <w:rFonts w:ascii="Arial" w:eastAsia="Calibri" w:hAnsi="Arial" w:cs="Times New Roman"/>
          <w:sz w:val="28"/>
          <w:szCs w:val="28"/>
        </w:rPr>
        <w:lastRenderedPageBreak/>
        <w:t>y exigible durante la postulación de candidaturas, que garantice la asignación directa y específica de diputaciones plurinominales a personas integrantes de pueblos y barrios originarios o comunidades indígenas</w:t>
      </w:r>
      <w:r w:rsidR="007D0D40" w:rsidRPr="00F32542">
        <w:rPr>
          <w:rFonts w:ascii="Arial" w:eastAsia="Calibri" w:hAnsi="Arial" w:cs="Times New Roman"/>
          <w:sz w:val="28"/>
          <w:szCs w:val="28"/>
        </w:rPr>
        <w:t xml:space="preserve">. </w:t>
      </w:r>
    </w:p>
    <w:p w14:paraId="36E6D7F3" w14:textId="77777777" w:rsidR="007D0D40" w:rsidRPr="00F32542" w:rsidRDefault="007D0D40" w:rsidP="00F94B48">
      <w:pPr>
        <w:spacing w:after="0" w:line="360" w:lineRule="auto"/>
        <w:jc w:val="both"/>
        <w:rPr>
          <w:rFonts w:ascii="Arial" w:eastAsia="Calibri" w:hAnsi="Arial" w:cs="Times New Roman"/>
          <w:sz w:val="28"/>
          <w:szCs w:val="28"/>
        </w:rPr>
      </w:pPr>
    </w:p>
    <w:p w14:paraId="50F751A2" w14:textId="77777777" w:rsidR="00F94B48" w:rsidRPr="00F32542" w:rsidRDefault="007D0D40"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Esto, aun cuando fuera deseable que no sólo quedara en una acción afirmativa para la postulación, regulada a nivel reglamentario, sino en una hipótesis legalmente establecida.</w:t>
      </w:r>
    </w:p>
    <w:p w14:paraId="3B0381DA" w14:textId="77777777" w:rsidR="00F94B48" w:rsidRPr="00F32542" w:rsidRDefault="00F94B48" w:rsidP="00F94B48">
      <w:pPr>
        <w:spacing w:after="0" w:line="360" w:lineRule="auto"/>
        <w:jc w:val="both"/>
        <w:rPr>
          <w:rFonts w:ascii="Arial" w:eastAsia="Calibri" w:hAnsi="Arial" w:cs="Times New Roman"/>
          <w:sz w:val="28"/>
          <w:szCs w:val="28"/>
        </w:rPr>
      </w:pPr>
    </w:p>
    <w:p w14:paraId="10996569"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De ahí que la pretensión de las </w:t>
      </w:r>
      <w:r w:rsidRPr="00F32542">
        <w:rPr>
          <w:rFonts w:ascii="Arial" w:eastAsia="Calibri" w:hAnsi="Arial" w:cs="Times New Roman"/>
          <w:i/>
          <w:sz w:val="28"/>
          <w:szCs w:val="28"/>
        </w:rPr>
        <w:t xml:space="preserve">partes actoras </w:t>
      </w:r>
      <w:r w:rsidRPr="00F32542">
        <w:rPr>
          <w:rFonts w:ascii="Arial" w:eastAsia="Calibri" w:hAnsi="Arial" w:cs="Times New Roman"/>
          <w:sz w:val="28"/>
          <w:szCs w:val="28"/>
        </w:rPr>
        <w:t xml:space="preserve">no encuentre sustento normativo </w:t>
      </w:r>
      <w:r w:rsidR="0047436C" w:rsidRPr="00F32542">
        <w:rPr>
          <w:rFonts w:ascii="Arial" w:eastAsia="Calibri" w:hAnsi="Arial" w:cs="Times New Roman"/>
          <w:sz w:val="28"/>
          <w:szCs w:val="28"/>
        </w:rPr>
        <w:t xml:space="preserve">por el momento, </w:t>
      </w:r>
      <w:r w:rsidRPr="00F32542">
        <w:rPr>
          <w:rFonts w:ascii="Arial" w:eastAsia="Calibri" w:hAnsi="Arial" w:cs="Times New Roman"/>
          <w:sz w:val="28"/>
          <w:szCs w:val="28"/>
        </w:rPr>
        <w:t xml:space="preserve">ya que, precisamente, solicitan que este Tribunal Electoral ordene su implementación a fin de que les sea asignada una diputación de representación proporcional. </w:t>
      </w:r>
    </w:p>
    <w:p w14:paraId="67D41F1F" w14:textId="77777777" w:rsidR="00F94B48" w:rsidRPr="00F32542" w:rsidRDefault="00F94B48" w:rsidP="00F94B48">
      <w:pPr>
        <w:spacing w:after="0" w:line="360" w:lineRule="auto"/>
        <w:jc w:val="both"/>
        <w:rPr>
          <w:rFonts w:ascii="Arial" w:eastAsia="Calibri" w:hAnsi="Arial" w:cs="Times New Roman"/>
          <w:sz w:val="28"/>
          <w:szCs w:val="28"/>
        </w:rPr>
      </w:pPr>
    </w:p>
    <w:p w14:paraId="4FBAC805" w14:textId="77777777" w:rsidR="00F94B48" w:rsidRPr="00F32542" w:rsidRDefault="0047436C" w:rsidP="0047436C">
      <w:pPr>
        <w:spacing w:after="0" w:line="360" w:lineRule="auto"/>
        <w:contextualSpacing/>
        <w:jc w:val="both"/>
        <w:rPr>
          <w:rFonts w:ascii="Arial" w:eastAsia="Times New Roman" w:hAnsi="Arial" w:cs="Arial"/>
          <w:b/>
          <w:bCs/>
          <w:color w:val="000000"/>
          <w:sz w:val="28"/>
          <w:szCs w:val="28"/>
        </w:rPr>
      </w:pPr>
      <w:r w:rsidRPr="00F32542">
        <w:rPr>
          <w:rFonts w:ascii="Arial" w:eastAsia="Times New Roman" w:hAnsi="Arial" w:cs="Arial"/>
          <w:b/>
          <w:bCs/>
          <w:color w:val="000000"/>
          <w:sz w:val="28"/>
          <w:szCs w:val="28"/>
        </w:rPr>
        <w:t xml:space="preserve">4. </w:t>
      </w:r>
      <w:r w:rsidR="00F94B48" w:rsidRPr="00F32542">
        <w:rPr>
          <w:rFonts w:ascii="Arial" w:eastAsia="Times New Roman" w:hAnsi="Arial" w:cs="Arial"/>
          <w:b/>
          <w:bCs/>
          <w:color w:val="000000"/>
          <w:sz w:val="28"/>
          <w:szCs w:val="28"/>
        </w:rPr>
        <w:t>Oportunidad para implementar una acción afirmativa</w:t>
      </w:r>
    </w:p>
    <w:p w14:paraId="4B9846E6" w14:textId="77777777" w:rsidR="00F94B48" w:rsidRPr="00F32542" w:rsidRDefault="00F94B48" w:rsidP="00F94B48">
      <w:pPr>
        <w:spacing w:after="0" w:line="360" w:lineRule="auto"/>
        <w:ind w:left="360"/>
        <w:jc w:val="both"/>
        <w:rPr>
          <w:rFonts w:ascii="Arial" w:eastAsia="Times New Roman" w:hAnsi="Arial" w:cs="Arial"/>
          <w:b/>
          <w:bCs/>
          <w:color w:val="000000"/>
          <w:sz w:val="28"/>
          <w:szCs w:val="28"/>
        </w:rPr>
      </w:pPr>
    </w:p>
    <w:p w14:paraId="2BE4D2A7"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De conformidad con el artículo 105, fracción II, inciso i), tercer párrafo, de la </w:t>
      </w:r>
      <w:r w:rsidRPr="00F32542">
        <w:rPr>
          <w:rFonts w:ascii="Arial" w:eastAsia="Calibri" w:hAnsi="Arial" w:cs="Times New Roman"/>
          <w:i/>
          <w:sz w:val="28"/>
          <w:szCs w:val="28"/>
        </w:rPr>
        <w:t>Constitución Federal</w:t>
      </w:r>
      <w:r w:rsidRPr="00F32542">
        <w:rPr>
          <w:rFonts w:ascii="Arial" w:eastAsia="Calibri" w:hAnsi="Arial" w:cs="Times New Roman"/>
          <w:sz w:val="28"/>
          <w:szCs w:val="28"/>
        </w:rPr>
        <w:t>, las leyes electorales federal y locales deberán promulgarse y publicarse por lo menos noventa días antes de que inicie el proceso electoral en que vayan a aplicarse, y durante el mismo no podrá haber modificaciones legales fundamentales.</w:t>
      </w:r>
    </w:p>
    <w:p w14:paraId="04721621" w14:textId="77777777" w:rsidR="00F94B48" w:rsidRPr="00F32542" w:rsidRDefault="00F94B48" w:rsidP="00F94B48">
      <w:pPr>
        <w:spacing w:after="0" w:line="360" w:lineRule="auto"/>
        <w:jc w:val="both"/>
        <w:rPr>
          <w:rFonts w:ascii="Arial" w:eastAsia="Calibri" w:hAnsi="Arial" w:cs="Times New Roman"/>
          <w:sz w:val="28"/>
          <w:szCs w:val="28"/>
        </w:rPr>
      </w:pPr>
    </w:p>
    <w:p w14:paraId="27C7B214"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Al respecto, la </w:t>
      </w:r>
      <w:r w:rsidRPr="00F32542">
        <w:rPr>
          <w:rFonts w:ascii="Arial" w:eastAsia="Calibri" w:hAnsi="Arial" w:cs="Times New Roman"/>
          <w:i/>
          <w:sz w:val="28"/>
          <w:szCs w:val="28"/>
        </w:rPr>
        <w:t>Suprema Corte</w:t>
      </w:r>
      <w:r w:rsidRPr="00F32542">
        <w:rPr>
          <w:rFonts w:ascii="Arial" w:eastAsia="Calibri" w:hAnsi="Arial" w:cs="Times New Roman"/>
          <w:sz w:val="28"/>
          <w:szCs w:val="28"/>
          <w:vertAlign w:val="superscript"/>
        </w:rPr>
        <w:footnoteReference w:id="47"/>
      </w:r>
      <w:r w:rsidRPr="00F32542">
        <w:rPr>
          <w:rFonts w:ascii="Arial" w:eastAsia="Calibri" w:hAnsi="Arial" w:cs="Times New Roman"/>
          <w:sz w:val="28"/>
          <w:szCs w:val="28"/>
        </w:rPr>
        <w:t xml:space="preserve"> ha establecido que esa previsión no puede considerarse como una prohibición tajante, sino que admite una modulación que posibilita llevar a cabo reformas a las disposiciones generales en materia electoral, ya sea dentro del plazo </w:t>
      </w:r>
      <w:r w:rsidRPr="00F32542">
        <w:rPr>
          <w:rFonts w:ascii="Arial" w:eastAsia="Calibri" w:hAnsi="Arial" w:cs="Times New Roman"/>
          <w:sz w:val="28"/>
          <w:szCs w:val="28"/>
        </w:rPr>
        <w:lastRenderedPageBreak/>
        <w:t>de noventa días anteriores al inicio del proceso electoral en que vayan a aplicarse o una vez iniciado éste, con la limitante de que no constituyan “modificaciones legales fundamentales”.</w:t>
      </w:r>
    </w:p>
    <w:p w14:paraId="330764AF" w14:textId="77777777" w:rsidR="00F94B48" w:rsidRPr="00F32542" w:rsidRDefault="00F94B48" w:rsidP="00F94B48">
      <w:pPr>
        <w:spacing w:after="0" w:line="360" w:lineRule="auto"/>
        <w:jc w:val="both"/>
        <w:rPr>
          <w:rFonts w:ascii="Arial" w:eastAsia="Calibri" w:hAnsi="Arial" w:cs="Times New Roman"/>
          <w:sz w:val="28"/>
          <w:szCs w:val="28"/>
        </w:rPr>
      </w:pPr>
    </w:p>
    <w:p w14:paraId="3DAE68FD"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Al respecto, la </w:t>
      </w:r>
      <w:r w:rsidRPr="00F32542">
        <w:rPr>
          <w:rFonts w:ascii="Arial" w:eastAsia="Calibri" w:hAnsi="Arial" w:cs="Times New Roman"/>
          <w:i/>
          <w:sz w:val="28"/>
          <w:szCs w:val="28"/>
        </w:rPr>
        <w:t>Suprema Corte</w:t>
      </w:r>
      <w:r w:rsidRPr="00F32542">
        <w:rPr>
          <w:rFonts w:ascii="Arial" w:eastAsia="Calibri" w:hAnsi="Arial" w:cs="Times New Roman"/>
          <w:sz w:val="28"/>
          <w:szCs w:val="28"/>
        </w:rPr>
        <w:t xml:space="preserve"> definió ese tipo de modificaciones, como aquéllas que tienen por objeto, efecto o consecuencia, producir en las bases, reglas o algún otro elemento rector del proceso electoral una </w:t>
      </w:r>
      <w:r w:rsidRPr="00F32542">
        <w:rPr>
          <w:rFonts w:ascii="Arial" w:eastAsia="Calibri" w:hAnsi="Arial" w:cs="Times New Roman"/>
          <w:b/>
          <w:sz w:val="28"/>
          <w:szCs w:val="28"/>
        </w:rPr>
        <w:t>alteración al marco jurídico aplicable</w:t>
      </w:r>
      <w:r w:rsidRPr="00F32542">
        <w:rPr>
          <w:rFonts w:ascii="Arial" w:eastAsia="Calibri" w:hAnsi="Arial" w:cs="Times New Roman"/>
          <w:sz w:val="28"/>
          <w:szCs w:val="28"/>
        </w:rPr>
        <w:t xml:space="preserve">, a través de la cual </w:t>
      </w:r>
      <w:r w:rsidRPr="00F32542">
        <w:rPr>
          <w:rFonts w:ascii="Arial" w:eastAsia="Calibri" w:hAnsi="Arial" w:cs="Times New Roman"/>
          <w:b/>
          <w:sz w:val="28"/>
          <w:szCs w:val="28"/>
        </w:rPr>
        <w:t>se otorgue</w:t>
      </w:r>
      <w:r w:rsidRPr="00F32542">
        <w:rPr>
          <w:rFonts w:ascii="Arial" w:eastAsia="Calibri" w:hAnsi="Arial" w:cs="Times New Roman"/>
          <w:sz w:val="28"/>
          <w:szCs w:val="28"/>
        </w:rPr>
        <w:t xml:space="preserve">, modifique o elimine </w:t>
      </w:r>
      <w:r w:rsidRPr="00F32542">
        <w:rPr>
          <w:rFonts w:ascii="Arial" w:eastAsia="Calibri" w:hAnsi="Arial" w:cs="Times New Roman"/>
          <w:b/>
          <w:sz w:val="28"/>
          <w:szCs w:val="28"/>
        </w:rPr>
        <w:t>algún derecho</w:t>
      </w:r>
      <w:r w:rsidRPr="00F32542">
        <w:rPr>
          <w:rFonts w:ascii="Arial" w:eastAsia="Calibri" w:hAnsi="Arial" w:cs="Times New Roman"/>
          <w:sz w:val="28"/>
          <w:szCs w:val="28"/>
        </w:rPr>
        <w:t xml:space="preserve"> u obligación de hacer, de no hacer o de dar, para cualquiera de los actores políticos, incluyendo a las autoridades electorales.</w:t>
      </w:r>
    </w:p>
    <w:p w14:paraId="66FE7C76" w14:textId="77777777" w:rsidR="00F94B48" w:rsidRPr="00F32542" w:rsidRDefault="00F94B48" w:rsidP="00F94B48">
      <w:pPr>
        <w:spacing w:after="0" w:line="360" w:lineRule="auto"/>
        <w:jc w:val="both"/>
        <w:rPr>
          <w:rFonts w:ascii="Arial" w:eastAsia="Calibri" w:hAnsi="Arial" w:cs="Times New Roman"/>
          <w:sz w:val="28"/>
          <w:szCs w:val="28"/>
        </w:rPr>
      </w:pPr>
    </w:p>
    <w:p w14:paraId="4BF9B0CE"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Y, por el contrario, se pueden catalogar como modificaciones legales no fundamentales, las que, aun cuando reformen preceptos que rigen el proceso electoral, no tiene repercusión en las reglas a seguir durante su desarrollo, sino que sólo tienen como finalidad precisar o dar claridad a los supuestos normativos correspondientes desde su aspecto formal; por lo que, en ese caso, su aprobación dentro del proceso electoral no producirá su invalidez o inaplicación en el propio proceso.</w:t>
      </w:r>
    </w:p>
    <w:p w14:paraId="4500A4EE" w14:textId="77777777" w:rsidR="00F94B48" w:rsidRPr="00F32542" w:rsidRDefault="00F94B48" w:rsidP="00F94B48">
      <w:pPr>
        <w:spacing w:after="0" w:line="360" w:lineRule="auto"/>
        <w:jc w:val="both"/>
        <w:rPr>
          <w:rFonts w:ascii="Arial" w:eastAsia="Calibri" w:hAnsi="Arial" w:cs="Times New Roman"/>
          <w:sz w:val="28"/>
          <w:szCs w:val="28"/>
        </w:rPr>
      </w:pPr>
    </w:p>
    <w:p w14:paraId="44C40CFC"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En ese sentido, la Sala Superior ha considerado que, si bien resulta posible la implementación de medidas afirmativas dirigidas a materializar los principios de igualdad y no discriminación, aun y cuando haya iniciado el proceso electivo en que se vayan a aplicar, </w:t>
      </w:r>
      <w:r w:rsidRPr="00F32542">
        <w:rPr>
          <w:rFonts w:ascii="Arial" w:eastAsia="Calibri" w:hAnsi="Arial" w:cs="Times New Roman"/>
          <w:b/>
          <w:sz w:val="28"/>
          <w:szCs w:val="28"/>
        </w:rPr>
        <w:t xml:space="preserve">lo cierto es que su aprobación debe hacerse con una temporalidad anticipada y razonable a las fechas en las que tales acciones pudieran hacerse exigibles u obligatorias a los </w:t>
      </w:r>
      <w:r w:rsidRPr="00F32542">
        <w:rPr>
          <w:rFonts w:ascii="Arial" w:eastAsia="Calibri" w:hAnsi="Arial" w:cs="Times New Roman"/>
          <w:b/>
          <w:sz w:val="28"/>
          <w:szCs w:val="28"/>
        </w:rPr>
        <w:lastRenderedPageBreak/>
        <w:t>institutos políticos, y siempre que no repercutan en actos que ya han sido celebrados,</w:t>
      </w:r>
      <w:r w:rsidRPr="00F32542">
        <w:rPr>
          <w:rFonts w:ascii="Arial" w:eastAsia="Calibri" w:hAnsi="Arial" w:cs="Times New Roman"/>
          <w:sz w:val="28"/>
          <w:szCs w:val="28"/>
        </w:rPr>
        <w:t xml:space="preserve"> como podría ser el registro de candidaturas</w:t>
      </w:r>
      <w:r w:rsidRPr="00F32542">
        <w:rPr>
          <w:rFonts w:ascii="Arial" w:eastAsia="Calibri" w:hAnsi="Arial" w:cs="Times New Roman"/>
          <w:sz w:val="28"/>
          <w:szCs w:val="28"/>
          <w:vertAlign w:val="superscript"/>
        </w:rPr>
        <w:footnoteReference w:id="48"/>
      </w:r>
      <w:r w:rsidRPr="00F32542">
        <w:rPr>
          <w:rFonts w:ascii="Arial" w:eastAsia="Calibri" w:hAnsi="Arial" w:cs="Times New Roman"/>
          <w:sz w:val="28"/>
          <w:szCs w:val="28"/>
        </w:rPr>
        <w:t>.</w:t>
      </w:r>
    </w:p>
    <w:p w14:paraId="3033072D" w14:textId="77777777" w:rsidR="00F94B48" w:rsidRPr="00F32542" w:rsidRDefault="00F94B48" w:rsidP="00F94B48">
      <w:pPr>
        <w:spacing w:after="0" w:line="360" w:lineRule="auto"/>
        <w:jc w:val="both"/>
        <w:rPr>
          <w:rFonts w:ascii="Arial" w:eastAsia="Calibri" w:hAnsi="Arial" w:cs="Times New Roman"/>
          <w:sz w:val="28"/>
          <w:szCs w:val="28"/>
        </w:rPr>
      </w:pPr>
    </w:p>
    <w:p w14:paraId="30A704D8"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Lo anterior, a fin de salvaguardar el principio de certeza, el cual implica que la ciudadanía, institutos políticos, autoridades electorales y, en general, quienes participen en el procedimiento electoral, conozcan las normas jurídicas que lo rigen, dotándolo de seguridad y transparencia.</w:t>
      </w:r>
    </w:p>
    <w:p w14:paraId="12718E7D" w14:textId="77777777" w:rsidR="00F94B48" w:rsidRPr="00F32542" w:rsidRDefault="00F94B48" w:rsidP="00F94B48">
      <w:pPr>
        <w:spacing w:after="0" w:line="360" w:lineRule="auto"/>
        <w:jc w:val="both"/>
        <w:rPr>
          <w:rFonts w:ascii="Arial" w:eastAsia="Calibri" w:hAnsi="Arial" w:cs="Times New Roman"/>
          <w:sz w:val="28"/>
          <w:szCs w:val="28"/>
        </w:rPr>
      </w:pPr>
    </w:p>
    <w:p w14:paraId="297417D8"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Máxime, cuando unas de las características que debe colmar toda acción afirmativa, es que sea proporcional, razonable y objetiva, a efecto de no generar una mayor desigualdad que la combatida con su aplicación y no responder a meros intereses particulares, sino a los del grupo desfavorecido al que buscan beneficiar.</w:t>
      </w:r>
    </w:p>
    <w:p w14:paraId="65C3896A" w14:textId="77777777" w:rsidR="00F94B48" w:rsidRPr="00F32542" w:rsidRDefault="00F94B48" w:rsidP="00F94B48">
      <w:pPr>
        <w:spacing w:after="0" w:line="360" w:lineRule="auto"/>
        <w:jc w:val="both"/>
        <w:rPr>
          <w:rFonts w:ascii="Arial" w:eastAsia="Calibri" w:hAnsi="Arial" w:cs="Times New Roman"/>
          <w:sz w:val="28"/>
          <w:szCs w:val="28"/>
        </w:rPr>
      </w:pPr>
    </w:p>
    <w:p w14:paraId="197BA072"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En esa tesitura, la implementación de acciones afirmativas, debe ajustarse a un momento del proceso electoral en que, sin afectarse reglas sustanciales, ni por ende, el principio de certeza, todos sus posibles beneficiarios cuenten con igualdad de oportunidades para ser considerados en su ejecución, es decir, que todas las personas en favor de quienes pudiera aplicarse, sean consideradas por igual para ello, por ejemplo, dentro del respectivo proceso </w:t>
      </w:r>
      <w:proofErr w:type="spellStart"/>
      <w:r w:rsidRPr="00F32542">
        <w:rPr>
          <w:rFonts w:ascii="Arial" w:eastAsia="Calibri" w:hAnsi="Arial" w:cs="Times New Roman"/>
          <w:sz w:val="28"/>
          <w:szCs w:val="28"/>
        </w:rPr>
        <w:t>intrapartidista</w:t>
      </w:r>
      <w:proofErr w:type="spellEnd"/>
      <w:r w:rsidRPr="00F32542">
        <w:rPr>
          <w:rFonts w:ascii="Arial" w:eastAsia="Calibri" w:hAnsi="Arial" w:cs="Times New Roman"/>
          <w:sz w:val="28"/>
          <w:szCs w:val="28"/>
        </w:rPr>
        <w:t xml:space="preserve"> de selección de candidaturas.</w:t>
      </w:r>
    </w:p>
    <w:p w14:paraId="36C6EF56" w14:textId="77777777" w:rsidR="00F94B48" w:rsidRPr="00F32542" w:rsidRDefault="00F94B48" w:rsidP="00F94B48">
      <w:pPr>
        <w:spacing w:after="0" w:line="360" w:lineRule="auto"/>
        <w:jc w:val="both"/>
        <w:rPr>
          <w:rFonts w:ascii="Arial" w:eastAsia="Calibri" w:hAnsi="Arial" w:cs="Times New Roman"/>
          <w:sz w:val="28"/>
          <w:szCs w:val="28"/>
        </w:rPr>
      </w:pPr>
    </w:p>
    <w:p w14:paraId="08D87962"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Igualdad de condiciones que, desde luego, bajo circunstancia alguna, no podría garantizarse en un momento posterior, verbigracia, una vez obtenidos los resultados de la elección, ni mucho menos, mediante su reclamo en sede jurisdiccional por parte de alguien con la </w:t>
      </w:r>
      <w:r w:rsidRPr="00F32542">
        <w:rPr>
          <w:rFonts w:ascii="Arial" w:eastAsia="Calibri" w:hAnsi="Arial" w:cs="Times New Roman"/>
          <w:sz w:val="28"/>
          <w:szCs w:val="28"/>
        </w:rPr>
        <w:lastRenderedPageBreak/>
        <w:t xml:space="preserve">pretensión individual y novedosa de ser favorecido con dicha medida, pues admitir que ello es posible, significaría dejar de lado a todas aquellas otras personas que también, válidamente y desde un principio, pudieron ubicarse en el supuesto de ser favorecidas por la acción afirmativa, provocándose así una situación tanto de desigualdad, opuesta a la finalidad de esa medida, como de falta de certeza, al variarse en favor de un interés individual, las reglas que debieron beneficiar y, por ende, considerar, a todos los integrantes de un colectivo en desventaja. </w:t>
      </w:r>
    </w:p>
    <w:p w14:paraId="73B54E7C" w14:textId="77777777" w:rsidR="00F94B48" w:rsidRPr="00F32542" w:rsidRDefault="00F94B48" w:rsidP="00F94B48">
      <w:pPr>
        <w:spacing w:after="0" w:line="360" w:lineRule="auto"/>
        <w:jc w:val="both"/>
        <w:rPr>
          <w:rFonts w:ascii="Arial" w:eastAsia="Calibri" w:hAnsi="Arial" w:cs="Times New Roman"/>
          <w:sz w:val="28"/>
          <w:szCs w:val="28"/>
        </w:rPr>
      </w:pPr>
    </w:p>
    <w:p w14:paraId="0D90D97F" w14:textId="77777777" w:rsidR="00F94B48" w:rsidRPr="00F32542" w:rsidRDefault="0047436C" w:rsidP="0047436C">
      <w:pPr>
        <w:spacing w:after="0" w:line="360" w:lineRule="auto"/>
        <w:contextualSpacing/>
        <w:jc w:val="both"/>
        <w:rPr>
          <w:rFonts w:ascii="Arial" w:eastAsia="Times New Roman" w:hAnsi="Arial" w:cs="Arial"/>
          <w:b/>
          <w:bCs/>
          <w:color w:val="000000"/>
          <w:sz w:val="28"/>
          <w:szCs w:val="28"/>
        </w:rPr>
      </w:pPr>
      <w:r w:rsidRPr="00F32542">
        <w:rPr>
          <w:rFonts w:ascii="Arial" w:eastAsia="Times New Roman" w:hAnsi="Arial" w:cs="Arial"/>
          <w:b/>
          <w:bCs/>
          <w:color w:val="000000"/>
          <w:sz w:val="28"/>
          <w:szCs w:val="28"/>
        </w:rPr>
        <w:t xml:space="preserve">5. </w:t>
      </w:r>
      <w:r w:rsidR="00F94B48" w:rsidRPr="00F32542">
        <w:rPr>
          <w:rFonts w:ascii="Arial" w:eastAsia="Times New Roman" w:hAnsi="Arial" w:cs="Arial"/>
          <w:b/>
          <w:bCs/>
          <w:color w:val="000000"/>
          <w:sz w:val="28"/>
          <w:szCs w:val="28"/>
        </w:rPr>
        <w:t>Caso concreto</w:t>
      </w:r>
    </w:p>
    <w:p w14:paraId="08F486BA" w14:textId="77777777" w:rsidR="00F94B48" w:rsidRPr="00F32542" w:rsidRDefault="00F94B48" w:rsidP="00F94B48">
      <w:pPr>
        <w:spacing w:after="0" w:line="360" w:lineRule="auto"/>
        <w:jc w:val="both"/>
        <w:rPr>
          <w:rFonts w:ascii="Arial" w:eastAsia="Times New Roman" w:hAnsi="Arial" w:cs="Arial"/>
          <w:b/>
          <w:bCs/>
          <w:color w:val="000000"/>
          <w:sz w:val="28"/>
          <w:szCs w:val="28"/>
        </w:rPr>
      </w:pPr>
    </w:p>
    <w:p w14:paraId="27E139C8"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Como se anticipó, es improcedente </w:t>
      </w:r>
      <w:r w:rsidR="0047436C" w:rsidRPr="00F32542">
        <w:rPr>
          <w:rFonts w:ascii="Arial" w:eastAsia="Calibri" w:hAnsi="Arial" w:cs="Times New Roman"/>
          <w:sz w:val="28"/>
          <w:szCs w:val="28"/>
        </w:rPr>
        <w:t>para</w:t>
      </w:r>
      <w:r w:rsidRPr="00F32542">
        <w:rPr>
          <w:rFonts w:ascii="Arial" w:eastAsia="Calibri" w:hAnsi="Arial" w:cs="Times New Roman"/>
          <w:sz w:val="28"/>
          <w:szCs w:val="28"/>
        </w:rPr>
        <w:t xml:space="preserve"> este Tribunal Electoral implement</w:t>
      </w:r>
      <w:r w:rsidR="0047436C" w:rsidRPr="00F32542">
        <w:rPr>
          <w:rFonts w:ascii="Arial" w:eastAsia="Calibri" w:hAnsi="Arial" w:cs="Times New Roman"/>
          <w:sz w:val="28"/>
          <w:szCs w:val="28"/>
        </w:rPr>
        <w:t>ar</w:t>
      </w:r>
      <w:r w:rsidRPr="00F32542">
        <w:rPr>
          <w:rFonts w:ascii="Arial" w:eastAsia="Calibri" w:hAnsi="Arial" w:cs="Times New Roman"/>
          <w:sz w:val="28"/>
          <w:szCs w:val="28"/>
        </w:rPr>
        <w:t xml:space="preserve"> una acción afirmativa a favor de las </w:t>
      </w:r>
      <w:r w:rsidRPr="00F32542">
        <w:rPr>
          <w:rFonts w:ascii="Arial" w:eastAsia="Calibri" w:hAnsi="Arial" w:cs="Times New Roman"/>
          <w:i/>
          <w:sz w:val="28"/>
          <w:szCs w:val="28"/>
        </w:rPr>
        <w:t>partes actoras</w:t>
      </w:r>
      <w:r w:rsidRPr="00F32542">
        <w:rPr>
          <w:rFonts w:ascii="Arial" w:eastAsia="Calibri" w:hAnsi="Arial" w:cs="Times New Roman"/>
          <w:sz w:val="28"/>
          <w:szCs w:val="28"/>
        </w:rPr>
        <w:t xml:space="preserve"> a fin de que, en su calidad de personas indígenas, de manera directa obtengan una diputación por el principio de representación proporcional. </w:t>
      </w:r>
    </w:p>
    <w:p w14:paraId="06726794" w14:textId="77777777" w:rsidR="00F94B48" w:rsidRPr="00F32542" w:rsidRDefault="00F94B48" w:rsidP="00F94B48">
      <w:pPr>
        <w:spacing w:after="0" w:line="360" w:lineRule="auto"/>
        <w:jc w:val="both"/>
        <w:rPr>
          <w:rFonts w:ascii="Arial" w:eastAsia="Calibri" w:hAnsi="Arial" w:cs="Times New Roman"/>
          <w:sz w:val="28"/>
          <w:szCs w:val="28"/>
        </w:rPr>
      </w:pPr>
    </w:p>
    <w:p w14:paraId="6DFC5BE6"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Lo anterior, porque la adopción de una medida como la reclamada se trata de una acción que, en todo caso, requería de </w:t>
      </w:r>
      <w:r w:rsidR="0047436C" w:rsidRPr="00F32542">
        <w:rPr>
          <w:rFonts w:ascii="Arial" w:eastAsia="Calibri" w:hAnsi="Arial" w:cs="Times New Roman"/>
          <w:sz w:val="28"/>
          <w:szCs w:val="28"/>
        </w:rPr>
        <w:t xml:space="preserve">que </w:t>
      </w:r>
      <w:r w:rsidRPr="00F32542">
        <w:rPr>
          <w:rFonts w:ascii="Arial" w:eastAsia="Calibri" w:hAnsi="Arial" w:cs="Times New Roman"/>
          <w:sz w:val="28"/>
          <w:szCs w:val="28"/>
        </w:rPr>
        <w:t xml:space="preserve">su aprobación ocurriera con la anticipación suficiente, o sea, que permitiera a la autoridad administrativa electoral —encargada de definir las reglas a las que se sometieron ese tipo de acciones durante la postulación de candidaturas— la implementara en términos que se permitiera a los partidos políticos postulantes, quedar sujetos a su cumplimiento sin afectar actos ya celebrados. </w:t>
      </w:r>
    </w:p>
    <w:p w14:paraId="055E7D2C" w14:textId="77777777" w:rsidR="00F94B48" w:rsidRPr="00F32542" w:rsidRDefault="00F94B48" w:rsidP="00F94B48">
      <w:pPr>
        <w:spacing w:after="0" w:line="360" w:lineRule="auto"/>
        <w:jc w:val="both"/>
        <w:rPr>
          <w:rFonts w:ascii="Arial" w:eastAsia="Calibri" w:hAnsi="Arial" w:cs="Times New Roman"/>
          <w:sz w:val="28"/>
          <w:szCs w:val="28"/>
        </w:rPr>
      </w:pPr>
    </w:p>
    <w:p w14:paraId="14F4A2C8"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En ese sentido, en atención a lo expuesto, actualmente no existe viabilidad temporal ni jurídica para el establecimiento de tal acción </w:t>
      </w:r>
      <w:r w:rsidRPr="00F32542">
        <w:rPr>
          <w:rFonts w:ascii="Arial" w:eastAsia="Calibri" w:hAnsi="Arial" w:cs="Times New Roman"/>
          <w:sz w:val="28"/>
          <w:szCs w:val="28"/>
        </w:rPr>
        <w:lastRenderedPageBreak/>
        <w:t xml:space="preserve">afirmativa </w:t>
      </w:r>
      <w:r w:rsidR="0047436C" w:rsidRPr="00F32542">
        <w:rPr>
          <w:rFonts w:ascii="Arial" w:eastAsia="Calibri" w:hAnsi="Arial" w:cs="Times New Roman"/>
          <w:sz w:val="28"/>
          <w:szCs w:val="28"/>
        </w:rPr>
        <w:t xml:space="preserve">—aun cuando ello fuera deseable— </w:t>
      </w:r>
      <w:r w:rsidRPr="00F32542">
        <w:rPr>
          <w:rFonts w:ascii="Arial" w:eastAsia="Calibri" w:hAnsi="Arial" w:cs="Times New Roman"/>
          <w:sz w:val="28"/>
          <w:szCs w:val="28"/>
        </w:rPr>
        <w:t xml:space="preserve">en los términos pretendidos por los demandantes, dado que ya tuvieron verificativo las etapas de preparación de la elección y la jornada electoral, lo cual impide modificar las condiciones en que se llevó a cabo la elección y, por consiguiente, otorgar a ese tipo de acciones a favor de personas indígenas, efectos que trasciendan a la etapa de postulación de candidaturas. </w:t>
      </w:r>
    </w:p>
    <w:p w14:paraId="08158310" w14:textId="77777777" w:rsidR="00F94B48" w:rsidRPr="00F32542" w:rsidRDefault="00F94B48" w:rsidP="00F94B48">
      <w:pPr>
        <w:spacing w:after="0" w:line="360" w:lineRule="auto"/>
        <w:jc w:val="both"/>
        <w:rPr>
          <w:rFonts w:ascii="Arial" w:eastAsia="Calibri" w:hAnsi="Arial" w:cs="Times New Roman"/>
          <w:sz w:val="28"/>
          <w:szCs w:val="28"/>
        </w:rPr>
      </w:pPr>
    </w:p>
    <w:p w14:paraId="3C51BD54"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En efecto, de conformidad con el calendario aprobado para la Ciudad de México, las campañas electorales tuvieron verificativo del cuatro de abril al dos de junio de este año, mientras que el seis de junio se celebró la jornada para elegir, entre otros cargos, las diputaciones a integrar el Congreso local por los principios de mayoría relativa y representación proporcional. </w:t>
      </w:r>
    </w:p>
    <w:p w14:paraId="26D9020E" w14:textId="77777777" w:rsidR="00F94B48" w:rsidRPr="00F32542" w:rsidRDefault="00F94B48" w:rsidP="00F94B48">
      <w:pPr>
        <w:spacing w:after="0" w:line="360" w:lineRule="auto"/>
        <w:jc w:val="both"/>
        <w:rPr>
          <w:rFonts w:ascii="Arial" w:eastAsia="Calibri" w:hAnsi="Arial" w:cs="Times New Roman"/>
          <w:sz w:val="28"/>
          <w:szCs w:val="28"/>
        </w:rPr>
      </w:pPr>
    </w:p>
    <w:p w14:paraId="6E3091F3"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Por ende, no existe posibilidad jurídica de que los partidos políticos y la autoridad administrativa electoral local llevaran a cabo los actos necesarios para cumplir con una acción afirmativa en la forma pretendida por las </w:t>
      </w:r>
      <w:r w:rsidRPr="00F32542">
        <w:rPr>
          <w:rFonts w:ascii="Arial" w:eastAsia="Calibri" w:hAnsi="Arial" w:cs="Times New Roman"/>
          <w:i/>
          <w:sz w:val="28"/>
          <w:szCs w:val="28"/>
        </w:rPr>
        <w:t>partes actora</w:t>
      </w:r>
      <w:r w:rsidRPr="00F32542">
        <w:rPr>
          <w:rFonts w:ascii="Arial" w:eastAsia="Calibri" w:hAnsi="Arial" w:cs="Times New Roman"/>
          <w:sz w:val="28"/>
          <w:szCs w:val="28"/>
        </w:rPr>
        <w:t xml:space="preserve">s, relativa a establecer la asignación de diputaciones de representación proporcional a personas indígenas. </w:t>
      </w:r>
    </w:p>
    <w:p w14:paraId="585C0053" w14:textId="77777777" w:rsidR="00F94B48" w:rsidRPr="00F32542" w:rsidRDefault="00F94B48" w:rsidP="00F94B48">
      <w:pPr>
        <w:spacing w:after="0" w:line="360" w:lineRule="auto"/>
        <w:jc w:val="both"/>
        <w:rPr>
          <w:rFonts w:ascii="Arial" w:eastAsia="Calibri" w:hAnsi="Arial" w:cs="Times New Roman"/>
          <w:sz w:val="28"/>
          <w:szCs w:val="28"/>
        </w:rPr>
      </w:pPr>
    </w:p>
    <w:p w14:paraId="5C856377"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Lo anterior, puesto que aceptar la implementación de la medida pretendida, una vez celebrada la elección, trastocaría el principio de certeza que debe regir al proceso electoral en favor de todas las personas y entes participantes.</w:t>
      </w:r>
    </w:p>
    <w:p w14:paraId="0445BAFA" w14:textId="77777777" w:rsidR="00F94B48" w:rsidRPr="00F32542" w:rsidRDefault="00F94B48" w:rsidP="00F94B48">
      <w:pPr>
        <w:spacing w:after="0" w:line="360" w:lineRule="auto"/>
        <w:jc w:val="both"/>
        <w:rPr>
          <w:rFonts w:ascii="Arial" w:eastAsia="Calibri" w:hAnsi="Arial" w:cs="Times New Roman"/>
          <w:sz w:val="28"/>
          <w:szCs w:val="28"/>
        </w:rPr>
      </w:pPr>
    </w:p>
    <w:p w14:paraId="0222CE22"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La observancia del principio de certeza se debe traducir en que todos los participantes en el procedimiento electoral conozcan las normas </w:t>
      </w:r>
      <w:r w:rsidRPr="00F32542">
        <w:rPr>
          <w:rFonts w:ascii="Arial" w:eastAsia="Calibri" w:hAnsi="Arial" w:cs="Times New Roman"/>
          <w:sz w:val="28"/>
          <w:szCs w:val="28"/>
        </w:rPr>
        <w:lastRenderedPageBreak/>
        <w:t>jurídicas que lo rigen, dotándolo de seguridad y transparencia, con los consecuentes beneficios que ello implica para la sociedad, principal destinataria de las normas electorales.</w:t>
      </w:r>
    </w:p>
    <w:p w14:paraId="0C4AA281" w14:textId="77777777" w:rsidR="00F94B48" w:rsidRPr="00F32542" w:rsidRDefault="00F94B48" w:rsidP="00F94B48">
      <w:pPr>
        <w:spacing w:after="0" w:line="360" w:lineRule="auto"/>
        <w:jc w:val="both"/>
        <w:rPr>
          <w:rFonts w:ascii="Arial" w:eastAsia="Calibri" w:hAnsi="Arial" w:cs="Times New Roman"/>
          <w:sz w:val="28"/>
          <w:szCs w:val="28"/>
        </w:rPr>
      </w:pPr>
    </w:p>
    <w:p w14:paraId="2648F287"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También, este principio está materializado en los actos y hechos que se ejecuten en un procedimiento electoral y tengan por objeto que el electorado pueda ejercer su derecho al voto universal, libre, secreto, directo, personal, intransferible y auténtico, como la máxima expresión de la soberanía popular</w:t>
      </w:r>
      <w:r w:rsidRPr="00F32542">
        <w:rPr>
          <w:rFonts w:ascii="Arial" w:eastAsia="Calibri" w:hAnsi="Arial" w:cs="Times New Roman"/>
          <w:sz w:val="28"/>
          <w:szCs w:val="28"/>
          <w:vertAlign w:val="superscript"/>
        </w:rPr>
        <w:footnoteReference w:id="49"/>
      </w:r>
      <w:r w:rsidRPr="00F32542">
        <w:rPr>
          <w:rFonts w:ascii="Arial" w:eastAsia="Calibri" w:hAnsi="Arial" w:cs="Times New Roman"/>
          <w:sz w:val="28"/>
          <w:szCs w:val="28"/>
        </w:rPr>
        <w:t>.</w:t>
      </w:r>
    </w:p>
    <w:p w14:paraId="578CF056" w14:textId="77777777" w:rsidR="00F94B48" w:rsidRPr="00F32542" w:rsidRDefault="00F94B48" w:rsidP="00F94B48">
      <w:pPr>
        <w:spacing w:after="0" w:line="360" w:lineRule="auto"/>
        <w:jc w:val="both"/>
        <w:rPr>
          <w:rFonts w:ascii="Arial" w:eastAsia="Calibri" w:hAnsi="Arial" w:cs="Times New Roman"/>
          <w:sz w:val="28"/>
          <w:szCs w:val="28"/>
        </w:rPr>
      </w:pPr>
    </w:p>
    <w:p w14:paraId="54ECF2E3"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Por ende, se estima que es jurídica y materialmente imposible adoptar una nueva acción afirmativa, puesto que, para ello, se requeriría que el </w:t>
      </w:r>
      <w:r w:rsidRPr="00F32542">
        <w:rPr>
          <w:rFonts w:ascii="Arial" w:eastAsia="Calibri" w:hAnsi="Arial" w:cs="Times New Roman"/>
          <w:i/>
          <w:sz w:val="28"/>
          <w:szCs w:val="28"/>
        </w:rPr>
        <w:t>Instituto Electoral</w:t>
      </w:r>
      <w:r w:rsidRPr="00F32542">
        <w:rPr>
          <w:rFonts w:ascii="Arial" w:eastAsia="Calibri" w:hAnsi="Arial" w:cs="Times New Roman"/>
          <w:sz w:val="28"/>
          <w:szCs w:val="28"/>
        </w:rPr>
        <w:t xml:space="preserve"> hubiera establecido y regulado con anticipación, sus condiciones de participación y cumplimiento, de manera que los partidos políticos, sus militantes y la ciudadanía en general tuvieran seguridad jurídica sobre esa medida. </w:t>
      </w:r>
    </w:p>
    <w:p w14:paraId="212ED651" w14:textId="77777777" w:rsidR="00F94B48" w:rsidRPr="00F32542" w:rsidRDefault="00F94B48" w:rsidP="00F94B48">
      <w:pPr>
        <w:spacing w:after="0" w:line="360" w:lineRule="auto"/>
        <w:jc w:val="both"/>
        <w:rPr>
          <w:rFonts w:ascii="Arial" w:eastAsia="Calibri" w:hAnsi="Arial" w:cs="Times New Roman"/>
          <w:sz w:val="28"/>
          <w:szCs w:val="28"/>
        </w:rPr>
      </w:pPr>
    </w:p>
    <w:p w14:paraId="1CE0B1D4"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Ello, ya que la implementación correspondiente implicaba que el </w:t>
      </w:r>
      <w:r w:rsidRPr="00F32542">
        <w:rPr>
          <w:rFonts w:ascii="Arial" w:eastAsia="Calibri" w:hAnsi="Arial" w:cs="Times New Roman"/>
          <w:i/>
          <w:sz w:val="28"/>
          <w:szCs w:val="28"/>
        </w:rPr>
        <w:t>Instituto Electoral</w:t>
      </w:r>
      <w:r w:rsidRPr="00F32542">
        <w:rPr>
          <w:rFonts w:ascii="Arial" w:eastAsia="Calibri" w:hAnsi="Arial" w:cs="Times New Roman"/>
          <w:sz w:val="28"/>
          <w:szCs w:val="28"/>
        </w:rPr>
        <w:t xml:space="preserve"> valorara y determinara la forma de hacerla efectiva, ponderando las condiciones y plazos para su eficacia; mientras que los partidos políticos requerían el establecimiento de reglas acorde a las cuales, se ajustaran sus procedimientos internos para seleccionar los perfiles que podrían haber sido beneficiados con una acción afirmativa aplicable no sólo para la postulación de candidaturas, sino para la asignación de posiciones plurinominales, en el caso, en la integración del Congreso de la Ciudad de México. </w:t>
      </w:r>
    </w:p>
    <w:p w14:paraId="7312C1AB" w14:textId="77777777" w:rsidR="00F94B48" w:rsidRPr="00F32542" w:rsidRDefault="00F94B48" w:rsidP="00F94B48">
      <w:pPr>
        <w:spacing w:after="0" w:line="360" w:lineRule="auto"/>
        <w:jc w:val="both"/>
        <w:rPr>
          <w:rFonts w:ascii="Arial" w:eastAsia="Calibri" w:hAnsi="Arial" w:cs="Times New Roman"/>
          <w:sz w:val="28"/>
          <w:szCs w:val="28"/>
        </w:rPr>
      </w:pPr>
    </w:p>
    <w:p w14:paraId="319CAB0B"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lastRenderedPageBreak/>
        <w:t xml:space="preserve">De igual forma, la militancia requería conocer las condiciones de participación, ya sea pretendiendo beneficiarse de la acción afirmativa, o bien, ajustando su participación al tener certeza en la reserva de ciertos espacios a los cuales no podría acceder, en el supuesto de no pertenecer al grupo al cual se dirige la medida. </w:t>
      </w:r>
    </w:p>
    <w:p w14:paraId="625A8A74" w14:textId="77777777" w:rsidR="00F94B48" w:rsidRPr="00F32542" w:rsidRDefault="00F94B48" w:rsidP="00F94B48">
      <w:pPr>
        <w:spacing w:after="0" w:line="360" w:lineRule="auto"/>
        <w:jc w:val="both"/>
        <w:rPr>
          <w:rFonts w:ascii="Arial" w:eastAsia="Calibri" w:hAnsi="Arial" w:cs="Times New Roman"/>
          <w:sz w:val="28"/>
          <w:szCs w:val="28"/>
        </w:rPr>
      </w:pPr>
    </w:p>
    <w:p w14:paraId="467E6C97"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Asimismo, se debe garantizar el derecho de la ciudadanía a estar informada respecto de las postulaciones y los alcances de </w:t>
      </w:r>
      <w:proofErr w:type="gramStart"/>
      <w:r w:rsidRPr="00F32542">
        <w:rPr>
          <w:rFonts w:ascii="Arial" w:eastAsia="Calibri" w:hAnsi="Arial" w:cs="Times New Roman"/>
          <w:sz w:val="28"/>
          <w:szCs w:val="28"/>
        </w:rPr>
        <w:t>las mismas</w:t>
      </w:r>
      <w:proofErr w:type="gramEnd"/>
      <w:r w:rsidRPr="00F32542">
        <w:rPr>
          <w:rFonts w:ascii="Arial" w:eastAsia="Calibri" w:hAnsi="Arial" w:cs="Times New Roman"/>
          <w:sz w:val="28"/>
          <w:szCs w:val="28"/>
        </w:rPr>
        <w:t xml:space="preserve">, de manera que tenga certeza y transparencia en las candidaturas y, a partir de ello, decidir por quién emitir su sufragio. </w:t>
      </w:r>
    </w:p>
    <w:p w14:paraId="7B18BEA2" w14:textId="77777777" w:rsidR="00F94B48" w:rsidRPr="00F32542" w:rsidRDefault="00F94B48" w:rsidP="00F94B48">
      <w:pPr>
        <w:spacing w:after="0" w:line="360" w:lineRule="auto"/>
        <w:jc w:val="both"/>
        <w:rPr>
          <w:rFonts w:ascii="Arial" w:eastAsia="Calibri" w:hAnsi="Arial" w:cs="Times New Roman"/>
          <w:sz w:val="28"/>
          <w:szCs w:val="28"/>
        </w:rPr>
      </w:pPr>
    </w:p>
    <w:p w14:paraId="7F564EA0"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De ahí que, en este momento, cuando ya se llevaron a cabo los actos de selección de candidaturas y su correspondiente registro, las campañas electorales e incluso la jornada electiva, no es oportuna la implementación de una acción afirmativa a favor de las partes actoras, aun en su calidad de personas indígenas, puesto que atentaría irremediablemente el principio de certeza que debe regir al proceso electoral, en detrimento de sus resultados.</w:t>
      </w:r>
    </w:p>
    <w:p w14:paraId="2D13410B" w14:textId="77777777" w:rsidR="00F94B48" w:rsidRPr="00F32542" w:rsidRDefault="00F94B48" w:rsidP="00F94B48">
      <w:pPr>
        <w:spacing w:after="0" w:line="360" w:lineRule="auto"/>
        <w:jc w:val="both"/>
        <w:rPr>
          <w:rFonts w:ascii="Arial" w:eastAsia="Calibri" w:hAnsi="Arial" w:cs="Times New Roman"/>
          <w:sz w:val="28"/>
          <w:szCs w:val="28"/>
        </w:rPr>
      </w:pPr>
    </w:p>
    <w:p w14:paraId="56B312A5" w14:textId="77777777" w:rsidR="00F94B48" w:rsidRPr="00F32542" w:rsidRDefault="00F94B48" w:rsidP="00F94B48">
      <w:pPr>
        <w:spacing w:after="0" w:line="360" w:lineRule="auto"/>
        <w:jc w:val="both"/>
        <w:rPr>
          <w:rFonts w:ascii="Arial" w:eastAsia="Calibri" w:hAnsi="Arial" w:cs="Arial"/>
          <w:bCs/>
          <w:color w:val="000000"/>
          <w:sz w:val="28"/>
          <w:szCs w:val="28"/>
        </w:rPr>
      </w:pPr>
      <w:r w:rsidRPr="00F32542">
        <w:rPr>
          <w:rFonts w:ascii="Arial" w:eastAsia="Calibri" w:hAnsi="Arial" w:cs="Times New Roman"/>
          <w:sz w:val="28"/>
          <w:szCs w:val="28"/>
        </w:rPr>
        <w:t xml:space="preserve">En efecto, </w:t>
      </w:r>
      <w:r w:rsidRPr="00F32542">
        <w:rPr>
          <w:rFonts w:ascii="Arial" w:eastAsia="Calibri" w:hAnsi="Arial" w:cs="Times New Roman"/>
          <w:i/>
          <w:sz w:val="28"/>
          <w:szCs w:val="28"/>
        </w:rPr>
        <w:t>las partes actoras</w:t>
      </w:r>
      <w:r w:rsidRPr="00F32542">
        <w:rPr>
          <w:rFonts w:ascii="Arial" w:eastAsia="Calibri" w:hAnsi="Arial" w:cs="Times New Roman"/>
          <w:sz w:val="28"/>
          <w:szCs w:val="28"/>
        </w:rPr>
        <w:t xml:space="preserve"> pretenden ser beneficiadas con una acción afirmativa individual y directa, por lo que se atentarían </w:t>
      </w:r>
      <w:r w:rsidRPr="00F32542">
        <w:rPr>
          <w:rFonts w:ascii="Arial" w:eastAsia="Calibri" w:hAnsi="Arial" w:cs="Arial"/>
          <w:bCs/>
          <w:color w:val="000000"/>
          <w:sz w:val="28"/>
          <w:szCs w:val="28"/>
        </w:rPr>
        <w:t>los derechos a la certeza y seguridad jurídica de los partidos políticos, su militancia, las personas candidatas, las autoridades y la ciudadanía votante.</w:t>
      </w:r>
    </w:p>
    <w:p w14:paraId="2EDF2101" w14:textId="77777777" w:rsidR="00F94B48" w:rsidRPr="00F32542" w:rsidRDefault="00F94B48" w:rsidP="00F94B48">
      <w:pPr>
        <w:spacing w:after="0" w:line="360" w:lineRule="auto"/>
        <w:jc w:val="both"/>
        <w:rPr>
          <w:rFonts w:ascii="Arial" w:eastAsia="Calibri" w:hAnsi="Arial" w:cs="Arial"/>
          <w:bCs/>
          <w:color w:val="000000"/>
          <w:sz w:val="28"/>
          <w:szCs w:val="28"/>
        </w:rPr>
      </w:pPr>
    </w:p>
    <w:p w14:paraId="4101EDC4" w14:textId="77777777" w:rsidR="00F94B48" w:rsidRPr="00F32542" w:rsidRDefault="00F94B48" w:rsidP="00F94B48">
      <w:pPr>
        <w:spacing w:after="0" w:line="360" w:lineRule="auto"/>
        <w:jc w:val="both"/>
        <w:rPr>
          <w:rFonts w:ascii="Arial" w:eastAsia="Calibri" w:hAnsi="Arial" w:cs="Arial"/>
          <w:bCs/>
          <w:color w:val="000000"/>
          <w:sz w:val="28"/>
          <w:szCs w:val="28"/>
        </w:rPr>
      </w:pPr>
      <w:r w:rsidRPr="00F32542">
        <w:rPr>
          <w:rFonts w:ascii="Arial" w:eastAsia="Calibri" w:hAnsi="Arial" w:cs="Arial"/>
          <w:bCs/>
          <w:color w:val="000000"/>
          <w:sz w:val="28"/>
          <w:szCs w:val="28"/>
        </w:rPr>
        <w:t xml:space="preserve">Pero sobre todo, se faltaría a las características de proporcionalidad, razonabilidad y objetividad de una acción afirmativa indígena, porque conceder su aplicación en este momento, a instancia de personas que, como se verá, apenas pretenden resultar beneficiarias de la </w:t>
      </w:r>
      <w:r w:rsidRPr="00F32542">
        <w:rPr>
          <w:rFonts w:ascii="Arial" w:eastAsia="Calibri" w:hAnsi="Arial" w:cs="Arial"/>
          <w:bCs/>
          <w:color w:val="000000"/>
          <w:sz w:val="28"/>
          <w:szCs w:val="28"/>
        </w:rPr>
        <w:lastRenderedPageBreak/>
        <w:t xml:space="preserve">misma, implicaría responder únicamente a los intereses individuales de aquéllas, quienes aun cuando se ostenten como integrantes del colectivo indígena en desventaja, no podrían ser favorecidas con la ejecución de dicha medida, porque en su implementación no habrían sido consideradas, en igualdad de circunstancias, las otras personas del mismo colectivo. </w:t>
      </w:r>
    </w:p>
    <w:p w14:paraId="020B6035" w14:textId="77777777" w:rsidR="00F94B48" w:rsidRPr="00F32542" w:rsidRDefault="00F94B48" w:rsidP="00F94B48">
      <w:pPr>
        <w:spacing w:after="0" w:line="360" w:lineRule="auto"/>
        <w:jc w:val="both"/>
        <w:rPr>
          <w:rFonts w:ascii="Arial" w:eastAsia="Calibri" w:hAnsi="Arial" w:cs="Arial"/>
          <w:bCs/>
          <w:color w:val="000000"/>
          <w:sz w:val="28"/>
          <w:szCs w:val="28"/>
        </w:rPr>
      </w:pPr>
    </w:p>
    <w:p w14:paraId="0976893B" w14:textId="77777777" w:rsidR="00F94B48" w:rsidRPr="00F32542" w:rsidRDefault="00F94B48" w:rsidP="00F94B48">
      <w:pPr>
        <w:spacing w:after="0" w:line="360" w:lineRule="auto"/>
        <w:jc w:val="both"/>
        <w:rPr>
          <w:rFonts w:ascii="Arial" w:eastAsia="Calibri" w:hAnsi="Arial" w:cs="Arial"/>
          <w:bCs/>
          <w:color w:val="000000"/>
          <w:sz w:val="28"/>
          <w:szCs w:val="28"/>
        </w:rPr>
      </w:pPr>
      <w:r w:rsidRPr="00F32542">
        <w:rPr>
          <w:rFonts w:ascii="Arial" w:eastAsia="Calibri" w:hAnsi="Arial" w:cs="Arial"/>
          <w:bCs/>
          <w:color w:val="000000"/>
          <w:sz w:val="28"/>
          <w:szCs w:val="28"/>
        </w:rPr>
        <w:t xml:space="preserve">De ahí la improcedencia de su implementación en sede jurisdiccional. </w:t>
      </w:r>
    </w:p>
    <w:p w14:paraId="237B43DA" w14:textId="77777777" w:rsidR="00F94B48" w:rsidRPr="00F32542" w:rsidRDefault="00F94B48" w:rsidP="00F94B48">
      <w:pPr>
        <w:spacing w:after="0" w:line="360" w:lineRule="auto"/>
        <w:jc w:val="both"/>
        <w:rPr>
          <w:rFonts w:ascii="Arial" w:eastAsia="Calibri" w:hAnsi="Arial" w:cs="Arial"/>
          <w:bCs/>
          <w:color w:val="000000"/>
          <w:sz w:val="28"/>
          <w:szCs w:val="28"/>
        </w:rPr>
      </w:pPr>
    </w:p>
    <w:p w14:paraId="4AE6BB22"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Cabe precisar que el criterio asumido en la presente sentencia no implica desconocer la situación de desventaja en la que históricamente se han encontrado las comunidades indígenas frente al resto de la ciudadanía y la necesidad de generar, a favor de ellas, condiciones reales de participación política y acceso a cargos de elección popular. </w:t>
      </w:r>
    </w:p>
    <w:p w14:paraId="10A5D3BF" w14:textId="77777777" w:rsidR="00F94B48" w:rsidRPr="00F32542" w:rsidRDefault="00F94B48" w:rsidP="00F94B48">
      <w:pPr>
        <w:spacing w:after="0" w:line="360" w:lineRule="auto"/>
        <w:jc w:val="both"/>
        <w:rPr>
          <w:rFonts w:ascii="Arial" w:eastAsia="Calibri" w:hAnsi="Arial" w:cs="Times New Roman"/>
          <w:sz w:val="28"/>
          <w:szCs w:val="28"/>
        </w:rPr>
      </w:pPr>
    </w:p>
    <w:p w14:paraId="44B8EDA6"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Sin embargo, ello no puede llevar a trastocar las reglas, condiciones y plazos previamente establecidos, acorde con los cuales se llevó a cabo el proceso electivo, en perjuicio directo no sólo de las demás personas contendientes, los partidos políticos, las autoridades electorales o la ciudadanía que participó con su voto a favor de la opción política de su preferencia, sino también, de los otros integrantes del grupo en desventaja en cuyo beneficio, en apariencia, se aplicaría la acción afirmativa reclamada. </w:t>
      </w:r>
    </w:p>
    <w:p w14:paraId="0581DA0A" w14:textId="77777777" w:rsidR="00F94B48" w:rsidRPr="00F32542" w:rsidRDefault="00F94B48" w:rsidP="00F94B48">
      <w:pPr>
        <w:spacing w:after="0" w:line="360" w:lineRule="auto"/>
        <w:jc w:val="both"/>
        <w:rPr>
          <w:rFonts w:ascii="Arial" w:eastAsia="Calibri" w:hAnsi="Arial" w:cs="Times New Roman"/>
          <w:sz w:val="28"/>
          <w:szCs w:val="28"/>
        </w:rPr>
      </w:pPr>
    </w:p>
    <w:p w14:paraId="61967837"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En cambio, las acciones afirmativas, como medidas temporales frente a estructuras de inequidad, deben ser cuidadosamente implementadas, a fin de conseguir su objetivo de atemperar esa desigualdad, en armonía con los demás principios que rigen los </w:t>
      </w:r>
      <w:r w:rsidRPr="00F32542">
        <w:rPr>
          <w:rFonts w:ascii="Arial" w:eastAsia="Calibri" w:hAnsi="Arial" w:cs="Times New Roman"/>
          <w:sz w:val="28"/>
          <w:szCs w:val="28"/>
        </w:rPr>
        <w:lastRenderedPageBreak/>
        <w:t>procesos electorales y nunca, en circunstancias que signifiquen, condiciones inequitativas entre los integrantes del mismo grupo favorecido, o generen falta de certeza a los otros partícipes del proceso electoral.</w:t>
      </w:r>
    </w:p>
    <w:p w14:paraId="648EB3DD" w14:textId="77777777" w:rsidR="00F94B48" w:rsidRPr="00F32542" w:rsidRDefault="00F94B48" w:rsidP="00F94B48">
      <w:pPr>
        <w:spacing w:after="0" w:line="360" w:lineRule="auto"/>
        <w:jc w:val="both"/>
        <w:rPr>
          <w:rFonts w:ascii="Arial" w:eastAsia="Calibri" w:hAnsi="Arial" w:cs="Times New Roman"/>
          <w:sz w:val="28"/>
          <w:szCs w:val="28"/>
        </w:rPr>
      </w:pPr>
    </w:p>
    <w:p w14:paraId="519715FA"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Por ende, si bien sería deseable contar una medida como la analizada, en este momento no puede considerarse jurídica y materialmente factible instaurar una acción afirmativa en sede jurisdiccional cuando no fue emitida ni regulada de manera oportuna por la instancia administrativa electoral, ni mucho menos conocida por quienes participaron en el proceso electivo, por lo que injustificadamente infringiría principios constitucionales. </w:t>
      </w:r>
    </w:p>
    <w:p w14:paraId="2C32F8DB" w14:textId="77777777" w:rsidR="00F94B48" w:rsidRPr="00F32542" w:rsidRDefault="00F94B48" w:rsidP="00F94B48">
      <w:pPr>
        <w:spacing w:after="0" w:line="360" w:lineRule="auto"/>
        <w:jc w:val="both"/>
        <w:rPr>
          <w:rFonts w:ascii="Arial" w:eastAsia="Calibri" w:hAnsi="Arial" w:cs="Arial"/>
          <w:bCs/>
          <w:color w:val="000000"/>
          <w:sz w:val="28"/>
          <w:szCs w:val="28"/>
        </w:rPr>
      </w:pPr>
    </w:p>
    <w:p w14:paraId="3A81A5A7" w14:textId="77777777" w:rsidR="00F94B48" w:rsidRPr="00F32542" w:rsidRDefault="00F94B48" w:rsidP="0047436C">
      <w:pPr>
        <w:spacing w:after="0" w:line="360" w:lineRule="auto"/>
        <w:contextualSpacing/>
        <w:jc w:val="both"/>
        <w:rPr>
          <w:rFonts w:ascii="Arial" w:eastAsia="Calibri" w:hAnsi="Arial" w:cs="Arial"/>
          <w:b/>
          <w:bCs/>
          <w:color w:val="000000"/>
          <w:sz w:val="28"/>
          <w:szCs w:val="28"/>
        </w:rPr>
      </w:pPr>
      <w:r w:rsidRPr="00F32542">
        <w:rPr>
          <w:rFonts w:ascii="Arial" w:eastAsia="Calibri" w:hAnsi="Arial" w:cs="Arial"/>
          <w:b/>
          <w:bCs/>
          <w:iCs/>
          <w:color w:val="000000"/>
          <w:sz w:val="28"/>
          <w:szCs w:val="28"/>
        </w:rPr>
        <w:t>Las</w:t>
      </w:r>
      <w:r w:rsidRPr="00F32542">
        <w:rPr>
          <w:rFonts w:ascii="Arial" w:eastAsia="Calibri" w:hAnsi="Arial" w:cs="Arial"/>
          <w:b/>
          <w:bCs/>
          <w:i/>
          <w:color w:val="000000"/>
          <w:sz w:val="28"/>
          <w:szCs w:val="28"/>
        </w:rPr>
        <w:t xml:space="preserve"> partes actoras</w:t>
      </w:r>
      <w:r w:rsidRPr="00F32542">
        <w:rPr>
          <w:rFonts w:ascii="Arial" w:eastAsia="Calibri" w:hAnsi="Arial" w:cs="Arial"/>
          <w:b/>
          <w:bCs/>
          <w:color w:val="000000"/>
          <w:sz w:val="28"/>
          <w:szCs w:val="28"/>
        </w:rPr>
        <w:t xml:space="preserve"> no hicieron valer una </w:t>
      </w:r>
      <w:proofErr w:type="spellStart"/>
      <w:r w:rsidRPr="00F32542">
        <w:rPr>
          <w:rFonts w:ascii="Arial" w:eastAsia="Calibri" w:hAnsi="Arial" w:cs="Arial"/>
          <w:b/>
          <w:bCs/>
          <w:color w:val="000000"/>
          <w:sz w:val="28"/>
          <w:szCs w:val="28"/>
        </w:rPr>
        <w:t>auto-adscripción</w:t>
      </w:r>
      <w:proofErr w:type="spellEnd"/>
      <w:r w:rsidRPr="00F32542">
        <w:rPr>
          <w:rFonts w:ascii="Arial" w:eastAsia="Calibri" w:hAnsi="Arial" w:cs="Arial"/>
          <w:b/>
          <w:bCs/>
          <w:color w:val="000000"/>
          <w:sz w:val="28"/>
          <w:szCs w:val="28"/>
        </w:rPr>
        <w:t xml:space="preserve"> calificada ante la autoridad administrativa electoral</w:t>
      </w:r>
    </w:p>
    <w:p w14:paraId="1ABCC512" w14:textId="77777777" w:rsidR="00F94B48" w:rsidRPr="00F32542" w:rsidRDefault="00F94B48" w:rsidP="00F94B48">
      <w:pPr>
        <w:spacing w:after="0" w:line="360" w:lineRule="auto"/>
        <w:jc w:val="both"/>
        <w:rPr>
          <w:rFonts w:ascii="Arial" w:eastAsia="Calibri" w:hAnsi="Arial" w:cs="Times New Roman"/>
          <w:sz w:val="28"/>
          <w:szCs w:val="28"/>
        </w:rPr>
      </w:pPr>
    </w:p>
    <w:p w14:paraId="56E10F5E"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Adicionalmente, es importante destacar </w:t>
      </w:r>
      <w:proofErr w:type="gramStart"/>
      <w:r w:rsidRPr="00F32542">
        <w:rPr>
          <w:rFonts w:ascii="Arial" w:eastAsia="Calibri" w:hAnsi="Arial" w:cs="Times New Roman"/>
          <w:sz w:val="28"/>
          <w:szCs w:val="28"/>
        </w:rPr>
        <w:t>que</w:t>
      </w:r>
      <w:proofErr w:type="gramEnd"/>
      <w:r w:rsidRPr="00F32542">
        <w:rPr>
          <w:rFonts w:ascii="Arial" w:eastAsia="Calibri" w:hAnsi="Arial" w:cs="Times New Roman"/>
          <w:sz w:val="28"/>
          <w:szCs w:val="28"/>
        </w:rPr>
        <w:t xml:space="preserve"> hasta la presente instancia impugnativa, </w:t>
      </w:r>
      <w:r w:rsidRPr="00F32542">
        <w:rPr>
          <w:rFonts w:ascii="Arial" w:eastAsia="Calibri" w:hAnsi="Arial" w:cs="Times New Roman"/>
          <w:i/>
          <w:sz w:val="28"/>
          <w:szCs w:val="28"/>
        </w:rPr>
        <w:t>las partes actoras</w:t>
      </w:r>
      <w:r w:rsidRPr="00F32542">
        <w:rPr>
          <w:rFonts w:ascii="Arial" w:eastAsia="Calibri" w:hAnsi="Arial" w:cs="Times New Roman"/>
          <w:sz w:val="28"/>
          <w:szCs w:val="28"/>
        </w:rPr>
        <w:t xml:space="preserve"> se </w:t>
      </w:r>
      <w:proofErr w:type="spellStart"/>
      <w:r w:rsidRPr="00F32542">
        <w:rPr>
          <w:rFonts w:ascii="Arial" w:eastAsia="Calibri" w:hAnsi="Arial" w:cs="Times New Roman"/>
          <w:sz w:val="28"/>
          <w:szCs w:val="28"/>
        </w:rPr>
        <w:t>autoadscribieron</w:t>
      </w:r>
      <w:proofErr w:type="spellEnd"/>
      <w:r w:rsidRPr="00F32542">
        <w:rPr>
          <w:rFonts w:ascii="Arial" w:eastAsia="Calibri" w:hAnsi="Arial" w:cs="Times New Roman"/>
          <w:sz w:val="28"/>
          <w:szCs w:val="28"/>
        </w:rPr>
        <w:t xml:space="preserve"> como personas indígenas y exhibieron diversos documentos para acreditar dicha calidad. </w:t>
      </w:r>
    </w:p>
    <w:p w14:paraId="13175C19" w14:textId="77777777" w:rsidR="00F94B48" w:rsidRPr="00F32542" w:rsidRDefault="00F94B48" w:rsidP="00F94B48">
      <w:pPr>
        <w:spacing w:after="0" w:line="360" w:lineRule="auto"/>
        <w:jc w:val="both"/>
        <w:rPr>
          <w:rFonts w:ascii="Arial" w:eastAsia="Calibri" w:hAnsi="Arial" w:cs="Times New Roman"/>
          <w:sz w:val="28"/>
          <w:szCs w:val="28"/>
        </w:rPr>
      </w:pPr>
    </w:p>
    <w:p w14:paraId="0234E17C"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En efecto, en cuanto al actor Alejandro Argüelles </w:t>
      </w:r>
      <w:proofErr w:type="spellStart"/>
      <w:r w:rsidRPr="00F32542">
        <w:rPr>
          <w:rFonts w:ascii="Arial" w:eastAsia="Calibri" w:hAnsi="Arial" w:cs="Times New Roman"/>
          <w:sz w:val="28"/>
          <w:szCs w:val="28"/>
        </w:rPr>
        <w:t>Almontes</w:t>
      </w:r>
      <w:proofErr w:type="spellEnd"/>
      <w:r w:rsidRPr="00F32542">
        <w:rPr>
          <w:rFonts w:ascii="Arial" w:eastAsia="Calibri" w:hAnsi="Arial" w:cs="Times New Roman"/>
          <w:sz w:val="28"/>
          <w:szCs w:val="28"/>
        </w:rPr>
        <w:t xml:space="preserve"> (</w:t>
      </w:r>
      <w:r w:rsidRPr="00F32542">
        <w:rPr>
          <w:rFonts w:ascii="Arial" w:eastAsia="Calibri" w:hAnsi="Arial" w:cs="Times New Roman"/>
          <w:b/>
          <w:bCs/>
          <w:sz w:val="28"/>
          <w:szCs w:val="28"/>
        </w:rPr>
        <w:t>TECDMX-JLDC-90/2021</w:t>
      </w:r>
      <w:r w:rsidRPr="00F32542">
        <w:rPr>
          <w:rFonts w:ascii="Arial" w:eastAsia="Calibri" w:hAnsi="Arial" w:cs="Times New Roman"/>
          <w:sz w:val="28"/>
          <w:szCs w:val="28"/>
        </w:rPr>
        <w:t xml:space="preserve">), fue postulado por el </w:t>
      </w:r>
      <w:r w:rsidRPr="00F32542">
        <w:rPr>
          <w:rFonts w:ascii="Arial" w:eastAsia="Calibri" w:hAnsi="Arial" w:cs="Times New Roman"/>
          <w:i/>
          <w:sz w:val="28"/>
          <w:szCs w:val="28"/>
        </w:rPr>
        <w:t>PRI</w:t>
      </w:r>
      <w:r w:rsidRPr="00F32542">
        <w:rPr>
          <w:rFonts w:ascii="Arial" w:eastAsia="Calibri" w:hAnsi="Arial" w:cs="Times New Roman"/>
          <w:sz w:val="28"/>
          <w:szCs w:val="28"/>
        </w:rPr>
        <w:t xml:space="preserve"> como candidato a la diputación por el principio de mayoría relativa por el 14 distrito electoral local. </w:t>
      </w:r>
    </w:p>
    <w:p w14:paraId="41BB0094" w14:textId="77777777" w:rsidR="00F94B48" w:rsidRPr="00F32542" w:rsidRDefault="00F94B48" w:rsidP="00F94B48">
      <w:pPr>
        <w:spacing w:after="0" w:line="360" w:lineRule="auto"/>
        <w:jc w:val="both"/>
        <w:rPr>
          <w:rFonts w:ascii="Arial" w:eastAsia="Calibri" w:hAnsi="Arial" w:cs="Times New Roman"/>
          <w:sz w:val="28"/>
          <w:szCs w:val="28"/>
        </w:rPr>
      </w:pPr>
    </w:p>
    <w:p w14:paraId="3E11FFE4"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szCs w:val="28"/>
        </w:rPr>
        <w:t xml:space="preserve">Al respecto, del acuerdo </w:t>
      </w:r>
      <w:r w:rsidRPr="00F32542">
        <w:rPr>
          <w:rFonts w:ascii="Arial" w:eastAsia="Calibri" w:hAnsi="Arial" w:cs="Times New Roman"/>
          <w:b/>
          <w:bCs/>
          <w:sz w:val="28"/>
          <w:szCs w:val="28"/>
        </w:rPr>
        <w:t>IECM/ACU-CG-103/2021</w:t>
      </w:r>
      <w:r w:rsidRPr="00F32542">
        <w:rPr>
          <w:rFonts w:ascii="Arial" w:eastAsia="Calibri" w:hAnsi="Arial" w:cs="Times New Roman"/>
          <w:sz w:val="28"/>
          <w:szCs w:val="28"/>
        </w:rPr>
        <w:t>, de tres de abril de dos mil veintiuno, mediante el cual el Consejo General del Instituto Electoral aprobó, de</w:t>
      </w:r>
      <w:r w:rsidRPr="00F32542">
        <w:rPr>
          <w:rFonts w:ascii="Arial" w:eastAsia="Calibri" w:hAnsi="Arial" w:cs="Times New Roman"/>
          <w:sz w:val="28"/>
        </w:rPr>
        <w:t xml:space="preserve"> manera supletoria, el registro de las candidaturas </w:t>
      </w:r>
      <w:r w:rsidRPr="00F32542">
        <w:rPr>
          <w:rFonts w:ascii="Arial" w:eastAsia="Calibri" w:hAnsi="Arial" w:cs="Times New Roman"/>
          <w:sz w:val="28"/>
        </w:rPr>
        <w:lastRenderedPageBreak/>
        <w:t xml:space="preserve">del citado partido para la elección de diputaciones de mayoría relativa, se advierte que dicha persona no fue incluida como perteneciente a un pueblo, barrio originario o comunidad indígena, sino que la acción afirmativa fue ocupada por la mujer candidata correspondiente al distrito electoral 16. </w:t>
      </w:r>
    </w:p>
    <w:p w14:paraId="53929B4E" w14:textId="77777777" w:rsidR="00F94B48" w:rsidRPr="00F32542" w:rsidRDefault="00F94B48" w:rsidP="00F94B48">
      <w:pPr>
        <w:spacing w:after="0" w:line="360" w:lineRule="auto"/>
        <w:jc w:val="both"/>
        <w:rPr>
          <w:rFonts w:ascii="Arial" w:eastAsia="Calibri" w:hAnsi="Arial" w:cs="Times New Roman"/>
          <w:sz w:val="28"/>
        </w:rPr>
      </w:pPr>
    </w:p>
    <w:p w14:paraId="3A5CD222"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Mientras que el actor Alberto Abraham Melo Torres (</w:t>
      </w:r>
      <w:r w:rsidRPr="00F32542">
        <w:rPr>
          <w:rFonts w:ascii="Arial" w:eastAsia="Calibri" w:hAnsi="Arial" w:cs="Times New Roman"/>
          <w:b/>
          <w:bCs/>
          <w:sz w:val="28"/>
        </w:rPr>
        <w:t>TECDMX-JLDC-94/2021</w:t>
      </w:r>
      <w:r w:rsidRPr="00F32542">
        <w:rPr>
          <w:rFonts w:ascii="Arial" w:eastAsia="Calibri" w:hAnsi="Arial" w:cs="Times New Roman"/>
          <w:sz w:val="28"/>
        </w:rPr>
        <w:t xml:space="preserve">) fue postulado por el PVEM, como candidato a la diputación por el principio de mayoría relativa por el 7 distrito electoral local. </w:t>
      </w:r>
    </w:p>
    <w:p w14:paraId="15F6312E"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 </w:t>
      </w:r>
    </w:p>
    <w:p w14:paraId="20C9687C"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En el acuerdo </w:t>
      </w:r>
      <w:r w:rsidRPr="00F32542">
        <w:rPr>
          <w:rFonts w:ascii="Arial" w:eastAsia="Calibri" w:hAnsi="Arial" w:cs="Times New Roman"/>
          <w:b/>
          <w:bCs/>
          <w:sz w:val="28"/>
        </w:rPr>
        <w:t>IECM/ACU-CG-105/2021</w:t>
      </w:r>
      <w:r w:rsidRPr="00F32542">
        <w:rPr>
          <w:rFonts w:ascii="Arial" w:eastAsia="Calibri" w:hAnsi="Arial" w:cs="Times New Roman"/>
          <w:sz w:val="28"/>
        </w:rPr>
        <w:t>, de tres de junio pasado, por el cual el Consejo General aprobó, de manera supletoria, los registros de las candidaturas del PVEM para la elección de diputaciones de mayoría relativa, consta igualmente, que el demandante no fue incluido como parte de la acción afirmativa para persona perteneciente a un pueblo, barrio originario o comunidad indígena, ya que dicha candidatura correspondió al candidato del distrito electoral 30.</w:t>
      </w:r>
    </w:p>
    <w:p w14:paraId="69BA2E6B" w14:textId="77777777" w:rsidR="00F94B48" w:rsidRPr="00F32542" w:rsidRDefault="00F94B48" w:rsidP="00F94B48">
      <w:pPr>
        <w:spacing w:after="0" w:line="360" w:lineRule="auto"/>
        <w:jc w:val="both"/>
        <w:rPr>
          <w:rFonts w:ascii="Arial" w:eastAsia="Calibri" w:hAnsi="Arial" w:cs="Times New Roman"/>
          <w:sz w:val="28"/>
        </w:rPr>
      </w:pPr>
    </w:p>
    <w:p w14:paraId="2693A2C1"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De manera que ambas </w:t>
      </w:r>
      <w:r w:rsidRPr="00F32542">
        <w:rPr>
          <w:rFonts w:ascii="Arial" w:eastAsia="Calibri" w:hAnsi="Arial" w:cs="Times New Roman"/>
          <w:i/>
          <w:sz w:val="28"/>
        </w:rPr>
        <w:t>partes actoras</w:t>
      </w:r>
      <w:r w:rsidRPr="00F32542">
        <w:rPr>
          <w:rFonts w:ascii="Arial" w:eastAsia="Calibri" w:hAnsi="Arial" w:cs="Times New Roman"/>
          <w:sz w:val="28"/>
        </w:rPr>
        <w:t xml:space="preserve"> participaron en el proceso electoral y fueron votadas, sin que el </w:t>
      </w:r>
      <w:r w:rsidRPr="00F32542">
        <w:rPr>
          <w:rFonts w:ascii="Arial" w:eastAsia="Calibri" w:hAnsi="Arial" w:cs="Times New Roman"/>
          <w:i/>
          <w:sz w:val="28"/>
        </w:rPr>
        <w:t>Instituto Electoral</w:t>
      </w:r>
      <w:r w:rsidRPr="00F32542">
        <w:rPr>
          <w:rFonts w:ascii="Arial" w:eastAsia="Calibri" w:hAnsi="Arial" w:cs="Times New Roman"/>
          <w:sz w:val="28"/>
        </w:rPr>
        <w:t xml:space="preserve">, demás contendientes y votantes tuvieran conocimiento de la calidad indígena que ahora ostentan. </w:t>
      </w:r>
    </w:p>
    <w:p w14:paraId="08D77E77" w14:textId="77777777" w:rsidR="00F94B48" w:rsidRPr="00F32542" w:rsidRDefault="00F94B48" w:rsidP="00F94B48">
      <w:pPr>
        <w:spacing w:after="0" w:line="360" w:lineRule="auto"/>
        <w:jc w:val="both"/>
        <w:rPr>
          <w:rFonts w:ascii="Arial" w:eastAsia="Calibri" w:hAnsi="Arial" w:cs="Times New Roman"/>
          <w:sz w:val="28"/>
        </w:rPr>
      </w:pPr>
    </w:p>
    <w:p w14:paraId="4E1B3F1F"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Lo cual hace por demás evidente, la improcedencia de la implementación de la acción afirmativa que pretenden, puesto que, adicionalmente a la falta de oportunidad temporal previamente analizada y a los efectos negativos respecto a las características que deben cumplir ese tipo de medidas, </w:t>
      </w:r>
      <w:r w:rsidRPr="00F32542">
        <w:rPr>
          <w:rFonts w:ascii="Arial" w:eastAsia="Calibri" w:hAnsi="Arial" w:cs="Times New Roman"/>
          <w:i/>
          <w:sz w:val="28"/>
        </w:rPr>
        <w:t>las partes actoras</w:t>
      </w:r>
      <w:r w:rsidRPr="00F32542">
        <w:rPr>
          <w:rFonts w:ascii="Arial" w:eastAsia="Calibri" w:hAnsi="Arial" w:cs="Times New Roman"/>
          <w:sz w:val="28"/>
        </w:rPr>
        <w:t xml:space="preserve"> no fueron </w:t>
      </w:r>
      <w:r w:rsidRPr="00F32542">
        <w:rPr>
          <w:rFonts w:ascii="Arial" w:eastAsia="Calibri" w:hAnsi="Arial" w:cs="Times New Roman"/>
          <w:sz w:val="28"/>
        </w:rPr>
        <w:lastRenderedPageBreak/>
        <w:t>registradas ni votadas mediante candidaturas pertenecientes a pueblos y barrios originarios o comunidades indígenas residentes en la Ciudad de México.</w:t>
      </w:r>
    </w:p>
    <w:p w14:paraId="06516254" w14:textId="77777777" w:rsidR="00F94B48" w:rsidRPr="00F32542" w:rsidRDefault="00F94B48" w:rsidP="00F94B48">
      <w:pPr>
        <w:spacing w:after="0" w:line="360" w:lineRule="auto"/>
        <w:jc w:val="both"/>
        <w:rPr>
          <w:rFonts w:ascii="Arial" w:eastAsia="Calibri" w:hAnsi="Arial" w:cs="Times New Roman"/>
          <w:sz w:val="28"/>
        </w:rPr>
      </w:pPr>
    </w:p>
    <w:p w14:paraId="7B35F0BA"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En consecuencia, no es factible atender apenas en la presente instancia impugnativa, la procedencia de su pretensión, dado que se violentaría el principio constitucional de certeza, habida cuenta que no participaron en el proceso electivo </w:t>
      </w:r>
      <w:proofErr w:type="gramStart"/>
      <w:r w:rsidRPr="00F32542">
        <w:rPr>
          <w:rFonts w:ascii="Arial" w:eastAsia="Calibri" w:hAnsi="Arial" w:cs="Times New Roman"/>
          <w:sz w:val="28"/>
        </w:rPr>
        <w:t>con la condición que</w:t>
      </w:r>
      <w:proofErr w:type="gramEnd"/>
      <w:r w:rsidRPr="00F32542">
        <w:rPr>
          <w:rFonts w:ascii="Arial" w:eastAsia="Calibri" w:hAnsi="Arial" w:cs="Times New Roman"/>
          <w:sz w:val="28"/>
        </w:rPr>
        <w:t xml:space="preserve"> ahora manifiestan. </w:t>
      </w:r>
    </w:p>
    <w:p w14:paraId="5F6102F5" w14:textId="77777777" w:rsidR="00F94B48" w:rsidRPr="00F32542" w:rsidRDefault="00F94B48" w:rsidP="00F94B48">
      <w:pPr>
        <w:spacing w:after="0" w:line="360" w:lineRule="auto"/>
        <w:jc w:val="both"/>
        <w:rPr>
          <w:rFonts w:ascii="Arial" w:eastAsia="Calibri" w:hAnsi="Arial" w:cs="Times New Roman"/>
          <w:sz w:val="28"/>
        </w:rPr>
      </w:pPr>
    </w:p>
    <w:p w14:paraId="27BB66B8" w14:textId="77777777" w:rsidR="00F94B48" w:rsidRPr="00F32542" w:rsidRDefault="00F94B48" w:rsidP="00F94B48">
      <w:pPr>
        <w:spacing w:after="0" w:line="360" w:lineRule="auto"/>
        <w:contextualSpacing/>
        <w:jc w:val="both"/>
        <w:rPr>
          <w:rFonts w:ascii="Arial" w:eastAsia="Times New Roman" w:hAnsi="Arial" w:cs="Arial"/>
          <w:bCs/>
          <w:color w:val="000000"/>
          <w:sz w:val="28"/>
          <w:szCs w:val="28"/>
        </w:rPr>
      </w:pPr>
      <w:r w:rsidRPr="00F32542">
        <w:rPr>
          <w:rFonts w:ascii="Arial" w:eastAsia="Calibri" w:hAnsi="Arial" w:cs="Times New Roman"/>
          <w:sz w:val="28"/>
        </w:rPr>
        <w:t xml:space="preserve">Por último, en cuanto al agravio en el que se atribuye falta de fundamentación y motivación al acuerdo de asignación de diputaciones plurinominales, porque la responsable no justificó los mecanismos o razones para garantizar </w:t>
      </w:r>
      <w:r w:rsidRPr="00F32542">
        <w:rPr>
          <w:rFonts w:ascii="Arial" w:eastAsia="Times New Roman" w:hAnsi="Arial" w:cs="Arial"/>
          <w:bCs/>
          <w:color w:val="000000"/>
          <w:sz w:val="28"/>
          <w:szCs w:val="28"/>
        </w:rPr>
        <w:t xml:space="preserve">la participación de personas indígenas en la integración del Congreso local, ciertamente tal acuerdo no hizo mención alguna a la acción afirmativa a favor de personas integrantes de </w:t>
      </w:r>
      <w:r w:rsidRPr="00F32542">
        <w:rPr>
          <w:rFonts w:ascii="Arial" w:eastAsia="Calibri" w:hAnsi="Arial" w:cs="Times New Roman"/>
          <w:sz w:val="28"/>
        </w:rPr>
        <w:t>pueblos y barrios originarios o comunidades indígenas</w:t>
      </w:r>
      <w:r w:rsidRPr="00F32542">
        <w:rPr>
          <w:rFonts w:ascii="Arial" w:eastAsia="Times New Roman" w:hAnsi="Arial" w:cs="Arial"/>
          <w:bCs/>
          <w:color w:val="000000"/>
          <w:sz w:val="28"/>
          <w:szCs w:val="28"/>
        </w:rPr>
        <w:t>.</w:t>
      </w:r>
    </w:p>
    <w:p w14:paraId="5B606208" w14:textId="77777777" w:rsidR="00F94B48" w:rsidRPr="00F32542" w:rsidRDefault="00F94B48" w:rsidP="00F94B48">
      <w:pPr>
        <w:spacing w:after="0" w:line="360" w:lineRule="auto"/>
        <w:contextualSpacing/>
        <w:jc w:val="both"/>
        <w:rPr>
          <w:rFonts w:ascii="Arial" w:eastAsia="Times New Roman" w:hAnsi="Arial" w:cs="Arial"/>
          <w:bCs/>
          <w:color w:val="000000"/>
          <w:sz w:val="28"/>
          <w:szCs w:val="28"/>
        </w:rPr>
      </w:pPr>
    </w:p>
    <w:p w14:paraId="1B9DA7CC" w14:textId="77777777" w:rsidR="00F94B48" w:rsidRPr="00F32542" w:rsidRDefault="00F94B48" w:rsidP="00F94B48">
      <w:pPr>
        <w:spacing w:after="0" w:line="360" w:lineRule="auto"/>
        <w:contextualSpacing/>
        <w:jc w:val="both"/>
        <w:rPr>
          <w:rFonts w:ascii="Arial" w:eastAsia="Times New Roman" w:hAnsi="Arial" w:cs="Arial"/>
          <w:bCs/>
          <w:color w:val="000000"/>
          <w:sz w:val="28"/>
          <w:szCs w:val="28"/>
        </w:rPr>
      </w:pPr>
      <w:r w:rsidRPr="00F32542">
        <w:rPr>
          <w:rFonts w:ascii="Arial" w:eastAsia="Times New Roman" w:hAnsi="Arial" w:cs="Arial"/>
          <w:bCs/>
          <w:color w:val="000000"/>
          <w:sz w:val="28"/>
          <w:szCs w:val="28"/>
        </w:rPr>
        <w:t xml:space="preserve">Sin embargo, ello atiende a que, en términos de la </w:t>
      </w:r>
      <w:r w:rsidRPr="00F32542">
        <w:rPr>
          <w:rFonts w:ascii="Arial" w:eastAsia="Times New Roman" w:hAnsi="Arial" w:cs="Arial"/>
          <w:bCs/>
          <w:i/>
          <w:color w:val="000000"/>
          <w:sz w:val="28"/>
          <w:szCs w:val="28"/>
        </w:rPr>
        <w:t>Constitución Local, Código Electoral</w:t>
      </w:r>
      <w:r w:rsidRPr="00F32542">
        <w:rPr>
          <w:rFonts w:ascii="Arial" w:eastAsia="Times New Roman" w:hAnsi="Arial" w:cs="Arial"/>
          <w:bCs/>
          <w:color w:val="000000"/>
          <w:sz w:val="28"/>
          <w:szCs w:val="28"/>
        </w:rPr>
        <w:t xml:space="preserve"> y los </w:t>
      </w:r>
      <w:r w:rsidRPr="00F32542">
        <w:rPr>
          <w:rFonts w:ascii="Arial" w:eastAsia="Times New Roman" w:hAnsi="Arial" w:cs="Arial"/>
          <w:bCs/>
          <w:i/>
          <w:color w:val="000000"/>
          <w:sz w:val="28"/>
          <w:szCs w:val="28"/>
        </w:rPr>
        <w:t>Lineamientos para la postulación</w:t>
      </w:r>
      <w:r w:rsidRPr="00F32542">
        <w:rPr>
          <w:rFonts w:ascii="Arial" w:eastAsia="Times New Roman" w:hAnsi="Arial" w:cs="Arial"/>
          <w:bCs/>
          <w:color w:val="000000"/>
          <w:sz w:val="28"/>
          <w:szCs w:val="28"/>
        </w:rPr>
        <w:t xml:space="preserve">, la acción afirmativa en </w:t>
      </w:r>
      <w:proofErr w:type="gramStart"/>
      <w:r w:rsidRPr="00F32542">
        <w:rPr>
          <w:rFonts w:ascii="Arial" w:eastAsia="Times New Roman" w:hAnsi="Arial" w:cs="Arial"/>
          <w:bCs/>
          <w:color w:val="000000"/>
          <w:sz w:val="28"/>
          <w:szCs w:val="28"/>
        </w:rPr>
        <w:t>comento,</w:t>
      </w:r>
      <w:proofErr w:type="gramEnd"/>
      <w:r w:rsidRPr="00F32542">
        <w:rPr>
          <w:rFonts w:ascii="Arial" w:eastAsia="Times New Roman" w:hAnsi="Arial" w:cs="Arial"/>
          <w:bCs/>
          <w:color w:val="000000"/>
          <w:sz w:val="28"/>
          <w:szCs w:val="28"/>
        </w:rPr>
        <w:t xml:space="preserve"> está dirigida a la etapa de postulación de candidaturas, por ende, en los correspondientes acuerdos de registro de candidaturas postuladas por los partidos políticos para los cargos de diputaciones al </w:t>
      </w:r>
      <w:r w:rsidRPr="00F32542">
        <w:rPr>
          <w:rFonts w:ascii="Arial" w:eastAsia="Times New Roman" w:hAnsi="Arial" w:cs="Arial"/>
          <w:bCs/>
          <w:i/>
          <w:color w:val="000000"/>
          <w:sz w:val="28"/>
          <w:szCs w:val="28"/>
        </w:rPr>
        <w:t>Congreso</w:t>
      </w:r>
      <w:r w:rsidRPr="00F32542">
        <w:rPr>
          <w:rFonts w:ascii="Arial" w:eastAsia="Times New Roman" w:hAnsi="Arial" w:cs="Arial"/>
          <w:bCs/>
          <w:color w:val="000000"/>
          <w:sz w:val="28"/>
          <w:szCs w:val="28"/>
        </w:rPr>
        <w:t xml:space="preserve">, fue donde se hizo constar la forma en la cual se atendió esa medida. </w:t>
      </w:r>
    </w:p>
    <w:p w14:paraId="0A3AFD40" w14:textId="77777777" w:rsidR="00F94B48" w:rsidRPr="00F32542" w:rsidRDefault="00F94B48" w:rsidP="00F94B48">
      <w:pPr>
        <w:spacing w:after="0" w:line="360" w:lineRule="auto"/>
        <w:contextualSpacing/>
        <w:jc w:val="both"/>
        <w:rPr>
          <w:rFonts w:ascii="Arial" w:eastAsia="Times New Roman" w:hAnsi="Arial" w:cs="Arial"/>
          <w:bCs/>
          <w:color w:val="000000"/>
          <w:sz w:val="28"/>
          <w:szCs w:val="28"/>
        </w:rPr>
      </w:pPr>
    </w:p>
    <w:p w14:paraId="14124650" w14:textId="77777777" w:rsidR="0047436C" w:rsidRPr="00F32542" w:rsidRDefault="00F94B48" w:rsidP="0047436C">
      <w:pPr>
        <w:spacing w:after="0" w:line="360" w:lineRule="auto"/>
        <w:contextualSpacing/>
        <w:jc w:val="both"/>
        <w:rPr>
          <w:rFonts w:ascii="Arial" w:eastAsia="Calibri" w:hAnsi="Arial" w:cs="Times New Roman"/>
          <w:sz w:val="28"/>
        </w:rPr>
      </w:pPr>
      <w:r w:rsidRPr="00F32542">
        <w:rPr>
          <w:rFonts w:ascii="Arial" w:eastAsia="Times New Roman" w:hAnsi="Arial" w:cs="Arial"/>
          <w:bCs/>
          <w:color w:val="000000"/>
          <w:sz w:val="28"/>
          <w:szCs w:val="28"/>
        </w:rPr>
        <w:t xml:space="preserve">De manera que, si la </w:t>
      </w:r>
      <w:r w:rsidRPr="00F32542">
        <w:rPr>
          <w:rFonts w:ascii="Arial" w:eastAsia="Times New Roman" w:hAnsi="Arial" w:cs="Arial"/>
          <w:bCs/>
          <w:i/>
          <w:color w:val="000000"/>
          <w:sz w:val="28"/>
          <w:szCs w:val="28"/>
        </w:rPr>
        <w:t>autoridad responsable</w:t>
      </w:r>
      <w:r w:rsidRPr="00F32542">
        <w:rPr>
          <w:rFonts w:ascii="Arial" w:eastAsia="Times New Roman" w:hAnsi="Arial" w:cs="Arial"/>
          <w:bCs/>
          <w:color w:val="000000"/>
          <w:sz w:val="28"/>
          <w:szCs w:val="28"/>
        </w:rPr>
        <w:t xml:space="preserve"> no especificó, en el acuerdo impugnado, los términos en que salvaguardó derechos a </w:t>
      </w:r>
      <w:r w:rsidRPr="00F32542">
        <w:rPr>
          <w:rFonts w:ascii="Arial" w:eastAsia="Times New Roman" w:hAnsi="Arial" w:cs="Arial"/>
          <w:bCs/>
          <w:color w:val="000000"/>
          <w:sz w:val="28"/>
          <w:szCs w:val="28"/>
        </w:rPr>
        <w:lastRenderedPageBreak/>
        <w:t xml:space="preserve">favor de personas integrantes de </w:t>
      </w:r>
      <w:r w:rsidRPr="00F32542">
        <w:rPr>
          <w:rFonts w:ascii="Arial" w:eastAsia="Calibri" w:hAnsi="Arial" w:cs="Times New Roman"/>
          <w:sz w:val="28"/>
        </w:rPr>
        <w:t>pueblos y barrios originarios o comunidades indígenas, ello no implica un actuar omisivo, puesto que la acción afirmativa implementada en la normativa electoral local fue cumplida durante la etapa de postulación de candidaturas.</w:t>
      </w:r>
    </w:p>
    <w:p w14:paraId="1C20182C" w14:textId="77777777" w:rsidR="0047436C" w:rsidRPr="00F32542" w:rsidRDefault="0047436C" w:rsidP="0047436C">
      <w:pPr>
        <w:spacing w:after="0" w:line="360" w:lineRule="auto"/>
        <w:contextualSpacing/>
        <w:jc w:val="both"/>
        <w:rPr>
          <w:rFonts w:ascii="Arial" w:eastAsia="Calibri" w:hAnsi="Arial" w:cs="Times New Roman"/>
          <w:sz w:val="28"/>
        </w:rPr>
      </w:pPr>
    </w:p>
    <w:p w14:paraId="164C10CD" w14:textId="77777777" w:rsidR="00F94B48" w:rsidRPr="00F32542" w:rsidRDefault="00F94B48" w:rsidP="0047436C">
      <w:pPr>
        <w:pStyle w:val="Prrafodelista"/>
        <w:numPr>
          <w:ilvl w:val="0"/>
          <w:numId w:val="2"/>
        </w:numPr>
        <w:spacing w:line="360" w:lineRule="auto"/>
        <w:contextualSpacing/>
        <w:rPr>
          <w:rFonts w:ascii="Arial" w:eastAsia="Calibri" w:hAnsi="Arial"/>
          <w:szCs w:val="22"/>
        </w:rPr>
      </w:pPr>
      <w:r w:rsidRPr="00F32542">
        <w:rPr>
          <w:rFonts w:ascii="Arial" w:eastAsia="Calibri" w:hAnsi="Arial" w:cs="Arial"/>
          <w:b/>
          <w:szCs w:val="28"/>
        </w:rPr>
        <w:t>Otorgamiento de las curules asignadas a MORENA, a las candidaturas con mayor votación provenientes de la lista B.</w:t>
      </w:r>
    </w:p>
    <w:p w14:paraId="7F2D4084"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sz w:val="28"/>
          <w:szCs w:val="28"/>
        </w:rPr>
        <w:t>En este apartado se analizarán los siguientes planteamientos:</w:t>
      </w:r>
    </w:p>
    <w:p w14:paraId="06110310"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b/>
          <w:sz w:val="28"/>
          <w:szCs w:val="28"/>
        </w:rPr>
        <w:t>TECDMX-JLDC-097/2021 (José Luis Rodríguez de León).</w:t>
      </w:r>
    </w:p>
    <w:p w14:paraId="55AF4112" w14:textId="77777777" w:rsidR="00F94B48" w:rsidRPr="00F32542" w:rsidRDefault="00F94B48" w:rsidP="009B6ED0">
      <w:pPr>
        <w:numPr>
          <w:ilvl w:val="0"/>
          <w:numId w:val="14"/>
        </w:numPr>
        <w:spacing w:before="100" w:beforeAutospacing="1" w:after="100" w:afterAutospacing="1" w:line="360" w:lineRule="auto"/>
        <w:contextualSpacing/>
        <w:jc w:val="both"/>
        <w:rPr>
          <w:rFonts w:ascii="Arial" w:eastAsia="Calibri" w:hAnsi="Arial" w:cs="Arial"/>
          <w:sz w:val="28"/>
          <w:szCs w:val="28"/>
        </w:rPr>
      </w:pPr>
      <w:r w:rsidRPr="00F32542">
        <w:rPr>
          <w:rFonts w:ascii="Arial" w:eastAsia="Calibri" w:hAnsi="Arial" w:cs="Arial"/>
          <w:sz w:val="28"/>
          <w:szCs w:val="28"/>
        </w:rPr>
        <w:t>La existencia de una indebida aplicación de la regla relativa a bloques correspondientes al mismo género en la lista definitiva de MORENA, que propició una subrepresentación del género masculino.</w:t>
      </w:r>
    </w:p>
    <w:p w14:paraId="3F603B96" w14:textId="77777777" w:rsidR="00313B65" w:rsidRPr="00F32542" w:rsidRDefault="00313B65" w:rsidP="00313B65">
      <w:pPr>
        <w:spacing w:before="100" w:beforeAutospacing="1" w:after="100" w:afterAutospacing="1" w:line="360" w:lineRule="auto"/>
        <w:ind w:left="720"/>
        <w:contextualSpacing/>
        <w:jc w:val="both"/>
        <w:rPr>
          <w:rFonts w:ascii="Arial" w:eastAsia="Calibri" w:hAnsi="Arial" w:cs="Arial"/>
          <w:sz w:val="28"/>
          <w:szCs w:val="28"/>
        </w:rPr>
      </w:pPr>
    </w:p>
    <w:p w14:paraId="69DAC07B" w14:textId="77777777" w:rsidR="00F94B48" w:rsidRPr="00F32542" w:rsidRDefault="00F94B48" w:rsidP="009B6ED0">
      <w:pPr>
        <w:numPr>
          <w:ilvl w:val="0"/>
          <w:numId w:val="14"/>
        </w:numPr>
        <w:spacing w:before="100" w:beforeAutospacing="1" w:after="100" w:afterAutospacing="1" w:line="360" w:lineRule="auto"/>
        <w:contextualSpacing/>
        <w:jc w:val="both"/>
        <w:rPr>
          <w:rFonts w:ascii="Arial" w:eastAsia="Calibri" w:hAnsi="Arial" w:cs="Arial"/>
          <w:sz w:val="28"/>
          <w:szCs w:val="28"/>
        </w:rPr>
      </w:pPr>
      <w:r w:rsidRPr="00F32542">
        <w:rPr>
          <w:rFonts w:ascii="Arial" w:eastAsia="Calibri" w:hAnsi="Arial" w:cs="Arial"/>
          <w:sz w:val="28"/>
          <w:szCs w:val="28"/>
        </w:rPr>
        <w:t xml:space="preserve">El Consejo General del IECM, al integrar la lista definitiva de dicho partido, de manera indebida permitió alternancia en las dos </w:t>
      </w:r>
      <w:proofErr w:type="gramStart"/>
      <w:r w:rsidRPr="00F32542">
        <w:rPr>
          <w:rFonts w:ascii="Arial" w:eastAsia="Calibri" w:hAnsi="Arial" w:cs="Arial"/>
          <w:sz w:val="28"/>
          <w:szCs w:val="28"/>
        </w:rPr>
        <w:t>primera fórmulas</w:t>
      </w:r>
      <w:proofErr w:type="gramEnd"/>
      <w:r w:rsidRPr="00F32542">
        <w:rPr>
          <w:rFonts w:ascii="Arial" w:eastAsia="Calibri" w:hAnsi="Arial" w:cs="Arial"/>
          <w:sz w:val="28"/>
          <w:szCs w:val="28"/>
        </w:rPr>
        <w:t xml:space="preserve">, pues la primera posición fue de fórmula masculina y la segunda de fórmula femenina; en lugar de permitir la existencia de un bloque de dos candidaturas masculinas seguido de un bloque de dos candidaturas femeninas, es decir, alternancia entre bloques formados por dos candidaturas del mismo género. </w:t>
      </w:r>
    </w:p>
    <w:p w14:paraId="08172A78" w14:textId="77777777" w:rsidR="00313B65" w:rsidRPr="00F32542" w:rsidRDefault="00313B65" w:rsidP="00313B65">
      <w:pPr>
        <w:spacing w:before="100" w:beforeAutospacing="1" w:after="100" w:afterAutospacing="1" w:line="360" w:lineRule="auto"/>
        <w:contextualSpacing/>
        <w:jc w:val="both"/>
        <w:rPr>
          <w:rFonts w:ascii="Arial" w:eastAsia="Calibri" w:hAnsi="Arial" w:cs="Arial"/>
          <w:sz w:val="28"/>
          <w:szCs w:val="28"/>
        </w:rPr>
      </w:pPr>
    </w:p>
    <w:p w14:paraId="7BC4F3C3" w14:textId="77777777" w:rsidR="00F94B48" w:rsidRPr="00F32542" w:rsidRDefault="00F94B48" w:rsidP="009B6ED0">
      <w:pPr>
        <w:numPr>
          <w:ilvl w:val="0"/>
          <w:numId w:val="14"/>
        </w:numPr>
        <w:spacing w:before="100" w:beforeAutospacing="1" w:after="100" w:afterAutospacing="1" w:line="360" w:lineRule="auto"/>
        <w:contextualSpacing/>
        <w:jc w:val="both"/>
        <w:rPr>
          <w:rFonts w:ascii="Arial" w:eastAsia="Calibri" w:hAnsi="Arial" w:cs="Arial"/>
          <w:sz w:val="28"/>
          <w:szCs w:val="28"/>
        </w:rPr>
      </w:pPr>
      <w:r w:rsidRPr="00F32542">
        <w:rPr>
          <w:rFonts w:ascii="Arial" w:eastAsia="Calibri" w:hAnsi="Arial" w:cs="Arial"/>
          <w:sz w:val="28"/>
          <w:szCs w:val="28"/>
        </w:rPr>
        <w:t xml:space="preserve">La regla de la alternancia debe ceder ante otros principios relativos a la integración de las listas en la representación proporcional para el Congreso de la Ciudad de México. </w:t>
      </w:r>
    </w:p>
    <w:p w14:paraId="4DC88C8E" w14:textId="77777777" w:rsidR="00313B65" w:rsidRPr="00F32542" w:rsidRDefault="00313B65" w:rsidP="00313B65">
      <w:pPr>
        <w:spacing w:before="100" w:beforeAutospacing="1" w:after="100" w:afterAutospacing="1" w:line="360" w:lineRule="auto"/>
        <w:contextualSpacing/>
        <w:jc w:val="both"/>
        <w:rPr>
          <w:rFonts w:ascii="Arial" w:eastAsia="Calibri" w:hAnsi="Arial" w:cs="Arial"/>
          <w:sz w:val="28"/>
          <w:szCs w:val="28"/>
        </w:rPr>
      </w:pPr>
    </w:p>
    <w:p w14:paraId="21C50239" w14:textId="77777777" w:rsidR="00F94B48" w:rsidRPr="00F32542" w:rsidRDefault="00F94B48" w:rsidP="009B6ED0">
      <w:pPr>
        <w:numPr>
          <w:ilvl w:val="0"/>
          <w:numId w:val="14"/>
        </w:numPr>
        <w:spacing w:before="100" w:beforeAutospacing="1" w:after="100" w:afterAutospacing="1" w:line="360" w:lineRule="auto"/>
        <w:contextualSpacing/>
        <w:jc w:val="both"/>
        <w:rPr>
          <w:rFonts w:ascii="Arial" w:eastAsia="Calibri" w:hAnsi="Arial" w:cs="Arial"/>
          <w:sz w:val="28"/>
          <w:szCs w:val="28"/>
        </w:rPr>
      </w:pPr>
      <w:r w:rsidRPr="00F32542">
        <w:rPr>
          <w:rFonts w:ascii="Arial" w:eastAsia="Calibri" w:hAnsi="Arial" w:cs="Arial"/>
          <w:sz w:val="28"/>
          <w:szCs w:val="28"/>
        </w:rPr>
        <w:t xml:space="preserve">La aplicación del principio de alternancia se aplicó incorrectamente porque se rompió con la finalidad de la lista B, puesto que se realiza la asignación de dos mujeres que tienen una menor votación que el actor. </w:t>
      </w:r>
    </w:p>
    <w:p w14:paraId="1DF307FF" w14:textId="77777777" w:rsidR="00313B65" w:rsidRPr="00F32542" w:rsidRDefault="00313B65" w:rsidP="00313B65">
      <w:pPr>
        <w:spacing w:before="100" w:beforeAutospacing="1" w:after="100" w:afterAutospacing="1" w:line="360" w:lineRule="auto"/>
        <w:contextualSpacing/>
        <w:jc w:val="both"/>
        <w:rPr>
          <w:rFonts w:ascii="Arial" w:eastAsia="Calibri" w:hAnsi="Arial" w:cs="Arial"/>
          <w:sz w:val="28"/>
          <w:szCs w:val="28"/>
        </w:rPr>
      </w:pPr>
    </w:p>
    <w:p w14:paraId="0F867976" w14:textId="77777777" w:rsidR="00F94B48" w:rsidRPr="00F32542" w:rsidRDefault="00F94B48" w:rsidP="009B6ED0">
      <w:pPr>
        <w:numPr>
          <w:ilvl w:val="0"/>
          <w:numId w:val="14"/>
        </w:numPr>
        <w:spacing w:before="100" w:beforeAutospacing="1" w:after="100" w:afterAutospacing="1" w:line="360" w:lineRule="auto"/>
        <w:contextualSpacing/>
        <w:jc w:val="both"/>
        <w:rPr>
          <w:rFonts w:ascii="Arial" w:eastAsia="Calibri" w:hAnsi="Arial" w:cs="Arial"/>
          <w:sz w:val="28"/>
          <w:szCs w:val="28"/>
        </w:rPr>
      </w:pPr>
      <w:r w:rsidRPr="00F32542">
        <w:rPr>
          <w:rFonts w:ascii="Arial" w:eastAsia="Calibri" w:hAnsi="Arial" w:cs="Arial"/>
          <w:sz w:val="28"/>
          <w:szCs w:val="28"/>
        </w:rPr>
        <w:t>La responsable afectó el derecho a ser votado de una candidatura con un alto grado de representatividad.</w:t>
      </w:r>
    </w:p>
    <w:p w14:paraId="34EE63B5" w14:textId="77777777" w:rsidR="00313B65" w:rsidRPr="00F32542" w:rsidRDefault="00313B65" w:rsidP="00313B65">
      <w:pPr>
        <w:spacing w:before="100" w:beforeAutospacing="1" w:after="100" w:afterAutospacing="1" w:line="360" w:lineRule="auto"/>
        <w:contextualSpacing/>
        <w:jc w:val="both"/>
        <w:rPr>
          <w:rFonts w:ascii="Arial" w:eastAsia="Calibri" w:hAnsi="Arial" w:cs="Arial"/>
          <w:sz w:val="28"/>
          <w:szCs w:val="28"/>
        </w:rPr>
      </w:pPr>
    </w:p>
    <w:p w14:paraId="3873E74D" w14:textId="77777777" w:rsidR="00F94B48" w:rsidRPr="00F32542" w:rsidRDefault="00F94B48" w:rsidP="009B6ED0">
      <w:pPr>
        <w:numPr>
          <w:ilvl w:val="0"/>
          <w:numId w:val="14"/>
        </w:numPr>
        <w:spacing w:before="100" w:beforeAutospacing="1" w:after="100" w:afterAutospacing="1" w:line="360" w:lineRule="auto"/>
        <w:contextualSpacing/>
        <w:jc w:val="both"/>
        <w:rPr>
          <w:rFonts w:ascii="Arial" w:eastAsia="Calibri" w:hAnsi="Arial" w:cs="Arial"/>
          <w:sz w:val="28"/>
          <w:szCs w:val="28"/>
        </w:rPr>
      </w:pPr>
      <w:r w:rsidRPr="00F32542">
        <w:rPr>
          <w:rFonts w:ascii="Arial" w:eastAsia="Calibri" w:hAnsi="Arial" w:cs="Arial"/>
          <w:sz w:val="28"/>
          <w:szCs w:val="28"/>
        </w:rPr>
        <w:t xml:space="preserve">Sostiene que, en caso de que tales agravios no prosperen, debe </w:t>
      </w:r>
      <w:proofErr w:type="spellStart"/>
      <w:r w:rsidRPr="00F32542">
        <w:rPr>
          <w:rFonts w:ascii="Arial" w:eastAsia="Calibri" w:hAnsi="Arial" w:cs="Arial"/>
          <w:sz w:val="28"/>
          <w:szCs w:val="28"/>
        </w:rPr>
        <w:t>inaplicarse</w:t>
      </w:r>
      <w:proofErr w:type="spellEnd"/>
      <w:r w:rsidRPr="00F32542">
        <w:rPr>
          <w:rFonts w:ascii="Arial" w:eastAsia="Calibri" w:hAnsi="Arial" w:cs="Arial"/>
          <w:sz w:val="28"/>
          <w:szCs w:val="28"/>
        </w:rPr>
        <w:t xml:space="preserve"> el artículo 24, fracción IV, del </w:t>
      </w:r>
      <w:r w:rsidRPr="00F32542">
        <w:rPr>
          <w:rFonts w:ascii="Arial" w:eastAsia="Calibri" w:hAnsi="Arial" w:cs="Arial"/>
          <w:i/>
          <w:sz w:val="28"/>
          <w:szCs w:val="28"/>
        </w:rPr>
        <w:t xml:space="preserve">Código local. </w:t>
      </w:r>
    </w:p>
    <w:p w14:paraId="517D58ED" w14:textId="77777777" w:rsidR="00313B65" w:rsidRPr="00F32542" w:rsidRDefault="00313B65" w:rsidP="007A07B6">
      <w:pPr>
        <w:spacing w:before="100" w:beforeAutospacing="1" w:after="100" w:afterAutospacing="1" w:line="360" w:lineRule="auto"/>
        <w:ind w:left="720"/>
        <w:contextualSpacing/>
        <w:jc w:val="both"/>
        <w:rPr>
          <w:rFonts w:ascii="Arial" w:eastAsia="Calibri" w:hAnsi="Arial" w:cs="Arial"/>
          <w:sz w:val="28"/>
          <w:szCs w:val="28"/>
        </w:rPr>
      </w:pPr>
    </w:p>
    <w:p w14:paraId="50C961C6"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sz w:val="28"/>
          <w:szCs w:val="28"/>
        </w:rPr>
        <w:t xml:space="preserve"> </w:t>
      </w:r>
      <w:r w:rsidRPr="00F32542">
        <w:rPr>
          <w:rFonts w:ascii="Arial" w:eastAsia="Calibri" w:hAnsi="Arial" w:cs="Arial"/>
          <w:b/>
          <w:bCs/>
          <w:sz w:val="28"/>
          <w:szCs w:val="28"/>
        </w:rPr>
        <w:t>TECDMX-JEL-204/2021 (MORENA)</w:t>
      </w:r>
    </w:p>
    <w:p w14:paraId="58B8D56D" w14:textId="77777777" w:rsidR="00F94B48" w:rsidRPr="00F32542" w:rsidRDefault="00F94B48" w:rsidP="009B6ED0">
      <w:pPr>
        <w:numPr>
          <w:ilvl w:val="0"/>
          <w:numId w:val="14"/>
        </w:numPr>
        <w:spacing w:before="100" w:beforeAutospacing="1" w:after="100" w:afterAutospacing="1" w:line="360" w:lineRule="auto"/>
        <w:contextualSpacing/>
        <w:jc w:val="both"/>
        <w:rPr>
          <w:rFonts w:ascii="Arial" w:eastAsia="Calibri" w:hAnsi="Arial" w:cs="Arial"/>
          <w:sz w:val="28"/>
          <w:szCs w:val="28"/>
        </w:rPr>
      </w:pPr>
      <w:r w:rsidRPr="00F32542">
        <w:rPr>
          <w:rFonts w:ascii="Arial" w:eastAsia="Calibri" w:hAnsi="Arial" w:cs="Arial"/>
          <w:sz w:val="28"/>
          <w:szCs w:val="28"/>
        </w:rPr>
        <w:t xml:space="preserve">En la integración de la lista definitiva (posiciones 10 y 14) se ubicaron dos candidaturas femeninas, provenientes de la lista B, con una votación inferior respecto a la candidatura masculina ubicada en la posición 16. </w:t>
      </w:r>
    </w:p>
    <w:p w14:paraId="45E09109" w14:textId="77777777" w:rsidR="00F94B48" w:rsidRPr="00F32542" w:rsidRDefault="00F94B48" w:rsidP="009B6ED0">
      <w:pPr>
        <w:numPr>
          <w:ilvl w:val="0"/>
          <w:numId w:val="14"/>
        </w:numPr>
        <w:spacing w:before="100" w:beforeAutospacing="1" w:after="100" w:afterAutospacing="1" w:line="360" w:lineRule="auto"/>
        <w:contextualSpacing/>
        <w:jc w:val="both"/>
        <w:rPr>
          <w:rFonts w:ascii="Arial" w:eastAsia="Calibri" w:hAnsi="Arial" w:cs="Arial"/>
          <w:sz w:val="28"/>
          <w:szCs w:val="28"/>
        </w:rPr>
      </w:pPr>
      <w:r w:rsidRPr="00F32542">
        <w:rPr>
          <w:rFonts w:ascii="Arial" w:eastAsia="Calibri" w:hAnsi="Arial" w:cs="Arial"/>
          <w:sz w:val="28"/>
          <w:szCs w:val="28"/>
        </w:rPr>
        <w:t xml:space="preserve">Esto genera que una candidatura con menor votación en cierto </w:t>
      </w:r>
      <w:proofErr w:type="gramStart"/>
      <w:r w:rsidRPr="00F32542">
        <w:rPr>
          <w:rFonts w:ascii="Arial" w:eastAsia="Calibri" w:hAnsi="Arial" w:cs="Arial"/>
          <w:sz w:val="28"/>
          <w:szCs w:val="28"/>
        </w:rPr>
        <w:t>distrito,</w:t>
      </w:r>
      <w:proofErr w:type="gramEnd"/>
      <w:r w:rsidRPr="00F32542">
        <w:rPr>
          <w:rFonts w:ascii="Arial" w:eastAsia="Calibri" w:hAnsi="Arial" w:cs="Arial"/>
          <w:sz w:val="28"/>
          <w:szCs w:val="28"/>
        </w:rPr>
        <w:t xml:space="preserve"> sea privilegiada sobre la voluntad popular traducida en una mayor votación emitida en otro distrito.</w:t>
      </w:r>
    </w:p>
    <w:p w14:paraId="5328E953" w14:textId="77777777" w:rsidR="00313B65" w:rsidRPr="00F32542" w:rsidRDefault="00313B65" w:rsidP="00313B65">
      <w:pPr>
        <w:spacing w:before="100" w:beforeAutospacing="1" w:after="100" w:afterAutospacing="1" w:line="360" w:lineRule="auto"/>
        <w:ind w:left="720"/>
        <w:contextualSpacing/>
        <w:jc w:val="both"/>
        <w:rPr>
          <w:rFonts w:ascii="Arial" w:eastAsia="Calibri" w:hAnsi="Arial" w:cs="Arial"/>
          <w:sz w:val="28"/>
          <w:szCs w:val="28"/>
        </w:rPr>
      </w:pPr>
    </w:p>
    <w:p w14:paraId="638BF3EF" w14:textId="77777777" w:rsidR="00F94B48" w:rsidRPr="00F32542" w:rsidRDefault="00F94B48" w:rsidP="009B6ED0">
      <w:pPr>
        <w:numPr>
          <w:ilvl w:val="0"/>
          <w:numId w:val="14"/>
        </w:numPr>
        <w:spacing w:before="100" w:beforeAutospacing="1" w:after="100" w:afterAutospacing="1" w:line="360" w:lineRule="auto"/>
        <w:contextualSpacing/>
        <w:jc w:val="both"/>
        <w:rPr>
          <w:rFonts w:ascii="Arial" w:eastAsia="Calibri" w:hAnsi="Arial" w:cs="Arial"/>
          <w:sz w:val="28"/>
          <w:szCs w:val="28"/>
        </w:rPr>
      </w:pPr>
      <w:r w:rsidRPr="00F32542">
        <w:rPr>
          <w:rFonts w:ascii="Arial" w:eastAsia="Calibri" w:hAnsi="Arial" w:cs="Arial"/>
          <w:sz w:val="28"/>
          <w:szCs w:val="28"/>
        </w:rPr>
        <w:t>Sostiene que los partidos con menor votación, como MC, PVEM y el PRD, son los que deben incluir mujeres en las diputaciones plurinominales que les fueron asignadas, lo que permitirá que, en las listas definitivas de los partidos con mayor votación, se privilegie asignar a las candidaturas con un mayor porcentaje de votos.</w:t>
      </w:r>
    </w:p>
    <w:p w14:paraId="0B1A0F6A" w14:textId="77777777" w:rsidR="00313B65" w:rsidRPr="00F32542" w:rsidRDefault="00313B65" w:rsidP="00313B65">
      <w:pPr>
        <w:spacing w:before="100" w:beforeAutospacing="1" w:after="100" w:afterAutospacing="1" w:line="360" w:lineRule="auto"/>
        <w:contextualSpacing/>
        <w:jc w:val="both"/>
        <w:rPr>
          <w:rFonts w:ascii="Arial" w:eastAsia="Calibri" w:hAnsi="Arial" w:cs="Arial"/>
          <w:sz w:val="28"/>
          <w:szCs w:val="28"/>
        </w:rPr>
      </w:pPr>
    </w:p>
    <w:p w14:paraId="01CE0517" w14:textId="77777777" w:rsidR="00F94B48" w:rsidRPr="00F32542" w:rsidRDefault="00F94B48" w:rsidP="009B6ED0">
      <w:pPr>
        <w:numPr>
          <w:ilvl w:val="0"/>
          <w:numId w:val="14"/>
        </w:numPr>
        <w:spacing w:before="100" w:beforeAutospacing="1" w:after="100" w:afterAutospacing="1" w:line="360" w:lineRule="auto"/>
        <w:contextualSpacing/>
        <w:jc w:val="both"/>
        <w:rPr>
          <w:rFonts w:ascii="Arial" w:eastAsia="Calibri" w:hAnsi="Arial" w:cs="Arial"/>
          <w:sz w:val="28"/>
          <w:szCs w:val="28"/>
        </w:rPr>
      </w:pPr>
      <w:r w:rsidRPr="00F32542">
        <w:rPr>
          <w:rFonts w:ascii="Arial" w:eastAsia="Calibri" w:hAnsi="Arial" w:cs="Arial"/>
          <w:sz w:val="28"/>
          <w:szCs w:val="28"/>
        </w:rPr>
        <w:lastRenderedPageBreak/>
        <w:t>Con el fin de que la persona postulada en el lugar 16 de su lista definitiva alcance la asignación de una curul, sostiene que el lugar 13 de su lista definitiva, debe ser para un hombre con mayor porcentaje de votos y no para un hombre integrante de la lista A.</w:t>
      </w:r>
    </w:p>
    <w:p w14:paraId="57A603F1" w14:textId="77777777" w:rsidR="00313B65" w:rsidRPr="00F32542" w:rsidRDefault="00313B65" w:rsidP="00313B65">
      <w:pPr>
        <w:spacing w:before="100" w:beforeAutospacing="1" w:after="100" w:afterAutospacing="1" w:line="360" w:lineRule="auto"/>
        <w:contextualSpacing/>
        <w:jc w:val="both"/>
        <w:rPr>
          <w:rFonts w:ascii="Arial" w:eastAsia="Calibri" w:hAnsi="Arial" w:cs="Arial"/>
          <w:sz w:val="28"/>
          <w:szCs w:val="28"/>
        </w:rPr>
      </w:pPr>
    </w:p>
    <w:p w14:paraId="16F2246D" w14:textId="77777777" w:rsidR="00F94B48" w:rsidRPr="00F32542" w:rsidRDefault="00F94B48" w:rsidP="009B6ED0">
      <w:pPr>
        <w:numPr>
          <w:ilvl w:val="0"/>
          <w:numId w:val="14"/>
        </w:numPr>
        <w:spacing w:before="100" w:beforeAutospacing="1" w:after="100" w:afterAutospacing="1" w:line="360" w:lineRule="auto"/>
        <w:contextualSpacing/>
        <w:jc w:val="both"/>
        <w:rPr>
          <w:rFonts w:ascii="Arial" w:eastAsia="Calibri" w:hAnsi="Arial" w:cs="Arial"/>
          <w:sz w:val="28"/>
          <w:szCs w:val="28"/>
        </w:rPr>
      </w:pPr>
      <w:r w:rsidRPr="00F32542">
        <w:rPr>
          <w:rFonts w:ascii="Arial" w:eastAsia="Calibri" w:hAnsi="Arial" w:cs="Arial"/>
          <w:sz w:val="28"/>
          <w:szCs w:val="28"/>
        </w:rPr>
        <w:t>De haberse observado que había más mujeres que hombres postulados por MORENA, electos por mayoría relativa, antes de intercalarse las listas A y B, entonces era innecesario aplicar en la forma cómo se hizo, la paridad tanto en la lista B como en la lista definitiva.</w:t>
      </w:r>
    </w:p>
    <w:p w14:paraId="626C14FB" w14:textId="77777777" w:rsidR="00313B65" w:rsidRPr="00F32542" w:rsidRDefault="00313B65" w:rsidP="00313B65">
      <w:pPr>
        <w:spacing w:before="100" w:beforeAutospacing="1" w:after="100" w:afterAutospacing="1" w:line="360" w:lineRule="auto"/>
        <w:contextualSpacing/>
        <w:jc w:val="both"/>
        <w:rPr>
          <w:rFonts w:ascii="Arial" w:eastAsia="Calibri" w:hAnsi="Arial" w:cs="Arial"/>
          <w:sz w:val="28"/>
          <w:szCs w:val="28"/>
        </w:rPr>
      </w:pPr>
    </w:p>
    <w:p w14:paraId="676DC18A" w14:textId="77777777" w:rsidR="00F94B48" w:rsidRPr="00F32542" w:rsidRDefault="00F94B48" w:rsidP="009B6ED0">
      <w:pPr>
        <w:numPr>
          <w:ilvl w:val="0"/>
          <w:numId w:val="14"/>
        </w:numPr>
        <w:spacing w:before="100" w:beforeAutospacing="1" w:after="100" w:afterAutospacing="1" w:line="360" w:lineRule="auto"/>
        <w:contextualSpacing/>
        <w:jc w:val="both"/>
        <w:rPr>
          <w:rFonts w:ascii="Arial" w:eastAsia="Calibri" w:hAnsi="Arial" w:cs="Arial"/>
          <w:sz w:val="28"/>
          <w:szCs w:val="28"/>
        </w:rPr>
      </w:pPr>
      <w:r w:rsidRPr="00F32542">
        <w:rPr>
          <w:rFonts w:ascii="Arial" w:eastAsia="Calibri" w:hAnsi="Arial" w:cs="Arial"/>
          <w:sz w:val="28"/>
          <w:szCs w:val="28"/>
        </w:rPr>
        <w:t xml:space="preserve">Plantea la inconstitucionalidad del artículo 24, fracción IV, del </w:t>
      </w:r>
      <w:r w:rsidRPr="00F32542">
        <w:rPr>
          <w:rFonts w:ascii="Arial" w:eastAsia="Calibri" w:hAnsi="Arial" w:cs="Arial"/>
          <w:i/>
          <w:sz w:val="28"/>
          <w:szCs w:val="28"/>
        </w:rPr>
        <w:t xml:space="preserve">Código local </w:t>
      </w:r>
      <w:r w:rsidRPr="00F32542">
        <w:rPr>
          <w:rFonts w:ascii="Arial" w:eastAsia="Calibri" w:hAnsi="Arial" w:cs="Arial"/>
          <w:sz w:val="28"/>
          <w:szCs w:val="28"/>
        </w:rPr>
        <w:t xml:space="preserve">para el caso de este Tribunal no adopte una lectura que considere el porcentaje de votación de las candidaturas y únicamente privilegie la alternancia. </w:t>
      </w:r>
    </w:p>
    <w:p w14:paraId="78A6BB99" w14:textId="77777777" w:rsidR="00313B65" w:rsidRPr="00F32542" w:rsidRDefault="00313B65" w:rsidP="00F94B48">
      <w:pPr>
        <w:spacing w:before="100" w:beforeAutospacing="1" w:after="100" w:afterAutospacing="1" w:line="360" w:lineRule="auto"/>
        <w:jc w:val="both"/>
        <w:rPr>
          <w:rFonts w:ascii="Arial" w:eastAsia="Calibri" w:hAnsi="Arial" w:cs="Arial"/>
          <w:b/>
          <w:bCs/>
          <w:sz w:val="28"/>
          <w:szCs w:val="28"/>
        </w:rPr>
      </w:pPr>
    </w:p>
    <w:p w14:paraId="2F77CF13" w14:textId="77777777" w:rsidR="00F94B48" w:rsidRPr="00F32542" w:rsidRDefault="00F94B48" w:rsidP="00313B65">
      <w:pPr>
        <w:spacing w:after="0" w:line="360" w:lineRule="auto"/>
        <w:jc w:val="both"/>
        <w:rPr>
          <w:rFonts w:ascii="Arial" w:eastAsia="Calibri" w:hAnsi="Arial" w:cs="Arial"/>
          <w:b/>
          <w:bCs/>
          <w:sz w:val="28"/>
          <w:szCs w:val="28"/>
          <w:lang w:val="es-ES"/>
        </w:rPr>
      </w:pPr>
      <w:r w:rsidRPr="00F32542">
        <w:rPr>
          <w:rFonts w:ascii="Arial" w:eastAsia="Calibri" w:hAnsi="Arial" w:cs="Arial"/>
          <w:b/>
          <w:bCs/>
          <w:sz w:val="28"/>
          <w:szCs w:val="28"/>
          <w:lang w:val="es-ES"/>
        </w:rPr>
        <w:t>Estudio de los anteriores planteamientos.</w:t>
      </w:r>
    </w:p>
    <w:p w14:paraId="224FD45C" w14:textId="77777777" w:rsidR="00313B65" w:rsidRPr="00F32542" w:rsidRDefault="00313B65" w:rsidP="00313B65">
      <w:pPr>
        <w:spacing w:after="0" w:line="360" w:lineRule="auto"/>
        <w:jc w:val="both"/>
        <w:rPr>
          <w:rFonts w:ascii="Arial" w:eastAsia="Calibri" w:hAnsi="Arial" w:cs="Arial"/>
          <w:b/>
          <w:bCs/>
          <w:sz w:val="28"/>
          <w:szCs w:val="28"/>
          <w:lang w:val="es-ES"/>
        </w:rPr>
      </w:pPr>
    </w:p>
    <w:p w14:paraId="6B9299B2" w14:textId="77777777" w:rsidR="00F94B48" w:rsidRPr="00F32542" w:rsidRDefault="00F94B48" w:rsidP="00313B6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A continuación, se analizarán los agravios de manera conjunta, pues como se estableció en la metodología de este juicio, esto no causa perjuicio a las partes. </w:t>
      </w:r>
    </w:p>
    <w:p w14:paraId="721F3E6B" w14:textId="77777777" w:rsidR="00313B65" w:rsidRPr="00F32542" w:rsidRDefault="00313B65" w:rsidP="00313B65">
      <w:pPr>
        <w:spacing w:after="0" w:line="360" w:lineRule="auto"/>
        <w:jc w:val="both"/>
        <w:rPr>
          <w:rFonts w:ascii="Arial" w:eastAsia="Calibri" w:hAnsi="Arial" w:cs="Arial"/>
          <w:sz w:val="28"/>
          <w:szCs w:val="28"/>
        </w:rPr>
      </w:pPr>
    </w:p>
    <w:p w14:paraId="33AA7958" w14:textId="77777777" w:rsidR="00F94B48" w:rsidRPr="00F32542" w:rsidRDefault="00313B65" w:rsidP="00313B65">
      <w:pPr>
        <w:spacing w:after="0" w:line="360" w:lineRule="auto"/>
        <w:jc w:val="both"/>
        <w:rPr>
          <w:rFonts w:ascii="Arial" w:eastAsia="Calibri" w:hAnsi="Arial" w:cs="Arial"/>
          <w:b/>
          <w:sz w:val="28"/>
          <w:szCs w:val="28"/>
        </w:rPr>
      </w:pPr>
      <w:r w:rsidRPr="00F32542">
        <w:rPr>
          <w:rFonts w:ascii="Arial" w:eastAsia="Calibri" w:hAnsi="Arial" w:cs="Arial"/>
          <w:b/>
          <w:sz w:val="28"/>
          <w:szCs w:val="28"/>
        </w:rPr>
        <w:t>1.</w:t>
      </w:r>
      <w:r w:rsidR="00F94B48" w:rsidRPr="00F32542">
        <w:rPr>
          <w:rFonts w:ascii="Arial" w:eastAsia="Calibri" w:hAnsi="Arial" w:cs="Arial"/>
          <w:b/>
          <w:sz w:val="28"/>
          <w:szCs w:val="28"/>
        </w:rPr>
        <w:t xml:space="preserve"> Marco jurídico</w:t>
      </w:r>
      <w:r w:rsidRPr="00F32542">
        <w:rPr>
          <w:rFonts w:ascii="Arial" w:eastAsia="Calibri" w:hAnsi="Arial" w:cs="Arial"/>
          <w:b/>
          <w:sz w:val="28"/>
          <w:szCs w:val="28"/>
        </w:rPr>
        <w:t>.</w:t>
      </w:r>
    </w:p>
    <w:p w14:paraId="2DFE0328" w14:textId="77777777" w:rsidR="00313B65" w:rsidRPr="00F32542" w:rsidRDefault="00313B65" w:rsidP="00313B65">
      <w:pPr>
        <w:spacing w:after="0" w:line="360" w:lineRule="auto"/>
        <w:jc w:val="both"/>
        <w:rPr>
          <w:rFonts w:ascii="Arial" w:eastAsia="Calibri" w:hAnsi="Arial" w:cs="Arial"/>
          <w:b/>
          <w:sz w:val="28"/>
          <w:szCs w:val="28"/>
        </w:rPr>
      </w:pPr>
    </w:p>
    <w:p w14:paraId="04CBD560" w14:textId="77777777" w:rsidR="00F94B48" w:rsidRPr="00F32542" w:rsidRDefault="00313B65" w:rsidP="00313B65">
      <w:pPr>
        <w:spacing w:after="0" w:line="360" w:lineRule="auto"/>
        <w:jc w:val="both"/>
        <w:rPr>
          <w:rFonts w:ascii="Arial" w:eastAsia="Calibri" w:hAnsi="Arial" w:cs="Arial"/>
          <w:sz w:val="28"/>
          <w:szCs w:val="28"/>
        </w:rPr>
      </w:pPr>
      <w:r w:rsidRPr="00F32542">
        <w:rPr>
          <w:rFonts w:ascii="Arial" w:eastAsia="Calibri" w:hAnsi="Arial" w:cs="Arial"/>
          <w:b/>
          <w:sz w:val="28"/>
          <w:szCs w:val="28"/>
        </w:rPr>
        <w:t>a)</w:t>
      </w:r>
      <w:r w:rsidR="00F94B48" w:rsidRPr="00F32542">
        <w:rPr>
          <w:rFonts w:ascii="Arial" w:eastAsia="Calibri" w:hAnsi="Arial" w:cs="Arial"/>
          <w:b/>
          <w:sz w:val="28"/>
          <w:szCs w:val="28"/>
        </w:rPr>
        <w:t xml:space="preserve"> Marco constitucional local</w:t>
      </w:r>
      <w:r w:rsidRPr="00F32542">
        <w:rPr>
          <w:rFonts w:ascii="Arial" w:eastAsia="Calibri" w:hAnsi="Arial" w:cs="Arial"/>
          <w:b/>
          <w:sz w:val="28"/>
          <w:szCs w:val="28"/>
        </w:rPr>
        <w:t xml:space="preserve">. </w:t>
      </w:r>
      <w:r w:rsidR="00F94B48" w:rsidRPr="00F32542">
        <w:rPr>
          <w:rFonts w:ascii="Arial" w:eastAsia="Calibri" w:hAnsi="Arial" w:cs="Arial"/>
          <w:sz w:val="28"/>
          <w:szCs w:val="28"/>
        </w:rPr>
        <w:t xml:space="preserve">El artículo 29, Apartado A, párrafo 3, de la </w:t>
      </w:r>
      <w:r w:rsidR="00F94B48" w:rsidRPr="00F32542">
        <w:rPr>
          <w:rFonts w:ascii="Arial" w:eastAsia="Calibri" w:hAnsi="Arial" w:cs="Arial"/>
          <w:i/>
          <w:sz w:val="28"/>
          <w:szCs w:val="28"/>
        </w:rPr>
        <w:t>Constitución local</w:t>
      </w:r>
      <w:r w:rsidR="00F94B48" w:rsidRPr="00F32542">
        <w:rPr>
          <w:rFonts w:ascii="Arial" w:eastAsia="Calibri" w:hAnsi="Arial" w:cs="Arial"/>
          <w:sz w:val="28"/>
          <w:szCs w:val="28"/>
        </w:rPr>
        <w:t xml:space="preserve"> dispone </w:t>
      </w:r>
      <w:proofErr w:type="gramStart"/>
      <w:r w:rsidR="00F94B48" w:rsidRPr="00F32542">
        <w:rPr>
          <w:rFonts w:ascii="Arial" w:eastAsia="Calibri" w:hAnsi="Arial" w:cs="Arial"/>
          <w:sz w:val="28"/>
          <w:szCs w:val="28"/>
        </w:rPr>
        <w:t>que</w:t>
      </w:r>
      <w:proofErr w:type="gramEnd"/>
      <w:r w:rsidR="00F94B48" w:rsidRPr="00F32542">
        <w:rPr>
          <w:rFonts w:ascii="Arial" w:eastAsia="Calibri" w:hAnsi="Arial" w:cs="Arial"/>
          <w:sz w:val="28"/>
          <w:szCs w:val="28"/>
        </w:rPr>
        <w:t xml:space="preserve"> en la integración del Congreso de la Ciudad de México, la ley electoral establecerá los mecanismos para cumplir con el principio de paridad de género.</w:t>
      </w:r>
    </w:p>
    <w:p w14:paraId="1AC56E10" w14:textId="77777777" w:rsidR="00313B65" w:rsidRPr="00F32542" w:rsidRDefault="00313B65" w:rsidP="00313B65">
      <w:pPr>
        <w:spacing w:after="0" w:line="360" w:lineRule="auto"/>
        <w:jc w:val="both"/>
        <w:rPr>
          <w:rFonts w:ascii="Arial" w:eastAsia="Calibri" w:hAnsi="Arial" w:cs="Arial"/>
          <w:b/>
          <w:sz w:val="28"/>
          <w:szCs w:val="28"/>
        </w:rPr>
      </w:pPr>
    </w:p>
    <w:p w14:paraId="231C1968" w14:textId="77777777" w:rsidR="00F94B48" w:rsidRPr="00F32542" w:rsidRDefault="00F94B48" w:rsidP="00313B65">
      <w:pPr>
        <w:spacing w:after="0" w:line="360" w:lineRule="auto"/>
        <w:jc w:val="both"/>
        <w:rPr>
          <w:rFonts w:ascii="Arial" w:eastAsia="Calibri" w:hAnsi="Arial" w:cs="Arial"/>
          <w:sz w:val="28"/>
          <w:szCs w:val="28"/>
        </w:rPr>
      </w:pPr>
      <w:r w:rsidRPr="00F32542">
        <w:rPr>
          <w:rFonts w:ascii="Arial" w:eastAsia="Calibri" w:hAnsi="Arial" w:cs="Arial"/>
          <w:sz w:val="28"/>
          <w:szCs w:val="28"/>
        </w:rPr>
        <w:t>El apartado B, párrafo 1, del mismo artículo establece que en la asignación por el principio de representación proporcional, los partidos políticos registrarán una lista parcial de diecisiete fórmulas de candidaturas por el principio de representación proporcional, “lista A”.</w:t>
      </w:r>
    </w:p>
    <w:p w14:paraId="08076A19" w14:textId="77777777" w:rsidR="00313B65" w:rsidRPr="00F32542" w:rsidRDefault="00313B65" w:rsidP="00313B65">
      <w:pPr>
        <w:spacing w:after="0" w:line="360" w:lineRule="auto"/>
        <w:jc w:val="both"/>
        <w:rPr>
          <w:rFonts w:ascii="Arial" w:eastAsia="Calibri" w:hAnsi="Arial" w:cs="Arial"/>
          <w:sz w:val="28"/>
          <w:szCs w:val="28"/>
        </w:rPr>
      </w:pPr>
    </w:p>
    <w:p w14:paraId="1F7E0738" w14:textId="77777777" w:rsidR="00F94B48" w:rsidRPr="00F32542" w:rsidRDefault="00F94B48" w:rsidP="00313B65">
      <w:pPr>
        <w:spacing w:after="0" w:line="360" w:lineRule="auto"/>
        <w:jc w:val="both"/>
        <w:rPr>
          <w:rFonts w:ascii="Arial" w:eastAsia="Calibri" w:hAnsi="Arial" w:cs="Arial"/>
          <w:sz w:val="28"/>
          <w:szCs w:val="28"/>
        </w:rPr>
      </w:pPr>
      <w:r w:rsidRPr="00F32542">
        <w:rPr>
          <w:rFonts w:ascii="Arial" w:eastAsia="Calibri" w:hAnsi="Arial" w:cs="Arial"/>
          <w:sz w:val="28"/>
          <w:szCs w:val="28"/>
        </w:rPr>
        <w:t>También prevé que los otros diecisiete espacios de la lista de representación proporcional, lista “B” serán ocupadas de conformidad con el procedimiento establecido en la ley.</w:t>
      </w:r>
    </w:p>
    <w:p w14:paraId="40E7A36B" w14:textId="77777777" w:rsidR="00313B65" w:rsidRPr="00F32542" w:rsidRDefault="00313B65" w:rsidP="00313B65">
      <w:pPr>
        <w:spacing w:after="0" w:line="360" w:lineRule="auto"/>
        <w:jc w:val="both"/>
        <w:rPr>
          <w:rFonts w:ascii="Arial" w:eastAsia="Calibri" w:hAnsi="Arial" w:cs="Arial"/>
          <w:sz w:val="28"/>
          <w:szCs w:val="28"/>
        </w:rPr>
      </w:pPr>
    </w:p>
    <w:p w14:paraId="117522EE" w14:textId="77777777" w:rsidR="00F94B48" w:rsidRPr="00F32542" w:rsidRDefault="00F94B48" w:rsidP="00313B6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Como se observa, la Constitución local prevé que la asignación de diputaciones de representación proporcional a los partidos políticos será a través </w:t>
      </w:r>
      <w:r w:rsidR="00313B65" w:rsidRPr="00F32542">
        <w:rPr>
          <w:rFonts w:ascii="Arial" w:eastAsia="Calibri" w:hAnsi="Arial" w:cs="Arial"/>
          <w:sz w:val="28"/>
          <w:szCs w:val="28"/>
        </w:rPr>
        <w:t xml:space="preserve">de </w:t>
      </w:r>
      <w:r w:rsidRPr="00F32542">
        <w:rPr>
          <w:rFonts w:ascii="Arial" w:eastAsia="Calibri" w:hAnsi="Arial" w:cs="Arial"/>
          <w:sz w:val="28"/>
          <w:szCs w:val="28"/>
        </w:rPr>
        <w:t>listas; prevé que la lista A es la que registrarán los partidos políticos en ejercicio de su autodeterminación.</w:t>
      </w:r>
    </w:p>
    <w:p w14:paraId="55C9BCE2" w14:textId="77777777" w:rsidR="00313B65" w:rsidRPr="00F32542" w:rsidRDefault="00313B65" w:rsidP="00313B65">
      <w:pPr>
        <w:spacing w:after="0" w:line="360" w:lineRule="auto"/>
        <w:jc w:val="both"/>
        <w:rPr>
          <w:rFonts w:ascii="Arial" w:eastAsia="Calibri" w:hAnsi="Arial" w:cs="Arial"/>
          <w:sz w:val="28"/>
          <w:szCs w:val="28"/>
        </w:rPr>
      </w:pPr>
    </w:p>
    <w:p w14:paraId="375FFB53" w14:textId="77777777" w:rsidR="00F94B48" w:rsidRPr="00F32542" w:rsidRDefault="00F94B48" w:rsidP="00313B65">
      <w:pPr>
        <w:spacing w:after="0" w:line="360" w:lineRule="auto"/>
        <w:jc w:val="both"/>
        <w:rPr>
          <w:rFonts w:ascii="Arial" w:eastAsia="Calibri" w:hAnsi="Arial" w:cs="Arial"/>
          <w:sz w:val="28"/>
          <w:szCs w:val="28"/>
        </w:rPr>
      </w:pPr>
      <w:r w:rsidRPr="00F32542">
        <w:rPr>
          <w:rFonts w:ascii="Arial" w:eastAsia="Calibri" w:hAnsi="Arial" w:cs="Arial"/>
          <w:sz w:val="28"/>
          <w:szCs w:val="28"/>
        </w:rPr>
        <w:t>Mientras que la lista B se conformará siguiendo el procedimiento descrito en la legislación secundaria, partiendo de los mejores segundos lugares votados por mayoría relativa.</w:t>
      </w:r>
    </w:p>
    <w:p w14:paraId="78397518" w14:textId="77777777" w:rsidR="00313B65" w:rsidRPr="00F32542" w:rsidRDefault="00313B65" w:rsidP="00313B65">
      <w:pPr>
        <w:spacing w:after="0" w:line="360" w:lineRule="auto"/>
        <w:jc w:val="both"/>
        <w:rPr>
          <w:rFonts w:ascii="Arial" w:eastAsia="Calibri" w:hAnsi="Arial" w:cs="Arial"/>
          <w:sz w:val="28"/>
          <w:szCs w:val="28"/>
        </w:rPr>
      </w:pPr>
    </w:p>
    <w:p w14:paraId="4F4E00AB" w14:textId="77777777" w:rsidR="00F94B48" w:rsidRPr="00F32542" w:rsidRDefault="00313B65" w:rsidP="00313B65">
      <w:pPr>
        <w:spacing w:after="0" w:line="360" w:lineRule="auto"/>
        <w:jc w:val="both"/>
        <w:rPr>
          <w:rFonts w:ascii="Arial" w:eastAsia="Calibri" w:hAnsi="Arial" w:cs="Arial"/>
          <w:sz w:val="28"/>
          <w:szCs w:val="28"/>
        </w:rPr>
      </w:pPr>
      <w:r w:rsidRPr="00F32542">
        <w:rPr>
          <w:rFonts w:ascii="Arial" w:eastAsia="Calibri" w:hAnsi="Arial" w:cs="Arial"/>
          <w:b/>
          <w:sz w:val="28"/>
          <w:szCs w:val="28"/>
        </w:rPr>
        <w:t>b)</w:t>
      </w:r>
      <w:r w:rsidR="00F94B48" w:rsidRPr="00F32542">
        <w:rPr>
          <w:rFonts w:ascii="Arial" w:eastAsia="Calibri" w:hAnsi="Arial" w:cs="Arial"/>
          <w:b/>
          <w:sz w:val="28"/>
          <w:szCs w:val="28"/>
        </w:rPr>
        <w:t xml:space="preserve"> Marco legal</w:t>
      </w:r>
      <w:r w:rsidRPr="00F32542">
        <w:rPr>
          <w:rFonts w:ascii="Arial" w:eastAsia="Calibri" w:hAnsi="Arial" w:cs="Arial"/>
          <w:b/>
          <w:sz w:val="28"/>
          <w:szCs w:val="28"/>
        </w:rPr>
        <w:t>.</w:t>
      </w:r>
      <w:r w:rsidR="00F94B48" w:rsidRPr="00F32542">
        <w:rPr>
          <w:rFonts w:ascii="Arial" w:eastAsia="Calibri" w:hAnsi="Arial" w:cs="Arial"/>
          <w:b/>
          <w:sz w:val="28"/>
          <w:szCs w:val="28"/>
        </w:rPr>
        <w:t xml:space="preserve">  </w:t>
      </w:r>
      <w:r w:rsidR="00F94B48" w:rsidRPr="00F32542">
        <w:rPr>
          <w:rFonts w:ascii="Arial" w:eastAsia="Calibri" w:hAnsi="Arial" w:cs="Arial"/>
          <w:sz w:val="28"/>
          <w:szCs w:val="28"/>
        </w:rPr>
        <w:t xml:space="preserve">El artículo 23, párrafo segundo, del </w:t>
      </w:r>
      <w:r w:rsidR="00F94B48" w:rsidRPr="00F32542">
        <w:rPr>
          <w:rFonts w:ascii="Arial" w:eastAsia="Calibri" w:hAnsi="Arial" w:cs="Arial"/>
          <w:i/>
          <w:sz w:val="28"/>
          <w:szCs w:val="28"/>
        </w:rPr>
        <w:t xml:space="preserve">Código local </w:t>
      </w:r>
      <w:r w:rsidR="00F94B48" w:rsidRPr="00F32542">
        <w:rPr>
          <w:rFonts w:ascii="Arial" w:eastAsia="Calibri" w:hAnsi="Arial" w:cs="Arial"/>
          <w:sz w:val="28"/>
          <w:szCs w:val="28"/>
        </w:rPr>
        <w:t>prevé que las listas de representación proporcional que presenten los partidos políticos y coaliciones se integrarán por fórmulas de candidaturas compuestas de un propietario y un suplente del mismo género.</w:t>
      </w:r>
    </w:p>
    <w:p w14:paraId="7E7C9023" w14:textId="77777777" w:rsidR="00313B65" w:rsidRPr="00F32542" w:rsidRDefault="00313B65" w:rsidP="00313B65">
      <w:pPr>
        <w:spacing w:after="0" w:line="360" w:lineRule="auto"/>
        <w:jc w:val="both"/>
        <w:rPr>
          <w:rFonts w:ascii="Arial" w:eastAsia="Calibri" w:hAnsi="Arial" w:cs="Arial"/>
          <w:b/>
          <w:sz w:val="28"/>
          <w:szCs w:val="28"/>
        </w:rPr>
      </w:pPr>
    </w:p>
    <w:p w14:paraId="0BB27DC3" w14:textId="77777777" w:rsidR="00F94B48" w:rsidRPr="00F32542" w:rsidRDefault="00F94B48" w:rsidP="00313B6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También prevé que en cada lista se alternarán las fórmulas de distinto género para garantizar el principio de paridad hasta agotar cada una de las listas.  </w:t>
      </w:r>
    </w:p>
    <w:p w14:paraId="598F5CCF" w14:textId="77777777" w:rsidR="00313B65" w:rsidRPr="00F32542" w:rsidRDefault="00313B65" w:rsidP="00313B65">
      <w:pPr>
        <w:spacing w:after="0" w:line="360" w:lineRule="auto"/>
        <w:jc w:val="both"/>
        <w:rPr>
          <w:rFonts w:ascii="Arial" w:eastAsia="Calibri" w:hAnsi="Arial" w:cs="Arial"/>
          <w:sz w:val="28"/>
          <w:szCs w:val="28"/>
        </w:rPr>
      </w:pPr>
    </w:p>
    <w:p w14:paraId="6BE8492A" w14:textId="77777777" w:rsidR="00F94B48" w:rsidRPr="00F32542" w:rsidRDefault="00F94B48" w:rsidP="00313B65">
      <w:pPr>
        <w:spacing w:after="0" w:line="360" w:lineRule="auto"/>
        <w:jc w:val="both"/>
        <w:rPr>
          <w:rFonts w:ascii="Arial" w:eastAsia="Calibri" w:hAnsi="Arial" w:cs="Arial"/>
          <w:sz w:val="28"/>
          <w:szCs w:val="28"/>
        </w:rPr>
      </w:pPr>
      <w:proofErr w:type="gramStart"/>
      <w:r w:rsidRPr="00F32542">
        <w:rPr>
          <w:rFonts w:ascii="Arial" w:eastAsia="Calibri" w:hAnsi="Arial" w:cs="Arial"/>
          <w:sz w:val="28"/>
          <w:szCs w:val="28"/>
        </w:rPr>
        <w:t>De acuerdo a</w:t>
      </w:r>
      <w:proofErr w:type="gramEnd"/>
      <w:r w:rsidRPr="00F32542">
        <w:rPr>
          <w:rFonts w:ascii="Arial" w:eastAsia="Calibri" w:hAnsi="Arial" w:cs="Arial"/>
          <w:sz w:val="28"/>
          <w:szCs w:val="28"/>
        </w:rPr>
        <w:t xml:space="preserve"> la disposición citada, posteriormente, se intercalará la lista A y la lista B, para crear la lista definitiva.</w:t>
      </w:r>
    </w:p>
    <w:p w14:paraId="494BB38A" w14:textId="77777777" w:rsidR="00313B65" w:rsidRPr="00F32542" w:rsidRDefault="00313B65" w:rsidP="00313B65">
      <w:pPr>
        <w:spacing w:after="0" w:line="360" w:lineRule="auto"/>
        <w:jc w:val="both"/>
        <w:rPr>
          <w:rFonts w:ascii="Arial" w:eastAsia="Calibri" w:hAnsi="Arial" w:cs="Arial"/>
          <w:sz w:val="28"/>
          <w:szCs w:val="28"/>
        </w:rPr>
      </w:pPr>
    </w:p>
    <w:p w14:paraId="78338288" w14:textId="77777777" w:rsidR="00F94B48" w:rsidRPr="00F32542" w:rsidRDefault="00F94B48" w:rsidP="00313B6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El artículo 24, fracción III, del citado Código define a la </w:t>
      </w:r>
      <w:r w:rsidRPr="00F32542">
        <w:rPr>
          <w:rFonts w:ascii="Arial" w:eastAsia="Calibri" w:hAnsi="Arial" w:cs="Arial"/>
          <w:b/>
          <w:sz w:val="28"/>
          <w:szCs w:val="28"/>
        </w:rPr>
        <w:t xml:space="preserve">lista A </w:t>
      </w:r>
      <w:r w:rsidRPr="00F32542">
        <w:rPr>
          <w:rFonts w:ascii="Arial" w:eastAsia="Calibri" w:hAnsi="Arial" w:cs="Arial"/>
          <w:sz w:val="28"/>
          <w:szCs w:val="28"/>
        </w:rPr>
        <w:t>como la relación de diecisiete fórmulas de candidaturas a las diputaciones propietario y suplente del mismo género, listados en orden de prelación alternando fórmulas de género distinto de manera sucesiva, a elegir por el principio de representación proporcional, de las cuales cuatro deberán estar integradas por jóvenes de dieciocho a treinta y cinco años.</w:t>
      </w:r>
    </w:p>
    <w:p w14:paraId="6B238D98" w14:textId="77777777" w:rsidR="00313B65" w:rsidRPr="00F32542" w:rsidRDefault="00313B65" w:rsidP="00313B65">
      <w:pPr>
        <w:spacing w:after="0" w:line="360" w:lineRule="auto"/>
        <w:jc w:val="both"/>
        <w:rPr>
          <w:rFonts w:ascii="Arial" w:eastAsia="Calibri" w:hAnsi="Arial" w:cs="Arial"/>
          <w:sz w:val="28"/>
          <w:szCs w:val="28"/>
        </w:rPr>
      </w:pPr>
    </w:p>
    <w:p w14:paraId="4DFBF987" w14:textId="77777777" w:rsidR="00313B65" w:rsidRPr="00F32542" w:rsidRDefault="00F94B48" w:rsidP="00313B6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En la fracción IV, se establece que la </w:t>
      </w:r>
      <w:r w:rsidRPr="00F32542">
        <w:rPr>
          <w:rFonts w:ascii="Arial" w:eastAsia="Calibri" w:hAnsi="Arial" w:cs="Arial"/>
          <w:b/>
          <w:sz w:val="28"/>
          <w:szCs w:val="28"/>
        </w:rPr>
        <w:t>lista B</w:t>
      </w:r>
      <w:r w:rsidRPr="00F32542">
        <w:rPr>
          <w:rFonts w:ascii="Arial" w:eastAsia="Calibri" w:hAnsi="Arial" w:cs="Arial"/>
          <w:sz w:val="28"/>
          <w:szCs w:val="28"/>
        </w:rPr>
        <w:t xml:space="preserve"> es la relación de diecisiete fórmulas de candidaturas a las diputaciones que no lograron el triunfo en la elección por el principio de mayoría, pero que alcanzaron a nivel distrital los mayores porcentajes de la votación local emitida</w:t>
      </w:r>
      <w:r w:rsidR="00313B65" w:rsidRPr="00F32542">
        <w:rPr>
          <w:rFonts w:ascii="Arial" w:eastAsia="Calibri" w:hAnsi="Arial" w:cs="Arial"/>
          <w:sz w:val="28"/>
          <w:szCs w:val="28"/>
        </w:rPr>
        <w:t>.</w:t>
      </w:r>
    </w:p>
    <w:p w14:paraId="56A08CE1" w14:textId="77777777" w:rsidR="00313B65" w:rsidRPr="00F32542" w:rsidRDefault="00313B65" w:rsidP="00313B65">
      <w:pPr>
        <w:spacing w:after="0" w:line="360" w:lineRule="auto"/>
        <w:jc w:val="both"/>
        <w:rPr>
          <w:rFonts w:ascii="Arial" w:eastAsia="Calibri" w:hAnsi="Arial" w:cs="Arial"/>
          <w:sz w:val="28"/>
          <w:szCs w:val="28"/>
        </w:rPr>
      </w:pPr>
    </w:p>
    <w:p w14:paraId="68496F99" w14:textId="77777777" w:rsidR="00313B65" w:rsidRPr="00F32542" w:rsidRDefault="00F94B48" w:rsidP="00313B6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En la fracción se establece que, con la finalidad de garantizar la paridad de género, una vez que se determinó el primer lugar de </w:t>
      </w:r>
      <w:proofErr w:type="gramStart"/>
      <w:r w:rsidRPr="00F32542">
        <w:rPr>
          <w:rFonts w:ascii="Arial" w:eastAsia="Calibri" w:hAnsi="Arial" w:cs="Arial"/>
          <w:sz w:val="28"/>
          <w:szCs w:val="28"/>
        </w:rPr>
        <w:t>ésta</w:t>
      </w:r>
      <w:proofErr w:type="gramEnd"/>
      <w:r w:rsidRPr="00F32542">
        <w:rPr>
          <w:rFonts w:ascii="Arial" w:eastAsia="Calibri" w:hAnsi="Arial" w:cs="Arial"/>
          <w:sz w:val="28"/>
          <w:szCs w:val="28"/>
        </w:rPr>
        <w:t xml:space="preserve"> lista, el segundo lugar será ocupado por la fórmula del otro género con mayor porcentaje de la votación local emitida, e irán intercalando de esta manera hasta concluir la integración de la lista. </w:t>
      </w:r>
    </w:p>
    <w:p w14:paraId="644B34F2" w14:textId="77777777" w:rsidR="00313B65" w:rsidRPr="00F32542" w:rsidRDefault="00313B65" w:rsidP="00313B65">
      <w:pPr>
        <w:spacing w:after="0" w:line="360" w:lineRule="auto"/>
        <w:jc w:val="both"/>
        <w:rPr>
          <w:rFonts w:ascii="Arial" w:eastAsia="Calibri" w:hAnsi="Arial" w:cs="Arial"/>
          <w:sz w:val="28"/>
          <w:szCs w:val="28"/>
        </w:rPr>
      </w:pPr>
    </w:p>
    <w:p w14:paraId="343B0520" w14:textId="77777777" w:rsidR="00313B65" w:rsidRPr="00F32542" w:rsidRDefault="00F94B48" w:rsidP="00313B6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La fracción V del artículo 24 del Código prevé que la </w:t>
      </w:r>
      <w:r w:rsidRPr="00F32542">
        <w:rPr>
          <w:rFonts w:ascii="Arial" w:eastAsia="Calibri" w:hAnsi="Arial" w:cs="Arial"/>
          <w:b/>
          <w:sz w:val="28"/>
          <w:szCs w:val="28"/>
        </w:rPr>
        <w:t xml:space="preserve">lista definitiva </w:t>
      </w:r>
      <w:r w:rsidRPr="00F32542">
        <w:rPr>
          <w:rFonts w:ascii="Arial" w:eastAsia="Calibri" w:hAnsi="Arial" w:cs="Arial"/>
          <w:sz w:val="28"/>
          <w:szCs w:val="28"/>
        </w:rPr>
        <w:t xml:space="preserve">es el resultado de intercalar las fórmulas de candidatos de las </w:t>
      </w:r>
      <w:r w:rsidRPr="00F32542">
        <w:rPr>
          <w:rFonts w:ascii="Arial" w:eastAsia="Calibri" w:hAnsi="Arial" w:cs="Arial"/>
          <w:b/>
          <w:sz w:val="28"/>
          <w:szCs w:val="28"/>
        </w:rPr>
        <w:t>listas A y B</w:t>
      </w:r>
      <w:r w:rsidRPr="00F32542">
        <w:rPr>
          <w:rFonts w:ascii="Arial" w:eastAsia="Calibri" w:hAnsi="Arial" w:cs="Arial"/>
          <w:sz w:val="28"/>
          <w:szCs w:val="28"/>
        </w:rPr>
        <w:t xml:space="preserve">, que será encabezada siempre por la primera fórmula de la </w:t>
      </w:r>
      <w:r w:rsidRPr="00F32542">
        <w:rPr>
          <w:rFonts w:ascii="Arial" w:eastAsia="Calibri" w:hAnsi="Arial" w:cs="Arial"/>
          <w:b/>
          <w:sz w:val="28"/>
          <w:szCs w:val="28"/>
        </w:rPr>
        <w:t>lista A</w:t>
      </w:r>
      <w:r w:rsidRPr="00F32542">
        <w:rPr>
          <w:rFonts w:ascii="Arial" w:eastAsia="Calibri" w:hAnsi="Arial" w:cs="Arial"/>
          <w:sz w:val="28"/>
          <w:szCs w:val="28"/>
        </w:rPr>
        <w:t xml:space="preserve">. Tal intercalado </w:t>
      </w:r>
      <w:r w:rsidRPr="00F32542">
        <w:rPr>
          <w:rFonts w:ascii="Arial" w:eastAsia="Calibri" w:hAnsi="Arial" w:cs="Arial"/>
          <w:b/>
          <w:sz w:val="28"/>
          <w:szCs w:val="28"/>
        </w:rPr>
        <w:t>podrá</w:t>
      </w:r>
      <w:r w:rsidRPr="00F32542">
        <w:rPr>
          <w:rFonts w:ascii="Arial" w:eastAsia="Calibri" w:hAnsi="Arial" w:cs="Arial"/>
          <w:sz w:val="28"/>
          <w:szCs w:val="28"/>
        </w:rPr>
        <w:t xml:space="preserve"> generar bloques de hasta dos fórmulas del mismo género, pero de diferente lista de origen</w:t>
      </w:r>
      <w:r w:rsidR="00313B65" w:rsidRPr="00F32542">
        <w:rPr>
          <w:rFonts w:ascii="Arial" w:eastAsia="Calibri" w:hAnsi="Arial" w:cs="Arial"/>
          <w:sz w:val="28"/>
          <w:szCs w:val="28"/>
        </w:rPr>
        <w:t>.</w:t>
      </w:r>
    </w:p>
    <w:p w14:paraId="574074F7" w14:textId="77777777" w:rsidR="00313B65" w:rsidRPr="00F32542" w:rsidRDefault="00313B65" w:rsidP="00313B65">
      <w:pPr>
        <w:spacing w:after="0" w:line="360" w:lineRule="auto"/>
        <w:jc w:val="both"/>
        <w:rPr>
          <w:rFonts w:ascii="Arial" w:eastAsia="Calibri" w:hAnsi="Arial" w:cs="Arial"/>
          <w:sz w:val="28"/>
          <w:szCs w:val="28"/>
        </w:rPr>
      </w:pPr>
    </w:p>
    <w:p w14:paraId="5ED4077D" w14:textId="77777777" w:rsidR="00313B65" w:rsidRPr="00F32542" w:rsidRDefault="00F94B48" w:rsidP="00313B6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De las disposiciones citadas se puede advertir que la asignación de las diputaciones de representación proporcional que le corresponde a cada partido se hará conforme a una </w:t>
      </w:r>
      <w:r w:rsidRPr="00F32542">
        <w:rPr>
          <w:rFonts w:ascii="Arial" w:eastAsia="Calibri" w:hAnsi="Arial" w:cs="Arial"/>
          <w:b/>
          <w:sz w:val="28"/>
          <w:szCs w:val="28"/>
        </w:rPr>
        <w:t xml:space="preserve">lista definitiva. </w:t>
      </w:r>
    </w:p>
    <w:p w14:paraId="0730257F" w14:textId="77777777" w:rsidR="00313B65" w:rsidRPr="00F32542" w:rsidRDefault="00313B65" w:rsidP="00313B65">
      <w:pPr>
        <w:spacing w:after="0" w:line="360" w:lineRule="auto"/>
        <w:jc w:val="both"/>
        <w:rPr>
          <w:rFonts w:ascii="Arial" w:eastAsia="Calibri" w:hAnsi="Arial" w:cs="Arial"/>
          <w:sz w:val="28"/>
          <w:szCs w:val="28"/>
        </w:rPr>
      </w:pPr>
    </w:p>
    <w:p w14:paraId="5D1B3FDE" w14:textId="77777777" w:rsidR="00313B65" w:rsidRPr="00F32542" w:rsidRDefault="00313B65" w:rsidP="00313B65">
      <w:pPr>
        <w:spacing w:after="0" w:line="360" w:lineRule="auto"/>
        <w:jc w:val="both"/>
        <w:rPr>
          <w:rFonts w:ascii="Arial" w:eastAsia="Calibri" w:hAnsi="Arial" w:cs="Arial"/>
          <w:sz w:val="28"/>
          <w:szCs w:val="28"/>
        </w:rPr>
      </w:pPr>
      <w:r w:rsidRPr="00F32542">
        <w:rPr>
          <w:rFonts w:ascii="Arial" w:eastAsia="Calibri" w:hAnsi="Arial" w:cs="Arial"/>
          <w:sz w:val="28"/>
          <w:szCs w:val="28"/>
        </w:rPr>
        <w:t>E</w:t>
      </w:r>
      <w:r w:rsidR="00F94B48" w:rsidRPr="00F32542">
        <w:rPr>
          <w:rFonts w:ascii="Arial" w:eastAsia="Calibri" w:hAnsi="Arial" w:cs="Arial"/>
          <w:sz w:val="28"/>
          <w:szCs w:val="28"/>
        </w:rPr>
        <w:t xml:space="preserve">sta lista se conforma al intercalarse las listas A y B. Cabe señalar que la </w:t>
      </w:r>
      <w:r w:rsidR="00F94B48" w:rsidRPr="00F32542">
        <w:rPr>
          <w:rFonts w:ascii="Arial" w:eastAsia="Calibri" w:hAnsi="Arial" w:cs="Arial"/>
          <w:b/>
          <w:sz w:val="28"/>
          <w:szCs w:val="28"/>
        </w:rPr>
        <w:t xml:space="preserve">lista A </w:t>
      </w:r>
      <w:r w:rsidR="00F94B48" w:rsidRPr="00F32542">
        <w:rPr>
          <w:rFonts w:ascii="Arial" w:eastAsia="Calibri" w:hAnsi="Arial" w:cs="Arial"/>
          <w:sz w:val="28"/>
          <w:szCs w:val="28"/>
        </w:rPr>
        <w:t xml:space="preserve">es aquella que registran los partidos políticos, en ejercicio de su derecho a la autodeterminación, la cual se integrará de manera intercalada entre géneros distintos de manera sucesiva. </w:t>
      </w:r>
    </w:p>
    <w:p w14:paraId="796E1378" w14:textId="77777777" w:rsidR="00313B65" w:rsidRPr="00F32542" w:rsidRDefault="00313B65" w:rsidP="00313B65">
      <w:pPr>
        <w:spacing w:after="0" w:line="360" w:lineRule="auto"/>
        <w:jc w:val="both"/>
        <w:rPr>
          <w:rFonts w:ascii="Arial" w:eastAsia="Calibri" w:hAnsi="Arial" w:cs="Arial"/>
          <w:sz w:val="28"/>
          <w:szCs w:val="28"/>
        </w:rPr>
      </w:pPr>
    </w:p>
    <w:p w14:paraId="0EEDCB0C" w14:textId="77777777" w:rsidR="00313B65" w:rsidRPr="00F32542" w:rsidRDefault="00F94B48" w:rsidP="00313B6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La </w:t>
      </w:r>
      <w:r w:rsidRPr="00F32542">
        <w:rPr>
          <w:rFonts w:ascii="Arial" w:eastAsia="Calibri" w:hAnsi="Arial" w:cs="Arial"/>
          <w:b/>
          <w:sz w:val="28"/>
          <w:szCs w:val="28"/>
        </w:rPr>
        <w:t xml:space="preserve">lista B </w:t>
      </w:r>
      <w:r w:rsidRPr="00F32542">
        <w:rPr>
          <w:rFonts w:ascii="Arial" w:eastAsia="Calibri" w:hAnsi="Arial" w:cs="Arial"/>
          <w:sz w:val="28"/>
          <w:szCs w:val="28"/>
        </w:rPr>
        <w:t>se construye con aquellas candidaturas a diputaciones que no resultaron electas por el principio de mayoría relativa. Esto, a partir de quien obtuvo el mayor porcentaje de votación a nivel distrital dentro de un mismo partido</w:t>
      </w:r>
      <w:r w:rsidR="00313B65" w:rsidRPr="00F32542">
        <w:rPr>
          <w:rFonts w:ascii="Arial" w:eastAsia="Calibri" w:hAnsi="Arial" w:cs="Arial"/>
          <w:sz w:val="28"/>
          <w:szCs w:val="28"/>
        </w:rPr>
        <w:t>.</w:t>
      </w:r>
    </w:p>
    <w:p w14:paraId="539346ED" w14:textId="77777777" w:rsidR="00313B65" w:rsidRPr="00F32542" w:rsidRDefault="00313B65" w:rsidP="00313B65">
      <w:pPr>
        <w:spacing w:after="0" w:line="360" w:lineRule="auto"/>
        <w:jc w:val="both"/>
        <w:rPr>
          <w:rFonts w:ascii="Arial" w:eastAsia="Calibri" w:hAnsi="Arial" w:cs="Arial"/>
          <w:sz w:val="28"/>
          <w:szCs w:val="28"/>
        </w:rPr>
      </w:pPr>
    </w:p>
    <w:p w14:paraId="5414DB72" w14:textId="77777777" w:rsidR="00313B65" w:rsidRPr="00F32542" w:rsidRDefault="00F94B48" w:rsidP="00313B6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Para garantizar la paridad de género en la </w:t>
      </w:r>
      <w:r w:rsidRPr="00F32542">
        <w:rPr>
          <w:rFonts w:ascii="Arial" w:eastAsia="Calibri" w:hAnsi="Arial" w:cs="Arial"/>
          <w:b/>
          <w:sz w:val="28"/>
          <w:szCs w:val="28"/>
        </w:rPr>
        <w:t xml:space="preserve">lista B </w:t>
      </w:r>
      <w:r w:rsidRPr="00F32542">
        <w:rPr>
          <w:rFonts w:ascii="Arial" w:eastAsia="Calibri" w:hAnsi="Arial" w:cs="Arial"/>
          <w:sz w:val="28"/>
          <w:szCs w:val="28"/>
        </w:rPr>
        <w:t>se prevé que el primer lugar de la lista será la fórmula que obtuvo la mayor votación y después por aquella del otro género que con mayor porcentaje de votación. Así se intercalarán hasta concluir la lista.</w:t>
      </w:r>
    </w:p>
    <w:p w14:paraId="3F338D17" w14:textId="77777777" w:rsidR="00313B65" w:rsidRPr="00F32542" w:rsidRDefault="00313B65" w:rsidP="00313B65">
      <w:pPr>
        <w:spacing w:after="0" w:line="360" w:lineRule="auto"/>
        <w:jc w:val="both"/>
        <w:rPr>
          <w:rFonts w:ascii="Arial" w:eastAsia="Calibri" w:hAnsi="Arial" w:cs="Arial"/>
          <w:sz w:val="28"/>
          <w:szCs w:val="28"/>
        </w:rPr>
      </w:pPr>
    </w:p>
    <w:p w14:paraId="37B87BAE" w14:textId="77777777" w:rsidR="00313B65" w:rsidRPr="00F32542" w:rsidRDefault="00F94B48" w:rsidP="00313B65">
      <w:pPr>
        <w:spacing w:after="0" w:line="360" w:lineRule="auto"/>
        <w:jc w:val="both"/>
        <w:rPr>
          <w:rFonts w:ascii="Arial" w:eastAsia="Calibri" w:hAnsi="Arial" w:cs="Arial"/>
          <w:b/>
          <w:sz w:val="28"/>
          <w:szCs w:val="28"/>
        </w:rPr>
      </w:pPr>
      <w:r w:rsidRPr="00F32542">
        <w:rPr>
          <w:rFonts w:ascii="Arial" w:eastAsia="Calibri" w:hAnsi="Arial" w:cs="Arial"/>
          <w:sz w:val="28"/>
          <w:szCs w:val="28"/>
        </w:rPr>
        <w:t xml:space="preserve">Como se indicó, la </w:t>
      </w:r>
      <w:r w:rsidRPr="00F32542">
        <w:rPr>
          <w:rFonts w:ascii="Arial" w:eastAsia="Calibri" w:hAnsi="Arial" w:cs="Arial"/>
          <w:b/>
          <w:sz w:val="28"/>
          <w:szCs w:val="28"/>
        </w:rPr>
        <w:t xml:space="preserve">lista definitiva </w:t>
      </w:r>
      <w:r w:rsidRPr="00F32542">
        <w:rPr>
          <w:rFonts w:ascii="Arial" w:eastAsia="Calibri" w:hAnsi="Arial" w:cs="Arial"/>
          <w:sz w:val="28"/>
          <w:szCs w:val="28"/>
        </w:rPr>
        <w:t>se construirá al intercalarse la</w:t>
      </w:r>
      <w:r w:rsidR="00302968" w:rsidRPr="00F32542">
        <w:rPr>
          <w:rFonts w:ascii="Arial" w:eastAsia="Calibri" w:hAnsi="Arial" w:cs="Arial"/>
          <w:sz w:val="28"/>
          <w:szCs w:val="28"/>
        </w:rPr>
        <w:t>s</w:t>
      </w:r>
      <w:r w:rsidRPr="00F32542">
        <w:rPr>
          <w:rFonts w:ascii="Arial" w:eastAsia="Calibri" w:hAnsi="Arial" w:cs="Arial"/>
          <w:sz w:val="28"/>
          <w:szCs w:val="28"/>
        </w:rPr>
        <w:t xml:space="preserve"> </w:t>
      </w:r>
      <w:r w:rsidRPr="00F32542">
        <w:rPr>
          <w:rFonts w:ascii="Arial" w:eastAsia="Calibri" w:hAnsi="Arial" w:cs="Arial"/>
          <w:b/>
          <w:sz w:val="28"/>
          <w:szCs w:val="28"/>
        </w:rPr>
        <w:t xml:space="preserve">listas A y B. </w:t>
      </w:r>
      <w:r w:rsidRPr="00F32542">
        <w:rPr>
          <w:rFonts w:ascii="Arial" w:eastAsia="Calibri" w:hAnsi="Arial" w:cs="Arial"/>
          <w:sz w:val="28"/>
          <w:szCs w:val="28"/>
        </w:rPr>
        <w:t xml:space="preserve">La lista definitiva será siempre encabezada por la primera fórmula de la </w:t>
      </w:r>
      <w:r w:rsidRPr="00F32542">
        <w:rPr>
          <w:rFonts w:ascii="Arial" w:eastAsia="Calibri" w:hAnsi="Arial" w:cs="Arial"/>
          <w:b/>
          <w:sz w:val="28"/>
          <w:szCs w:val="28"/>
        </w:rPr>
        <w:t>lista A.</w:t>
      </w:r>
    </w:p>
    <w:p w14:paraId="3B6D9143" w14:textId="77777777" w:rsidR="00313B65" w:rsidRPr="00F32542" w:rsidRDefault="00313B65" w:rsidP="00313B65">
      <w:pPr>
        <w:spacing w:after="0" w:line="360" w:lineRule="auto"/>
        <w:jc w:val="both"/>
        <w:rPr>
          <w:rFonts w:ascii="Arial" w:eastAsia="Calibri" w:hAnsi="Arial" w:cs="Arial"/>
          <w:b/>
          <w:sz w:val="28"/>
          <w:szCs w:val="28"/>
        </w:rPr>
      </w:pPr>
    </w:p>
    <w:p w14:paraId="756A8304" w14:textId="77777777" w:rsidR="00313B65" w:rsidRPr="00F32542" w:rsidRDefault="00F94B48" w:rsidP="00313B65">
      <w:pPr>
        <w:spacing w:after="0" w:line="360" w:lineRule="auto"/>
        <w:jc w:val="both"/>
        <w:rPr>
          <w:rFonts w:ascii="Arial" w:eastAsia="Calibri" w:hAnsi="Arial" w:cs="Arial"/>
          <w:sz w:val="28"/>
          <w:szCs w:val="28"/>
        </w:rPr>
      </w:pPr>
      <w:r w:rsidRPr="00F32542">
        <w:rPr>
          <w:rFonts w:ascii="Arial" w:eastAsia="Calibri" w:hAnsi="Arial" w:cs="Arial"/>
          <w:sz w:val="28"/>
          <w:szCs w:val="28"/>
        </w:rPr>
        <w:t>Esa intercalación puede generar bloques de hasta dos fórmulas de un mismo género, pero de diferente lista de origen.</w:t>
      </w:r>
    </w:p>
    <w:p w14:paraId="12311BD4" w14:textId="77777777" w:rsidR="00313B65" w:rsidRPr="00F32542" w:rsidRDefault="00313B65" w:rsidP="00313B65">
      <w:pPr>
        <w:spacing w:after="0" w:line="360" w:lineRule="auto"/>
        <w:jc w:val="both"/>
        <w:rPr>
          <w:rFonts w:ascii="Arial" w:eastAsia="Calibri" w:hAnsi="Arial" w:cs="Arial"/>
          <w:sz w:val="28"/>
          <w:szCs w:val="28"/>
        </w:rPr>
      </w:pPr>
    </w:p>
    <w:p w14:paraId="010552BC" w14:textId="77777777" w:rsidR="00313B65" w:rsidRPr="00F32542" w:rsidRDefault="00F94B48" w:rsidP="00313B6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En términos de lo previsto en la ley, cuando ese supuesto se actualice en las primeras dos fórmulas de la lista definitiva, la primera fórmula </w:t>
      </w:r>
      <w:r w:rsidRPr="00F32542">
        <w:rPr>
          <w:rFonts w:ascii="Arial" w:eastAsia="Calibri" w:hAnsi="Arial" w:cs="Arial"/>
          <w:sz w:val="28"/>
          <w:szCs w:val="28"/>
        </w:rPr>
        <w:lastRenderedPageBreak/>
        <w:t xml:space="preserve">del primer bloque estará siempre encabezada por la </w:t>
      </w:r>
      <w:r w:rsidRPr="00F32542">
        <w:rPr>
          <w:rFonts w:ascii="Arial" w:eastAsia="Calibri" w:hAnsi="Arial" w:cs="Arial"/>
          <w:b/>
          <w:sz w:val="28"/>
          <w:szCs w:val="28"/>
        </w:rPr>
        <w:t xml:space="preserve">lista A, </w:t>
      </w:r>
      <w:r w:rsidRPr="00F32542">
        <w:rPr>
          <w:rFonts w:ascii="Arial" w:eastAsia="Calibri" w:hAnsi="Arial" w:cs="Arial"/>
          <w:sz w:val="28"/>
          <w:szCs w:val="28"/>
        </w:rPr>
        <w:t>puesto que con esa lista se inicia la conformación definitiva.</w:t>
      </w:r>
    </w:p>
    <w:p w14:paraId="4443AB0C" w14:textId="77777777" w:rsidR="00313B65" w:rsidRPr="00F32542" w:rsidRDefault="00313B65" w:rsidP="00313B65">
      <w:pPr>
        <w:spacing w:after="0" w:line="360" w:lineRule="auto"/>
        <w:jc w:val="both"/>
        <w:rPr>
          <w:rFonts w:ascii="Arial" w:eastAsia="Calibri" w:hAnsi="Arial" w:cs="Arial"/>
          <w:sz w:val="28"/>
          <w:szCs w:val="28"/>
        </w:rPr>
      </w:pPr>
    </w:p>
    <w:p w14:paraId="7305C067" w14:textId="77777777" w:rsidR="00313B65" w:rsidRPr="00F32542" w:rsidRDefault="00313B65" w:rsidP="00313B65">
      <w:pPr>
        <w:spacing w:after="0" w:line="360" w:lineRule="auto"/>
        <w:jc w:val="both"/>
        <w:rPr>
          <w:rFonts w:ascii="Arial" w:eastAsia="Calibri" w:hAnsi="Arial" w:cs="Arial"/>
          <w:sz w:val="28"/>
          <w:szCs w:val="28"/>
        </w:rPr>
      </w:pPr>
      <w:r w:rsidRPr="00F32542">
        <w:rPr>
          <w:rFonts w:ascii="Arial" w:eastAsia="Calibri" w:hAnsi="Arial" w:cs="Arial"/>
          <w:b/>
          <w:sz w:val="28"/>
          <w:szCs w:val="28"/>
        </w:rPr>
        <w:t xml:space="preserve">c) </w:t>
      </w:r>
      <w:r w:rsidR="00F94B48" w:rsidRPr="00F32542">
        <w:rPr>
          <w:rFonts w:ascii="Arial" w:eastAsia="Calibri" w:hAnsi="Arial" w:cs="Arial"/>
          <w:b/>
          <w:sz w:val="28"/>
          <w:szCs w:val="28"/>
        </w:rPr>
        <w:t>Regulación por parte del Instituto local</w:t>
      </w:r>
      <w:r w:rsidRPr="00F32542">
        <w:rPr>
          <w:rFonts w:ascii="Arial" w:eastAsia="Calibri" w:hAnsi="Arial" w:cs="Arial"/>
          <w:b/>
          <w:sz w:val="28"/>
          <w:szCs w:val="28"/>
        </w:rPr>
        <w:t>.</w:t>
      </w:r>
      <w:r w:rsidR="00F94B48" w:rsidRPr="00F32542">
        <w:rPr>
          <w:rFonts w:ascii="Arial" w:eastAsia="Calibri" w:hAnsi="Arial" w:cs="Arial"/>
          <w:b/>
          <w:sz w:val="28"/>
          <w:szCs w:val="28"/>
        </w:rPr>
        <w:t xml:space="preserve"> </w:t>
      </w:r>
      <w:r w:rsidR="00F94B48" w:rsidRPr="00F32542">
        <w:rPr>
          <w:rFonts w:ascii="Arial" w:eastAsia="Calibri" w:hAnsi="Arial" w:cs="Arial"/>
          <w:sz w:val="28"/>
          <w:szCs w:val="28"/>
        </w:rPr>
        <w:t xml:space="preserve">En el artículo 4, inciso c) de los </w:t>
      </w:r>
      <w:r w:rsidR="00F94B48" w:rsidRPr="00F32542">
        <w:rPr>
          <w:rFonts w:ascii="Arial" w:eastAsia="Calibri" w:hAnsi="Arial" w:cs="Arial"/>
          <w:i/>
          <w:sz w:val="28"/>
          <w:szCs w:val="28"/>
        </w:rPr>
        <w:t xml:space="preserve">Lineamientos para la asignación </w:t>
      </w:r>
      <w:r w:rsidR="00F94B48" w:rsidRPr="00F32542">
        <w:rPr>
          <w:rFonts w:ascii="Arial" w:eastAsia="Calibri" w:hAnsi="Arial" w:cs="Arial"/>
          <w:sz w:val="28"/>
          <w:szCs w:val="28"/>
        </w:rPr>
        <w:t xml:space="preserve">también se definen en qué consisten, entre otros conceptos, </w:t>
      </w:r>
      <w:r w:rsidR="00F94B48" w:rsidRPr="00F32542">
        <w:rPr>
          <w:rFonts w:ascii="Arial" w:eastAsia="Calibri" w:hAnsi="Arial" w:cs="Arial"/>
          <w:b/>
          <w:sz w:val="28"/>
          <w:szCs w:val="28"/>
        </w:rPr>
        <w:t xml:space="preserve">las listas A, B y definitiva. </w:t>
      </w:r>
    </w:p>
    <w:p w14:paraId="3EB31AF1" w14:textId="77777777" w:rsidR="00313B65" w:rsidRPr="00F32542" w:rsidRDefault="00313B65" w:rsidP="00313B65">
      <w:pPr>
        <w:spacing w:after="0" w:line="360" w:lineRule="auto"/>
        <w:jc w:val="both"/>
        <w:rPr>
          <w:rFonts w:ascii="Arial" w:eastAsia="Calibri" w:hAnsi="Arial" w:cs="Arial"/>
          <w:sz w:val="28"/>
          <w:szCs w:val="28"/>
        </w:rPr>
      </w:pPr>
    </w:p>
    <w:p w14:paraId="781D5C33" w14:textId="77777777" w:rsidR="00313B65" w:rsidRPr="00F32542" w:rsidRDefault="00F94B48" w:rsidP="00313B6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En torno a la lista definitiva, se señala que ésta será encabezada por la primera fórmula de la </w:t>
      </w:r>
      <w:r w:rsidRPr="00F32542">
        <w:rPr>
          <w:rFonts w:ascii="Arial" w:eastAsia="Calibri" w:hAnsi="Arial" w:cs="Arial"/>
          <w:b/>
          <w:sz w:val="28"/>
          <w:szCs w:val="28"/>
        </w:rPr>
        <w:t xml:space="preserve">lista A </w:t>
      </w:r>
      <w:r w:rsidRPr="00F32542">
        <w:rPr>
          <w:rFonts w:ascii="Arial" w:eastAsia="Calibri" w:hAnsi="Arial" w:cs="Arial"/>
          <w:sz w:val="28"/>
          <w:szCs w:val="28"/>
        </w:rPr>
        <w:t xml:space="preserve">y se reitera que se conformará por el intercalado de </w:t>
      </w:r>
      <w:r w:rsidRPr="00F32542">
        <w:rPr>
          <w:rFonts w:ascii="Arial" w:eastAsia="Calibri" w:hAnsi="Arial" w:cs="Arial"/>
          <w:b/>
          <w:sz w:val="28"/>
          <w:szCs w:val="28"/>
        </w:rPr>
        <w:t xml:space="preserve">hasta dos fórmulas </w:t>
      </w:r>
      <w:r w:rsidRPr="00F32542">
        <w:rPr>
          <w:rFonts w:ascii="Arial" w:eastAsia="Calibri" w:hAnsi="Arial" w:cs="Arial"/>
          <w:sz w:val="28"/>
          <w:szCs w:val="28"/>
        </w:rPr>
        <w:t xml:space="preserve">del mismo género, siempre que provengan de diferente lista de origen, a sea de la A o de la B. </w:t>
      </w:r>
    </w:p>
    <w:p w14:paraId="196709C4" w14:textId="77777777" w:rsidR="00313B65" w:rsidRPr="00F32542" w:rsidRDefault="00313B65" w:rsidP="00313B65">
      <w:pPr>
        <w:spacing w:after="0" w:line="360" w:lineRule="auto"/>
        <w:jc w:val="both"/>
        <w:rPr>
          <w:rFonts w:ascii="Arial" w:eastAsia="Calibri" w:hAnsi="Arial" w:cs="Arial"/>
          <w:sz w:val="28"/>
          <w:szCs w:val="28"/>
        </w:rPr>
      </w:pPr>
    </w:p>
    <w:p w14:paraId="20EE53C9" w14:textId="77777777" w:rsidR="00313B65" w:rsidRPr="00F32542" w:rsidRDefault="00F94B48" w:rsidP="00313B65">
      <w:pPr>
        <w:spacing w:after="0" w:line="360" w:lineRule="auto"/>
        <w:jc w:val="both"/>
        <w:rPr>
          <w:rFonts w:ascii="Arial" w:eastAsia="Calibri" w:hAnsi="Arial" w:cs="Arial"/>
          <w:sz w:val="28"/>
          <w:szCs w:val="28"/>
        </w:rPr>
      </w:pPr>
      <w:r w:rsidRPr="00F32542">
        <w:rPr>
          <w:rFonts w:ascii="Arial" w:eastAsia="Calibri" w:hAnsi="Arial" w:cs="Arial"/>
          <w:b/>
          <w:sz w:val="28"/>
          <w:szCs w:val="28"/>
        </w:rPr>
        <w:t>d</w:t>
      </w:r>
      <w:r w:rsidR="00313B65" w:rsidRPr="00F32542">
        <w:rPr>
          <w:rFonts w:ascii="Arial" w:eastAsia="Calibri" w:hAnsi="Arial" w:cs="Arial"/>
          <w:b/>
          <w:sz w:val="28"/>
          <w:szCs w:val="28"/>
        </w:rPr>
        <w:t>)</w:t>
      </w:r>
      <w:r w:rsidRPr="00F32542">
        <w:rPr>
          <w:rFonts w:ascii="Arial" w:eastAsia="Calibri" w:hAnsi="Arial" w:cs="Arial"/>
          <w:b/>
          <w:sz w:val="28"/>
          <w:szCs w:val="28"/>
        </w:rPr>
        <w:t xml:space="preserve"> Interpretación de la </w:t>
      </w:r>
      <w:r w:rsidRPr="00F32542">
        <w:rPr>
          <w:rFonts w:ascii="Arial" w:eastAsia="Calibri" w:hAnsi="Arial" w:cs="Arial"/>
          <w:b/>
          <w:i/>
          <w:sz w:val="28"/>
          <w:szCs w:val="28"/>
        </w:rPr>
        <w:t xml:space="preserve">Sala Superior </w:t>
      </w:r>
      <w:r w:rsidRPr="00F32542">
        <w:rPr>
          <w:rFonts w:ascii="Arial" w:eastAsia="Calibri" w:hAnsi="Arial" w:cs="Arial"/>
          <w:b/>
          <w:sz w:val="28"/>
          <w:szCs w:val="28"/>
        </w:rPr>
        <w:t>respecto a las listas en la elección de representación proporcional en la Ciudad de México.</w:t>
      </w:r>
      <w:r w:rsidR="00313B65" w:rsidRPr="00F32542">
        <w:rPr>
          <w:rFonts w:ascii="Arial" w:eastAsia="Calibri" w:hAnsi="Arial" w:cs="Arial"/>
          <w:sz w:val="28"/>
          <w:szCs w:val="28"/>
        </w:rPr>
        <w:t xml:space="preserve"> </w:t>
      </w:r>
      <w:r w:rsidRPr="00F32542">
        <w:rPr>
          <w:rFonts w:ascii="Arial" w:eastAsia="Calibri" w:hAnsi="Arial" w:cs="Arial"/>
          <w:sz w:val="28"/>
          <w:szCs w:val="28"/>
        </w:rPr>
        <w:t xml:space="preserve">En las sentencias de los asuntos </w:t>
      </w:r>
      <w:r w:rsidRPr="00F32542">
        <w:rPr>
          <w:rFonts w:ascii="Arial" w:eastAsia="Calibri" w:hAnsi="Arial" w:cs="Arial"/>
          <w:b/>
          <w:sz w:val="28"/>
          <w:szCs w:val="28"/>
        </w:rPr>
        <w:t xml:space="preserve">SUP-REC-675/2015, </w:t>
      </w:r>
      <w:r w:rsidRPr="00F32542">
        <w:rPr>
          <w:rFonts w:ascii="Arial" w:eastAsia="Calibri" w:hAnsi="Arial" w:cs="Arial"/>
          <w:sz w:val="28"/>
          <w:szCs w:val="28"/>
        </w:rPr>
        <w:t xml:space="preserve">así como </w:t>
      </w:r>
      <w:r w:rsidRPr="00F32542">
        <w:rPr>
          <w:rFonts w:ascii="Arial" w:eastAsia="Calibri" w:hAnsi="Arial" w:cs="Arial"/>
          <w:b/>
          <w:sz w:val="28"/>
          <w:szCs w:val="28"/>
        </w:rPr>
        <w:t xml:space="preserve">SUP-REC-1176/2018 </w:t>
      </w:r>
      <w:r w:rsidRPr="00F32542">
        <w:rPr>
          <w:rFonts w:ascii="Arial" w:eastAsia="Calibri" w:hAnsi="Arial" w:cs="Arial"/>
          <w:sz w:val="28"/>
          <w:szCs w:val="28"/>
        </w:rPr>
        <w:t xml:space="preserve">y acumulados, la </w:t>
      </w:r>
      <w:r w:rsidRPr="00F32542">
        <w:rPr>
          <w:rFonts w:ascii="Arial" w:eastAsia="Calibri" w:hAnsi="Arial" w:cs="Arial"/>
          <w:i/>
          <w:sz w:val="28"/>
          <w:szCs w:val="28"/>
        </w:rPr>
        <w:t xml:space="preserve">Sala Superior </w:t>
      </w:r>
      <w:r w:rsidRPr="00F32542">
        <w:rPr>
          <w:rFonts w:ascii="Arial" w:eastAsia="Calibri" w:hAnsi="Arial" w:cs="Arial"/>
          <w:sz w:val="28"/>
          <w:szCs w:val="28"/>
        </w:rPr>
        <w:t xml:space="preserve">ha establecido los principios que imperan y deben aplicarse, así como equilibrarse en la integración de la lista definitiva </w:t>
      </w:r>
      <w:proofErr w:type="gramStart"/>
      <w:r w:rsidRPr="00F32542">
        <w:rPr>
          <w:rFonts w:ascii="Arial" w:eastAsia="Calibri" w:hAnsi="Arial" w:cs="Arial"/>
          <w:sz w:val="28"/>
          <w:szCs w:val="28"/>
        </w:rPr>
        <w:t>en relación a</w:t>
      </w:r>
      <w:proofErr w:type="gramEnd"/>
      <w:r w:rsidRPr="00F32542">
        <w:rPr>
          <w:rFonts w:ascii="Arial" w:eastAsia="Calibri" w:hAnsi="Arial" w:cs="Arial"/>
          <w:sz w:val="28"/>
          <w:szCs w:val="28"/>
        </w:rPr>
        <w:t xml:space="preserve"> la asignación de diputaciones de representación proporcional en la Ciudad de México. </w:t>
      </w:r>
    </w:p>
    <w:p w14:paraId="7211069B" w14:textId="77777777" w:rsidR="00313B65" w:rsidRPr="00F32542" w:rsidRDefault="00313B65" w:rsidP="00313B65">
      <w:pPr>
        <w:spacing w:after="0" w:line="360" w:lineRule="auto"/>
        <w:jc w:val="both"/>
        <w:rPr>
          <w:rFonts w:ascii="Arial" w:eastAsia="Calibri" w:hAnsi="Arial" w:cs="Arial"/>
          <w:sz w:val="28"/>
          <w:szCs w:val="28"/>
        </w:rPr>
      </w:pPr>
    </w:p>
    <w:p w14:paraId="1237582E" w14:textId="77777777" w:rsidR="00313B65" w:rsidRPr="00F32542" w:rsidRDefault="00F94B48" w:rsidP="00313B6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En ese sentido, ha reconocido que, </w:t>
      </w:r>
      <w:proofErr w:type="gramStart"/>
      <w:r w:rsidRPr="00F32542">
        <w:rPr>
          <w:rFonts w:ascii="Arial" w:eastAsia="Calibri" w:hAnsi="Arial" w:cs="Arial"/>
          <w:sz w:val="28"/>
          <w:szCs w:val="28"/>
        </w:rPr>
        <w:t>de acuerdo a</w:t>
      </w:r>
      <w:proofErr w:type="gramEnd"/>
      <w:r w:rsidRPr="00F32542">
        <w:rPr>
          <w:rFonts w:ascii="Arial" w:eastAsia="Calibri" w:hAnsi="Arial" w:cs="Arial"/>
          <w:sz w:val="28"/>
          <w:szCs w:val="28"/>
        </w:rPr>
        <w:t xml:space="preserve"> la legislación de la Ciudad, </w:t>
      </w:r>
      <w:r w:rsidRPr="00F32542">
        <w:rPr>
          <w:rFonts w:ascii="Arial" w:eastAsia="Calibri" w:hAnsi="Arial" w:cs="Arial"/>
          <w:b/>
          <w:sz w:val="28"/>
          <w:szCs w:val="28"/>
        </w:rPr>
        <w:t>en su sistema de representación proporcional confluyen el principio democrático, la autodeterminación de los partidos políticos, la paridad y la alternancia.</w:t>
      </w:r>
      <w:r w:rsidRPr="00F32542">
        <w:rPr>
          <w:rFonts w:ascii="Arial" w:eastAsia="Calibri" w:hAnsi="Arial" w:cs="Arial"/>
          <w:sz w:val="28"/>
          <w:szCs w:val="28"/>
        </w:rPr>
        <w:t xml:space="preserve"> </w:t>
      </w:r>
    </w:p>
    <w:p w14:paraId="703E9787" w14:textId="77777777" w:rsidR="00313B65" w:rsidRPr="00F32542" w:rsidRDefault="00313B65" w:rsidP="00313B65">
      <w:pPr>
        <w:spacing w:after="0" w:line="360" w:lineRule="auto"/>
        <w:jc w:val="both"/>
        <w:rPr>
          <w:rFonts w:ascii="Arial" w:eastAsia="Calibri" w:hAnsi="Arial" w:cs="Arial"/>
          <w:sz w:val="28"/>
          <w:szCs w:val="28"/>
        </w:rPr>
      </w:pPr>
    </w:p>
    <w:p w14:paraId="2C480670" w14:textId="77777777" w:rsidR="00313B65" w:rsidRPr="00F32542" w:rsidRDefault="00F94B48" w:rsidP="00313B6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El </w:t>
      </w:r>
      <w:r w:rsidRPr="00F32542">
        <w:rPr>
          <w:rFonts w:ascii="Arial" w:eastAsia="Calibri" w:hAnsi="Arial" w:cs="Arial"/>
          <w:b/>
          <w:sz w:val="28"/>
          <w:szCs w:val="28"/>
        </w:rPr>
        <w:t>principio democrático</w:t>
      </w:r>
      <w:r w:rsidRPr="00F32542">
        <w:rPr>
          <w:rFonts w:ascii="Arial" w:eastAsia="Calibri" w:hAnsi="Arial" w:cs="Arial"/>
          <w:sz w:val="28"/>
          <w:szCs w:val="28"/>
        </w:rPr>
        <w:t xml:space="preserve"> se refiere a la voluntad ciudadana expresada en las urnas a través del sufragio libre y directo, como un acto fundante de la legitimidad democrática, teniendo en cuenta los efectos múltiples del voto de la ciudadanía. </w:t>
      </w:r>
    </w:p>
    <w:p w14:paraId="622BBBD8" w14:textId="77777777" w:rsidR="00313B65" w:rsidRPr="00F32542" w:rsidRDefault="00313B65" w:rsidP="00313B65">
      <w:pPr>
        <w:spacing w:after="0" w:line="360" w:lineRule="auto"/>
        <w:jc w:val="both"/>
        <w:rPr>
          <w:rFonts w:ascii="Arial" w:eastAsia="Calibri" w:hAnsi="Arial" w:cs="Arial"/>
          <w:sz w:val="28"/>
          <w:szCs w:val="28"/>
        </w:rPr>
      </w:pPr>
    </w:p>
    <w:p w14:paraId="42D24069" w14:textId="77777777" w:rsidR="00157015"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Éste impacta directamente en la integración de la </w:t>
      </w:r>
      <w:r w:rsidRPr="00F32542">
        <w:rPr>
          <w:rFonts w:ascii="Arial" w:eastAsia="Calibri" w:hAnsi="Arial" w:cs="Arial"/>
          <w:b/>
          <w:sz w:val="28"/>
          <w:szCs w:val="28"/>
        </w:rPr>
        <w:t>lista B</w:t>
      </w:r>
      <w:r w:rsidRPr="00F32542">
        <w:rPr>
          <w:rFonts w:ascii="Arial" w:eastAsia="Calibri" w:hAnsi="Arial" w:cs="Arial"/>
          <w:sz w:val="28"/>
          <w:szCs w:val="28"/>
        </w:rPr>
        <w:t>, pues como se vio, se conforma con las fórmulas de candidaturas con mejor votación que no ganaron la elección de mayoría relativa.</w:t>
      </w:r>
    </w:p>
    <w:p w14:paraId="16FDC80D" w14:textId="77777777" w:rsidR="00157015"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Además de ser un principio constitucional, la legislación de la Ciudad de </w:t>
      </w:r>
      <w:proofErr w:type="gramStart"/>
      <w:r w:rsidRPr="00F32542">
        <w:rPr>
          <w:rFonts w:ascii="Arial" w:eastAsia="Calibri" w:hAnsi="Arial" w:cs="Arial"/>
          <w:sz w:val="28"/>
          <w:szCs w:val="28"/>
        </w:rPr>
        <w:t>México,</w:t>
      </w:r>
      <w:proofErr w:type="gramEnd"/>
      <w:r w:rsidRPr="00F32542">
        <w:rPr>
          <w:rFonts w:ascii="Arial" w:eastAsia="Calibri" w:hAnsi="Arial" w:cs="Arial"/>
          <w:sz w:val="28"/>
          <w:szCs w:val="28"/>
        </w:rPr>
        <w:t xml:space="preserve"> reconoce también a </w:t>
      </w:r>
      <w:r w:rsidRPr="00F32542">
        <w:rPr>
          <w:rFonts w:ascii="Arial" w:eastAsia="Calibri" w:hAnsi="Arial" w:cs="Arial"/>
          <w:b/>
          <w:sz w:val="28"/>
          <w:szCs w:val="28"/>
        </w:rPr>
        <w:t xml:space="preserve">la paridad de género, </w:t>
      </w:r>
      <w:r w:rsidRPr="00F32542">
        <w:rPr>
          <w:rFonts w:ascii="Arial" w:eastAsia="Calibri" w:hAnsi="Arial" w:cs="Arial"/>
          <w:sz w:val="28"/>
          <w:szCs w:val="28"/>
        </w:rPr>
        <w:t xml:space="preserve">el cual es una medida permanente, de conformidad con el artículo 41 constitucional. </w:t>
      </w:r>
    </w:p>
    <w:p w14:paraId="20F04E47" w14:textId="77777777" w:rsidR="00157015" w:rsidRPr="00F32542" w:rsidRDefault="00157015" w:rsidP="00157015">
      <w:pPr>
        <w:spacing w:after="0" w:line="360" w:lineRule="auto"/>
        <w:jc w:val="both"/>
        <w:rPr>
          <w:rFonts w:ascii="Arial" w:eastAsia="Calibri" w:hAnsi="Arial" w:cs="Arial"/>
          <w:sz w:val="28"/>
          <w:szCs w:val="28"/>
        </w:rPr>
      </w:pPr>
    </w:p>
    <w:p w14:paraId="3DF7AC12" w14:textId="77777777" w:rsidR="00157015"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De tal modo, el principio de paridad debe ponderarse con otros principios aplicables al caso como el principio democrático y el de auto organización.</w:t>
      </w:r>
    </w:p>
    <w:p w14:paraId="619103CE" w14:textId="77777777" w:rsidR="00157015" w:rsidRPr="00F32542" w:rsidRDefault="00157015" w:rsidP="00157015">
      <w:pPr>
        <w:spacing w:after="0" w:line="360" w:lineRule="auto"/>
        <w:jc w:val="both"/>
        <w:rPr>
          <w:rFonts w:ascii="Arial" w:eastAsia="Calibri" w:hAnsi="Arial" w:cs="Arial"/>
          <w:sz w:val="28"/>
          <w:szCs w:val="28"/>
        </w:rPr>
      </w:pPr>
    </w:p>
    <w:p w14:paraId="134BEACD" w14:textId="77777777" w:rsidR="00157015"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En ese sentido, respecto al </w:t>
      </w:r>
      <w:r w:rsidRPr="00F32542">
        <w:rPr>
          <w:rFonts w:ascii="Arial" w:eastAsia="Calibri" w:hAnsi="Arial" w:cs="Arial"/>
          <w:b/>
          <w:bCs/>
          <w:sz w:val="28"/>
          <w:szCs w:val="28"/>
        </w:rPr>
        <w:t>principio de paridad de género</w:t>
      </w:r>
      <w:r w:rsidRPr="00F32542">
        <w:rPr>
          <w:rFonts w:ascii="Arial" w:eastAsia="Calibri" w:hAnsi="Arial" w:cs="Arial"/>
          <w:sz w:val="28"/>
          <w:szCs w:val="28"/>
        </w:rPr>
        <w:t xml:space="preserve"> debe entenderse que su aplicación debe partir de una interpretación armónica en la que no se haga nugatoria la voluntad del electorado depositada en las urnas ni el derecho de autodeterminación de los partidos políticos. </w:t>
      </w:r>
    </w:p>
    <w:p w14:paraId="627B82B4" w14:textId="77777777" w:rsidR="00157015" w:rsidRPr="00F32542" w:rsidRDefault="00157015" w:rsidP="00157015">
      <w:pPr>
        <w:spacing w:after="0" w:line="360" w:lineRule="auto"/>
        <w:jc w:val="both"/>
        <w:rPr>
          <w:rFonts w:ascii="Arial" w:eastAsia="Calibri" w:hAnsi="Arial" w:cs="Arial"/>
          <w:sz w:val="28"/>
          <w:szCs w:val="28"/>
        </w:rPr>
      </w:pPr>
    </w:p>
    <w:p w14:paraId="37521120" w14:textId="77777777" w:rsidR="00157015"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Para definir el alcance del principio de paridad de género al momento de la integración de un órgano de representación popular, deben atenderse las reglas específicas previstas en la normativa aplicable.</w:t>
      </w:r>
    </w:p>
    <w:p w14:paraId="6267DB61" w14:textId="77777777" w:rsidR="00157015" w:rsidRPr="00F32542" w:rsidRDefault="00157015" w:rsidP="00157015">
      <w:pPr>
        <w:spacing w:after="0" w:line="360" w:lineRule="auto"/>
        <w:jc w:val="both"/>
        <w:rPr>
          <w:rFonts w:ascii="Arial" w:eastAsia="Calibri" w:hAnsi="Arial" w:cs="Arial"/>
          <w:sz w:val="28"/>
          <w:szCs w:val="28"/>
        </w:rPr>
      </w:pPr>
    </w:p>
    <w:p w14:paraId="45580183" w14:textId="77777777" w:rsidR="00157015"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Con ello, se deben armonizar los principios, reglas y derechos que sustentan la implementación de una medida afirmativa en la asignación de diputaciones por el principio de representación proporcional con los principios y derechos tutelados en las contiendas electorales.</w:t>
      </w:r>
    </w:p>
    <w:p w14:paraId="5C3EE04C" w14:textId="77777777" w:rsidR="00157015" w:rsidRPr="00F32542" w:rsidRDefault="00157015" w:rsidP="00157015">
      <w:pPr>
        <w:spacing w:after="0" w:line="360" w:lineRule="auto"/>
        <w:jc w:val="both"/>
        <w:rPr>
          <w:rFonts w:ascii="Arial" w:eastAsia="Calibri" w:hAnsi="Arial" w:cs="Arial"/>
          <w:sz w:val="28"/>
          <w:szCs w:val="28"/>
        </w:rPr>
      </w:pPr>
    </w:p>
    <w:p w14:paraId="732F980D" w14:textId="77777777" w:rsidR="00157015"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lastRenderedPageBreak/>
        <w:t>Así se debe hacer una ponderación a fin de que la incidencia de las medidas tendentes a alcanzar la paridad, no impliquen una afectación desproporcionada o innecesaria de otros principios.</w:t>
      </w:r>
    </w:p>
    <w:p w14:paraId="03E91FC4" w14:textId="77777777" w:rsidR="00302968" w:rsidRPr="00F32542" w:rsidRDefault="00302968" w:rsidP="00157015">
      <w:pPr>
        <w:spacing w:after="0" w:line="360" w:lineRule="auto"/>
        <w:jc w:val="both"/>
        <w:rPr>
          <w:rFonts w:ascii="Arial" w:eastAsia="Calibri" w:hAnsi="Arial" w:cs="Arial"/>
          <w:sz w:val="28"/>
          <w:szCs w:val="28"/>
        </w:rPr>
      </w:pPr>
    </w:p>
    <w:p w14:paraId="21744B31" w14:textId="77777777" w:rsidR="00157015"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E</w:t>
      </w:r>
      <w:r w:rsidR="00157015" w:rsidRPr="00F32542">
        <w:rPr>
          <w:rFonts w:ascii="Arial" w:eastAsia="Calibri" w:hAnsi="Arial" w:cs="Arial"/>
          <w:sz w:val="28"/>
          <w:szCs w:val="28"/>
        </w:rPr>
        <w:t>n cuanto al</w:t>
      </w:r>
      <w:r w:rsidRPr="00F32542">
        <w:rPr>
          <w:rFonts w:ascii="Arial" w:eastAsia="Calibri" w:hAnsi="Arial" w:cs="Arial"/>
          <w:sz w:val="28"/>
          <w:szCs w:val="28"/>
        </w:rPr>
        <w:t xml:space="preserve"> </w:t>
      </w:r>
      <w:r w:rsidRPr="00F32542">
        <w:rPr>
          <w:rFonts w:ascii="Arial" w:eastAsia="Calibri" w:hAnsi="Arial" w:cs="Arial"/>
          <w:b/>
          <w:sz w:val="28"/>
          <w:szCs w:val="28"/>
        </w:rPr>
        <w:t>principio de autodeterminación</w:t>
      </w:r>
      <w:r w:rsidR="00157015" w:rsidRPr="00F32542">
        <w:rPr>
          <w:rFonts w:ascii="Arial" w:eastAsia="Calibri" w:hAnsi="Arial" w:cs="Arial"/>
          <w:b/>
          <w:sz w:val="28"/>
          <w:szCs w:val="28"/>
        </w:rPr>
        <w:t>,</w:t>
      </w:r>
      <w:r w:rsidRPr="00F32542">
        <w:rPr>
          <w:rFonts w:ascii="Arial" w:eastAsia="Calibri" w:hAnsi="Arial" w:cs="Arial"/>
          <w:sz w:val="28"/>
          <w:szCs w:val="28"/>
        </w:rPr>
        <w:t xml:space="preserve"> se refiere a respetar las decisiones adoptadas por los partidos políticos, derivadas de su regulación interna, con relación a los derechos de sus </w:t>
      </w:r>
      <w:proofErr w:type="gramStart"/>
      <w:r w:rsidRPr="00F32542">
        <w:rPr>
          <w:rFonts w:ascii="Arial" w:eastAsia="Calibri" w:hAnsi="Arial" w:cs="Arial"/>
          <w:sz w:val="28"/>
          <w:szCs w:val="28"/>
        </w:rPr>
        <w:t>candidatas y candidatos</w:t>
      </w:r>
      <w:proofErr w:type="gramEnd"/>
      <w:r w:rsidRPr="00F32542">
        <w:rPr>
          <w:rFonts w:ascii="Arial" w:eastAsia="Calibri" w:hAnsi="Arial" w:cs="Arial"/>
          <w:sz w:val="28"/>
          <w:szCs w:val="28"/>
        </w:rPr>
        <w:t>.</w:t>
      </w:r>
    </w:p>
    <w:p w14:paraId="057557FE" w14:textId="77777777" w:rsidR="00157015" w:rsidRPr="00F32542" w:rsidRDefault="00157015" w:rsidP="00157015">
      <w:pPr>
        <w:spacing w:after="0" w:line="360" w:lineRule="auto"/>
        <w:jc w:val="both"/>
        <w:rPr>
          <w:rFonts w:ascii="Arial" w:eastAsia="Calibri" w:hAnsi="Arial" w:cs="Arial"/>
          <w:sz w:val="28"/>
          <w:szCs w:val="28"/>
        </w:rPr>
      </w:pPr>
    </w:p>
    <w:p w14:paraId="01BD5FCD" w14:textId="77777777" w:rsidR="00157015"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Este principio involucra la facultad de establecer su propio régimen de organización al interior de su estructura, con el objetivo de darle identidad partidaria y hacer posible la participación política para la consecución de los fines constitucionalmente encomendados.</w:t>
      </w:r>
    </w:p>
    <w:p w14:paraId="5910FB9C" w14:textId="77777777" w:rsidR="00157015" w:rsidRPr="00F32542" w:rsidRDefault="00157015" w:rsidP="00157015">
      <w:pPr>
        <w:spacing w:after="0" w:line="360" w:lineRule="auto"/>
        <w:jc w:val="both"/>
        <w:rPr>
          <w:rFonts w:ascii="Arial" w:eastAsia="Calibri" w:hAnsi="Arial" w:cs="Arial"/>
          <w:sz w:val="28"/>
          <w:szCs w:val="28"/>
        </w:rPr>
      </w:pPr>
    </w:p>
    <w:p w14:paraId="7B917C18" w14:textId="77777777" w:rsidR="00157015"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Este principio se ve reflejado en la integración de la </w:t>
      </w:r>
      <w:r w:rsidRPr="00F32542">
        <w:rPr>
          <w:rFonts w:ascii="Arial" w:eastAsia="Calibri" w:hAnsi="Arial" w:cs="Arial"/>
          <w:b/>
          <w:sz w:val="28"/>
          <w:szCs w:val="28"/>
        </w:rPr>
        <w:t xml:space="preserve">lista A </w:t>
      </w:r>
      <w:r w:rsidRPr="00F32542">
        <w:rPr>
          <w:rFonts w:ascii="Arial" w:eastAsia="Calibri" w:hAnsi="Arial" w:cs="Arial"/>
          <w:sz w:val="28"/>
          <w:szCs w:val="28"/>
        </w:rPr>
        <w:t xml:space="preserve">la cual se conforma por las fórmulas de candidaturas que se designen al interior de los partidos políticos, siempre que se garantice la paridad. Este principio también se observa, en la integración del Congreso local, debido a que por regla general la </w:t>
      </w:r>
      <w:r w:rsidRPr="00F32542">
        <w:rPr>
          <w:rFonts w:ascii="Arial" w:eastAsia="Calibri" w:hAnsi="Arial" w:cs="Arial"/>
          <w:b/>
          <w:sz w:val="28"/>
          <w:szCs w:val="28"/>
        </w:rPr>
        <w:t>lista definitiva</w:t>
      </w:r>
      <w:r w:rsidRPr="00F32542">
        <w:rPr>
          <w:rFonts w:ascii="Arial" w:eastAsia="Calibri" w:hAnsi="Arial" w:cs="Arial"/>
          <w:sz w:val="28"/>
          <w:szCs w:val="28"/>
        </w:rPr>
        <w:t xml:space="preserve"> inicia con la primera fórmula de la </w:t>
      </w:r>
      <w:r w:rsidRPr="00F32542">
        <w:rPr>
          <w:rFonts w:ascii="Arial" w:eastAsia="Calibri" w:hAnsi="Arial" w:cs="Arial"/>
          <w:b/>
          <w:sz w:val="28"/>
          <w:szCs w:val="28"/>
        </w:rPr>
        <w:t xml:space="preserve">lista A. </w:t>
      </w:r>
    </w:p>
    <w:p w14:paraId="17528F32" w14:textId="77777777" w:rsidR="00157015" w:rsidRPr="00F32542" w:rsidRDefault="00157015" w:rsidP="00157015">
      <w:pPr>
        <w:spacing w:after="0" w:line="360" w:lineRule="auto"/>
        <w:jc w:val="both"/>
        <w:rPr>
          <w:rFonts w:ascii="Arial" w:eastAsia="Calibri" w:hAnsi="Arial" w:cs="Arial"/>
          <w:sz w:val="28"/>
          <w:szCs w:val="28"/>
        </w:rPr>
      </w:pPr>
    </w:p>
    <w:p w14:paraId="554C28FC" w14:textId="77777777" w:rsidR="00F94B48" w:rsidRPr="00F32542" w:rsidRDefault="00157015"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Sobre e</w:t>
      </w:r>
      <w:r w:rsidR="00F94B48" w:rsidRPr="00F32542">
        <w:rPr>
          <w:rFonts w:ascii="Arial" w:eastAsia="Calibri" w:hAnsi="Arial" w:cs="Arial"/>
          <w:sz w:val="28"/>
          <w:szCs w:val="28"/>
        </w:rPr>
        <w:t xml:space="preserve">l </w:t>
      </w:r>
      <w:r w:rsidR="00F94B48" w:rsidRPr="00F32542">
        <w:rPr>
          <w:rFonts w:ascii="Arial" w:eastAsia="Calibri" w:hAnsi="Arial" w:cs="Arial"/>
          <w:b/>
          <w:sz w:val="28"/>
          <w:szCs w:val="28"/>
        </w:rPr>
        <w:t>principio de alternancia</w:t>
      </w:r>
      <w:r w:rsidRPr="00F32542">
        <w:rPr>
          <w:rFonts w:ascii="Arial" w:eastAsia="Calibri" w:hAnsi="Arial" w:cs="Arial"/>
          <w:b/>
          <w:sz w:val="28"/>
          <w:szCs w:val="28"/>
        </w:rPr>
        <w:t>,</w:t>
      </w:r>
      <w:r w:rsidR="00F94B48" w:rsidRPr="00F32542">
        <w:rPr>
          <w:rFonts w:ascii="Arial" w:eastAsia="Calibri" w:hAnsi="Arial" w:cs="Arial"/>
          <w:b/>
          <w:sz w:val="28"/>
          <w:szCs w:val="28"/>
        </w:rPr>
        <w:t xml:space="preserve"> </w:t>
      </w:r>
      <w:r w:rsidR="00F94B48" w:rsidRPr="00F32542">
        <w:rPr>
          <w:rFonts w:ascii="Arial" w:eastAsia="Calibri" w:hAnsi="Arial" w:cs="Arial"/>
          <w:sz w:val="28"/>
          <w:szCs w:val="28"/>
        </w:rPr>
        <w:t>consiste en colocar de forma sucesiva, a un género seguido de otro distinto, de modo tal que el mismo género no se encuentre en dos lugares consecutivos del segmento respectivo.</w:t>
      </w:r>
    </w:p>
    <w:p w14:paraId="65CD31BF" w14:textId="77777777" w:rsidR="00157015" w:rsidRPr="00F32542" w:rsidRDefault="00157015" w:rsidP="00157015">
      <w:pPr>
        <w:spacing w:after="0" w:line="360" w:lineRule="auto"/>
        <w:jc w:val="both"/>
        <w:rPr>
          <w:rFonts w:ascii="Arial" w:eastAsia="Calibri" w:hAnsi="Arial" w:cs="Arial"/>
          <w:sz w:val="28"/>
          <w:szCs w:val="28"/>
        </w:rPr>
      </w:pPr>
    </w:p>
    <w:p w14:paraId="0BFA634D" w14:textId="77777777" w:rsidR="00F94B48" w:rsidRPr="00F32542" w:rsidRDefault="00F94B48" w:rsidP="00157015">
      <w:pPr>
        <w:spacing w:after="0" w:line="360" w:lineRule="auto"/>
        <w:jc w:val="both"/>
        <w:rPr>
          <w:rFonts w:ascii="Arial" w:eastAsia="Calibri" w:hAnsi="Arial" w:cs="Arial"/>
          <w:sz w:val="28"/>
          <w:szCs w:val="28"/>
        </w:rPr>
      </w:pPr>
      <w:bookmarkStart w:id="44" w:name="_Hlk78184176"/>
      <w:r w:rsidRPr="00F32542">
        <w:rPr>
          <w:rFonts w:ascii="Arial" w:eastAsia="Calibri" w:hAnsi="Arial" w:cs="Arial"/>
          <w:sz w:val="28"/>
          <w:szCs w:val="28"/>
        </w:rPr>
        <w:t xml:space="preserve">La finalidad de este principio es instrumental, para lograr el equilibrio de género entre las candidaturas a fin de conseguir la participación </w:t>
      </w:r>
      <w:r w:rsidRPr="00F32542">
        <w:rPr>
          <w:rFonts w:ascii="Arial" w:eastAsia="Calibri" w:hAnsi="Arial" w:cs="Arial"/>
          <w:sz w:val="28"/>
          <w:szCs w:val="28"/>
        </w:rPr>
        <w:lastRenderedPageBreak/>
        <w:t>política efectiva de hombres y mujeres, en un plano de igualdad sustancial, real y efectiva.</w:t>
      </w:r>
    </w:p>
    <w:p w14:paraId="1FC03E91" w14:textId="77777777" w:rsidR="00157015" w:rsidRPr="00F32542" w:rsidRDefault="00157015" w:rsidP="00157015">
      <w:pPr>
        <w:spacing w:after="0" w:line="360" w:lineRule="auto"/>
        <w:jc w:val="both"/>
        <w:rPr>
          <w:rFonts w:ascii="Arial" w:eastAsia="Calibri" w:hAnsi="Arial" w:cs="Arial"/>
          <w:sz w:val="28"/>
          <w:szCs w:val="28"/>
        </w:rPr>
      </w:pPr>
    </w:p>
    <w:bookmarkEnd w:id="44"/>
    <w:p w14:paraId="2D2CFFFE"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Esto, con el objetivo de mejorar la calidad de la representación política y de eliminar los obstáculos que impiden el pleno desarrollo de las personas y su efectiva participación en la vida política.</w:t>
      </w:r>
    </w:p>
    <w:p w14:paraId="32657968" w14:textId="77777777" w:rsidR="00157015" w:rsidRPr="00F32542" w:rsidRDefault="00157015" w:rsidP="00157015">
      <w:pPr>
        <w:spacing w:after="0" w:line="360" w:lineRule="auto"/>
        <w:jc w:val="both"/>
        <w:rPr>
          <w:rFonts w:ascii="Arial" w:eastAsia="Calibri" w:hAnsi="Arial" w:cs="Arial"/>
          <w:sz w:val="28"/>
          <w:szCs w:val="28"/>
        </w:rPr>
      </w:pPr>
    </w:p>
    <w:p w14:paraId="79EF6537"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De modo que los partidos políticos cumplan con el deber de promover la igualdad de oportunidades, garantizar la paridad de género en la vida política del país y desarrollar el liderazgo político de las mujeres a través de postulaciones a cargos de elección popular.</w:t>
      </w:r>
    </w:p>
    <w:p w14:paraId="700AF865" w14:textId="77777777" w:rsidR="00157015" w:rsidRPr="00F32542" w:rsidRDefault="00157015" w:rsidP="00157015">
      <w:pPr>
        <w:spacing w:after="0" w:line="360" w:lineRule="auto"/>
        <w:jc w:val="both"/>
        <w:rPr>
          <w:rFonts w:ascii="Arial" w:eastAsia="Calibri" w:hAnsi="Arial" w:cs="Arial"/>
          <w:sz w:val="28"/>
          <w:szCs w:val="28"/>
        </w:rPr>
      </w:pPr>
    </w:p>
    <w:p w14:paraId="6FE83FFC"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Así, la alternancia entre géneros, en el caso de la elección de diputaciones al Congreso local, en la integración de las listas A y B, así como en la definitiva, incrementa la posibilidad de que los representantes electos sean de ambos géneros.</w:t>
      </w:r>
    </w:p>
    <w:p w14:paraId="3BEBAC25" w14:textId="77777777" w:rsidR="00157015" w:rsidRPr="00F32542" w:rsidRDefault="00157015" w:rsidP="00157015">
      <w:pPr>
        <w:spacing w:after="0" w:line="360" w:lineRule="auto"/>
        <w:jc w:val="both"/>
        <w:rPr>
          <w:rFonts w:ascii="Arial" w:eastAsia="Calibri" w:hAnsi="Arial" w:cs="Arial"/>
          <w:sz w:val="28"/>
          <w:szCs w:val="28"/>
        </w:rPr>
      </w:pPr>
    </w:p>
    <w:p w14:paraId="5B37DC2F"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 En este sentido, para definir el alcance del principio de paridad de género al momento de la integración de un órgano de representación popular deben atenderse las reglas específicas previstas en la normativa aplicable.</w:t>
      </w:r>
    </w:p>
    <w:p w14:paraId="0906E1A0" w14:textId="77777777" w:rsidR="00157015" w:rsidRPr="00F32542" w:rsidRDefault="00157015" w:rsidP="00157015">
      <w:pPr>
        <w:spacing w:after="0" w:line="360" w:lineRule="auto"/>
        <w:jc w:val="both"/>
        <w:rPr>
          <w:rFonts w:ascii="Arial" w:eastAsia="Calibri" w:hAnsi="Arial" w:cs="Arial"/>
          <w:sz w:val="28"/>
          <w:szCs w:val="28"/>
        </w:rPr>
      </w:pPr>
    </w:p>
    <w:p w14:paraId="680A75D6"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De modo que sea posible armonizar los principios, reglas y derechos que sustentan la implementación de ese principio los que corresponden a los procesos electorales y los derechos tutelados en ellos.</w:t>
      </w:r>
    </w:p>
    <w:p w14:paraId="74579437" w14:textId="77777777" w:rsidR="00157015" w:rsidRPr="00F32542" w:rsidRDefault="00157015" w:rsidP="00157015">
      <w:pPr>
        <w:spacing w:after="0" w:line="360" w:lineRule="auto"/>
        <w:jc w:val="both"/>
        <w:rPr>
          <w:rFonts w:ascii="Arial" w:eastAsia="Calibri" w:hAnsi="Arial" w:cs="Arial"/>
          <w:sz w:val="28"/>
          <w:szCs w:val="28"/>
        </w:rPr>
      </w:pPr>
    </w:p>
    <w:p w14:paraId="5EDDFD63" w14:textId="77777777" w:rsidR="00F94B48" w:rsidRPr="00F32542" w:rsidRDefault="00F94B48" w:rsidP="00157015">
      <w:pPr>
        <w:spacing w:after="0" w:line="360" w:lineRule="auto"/>
        <w:jc w:val="both"/>
        <w:rPr>
          <w:rFonts w:ascii="Arial" w:eastAsia="Calibri" w:hAnsi="Arial" w:cs="Arial"/>
          <w:b/>
          <w:sz w:val="28"/>
          <w:szCs w:val="28"/>
        </w:rPr>
      </w:pPr>
      <w:r w:rsidRPr="00F32542">
        <w:rPr>
          <w:rFonts w:ascii="Arial" w:eastAsia="Calibri" w:hAnsi="Arial" w:cs="Arial"/>
          <w:sz w:val="28"/>
          <w:szCs w:val="28"/>
        </w:rPr>
        <w:lastRenderedPageBreak/>
        <w:t xml:space="preserve"> Esto, al realizar una ponderación a fin de que </w:t>
      </w:r>
      <w:proofErr w:type="gramStart"/>
      <w:r w:rsidRPr="00F32542">
        <w:rPr>
          <w:rFonts w:ascii="Arial" w:eastAsia="Calibri" w:hAnsi="Arial" w:cs="Arial"/>
          <w:sz w:val="28"/>
          <w:szCs w:val="28"/>
        </w:rPr>
        <w:t xml:space="preserve">la incidencia de las medidas tendentes a </w:t>
      </w:r>
      <w:r w:rsidRPr="00F32542">
        <w:rPr>
          <w:rFonts w:ascii="Arial" w:eastAsia="Calibri" w:hAnsi="Arial" w:cs="Arial"/>
          <w:b/>
          <w:sz w:val="28"/>
          <w:szCs w:val="28"/>
        </w:rPr>
        <w:t>alcanzar la paridad no impliquen</w:t>
      </w:r>
      <w:proofErr w:type="gramEnd"/>
      <w:r w:rsidRPr="00F32542">
        <w:rPr>
          <w:rFonts w:ascii="Arial" w:eastAsia="Calibri" w:hAnsi="Arial" w:cs="Arial"/>
          <w:b/>
          <w:sz w:val="28"/>
          <w:szCs w:val="28"/>
        </w:rPr>
        <w:t xml:space="preserve"> una afectación desproporcionada o innecesaria de otros principios.</w:t>
      </w:r>
    </w:p>
    <w:p w14:paraId="054E9F1A" w14:textId="77777777" w:rsidR="00157015" w:rsidRPr="00F32542" w:rsidRDefault="00157015" w:rsidP="00157015">
      <w:pPr>
        <w:spacing w:after="0" w:line="360" w:lineRule="auto"/>
        <w:jc w:val="both"/>
        <w:rPr>
          <w:rFonts w:ascii="Arial" w:eastAsia="Calibri" w:hAnsi="Arial" w:cs="Arial"/>
          <w:sz w:val="28"/>
          <w:szCs w:val="28"/>
        </w:rPr>
      </w:pPr>
    </w:p>
    <w:p w14:paraId="343A5DA5"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En ese sentido, la </w:t>
      </w:r>
      <w:r w:rsidRPr="00F32542">
        <w:rPr>
          <w:rFonts w:ascii="Arial" w:eastAsia="Calibri" w:hAnsi="Arial" w:cs="Arial"/>
          <w:i/>
          <w:sz w:val="28"/>
          <w:szCs w:val="28"/>
        </w:rPr>
        <w:t xml:space="preserve">Sala Superior, </w:t>
      </w:r>
      <w:r w:rsidRPr="00F32542">
        <w:rPr>
          <w:rFonts w:ascii="Arial" w:eastAsia="Calibri" w:hAnsi="Arial" w:cs="Arial"/>
          <w:sz w:val="28"/>
          <w:szCs w:val="28"/>
        </w:rPr>
        <w:t xml:space="preserve">en los precedentes citados ha establecido que los principios derivados de la normativa de la Ciudad de </w:t>
      </w:r>
      <w:proofErr w:type="gramStart"/>
      <w:r w:rsidRPr="00F32542">
        <w:rPr>
          <w:rFonts w:ascii="Arial" w:eastAsia="Calibri" w:hAnsi="Arial" w:cs="Arial"/>
          <w:sz w:val="28"/>
          <w:szCs w:val="28"/>
        </w:rPr>
        <w:t>México,</w:t>
      </w:r>
      <w:proofErr w:type="gramEnd"/>
      <w:r w:rsidRPr="00F32542">
        <w:rPr>
          <w:rFonts w:ascii="Arial" w:eastAsia="Calibri" w:hAnsi="Arial" w:cs="Arial"/>
          <w:sz w:val="28"/>
          <w:szCs w:val="28"/>
        </w:rPr>
        <w:t xml:space="preserve"> deben ser ponderados y equilibrados de acuerdo al contexto de cada caso.</w:t>
      </w:r>
    </w:p>
    <w:p w14:paraId="3E275B6F" w14:textId="77777777" w:rsidR="00157015" w:rsidRPr="00F32542" w:rsidRDefault="00157015" w:rsidP="00157015">
      <w:pPr>
        <w:spacing w:after="0" w:line="360" w:lineRule="auto"/>
        <w:jc w:val="both"/>
        <w:rPr>
          <w:rFonts w:ascii="Arial" w:eastAsia="Calibri" w:hAnsi="Arial" w:cs="Arial"/>
          <w:sz w:val="28"/>
          <w:szCs w:val="28"/>
        </w:rPr>
      </w:pPr>
    </w:p>
    <w:p w14:paraId="06EB78A9"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Así, las circunstancias deben valorarse en cada caso, atendiendo al contexto y </w:t>
      </w:r>
      <w:r w:rsidRPr="00F32542">
        <w:rPr>
          <w:rFonts w:ascii="Arial" w:eastAsia="Calibri" w:hAnsi="Arial" w:cs="Arial"/>
          <w:b/>
          <w:sz w:val="28"/>
          <w:szCs w:val="28"/>
        </w:rPr>
        <w:t>al grado de afectación de cada principio, con la finalidad de garantizar un equilibrio entre las reglas desarrolladas</w:t>
      </w:r>
      <w:r w:rsidRPr="00F32542">
        <w:rPr>
          <w:rFonts w:ascii="Arial" w:eastAsia="Calibri" w:hAnsi="Arial" w:cs="Arial"/>
          <w:sz w:val="28"/>
          <w:szCs w:val="28"/>
        </w:rPr>
        <w:t xml:space="preserve"> y los principios involucrados en la integración de las listas definitivas.</w:t>
      </w:r>
    </w:p>
    <w:p w14:paraId="12809BE0" w14:textId="77777777" w:rsidR="00157015" w:rsidRPr="00F32542" w:rsidRDefault="00157015" w:rsidP="00157015">
      <w:pPr>
        <w:spacing w:after="0" w:line="360" w:lineRule="auto"/>
        <w:jc w:val="both"/>
        <w:rPr>
          <w:rFonts w:ascii="Arial" w:eastAsia="Calibri" w:hAnsi="Arial" w:cs="Arial"/>
          <w:sz w:val="28"/>
          <w:szCs w:val="28"/>
        </w:rPr>
      </w:pPr>
    </w:p>
    <w:p w14:paraId="6AE8A7DB"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De tal modo que las reglas establecidas en la </w:t>
      </w:r>
      <w:r w:rsidRPr="00F32542">
        <w:rPr>
          <w:rFonts w:ascii="Arial" w:eastAsia="Calibri" w:hAnsi="Arial" w:cs="Arial"/>
          <w:i/>
          <w:sz w:val="28"/>
          <w:szCs w:val="28"/>
        </w:rPr>
        <w:t xml:space="preserve">Constitución local, </w:t>
      </w:r>
      <w:r w:rsidRPr="00F32542">
        <w:rPr>
          <w:rFonts w:ascii="Arial" w:eastAsia="Calibri" w:hAnsi="Arial" w:cs="Arial"/>
          <w:sz w:val="28"/>
          <w:szCs w:val="28"/>
        </w:rPr>
        <w:t xml:space="preserve">el </w:t>
      </w:r>
      <w:r w:rsidRPr="00F32542">
        <w:rPr>
          <w:rFonts w:ascii="Arial" w:eastAsia="Calibri" w:hAnsi="Arial" w:cs="Arial"/>
          <w:i/>
          <w:sz w:val="28"/>
          <w:szCs w:val="28"/>
        </w:rPr>
        <w:t xml:space="preserve">Código local </w:t>
      </w:r>
      <w:r w:rsidRPr="00F32542">
        <w:rPr>
          <w:rFonts w:ascii="Arial" w:eastAsia="Calibri" w:hAnsi="Arial" w:cs="Arial"/>
          <w:sz w:val="28"/>
          <w:szCs w:val="28"/>
        </w:rPr>
        <w:t xml:space="preserve">y los </w:t>
      </w:r>
      <w:r w:rsidRPr="00F32542">
        <w:rPr>
          <w:rFonts w:ascii="Arial" w:eastAsia="Calibri" w:hAnsi="Arial" w:cs="Arial"/>
          <w:i/>
          <w:sz w:val="28"/>
          <w:szCs w:val="28"/>
        </w:rPr>
        <w:t xml:space="preserve">Lineamientos de asignación </w:t>
      </w:r>
      <w:r w:rsidRPr="00F32542">
        <w:rPr>
          <w:rFonts w:ascii="Arial" w:eastAsia="Calibri" w:hAnsi="Arial" w:cs="Arial"/>
          <w:sz w:val="28"/>
          <w:szCs w:val="28"/>
        </w:rPr>
        <w:t>deben ser interpretados de manera armónica y de conformidad con los principios citados, evitando una mayor afectación en ellos y estableciendo una ponderación adecuada en su aplicación.</w:t>
      </w:r>
    </w:p>
    <w:p w14:paraId="7A7C6155" w14:textId="77777777" w:rsidR="00157015" w:rsidRPr="00F32542" w:rsidRDefault="00157015" w:rsidP="00157015">
      <w:pPr>
        <w:spacing w:after="0" w:line="360" w:lineRule="auto"/>
        <w:jc w:val="both"/>
        <w:rPr>
          <w:rFonts w:ascii="Arial" w:eastAsia="Calibri" w:hAnsi="Arial" w:cs="Arial"/>
          <w:sz w:val="28"/>
          <w:szCs w:val="28"/>
        </w:rPr>
      </w:pPr>
    </w:p>
    <w:p w14:paraId="10AF05EC"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Por tanto, al ser los principios invocados mandatos de optimización que permiten u obligan a un comportamiento en la mayor medida posible, este Tribunal considera adecuado ponderar la manera en que tales principios confluyen en la integración total del Congreso de la Ciudad de México, sino en el número de diputaciones alcanzadas por cada partido político. </w:t>
      </w:r>
    </w:p>
    <w:p w14:paraId="2582F4F2" w14:textId="77777777" w:rsidR="00157015" w:rsidRPr="00F32542" w:rsidRDefault="00157015" w:rsidP="00157015">
      <w:pPr>
        <w:spacing w:after="0" w:line="360" w:lineRule="auto"/>
        <w:jc w:val="both"/>
        <w:rPr>
          <w:rFonts w:ascii="Arial" w:eastAsia="Calibri" w:hAnsi="Arial" w:cs="Arial"/>
          <w:sz w:val="28"/>
          <w:szCs w:val="28"/>
        </w:rPr>
      </w:pPr>
    </w:p>
    <w:p w14:paraId="2BFBA2F6"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lastRenderedPageBreak/>
        <w:t>Por tanto, al procurarse la equilibrada interacción de tales mandatos —de manera que unos no afecten a otros en forma innecesaria o desproporcionada— respecto a las posiciones obtenidas por cada partido, ello terminará por reflejarse positivamente en la integración final de</w:t>
      </w:r>
      <w:r w:rsidR="00157015" w:rsidRPr="00F32542">
        <w:rPr>
          <w:rFonts w:ascii="Arial" w:eastAsia="Calibri" w:hAnsi="Arial" w:cs="Arial"/>
          <w:sz w:val="28"/>
          <w:szCs w:val="28"/>
        </w:rPr>
        <w:t>l</w:t>
      </w:r>
      <w:r w:rsidRPr="00F32542">
        <w:rPr>
          <w:rFonts w:ascii="Arial" w:eastAsia="Calibri" w:hAnsi="Arial" w:cs="Arial"/>
          <w:sz w:val="28"/>
          <w:szCs w:val="28"/>
        </w:rPr>
        <w:t xml:space="preserve"> órgano parlamentario. </w:t>
      </w:r>
    </w:p>
    <w:p w14:paraId="6FA76FEF" w14:textId="77777777" w:rsidR="00157015" w:rsidRPr="00F32542" w:rsidRDefault="00157015" w:rsidP="00157015">
      <w:pPr>
        <w:spacing w:after="0" w:line="360" w:lineRule="auto"/>
        <w:jc w:val="both"/>
        <w:rPr>
          <w:rFonts w:ascii="Arial" w:eastAsia="Calibri" w:hAnsi="Arial" w:cs="Arial"/>
          <w:sz w:val="28"/>
          <w:szCs w:val="28"/>
        </w:rPr>
      </w:pPr>
    </w:p>
    <w:p w14:paraId="057E295A" w14:textId="77777777" w:rsidR="00F94B48" w:rsidRPr="00F32542" w:rsidRDefault="00157015" w:rsidP="00157015">
      <w:pPr>
        <w:spacing w:after="0" w:line="360" w:lineRule="auto"/>
        <w:jc w:val="both"/>
        <w:rPr>
          <w:rFonts w:ascii="Arial" w:eastAsia="Calibri" w:hAnsi="Arial" w:cs="Arial"/>
          <w:b/>
          <w:sz w:val="28"/>
          <w:szCs w:val="28"/>
        </w:rPr>
      </w:pPr>
      <w:r w:rsidRPr="00F32542">
        <w:rPr>
          <w:rFonts w:ascii="Arial" w:eastAsia="Calibri" w:hAnsi="Arial" w:cs="Arial"/>
          <w:b/>
          <w:sz w:val="28"/>
          <w:szCs w:val="28"/>
        </w:rPr>
        <w:t>2</w:t>
      </w:r>
      <w:r w:rsidR="00F94B48" w:rsidRPr="00F32542">
        <w:rPr>
          <w:rFonts w:ascii="Arial" w:eastAsia="Calibri" w:hAnsi="Arial" w:cs="Arial"/>
          <w:b/>
          <w:sz w:val="28"/>
          <w:szCs w:val="28"/>
        </w:rPr>
        <w:t>. Caso concreto</w:t>
      </w:r>
      <w:r w:rsidRPr="00F32542">
        <w:rPr>
          <w:rFonts w:ascii="Arial" w:eastAsia="Calibri" w:hAnsi="Arial" w:cs="Arial"/>
          <w:b/>
          <w:sz w:val="28"/>
          <w:szCs w:val="28"/>
        </w:rPr>
        <w:t>.</w:t>
      </w:r>
      <w:r w:rsidR="00F94B48" w:rsidRPr="00F32542">
        <w:rPr>
          <w:rFonts w:ascii="Arial" w:eastAsia="Calibri" w:hAnsi="Arial" w:cs="Arial"/>
          <w:b/>
          <w:sz w:val="28"/>
          <w:szCs w:val="28"/>
        </w:rPr>
        <w:t xml:space="preserve"> </w:t>
      </w:r>
    </w:p>
    <w:p w14:paraId="5405092E" w14:textId="77777777" w:rsidR="00157015" w:rsidRPr="00F32542" w:rsidRDefault="00157015" w:rsidP="00157015">
      <w:pPr>
        <w:spacing w:after="0" w:line="360" w:lineRule="auto"/>
        <w:jc w:val="both"/>
        <w:rPr>
          <w:rFonts w:ascii="Arial" w:eastAsia="Calibri" w:hAnsi="Arial" w:cs="Arial"/>
          <w:b/>
          <w:sz w:val="28"/>
          <w:szCs w:val="28"/>
        </w:rPr>
      </w:pPr>
    </w:p>
    <w:p w14:paraId="603E1F59"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Como se aprecia a partir de la síntesis de agravios, la pretensión de MORENA y de José Luis Rodríguez Díaz de León, radica en que a este último se le asigne la última de las posiciones de representación proporcional que le correspondió al partido. </w:t>
      </w:r>
    </w:p>
    <w:p w14:paraId="4A4579EA" w14:textId="77777777" w:rsidR="00157015" w:rsidRPr="00F32542" w:rsidRDefault="00157015" w:rsidP="00157015">
      <w:pPr>
        <w:spacing w:after="0" w:line="360" w:lineRule="auto"/>
        <w:jc w:val="both"/>
        <w:rPr>
          <w:rFonts w:ascii="Arial" w:eastAsia="Calibri" w:hAnsi="Arial" w:cs="Arial"/>
          <w:sz w:val="28"/>
          <w:szCs w:val="28"/>
        </w:rPr>
      </w:pPr>
    </w:p>
    <w:p w14:paraId="6662E504"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Pues consideran que existió una incorrecta conformación de los bloques de la lista definitiva, ya que debió considerarse que obtuvo una mayor votación frente a otras candidaturas que sí alcanzaron una asignación. </w:t>
      </w:r>
    </w:p>
    <w:p w14:paraId="7AF8B094" w14:textId="77777777" w:rsidR="00157015" w:rsidRPr="00F32542" w:rsidRDefault="00157015" w:rsidP="00157015">
      <w:pPr>
        <w:spacing w:after="0" w:line="360" w:lineRule="auto"/>
        <w:jc w:val="both"/>
        <w:rPr>
          <w:rFonts w:ascii="Arial" w:eastAsia="Calibri" w:hAnsi="Arial" w:cs="Arial"/>
          <w:sz w:val="28"/>
          <w:szCs w:val="28"/>
        </w:rPr>
      </w:pPr>
    </w:p>
    <w:p w14:paraId="319B0DB6"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Para analizar el agravio es necesario exponer el contexto de las personas que fueron electas a favor de MORENA y de la asignación de las candidaturas de representación proporcional a ese partido. </w:t>
      </w:r>
    </w:p>
    <w:p w14:paraId="2469C0FB" w14:textId="77777777" w:rsidR="00157015" w:rsidRPr="00F32542" w:rsidRDefault="00157015" w:rsidP="00157015">
      <w:pPr>
        <w:spacing w:after="0" w:line="360" w:lineRule="auto"/>
        <w:jc w:val="both"/>
        <w:rPr>
          <w:rFonts w:ascii="Arial" w:eastAsia="Calibri" w:hAnsi="Arial" w:cs="Arial"/>
          <w:sz w:val="28"/>
          <w:szCs w:val="28"/>
        </w:rPr>
      </w:pPr>
    </w:p>
    <w:p w14:paraId="081D2A10" w14:textId="77777777" w:rsidR="00F94B48" w:rsidRPr="00F32542" w:rsidRDefault="00F94B48" w:rsidP="00157015">
      <w:pPr>
        <w:spacing w:after="0" w:line="360" w:lineRule="auto"/>
        <w:jc w:val="both"/>
        <w:rPr>
          <w:rFonts w:ascii="Arial" w:eastAsia="Calibri" w:hAnsi="Arial" w:cs="Arial"/>
          <w:bCs/>
          <w:sz w:val="28"/>
          <w:szCs w:val="28"/>
        </w:rPr>
      </w:pPr>
      <w:r w:rsidRPr="00F32542">
        <w:rPr>
          <w:rFonts w:ascii="Arial" w:eastAsia="Calibri" w:hAnsi="Arial" w:cs="Arial"/>
          <w:sz w:val="28"/>
          <w:szCs w:val="28"/>
        </w:rPr>
        <w:t>Pues bien, como se expone en el acuerdo impugnado (</w:t>
      </w:r>
      <w:r w:rsidRPr="00F32542">
        <w:rPr>
          <w:rFonts w:ascii="Arial" w:eastAsia="Calibri" w:hAnsi="Arial" w:cs="Arial"/>
          <w:b/>
          <w:bCs/>
          <w:sz w:val="28"/>
          <w:szCs w:val="28"/>
        </w:rPr>
        <w:t>IECM/ACU-CG-324/2021</w:t>
      </w:r>
      <w:r w:rsidRPr="00F32542">
        <w:rPr>
          <w:rFonts w:ascii="Arial" w:eastAsia="Calibri" w:hAnsi="Arial" w:cs="Arial"/>
          <w:bCs/>
          <w:sz w:val="28"/>
          <w:szCs w:val="28"/>
        </w:rPr>
        <w:t xml:space="preserve">), Morena obtuvo dieciocho (18) diputaciones de mayoría relativa. </w:t>
      </w:r>
    </w:p>
    <w:p w14:paraId="61E36939" w14:textId="77777777" w:rsidR="00157015" w:rsidRPr="00F32542" w:rsidRDefault="00157015" w:rsidP="00157015">
      <w:pPr>
        <w:spacing w:after="0" w:line="360" w:lineRule="auto"/>
        <w:jc w:val="both"/>
        <w:rPr>
          <w:rFonts w:ascii="Arial" w:eastAsia="Calibri" w:hAnsi="Arial" w:cs="Arial"/>
          <w:bCs/>
          <w:sz w:val="28"/>
          <w:szCs w:val="28"/>
        </w:rPr>
      </w:pPr>
    </w:p>
    <w:p w14:paraId="6C489F7F" w14:textId="77777777" w:rsidR="00F94B48" w:rsidRPr="00F32542" w:rsidRDefault="00F94B48" w:rsidP="00157015">
      <w:pPr>
        <w:spacing w:after="0" w:line="360" w:lineRule="auto"/>
        <w:jc w:val="both"/>
        <w:rPr>
          <w:rFonts w:ascii="Arial" w:eastAsia="Calibri" w:hAnsi="Arial" w:cs="Arial"/>
          <w:bCs/>
          <w:sz w:val="28"/>
          <w:szCs w:val="28"/>
        </w:rPr>
      </w:pPr>
      <w:r w:rsidRPr="00F32542">
        <w:rPr>
          <w:rFonts w:ascii="Arial" w:eastAsia="Calibri" w:hAnsi="Arial" w:cs="Arial"/>
          <w:bCs/>
          <w:sz w:val="28"/>
          <w:szCs w:val="28"/>
        </w:rPr>
        <w:t xml:space="preserve">De ellas, doce (12) fueron para mujeres y seis (6), para hombres. De tal modo que, en la elección de mayoría relativa, las mujeres superan en un cien por ciento a los hombres que fueron electos por Morena. </w:t>
      </w:r>
    </w:p>
    <w:p w14:paraId="391BCBA4" w14:textId="77777777" w:rsidR="00157015" w:rsidRPr="00F32542" w:rsidRDefault="00157015" w:rsidP="00157015">
      <w:pPr>
        <w:spacing w:after="0" w:line="360" w:lineRule="auto"/>
        <w:jc w:val="both"/>
        <w:rPr>
          <w:rFonts w:ascii="Arial" w:eastAsia="Calibri" w:hAnsi="Arial" w:cs="Arial"/>
          <w:bCs/>
          <w:sz w:val="28"/>
          <w:szCs w:val="28"/>
        </w:rPr>
      </w:pPr>
    </w:p>
    <w:p w14:paraId="7A6019D5" w14:textId="77777777" w:rsidR="00F94B48" w:rsidRPr="00F32542" w:rsidRDefault="00F94B48" w:rsidP="00157015">
      <w:pPr>
        <w:spacing w:after="0" w:line="360" w:lineRule="auto"/>
        <w:jc w:val="both"/>
        <w:rPr>
          <w:rFonts w:ascii="Arial" w:eastAsia="Calibri" w:hAnsi="Arial" w:cs="Arial"/>
          <w:bCs/>
          <w:sz w:val="28"/>
          <w:szCs w:val="28"/>
        </w:rPr>
      </w:pPr>
      <w:r w:rsidRPr="00F32542">
        <w:rPr>
          <w:rFonts w:ascii="Arial" w:eastAsia="Calibri" w:hAnsi="Arial" w:cs="Arial"/>
          <w:bCs/>
          <w:sz w:val="28"/>
          <w:szCs w:val="28"/>
        </w:rPr>
        <w:t xml:space="preserve">En cuanto a la elección de representación proporcional, a Morena le correspondieron catorce (14) diputaciones, cuestión que no es objeto de controversia. </w:t>
      </w:r>
    </w:p>
    <w:p w14:paraId="53CBF69D" w14:textId="77777777" w:rsidR="00157015" w:rsidRPr="00F32542" w:rsidRDefault="00157015" w:rsidP="00157015">
      <w:pPr>
        <w:spacing w:after="0" w:line="360" w:lineRule="auto"/>
        <w:jc w:val="both"/>
        <w:rPr>
          <w:rFonts w:ascii="Arial" w:eastAsia="Calibri" w:hAnsi="Arial" w:cs="Arial"/>
          <w:bCs/>
          <w:sz w:val="28"/>
          <w:szCs w:val="28"/>
        </w:rPr>
      </w:pPr>
    </w:p>
    <w:p w14:paraId="52C0D726" w14:textId="77777777" w:rsidR="00F94B48" w:rsidRPr="00F32542" w:rsidRDefault="00F94B48" w:rsidP="00157015">
      <w:pPr>
        <w:spacing w:after="0" w:line="360" w:lineRule="auto"/>
        <w:jc w:val="both"/>
        <w:rPr>
          <w:rFonts w:ascii="Arial" w:eastAsia="Calibri" w:hAnsi="Arial" w:cs="Arial"/>
          <w:bCs/>
          <w:sz w:val="28"/>
          <w:szCs w:val="28"/>
        </w:rPr>
      </w:pPr>
      <w:r w:rsidRPr="00F32542">
        <w:rPr>
          <w:rFonts w:ascii="Arial" w:eastAsia="Calibri" w:hAnsi="Arial" w:cs="Arial"/>
          <w:bCs/>
          <w:sz w:val="28"/>
          <w:szCs w:val="28"/>
        </w:rPr>
        <w:t xml:space="preserve">Ahora bien, la lista definitiva conforme a la cual se asignaron tales diputaciones a </w:t>
      </w:r>
      <w:proofErr w:type="gramStart"/>
      <w:r w:rsidRPr="00F32542">
        <w:rPr>
          <w:rFonts w:ascii="Arial" w:eastAsia="Calibri" w:hAnsi="Arial" w:cs="Arial"/>
          <w:bCs/>
          <w:sz w:val="28"/>
          <w:szCs w:val="28"/>
        </w:rPr>
        <w:t>MORENA,</w:t>
      </w:r>
      <w:proofErr w:type="gramEnd"/>
      <w:r w:rsidRPr="00F32542">
        <w:rPr>
          <w:rFonts w:ascii="Arial" w:eastAsia="Calibri" w:hAnsi="Arial" w:cs="Arial"/>
          <w:bCs/>
          <w:sz w:val="28"/>
          <w:szCs w:val="28"/>
        </w:rPr>
        <w:t xml:space="preserve"> es la siguiente</w:t>
      </w:r>
      <w:r w:rsidRPr="00F32542">
        <w:rPr>
          <w:rFonts w:ascii="Arial" w:eastAsia="Calibri" w:hAnsi="Arial" w:cs="Arial"/>
          <w:bCs/>
          <w:sz w:val="28"/>
          <w:szCs w:val="28"/>
          <w:vertAlign w:val="superscript"/>
        </w:rPr>
        <w:footnoteReference w:id="50"/>
      </w:r>
      <w:r w:rsidRPr="00F32542">
        <w:rPr>
          <w:rFonts w:ascii="Arial" w:eastAsia="Calibri" w:hAnsi="Arial" w:cs="Arial"/>
          <w:bCs/>
          <w:sz w:val="28"/>
          <w:szCs w:val="28"/>
        </w:rPr>
        <w:t>:</w:t>
      </w:r>
    </w:p>
    <w:p w14:paraId="4B0ABF25" w14:textId="77777777" w:rsidR="00157015" w:rsidRPr="00F32542" w:rsidRDefault="00157015" w:rsidP="00157015">
      <w:pPr>
        <w:spacing w:after="0" w:line="360" w:lineRule="auto"/>
        <w:jc w:val="both"/>
        <w:rPr>
          <w:rFonts w:ascii="Arial" w:eastAsia="Calibri" w:hAnsi="Arial" w:cs="Arial"/>
          <w:bCs/>
          <w:sz w:val="28"/>
          <w:szCs w:val="28"/>
        </w:rPr>
      </w:pPr>
    </w:p>
    <w:tbl>
      <w:tblPr>
        <w:tblStyle w:val="Tablaconcuadrcula25"/>
        <w:tblW w:w="0" w:type="auto"/>
        <w:tblLook w:val="04A0" w:firstRow="1" w:lastRow="0" w:firstColumn="1" w:lastColumn="0" w:noHBand="0" w:noVBand="1"/>
      </w:tblPr>
      <w:tblGrid>
        <w:gridCol w:w="542"/>
        <w:gridCol w:w="2829"/>
        <w:gridCol w:w="758"/>
        <w:gridCol w:w="2541"/>
        <w:gridCol w:w="1876"/>
      </w:tblGrid>
      <w:tr w:rsidR="00F94B48" w:rsidRPr="00F32542" w14:paraId="6E83909B" w14:textId="77777777" w:rsidTr="00157015">
        <w:trPr>
          <w:tblHeader/>
        </w:trPr>
        <w:tc>
          <w:tcPr>
            <w:tcW w:w="546" w:type="dxa"/>
            <w:tcBorders>
              <w:bottom w:val="single" w:sz="4" w:space="0" w:color="auto"/>
            </w:tcBorders>
            <w:shd w:val="clear" w:color="auto" w:fill="BFBFBF" w:themeFill="background1" w:themeFillShade="BF"/>
          </w:tcPr>
          <w:p w14:paraId="7653CF52" w14:textId="77777777" w:rsidR="00F94B48" w:rsidRPr="00F32542" w:rsidRDefault="00F94B48" w:rsidP="00F94B48">
            <w:pPr>
              <w:spacing w:after="0" w:line="240" w:lineRule="auto"/>
              <w:jc w:val="both"/>
              <w:rPr>
                <w:rFonts w:ascii="Arial" w:eastAsia="Calibri" w:hAnsi="Arial" w:cs="Arial"/>
                <w:b/>
                <w:sz w:val="20"/>
                <w:szCs w:val="20"/>
              </w:rPr>
            </w:pPr>
            <w:r w:rsidRPr="00F32542">
              <w:rPr>
                <w:rFonts w:ascii="Arial" w:eastAsia="Calibri" w:hAnsi="Arial" w:cs="Arial"/>
                <w:b/>
                <w:sz w:val="20"/>
                <w:szCs w:val="20"/>
              </w:rPr>
              <w:t>No</w:t>
            </w:r>
          </w:p>
        </w:tc>
        <w:tc>
          <w:tcPr>
            <w:tcW w:w="2939" w:type="dxa"/>
            <w:tcBorders>
              <w:bottom w:val="single" w:sz="4" w:space="0" w:color="auto"/>
            </w:tcBorders>
            <w:shd w:val="clear" w:color="auto" w:fill="BFBFBF" w:themeFill="background1" w:themeFillShade="BF"/>
          </w:tcPr>
          <w:p w14:paraId="084577AD"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Nombre (propietario)</w:t>
            </w:r>
          </w:p>
        </w:tc>
        <w:tc>
          <w:tcPr>
            <w:tcW w:w="763" w:type="dxa"/>
            <w:tcBorders>
              <w:bottom w:val="single" w:sz="4" w:space="0" w:color="auto"/>
            </w:tcBorders>
            <w:shd w:val="clear" w:color="auto" w:fill="BFBFBF" w:themeFill="background1" w:themeFillShade="BF"/>
          </w:tcPr>
          <w:p w14:paraId="6C0CD720"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 xml:space="preserve">Sexo </w:t>
            </w:r>
          </w:p>
        </w:tc>
        <w:tc>
          <w:tcPr>
            <w:tcW w:w="2655" w:type="dxa"/>
            <w:tcBorders>
              <w:bottom w:val="single" w:sz="4" w:space="0" w:color="auto"/>
            </w:tcBorders>
            <w:shd w:val="clear" w:color="auto" w:fill="BFBFBF" w:themeFill="background1" w:themeFillShade="BF"/>
          </w:tcPr>
          <w:p w14:paraId="43A5D811" w14:textId="77777777" w:rsidR="00F94B48" w:rsidRPr="00F32542" w:rsidRDefault="00F94B48" w:rsidP="00F94B48">
            <w:pPr>
              <w:spacing w:after="0" w:line="240" w:lineRule="auto"/>
              <w:jc w:val="center"/>
              <w:rPr>
                <w:rFonts w:ascii="Arial" w:eastAsia="Calibri" w:hAnsi="Arial" w:cs="Arial"/>
                <w:b/>
                <w:sz w:val="20"/>
                <w:szCs w:val="20"/>
                <w:u w:val="single"/>
              </w:rPr>
            </w:pPr>
            <w:r w:rsidRPr="00F32542">
              <w:rPr>
                <w:rFonts w:ascii="Arial" w:eastAsia="Calibri" w:hAnsi="Arial" w:cs="Arial"/>
                <w:b/>
                <w:sz w:val="20"/>
                <w:szCs w:val="20"/>
                <w:u w:val="single"/>
              </w:rPr>
              <w:t xml:space="preserve">Lugar y lista de la que proviene </w:t>
            </w:r>
          </w:p>
        </w:tc>
        <w:tc>
          <w:tcPr>
            <w:tcW w:w="1925" w:type="dxa"/>
            <w:tcBorders>
              <w:bottom w:val="single" w:sz="4" w:space="0" w:color="auto"/>
            </w:tcBorders>
            <w:shd w:val="clear" w:color="auto" w:fill="BFBFBF" w:themeFill="background1" w:themeFillShade="BF"/>
          </w:tcPr>
          <w:p w14:paraId="4C5EDE50"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Porcentaje de votación</w:t>
            </w:r>
          </w:p>
        </w:tc>
      </w:tr>
      <w:tr w:rsidR="00F94B48" w:rsidRPr="00F32542" w14:paraId="3D1B2ACC" w14:textId="77777777" w:rsidTr="00157015">
        <w:trPr>
          <w:trHeight w:val="533"/>
        </w:trPr>
        <w:tc>
          <w:tcPr>
            <w:tcW w:w="546" w:type="dxa"/>
            <w:shd w:val="clear" w:color="auto" w:fill="D9D9D9" w:themeFill="background1" w:themeFillShade="D9"/>
            <w:vAlign w:val="center"/>
          </w:tcPr>
          <w:p w14:paraId="484F7994"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w:t>
            </w:r>
          </w:p>
        </w:tc>
        <w:tc>
          <w:tcPr>
            <w:tcW w:w="2939" w:type="dxa"/>
            <w:shd w:val="clear" w:color="auto" w:fill="D9D9D9" w:themeFill="background1" w:themeFillShade="D9"/>
            <w:vAlign w:val="center"/>
          </w:tcPr>
          <w:p w14:paraId="2BF7F291"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José de Jesús Martín del Campo Castañeda</w:t>
            </w:r>
          </w:p>
        </w:tc>
        <w:tc>
          <w:tcPr>
            <w:tcW w:w="763" w:type="dxa"/>
            <w:shd w:val="clear" w:color="auto" w:fill="D9D9D9" w:themeFill="background1" w:themeFillShade="D9"/>
            <w:vAlign w:val="center"/>
          </w:tcPr>
          <w:p w14:paraId="6221694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655" w:type="dxa"/>
            <w:shd w:val="clear" w:color="auto" w:fill="D9D9D9" w:themeFill="background1" w:themeFillShade="D9"/>
            <w:vAlign w:val="center"/>
          </w:tcPr>
          <w:p w14:paraId="36D1E43A"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1 </w:t>
            </w:r>
            <w:proofErr w:type="gramStart"/>
            <w:r w:rsidRPr="00F32542">
              <w:rPr>
                <w:rFonts w:ascii="Arial" w:eastAsia="Calibri" w:hAnsi="Arial" w:cs="Arial"/>
                <w:sz w:val="20"/>
                <w:szCs w:val="20"/>
              </w:rPr>
              <w:t>A</w:t>
            </w:r>
            <w:proofErr w:type="gramEnd"/>
          </w:p>
        </w:tc>
        <w:tc>
          <w:tcPr>
            <w:tcW w:w="1925" w:type="dxa"/>
            <w:shd w:val="clear" w:color="auto" w:fill="D9D9D9" w:themeFill="background1" w:themeFillShade="D9"/>
            <w:vAlign w:val="center"/>
          </w:tcPr>
          <w:p w14:paraId="2D2D4775"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No aplica</w:t>
            </w:r>
          </w:p>
        </w:tc>
      </w:tr>
      <w:tr w:rsidR="00F94B48" w:rsidRPr="00F32542" w14:paraId="0E487097" w14:textId="77777777" w:rsidTr="00157015">
        <w:trPr>
          <w:trHeight w:val="533"/>
        </w:trPr>
        <w:tc>
          <w:tcPr>
            <w:tcW w:w="546" w:type="dxa"/>
            <w:shd w:val="clear" w:color="auto" w:fill="D9D9D9" w:themeFill="background1" w:themeFillShade="D9"/>
            <w:vAlign w:val="center"/>
          </w:tcPr>
          <w:p w14:paraId="56459F0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2</w:t>
            </w:r>
          </w:p>
        </w:tc>
        <w:tc>
          <w:tcPr>
            <w:tcW w:w="2939" w:type="dxa"/>
            <w:shd w:val="clear" w:color="auto" w:fill="D9D9D9" w:themeFill="background1" w:themeFillShade="D9"/>
            <w:vAlign w:val="center"/>
          </w:tcPr>
          <w:p w14:paraId="47F30EAF" w14:textId="77777777" w:rsidR="00F94B48" w:rsidRPr="00F32542" w:rsidRDefault="00F94B48" w:rsidP="00F94B48">
            <w:pPr>
              <w:spacing w:after="0" w:line="240" w:lineRule="auto"/>
              <w:jc w:val="center"/>
              <w:rPr>
                <w:rFonts w:ascii="Arial" w:eastAsia="Calibri" w:hAnsi="Arial" w:cs="Arial"/>
                <w:sz w:val="20"/>
                <w:szCs w:val="20"/>
              </w:rPr>
            </w:pPr>
            <w:proofErr w:type="spellStart"/>
            <w:r w:rsidRPr="00F32542">
              <w:rPr>
                <w:rFonts w:ascii="Arial" w:eastAsia="Calibri" w:hAnsi="Arial" w:cs="Arial"/>
                <w:sz w:val="20"/>
                <w:szCs w:val="20"/>
              </w:rPr>
              <w:t>Yuriri</w:t>
            </w:r>
            <w:proofErr w:type="spellEnd"/>
            <w:r w:rsidRPr="00F32542">
              <w:rPr>
                <w:rFonts w:ascii="Arial" w:eastAsia="Calibri" w:hAnsi="Arial" w:cs="Arial"/>
                <w:sz w:val="20"/>
                <w:szCs w:val="20"/>
              </w:rPr>
              <w:t xml:space="preserve"> Ayala Zúñiga </w:t>
            </w:r>
          </w:p>
        </w:tc>
        <w:tc>
          <w:tcPr>
            <w:tcW w:w="763" w:type="dxa"/>
            <w:shd w:val="clear" w:color="auto" w:fill="D9D9D9" w:themeFill="background1" w:themeFillShade="D9"/>
            <w:vAlign w:val="center"/>
          </w:tcPr>
          <w:p w14:paraId="5287376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655" w:type="dxa"/>
            <w:shd w:val="clear" w:color="auto" w:fill="D9D9D9" w:themeFill="background1" w:themeFillShade="D9"/>
            <w:vAlign w:val="center"/>
          </w:tcPr>
          <w:p w14:paraId="286620F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 B</w:t>
            </w:r>
          </w:p>
        </w:tc>
        <w:tc>
          <w:tcPr>
            <w:tcW w:w="1925" w:type="dxa"/>
            <w:shd w:val="clear" w:color="auto" w:fill="D9D9D9" w:themeFill="background1" w:themeFillShade="D9"/>
            <w:vAlign w:val="center"/>
          </w:tcPr>
          <w:p w14:paraId="710CACA7"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45.56</w:t>
            </w:r>
          </w:p>
        </w:tc>
      </w:tr>
      <w:tr w:rsidR="00F94B48" w:rsidRPr="00F32542" w14:paraId="13FD8723" w14:textId="77777777" w:rsidTr="00B65D24">
        <w:trPr>
          <w:trHeight w:val="533"/>
        </w:trPr>
        <w:tc>
          <w:tcPr>
            <w:tcW w:w="546" w:type="dxa"/>
            <w:vAlign w:val="center"/>
          </w:tcPr>
          <w:p w14:paraId="0C141651"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3</w:t>
            </w:r>
          </w:p>
        </w:tc>
        <w:tc>
          <w:tcPr>
            <w:tcW w:w="2939" w:type="dxa"/>
            <w:vAlign w:val="center"/>
          </w:tcPr>
          <w:p w14:paraId="79A8E38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Leticia Estrada Hernández </w:t>
            </w:r>
          </w:p>
        </w:tc>
        <w:tc>
          <w:tcPr>
            <w:tcW w:w="763" w:type="dxa"/>
            <w:vAlign w:val="center"/>
          </w:tcPr>
          <w:p w14:paraId="5F2CFA5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655" w:type="dxa"/>
            <w:vAlign w:val="center"/>
          </w:tcPr>
          <w:p w14:paraId="5B8DE9F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2 </w:t>
            </w:r>
            <w:proofErr w:type="gramStart"/>
            <w:r w:rsidRPr="00F32542">
              <w:rPr>
                <w:rFonts w:ascii="Arial" w:eastAsia="Calibri" w:hAnsi="Arial" w:cs="Arial"/>
                <w:sz w:val="20"/>
                <w:szCs w:val="20"/>
              </w:rPr>
              <w:t>A</w:t>
            </w:r>
            <w:proofErr w:type="gramEnd"/>
          </w:p>
        </w:tc>
        <w:tc>
          <w:tcPr>
            <w:tcW w:w="1925" w:type="dxa"/>
            <w:vAlign w:val="center"/>
          </w:tcPr>
          <w:p w14:paraId="6E56D385"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No aplica </w:t>
            </w:r>
          </w:p>
        </w:tc>
      </w:tr>
      <w:tr w:rsidR="00F94B48" w:rsidRPr="00F32542" w14:paraId="00D14292" w14:textId="77777777" w:rsidTr="00B65D24">
        <w:trPr>
          <w:trHeight w:val="533"/>
        </w:trPr>
        <w:tc>
          <w:tcPr>
            <w:tcW w:w="546" w:type="dxa"/>
            <w:tcBorders>
              <w:bottom w:val="single" w:sz="4" w:space="0" w:color="auto"/>
            </w:tcBorders>
            <w:vAlign w:val="center"/>
          </w:tcPr>
          <w:p w14:paraId="0035F9E6"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4</w:t>
            </w:r>
          </w:p>
        </w:tc>
        <w:tc>
          <w:tcPr>
            <w:tcW w:w="2939" w:type="dxa"/>
            <w:tcBorders>
              <w:bottom w:val="single" w:sz="4" w:space="0" w:color="auto"/>
            </w:tcBorders>
            <w:vAlign w:val="center"/>
          </w:tcPr>
          <w:p w14:paraId="31C0982A"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Marco Antonio Temístocles Villanueva Ramos </w:t>
            </w:r>
          </w:p>
        </w:tc>
        <w:tc>
          <w:tcPr>
            <w:tcW w:w="763" w:type="dxa"/>
            <w:tcBorders>
              <w:bottom w:val="single" w:sz="4" w:space="0" w:color="auto"/>
            </w:tcBorders>
            <w:vAlign w:val="center"/>
          </w:tcPr>
          <w:p w14:paraId="449A522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655" w:type="dxa"/>
            <w:tcBorders>
              <w:bottom w:val="single" w:sz="4" w:space="0" w:color="auto"/>
            </w:tcBorders>
            <w:vAlign w:val="center"/>
          </w:tcPr>
          <w:p w14:paraId="6F4EBB05"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2 B</w:t>
            </w:r>
          </w:p>
        </w:tc>
        <w:tc>
          <w:tcPr>
            <w:tcW w:w="1925" w:type="dxa"/>
            <w:tcBorders>
              <w:bottom w:val="single" w:sz="4" w:space="0" w:color="auto"/>
            </w:tcBorders>
            <w:vAlign w:val="center"/>
          </w:tcPr>
          <w:p w14:paraId="3A699DA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42.02</w:t>
            </w:r>
          </w:p>
        </w:tc>
      </w:tr>
      <w:tr w:rsidR="00F94B48" w:rsidRPr="00F32542" w14:paraId="73791721" w14:textId="77777777" w:rsidTr="00157015">
        <w:trPr>
          <w:trHeight w:val="533"/>
        </w:trPr>
        <w:tc>
          <w:tcPr>
            <w:tcW w:w="546" w:type="dxa"/>
            <w:shd w:val="clear" w:color="auto" w:fill="D0CECE"/>
            <w:vAlign w:val="center"/>
          </w:tcPr>
          <w:p w14:paraId="76F3920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5</w:t>
            </w:r>
          </w:p>
        </w:tc>
        <w:tc>
          <w:tcPr>
            <w:tcW w:w="2939" w:type="dxa"/>
            <w:shd w:val="clear" w:color="auto" w:fill="D9D9D9" w:themeFill="background1" w:themeFillShade="D9"/>
            <w:vAlign w:val="center"/>
          </w:tcPr>
          <w:p w14:paraId="7936498B"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Héctor Díaz Polanco</w:t>
            </w:r>
          </w:p>
        </w:tc>
        <w:tc>
          <w:tcPr>
            <w:tcW w:w="763" w:type="dxa"/>
            <w:shd w:val="clear" w:color="auto" w:fill="D9D9D9" w:themeFill="background1" w:themeFillShade="D9"/>
            <w:vAlign w:val="center"/>
          </w:tcPr>
          <w:p w14:paraId="32B062FE"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655" w:type="dxa"/>
            <w:shd w:val="clear" w:color="auto" w:fill="D9D9D9" w:themeFill="background1" w:themeFillShade="D9"/>
            <w:vAlign w:val="center"/>
          </w:tcPr>
          <w:p w14:paraId="33D269B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3 </w:t>
            </w:r>
            <w:proofErr w:type="gramStart"/>
            <w:r w:rsidRPr="00F32542">
              <w:rPr>
                <w:rFonts w:ascii="Arial" w:eastAsia="Calibri" w:hAnsi="Arial" w:cs="Arial"/>
                <w:sz w:val="20"/>
                <w:szCs w:val="20"/>
              </w:rPr>
              <w:t>A</w:t>
            </w:r>
            <w:proofErr w:type="gramEnd"/>
          </w:p>
        </w:tc>
        <w:tc>
          <w:tcPr>
            <w:tcW w:w="1925" w:type="dxa"/>
            <w:shd w:val="clear" w:color="auto" w:fill="D9D9D9" w:themeFill="background1" w:themeFillShade="D9"/>
            <w:vAlign w:val="center"/>
          </w:tcPr>
          <w:p w14:paraId="2A2F4BBB"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No aplica </w:t>
            </w:r>
          </w:p>
        </w:tc>
      </w:tr>
      <w:tr w:rsidR="00F94B48" w:rsidRPr="00F32542" w14:paraId="164159D4" w14:textId="77777777" w:rsidTr="00157015">
        <w:trPr>
          <w:trHeight w:val="533"/>
        </w:trPr>
        <w:tc>
          <w:tcPr>
            <w:tcW w:w="546" w:type="dxa"/>
            <w:shd w:val="clear" w:color="auto" w:fill="D0CECE"/>
            <w:vAlign w:val="center"/>
          </w:tcPr>
          <w:p w14:paraId="077930CC"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6</w:t>
            </w:r>
          </w:p>
        </w:tc>
        <w:tc>
          <w:tcPr>
            <w:tcW w:w="2939" w:type="dxa"/>
            <w:shd w:val="clear" w:color="auto" w:fill="D9D9D9" w:themeFill="background1" w:themeFillShade="D9"/>
            <w:vAlign w:val="center"/>
          </w:tcPr>
          <w:p w14:paraId="4F51B37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Valentina Valia Batres Guadarrama</w:t>
            </w:r>
          </w:p>
        </w:tc>
        <w:tc>
          <w:tcPr>
            <w:tcW w:w="763" w:type="dxa"/>
            <w:shd w:val="clear" w:color="auto" w:fill="D9D9D9" w:themeFill="background1" w:themeFillShade="D9"/>
            <w:vAlign w:val="center"/>
          </w:tcPr>
          <w:p w14:paraId="0C5F90CA"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655" w:type="dxa"/>
            <w:shd w:val="clear" w:color="auto" w:fill="D9D9D9" w:themeFill="background1" w:themeFillShade="D9"/>
            <w:vAlign w:val="center"/>
          </w:tcPr>
          <w:p w14:paraId="494248B5"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3 B</w:t>
            </w:r>
          </w:p>
        </w:tc>
        <w:tc>
          <w:tcPr>
            <w:tcW w:w="1925" w:type="dxa"/>
            <w:shd w:val="clear" w:color="auto" w:fill="D9D9D9" w:themeFill="background1" w:themeFillShade="D9"/>
            <w:vAlign w:val="center"/>
          </w:tcPr>
          <w:p w14:paraId="0EEC31DB"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42.51</w:t>
            </w:r>
          </w:p>
        </w:tc>
      </w:tr>
      <w:tr w:rsidR="00F94B48" w:rsidRPr="00F32542" w14:paraId="35F66B30" w14:textId="77777777" w:rsidTr="00B65D24">
        <w:trPr>
          <w:trHeight w:val="533"/>
        </w:trPr>
        <w:tc>
          <w:tcPr>
            <w:tcW w:w="546" w:type="dxa"/>
            <w:vAlign w:val="center"/>
          </w:tcPr>
          <w:p w14:paraId="641FE77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7</w:t>
            </w:r>
          </w:p>
        </w:tc>
        <w:tc>
          <w:tcPr>
            <w:tcW w:w="2939" w:type="dxa"/>
            <w:vAlign w:val="center"/>
          </w:tcPr>
          <w:p w14:paraId="37009F9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Ana Francis López </w:t>
            </w:r>
            <w:proofErr w:type="spellStart"/>
            <w:r w:rsidRPr="00F32542">
              <w:rPr>
                <w:rFonts w:ascii="Arial" w:eastAsia="Calibri" w:hAnsi="Arial" w:cs="Arial"/>
                <w:sz w:val="20"/>
                <w:szCs w:val="20"/>
              </w:rPr>
              <w:t>Bayghen</w:t>
            </w:r>
            <w:proofErr w:type="spellEnd"/>
            <w:r w:rsidRPr="00F32542">
              <w:rPr>
                <w:rFonts w:ascii="Arial" w:eastAsia="Calibri" w:hAnsi="Arial" w:cs="Arial"/>
                <w:sz w:val="20"/>
                <w:szCs w:val="20"/>
              </w:rPr>
              <w:t xml:space="preserve"> Patiño</w:t>
            </w:r>
          </w:p>
        </w:tc>
        <w:tc>
          <w:tcPr>
            <w:tcW w:w="763" w:type="dxa"/>
            <w:vAlign w:val="center"/>
          </w:tcPr>
          <w:p w14:paraId="2DF672D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655" w:type="dxa"/>
            <w:vAlign w:val="center"/>
          </w:tcPr>
          <w:p w14:paraId="62A1656B"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4 </w:t>
            </w:r>
            <w:proofErr w:type="gramStart"/>
            <w:r w:rsidRPr="00F32542">
              <w:rPr>
                <w:rFonts w:ascii="Arial" w:eastAsia="Calibri" w:hAnsi="Arial" w:cs="Arial"/>
                <w:sz w:val="20"/>
                <w:szCs w:val="20"/>
              </w:rPr>
              <w:t>A</w:t>
            </w:r>
            <w:proofErr w:type="gramEnd"/>
            <w:r w:rsidRPr="00F32542">
              <w:rPr>
                <w:rFonts w:ascii="Arial" w:eastAsia="Calibri" w:hAnsi="Arial" w:cs="Arial"/>
                <w:sz w:val="20"/>
                <w:szCs w:val="20"/>
              </w:rPr>
              <w:t xml:space="preserve"> </w:t>
            </w:r>
          </w:p>
        </w:tc>
        <w:tc>
          <w:tcPr>
            <w:tcW w:w="1925" w:type="dxa"/>
            <w:vAlign w:val="center"/>
          </w:tcPr>
          <w:p w14:paraId="64BCB19B"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No aplica </w:t>
            </w:r>
          </w:p>
        </w:tc>
      </w:tr>
      <w:tr w:rsidR="00F94B48" w:rsidRPr="00F32542" w14:paraId="4D6ED986" w14:textId="77777777" w:rsidTr="00B65D24">
        <w:trPr>
          <w:trHeight w:val="533"/>
        </w:trPr>
        <w:tc>
          <w:tcPr>
            <w:tcW w:w="546" w:type="dxa"/>
            <w:tcBorders>
              <w:bottom w:val="single" w:sz="4" w:space="0" w:color="auto"/>
            </w:tcBorders>
            <w:vAlign w:val="center"/>
          </w:tcPr>
          <w:p w14:paraId="497AEF26"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8</w:t>
            </w:r>
          </w:p>
        </w:tc>
        <w:tc>
          <w:tcPr>
            <w:tcW w:w="2939" w:type="dxa"/>
            <w:tcBorders>
              <w:bottom w:val="single" w:sz="4" w:space="0" w:color="auto"/>
            </w:tcBorders>
            <w:vAlign w:val="center"/>
          </w:tcPr>
          <w:p w14:paraId="0C354F10"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José Fernando Mercado </w:t>
            </w:r>
            <w:proofErr w:type="spellStart"/>
            <w:r w:rsidRPr="00F32542">
              <w:rPr>
                <w:rFonts w:ascii="Arial" w:eastAsia="Calibri" w:hAnsi="Arial" w:cs="Arial"/>
                <w:sz w:val="20"/>
                <w:szCs w:val="20"/>
              </w:rPr>
              <w:t>Guaida</w:t>
            </w:r>
            <w:proofErr w:type="spellEnd"/>
          </w:p>
        </w:tc>
        <w:tc>
          <w:tcPr>
            <w:tcW w:w="763" w:type="dxa"/>
            <w:tcBorders>
              <w:bottom w:val="single" w:sz="4" w:space="0" w:color="auto"/>
            </w:tcBorders>
            <w:vAlign w:val="center"/>
          </w:tcPr>
          <w:p w14:paraId="7426CC8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655" w:type="dxa"/>
            <w:tcBorders>
              <w:bottom w:val="single" w:sz="4" w:space="0" w:color="auto"/>
            </w:tcBorders>
            <w:vAlign w:val="center"/>
          </w:tcPr>
          <w:p w14:paraId="0F80A42C"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4 B</w:t>
            </w:r>
          </w:p>
        </w:tc>
        <w:tc>
          <w:tcPr>
            <w:tcW w:w="1925" w:type="dxa"/>
            <w:tcBorders>
              <w:bottom w:val="single" w:sz="4" w:space="0" w:color="auto"/>
            </w:tcBorders>
            <w:vAlign w:val="center"/>
          </w:tcPr>
          <w:p w14:paraId="5526D2B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40.47</w:t>
            </w:r>
          </w:p>
        </w:tc>
      </w:tr>
      <w:tr w:rsidR="00F94B48" w:rsidRPr="00F32542" w14:paraId="1DAD172A" w14:textId="77777777" w:rsidTr="00157015">
        <w:trPr>
          <w:trHeight w:val="533"/>
        </w:trPr>
        <w:tc>
          <w:tcPr>
            <w:tcW w:w="546" w:type="dxa"/>
            <w:shd w:val="clear" w:color="auto" w:fill="D9D9D9" w:themeFill="background1" w:themeFillShade="D9"/>
            <w:vAlign w:val="center"/>
          </w:tcPr>
          <w:p w14:paraId="309BCD1C"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9</w:t>
            </w:r>
          </w:p>
        </w:tc>
        <w:tc>
          <w:tcPr>
            <w:tcW w:w="2939" w:type="dxa"/>
            <w:shd w:val="clear" w:color="auto" w:fill="D9D9D9" w:themeFill="background1" w:themeFillShade="D9"/>
            <w:vAlign w:val="center"/>
          </w:tcPr>
          <w:p w14:paraId="6418866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José Martín Padilla Sánchez</w:t>
            </w:r>
          </w:p>
        </w:tc>
        <w:tc>
          <w:tcPr>
            <w:tcW w:w="763" w:type="dxa"/>
            <w:shd w:val="clear" w:color="auto" w:fill="D9D9D9" w:themeFill="background1" w:themeFillShade="D9"/>
            <w:vAlign w:val="center"/>
          </w:tcPr>
          <w:p w14:paraId="1BEA334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655" w:type="dxa"/>
            <w:shd w:val="clear" w:color="auto" w:fill="D9D9D9" w:themeFill="background1" w:themeFillShade="D9"/>
            <w:vAlign w:val="center"/>
          </w:tcPr>
          <w:p w14:paraId="02BF0F28"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5 </w:t>
            </w:r>
            <w:proofErr w:type="gramStart"/>
            <w:r w:rsidRPr="00F32542">
              <w:rPr>
                <w:rFonts w:ascii="Arial" w:eastAsia="Calibri" w:hAnsi="Arial" w:cs="Arial"/>
                <w:sz w:val="20"/>
                <w:szCs w:val="20"/>
              </w:rPr>
              <w:t>A</w:t>
            </w:r>
            <w:proofErr w:type="gramEnd"/>
          </w:p>
        </w:tc>
        <w:tc>
          <w:tcPr>
            <w:tcW w:w="1925" w:type="dxa"/>
            <w:shd w:val="clear" w:color="auto" w:fill="D9D9D9" w:themeFill="background1" w:themeFillShade="D9"/>
            <w:vAlign w:val="center"/>
          </w:tcPr>
          <w:p w14:paraId="76B5208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No aplica </w:t>
            </w:r>
          </w:p>
        </w:tc>
      </w:tr>
      <w:tr w:rsidR="00F94B48" w:rsidRPr="00F32542" w14:paraId="570644AA" w14:textId="77777777" w:rsidTr="00157015">
        <w:trPr>
          <w:trHeight w:val="533"/>
        </w:trPr>
        <w:tc>
          <w:tcPr>
            <w:tcW w:w="546" w:type="dxa"/>
            <w:shd w:val="clear" w:color="auto" w:fill="D9D9D9" w:themeFill="background1" w:themeFillShade="D9"/>
            <w:vAlign w:val="center"/>
          </w:tcPr>
          <w:p w14:paraId="145E5B16"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10</w:t>
            </w:r>
          </w:p>
        </w:tc>
        <w:tc>
          <w:tcPr>
            <w:tcW w:w="2939" w:type="dxa"/>
            <w:shd w:val="clear" w:color="auto" w:fill="D9D9D9" w:themeFill="background1" w:themeFillShade="D9"/>
            <w:vAlign w:val="center"/>
          </w:tcPr>
          <w:p w14:paraId="02D910A5"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Xóchitl Bravo Espinosa</w:t>
            </w:r>
          </w:p>
        </w:tc>
        <w:tc>
          <w:tcPr>
            <w:tcW w:w="763" w:type="dxa"/>
            <w:shd w:val="clear" w:color="auto" w:fill="D9D9D9" w:themeFill="background1" w:themeFillShade="D9"/>
            <w:vAlign w:val="center"/>
          </w:tcPr>
          <w:p w14:paraId="5C603F84"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655" w:type="dxa"/>
            <w:shd w:val="clear" w:color="auto" w:fill="D9D9D9" w:themeFill="background1" w:themeFillShade="D9"/>
            <w:vAlign w:val="center"/>
          </w:tcPr>
          <w:p w14:paraId="73717FEC"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5 B</w:t>
            </w:r>
          </w:p>
        </w:tc>
        <w:tc>
          <w:tcPr>
            <w:tcW w:w="1925" w:type="dxa"/>
            <w:shd w:val="clear" w:color="auto" w:fill="D9D9D9" w:themeFill="background1" w:themeFillShade="D9"/>
            <w:vAlign w:val="center"/>
          </w:tcPr>
          <w:p w14:paraId="644570D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34.53</w:t>
            </w:r>
          </w:p>
        </w:tc>
      </w:tr>
      <w:tr w:rsidR="00F94B48" w:rsidRPr="00F32542" w14:paraId="6446767F" w14:textId="77777777" w:rsidTr="00B65D24">
        <w:trPr>
          <w:trHeight w:val="533"/>
        </w:trPr>
        <w:tc>
          <w:tcPr>
            <w:tcW w:w="546" w:type="dxa"/>
            <w:vAlign w:val="center"/>
          </w:tcPr>
          <w:p w14:paraId="26850AD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11</w:t>
            </w:r>
          </w:p>
        </w:tc>
        <w:tc>
          <w:tcPr>
            <w:tcW w:w="2939" w:type="dxa"/>
            <w:vAlign w:val="center"/>
          </w:tcPr>
          <w:p w14:paraId="58FCE4B1"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Alejandra Méndez Vicuña</w:t>
            </w:r>
          </w:p>
        </w:tc>
        <w:tc>
          <w:tcPr>
            <w:tcW w:w="763" w:type="dxa"/>
            <w:vAlign w:val="center"/>
          </w:tcPr>
          <w:p w14:paraId="78DE424C"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655" w:type="dxa"/>
            <w:vAlign w:val="center"/>
          </w:tcPr>
          <w:p w14:paraId="01A26250"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6 </w:t>
            </w:r>
            <w:proofErr w:type="gramStart"/>
            <w:r w:rsidRPr="00F32542">
              <w:rPr>
                <w:rFonts w:ascii="Arial" w:eastAsia="Calibri" w:hAnsi="Arial" w:cs="Arial"/>
                <w:sz w:val="20"/>
                <w:szCs w:val="20"/>
              </w:rPr>
              <w:t>A</w:t>
            </w:r>
            <w:proofErr w:type="gramEnd"/>
          </w:p>
        </w:tc>
        <w:tc>
          <w:tcPr>
            <w:tcW w:w="1925" w:type="dxa"/>
            <w:vAlign w:val="center"/>
          </w:tcPr>
          <w:p w14:paraId="4DA23E8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No aplica </w:t>
            </w:r>
          </w:p>
        </w:tc>
      </w:tr>
      <w:tr w:rsidR="00F94B48" w:rsidRPr="00F32542" w14:paraId="792583CE" w14:textId="77777777" w:rsidTr="00B65D24">
        <w:trPr>
          <w:trHeight w:val="533"/>
        </w:trPr>
        <w:tc>
          <w:tcPr>
            <w:tcW w:w="546" w:type="dxa"/>
            <w:tcBorders>
              <w:bottom w:val="single" w:sz="4" w:space="0" w:color="auto"/>
            </w:tcBorders>
            <w:vAlign w:val="center"/>
          </w:tcPr>
          <w:p w14:paraId="7E3CD22E"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12</w:t>
            </w:r>
          </w:p>
        </w:tc>
        <w:tc>
          <w:tcPr>
            <w:tcW w:w="2939" w:type="dxa"/>
            <w:tcBorders>
              <w:bottom w:val="single" w:sz="4" w:space="0" w:color="auto"/>
            </w:tcBorders>
            <w:vAlign w:val="center"/>
          </w:tcPr>
          <w:p w14:paraId="7E582C10"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Carlos Cervantes Godoy</w:t>
            </w:r>
          </w:p>
        </w:tc>
        <w:tc>
          <w:tcPr>
            <w:tcW w:w="763" w:type="dxa"/>
            <w:tcBorders>
              <w:bottom w:val="single" w:sz="4" w:space="0" w:color="auto"/>
            </w:tcBorders>
            <w:vAlign w:val="center"/>
          </w:tcPr>
          <w:p w14:paraId="179F5DAC"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655" w:type="dxa"/>
            <w:tcBorders>
              <w:bottom w:val="single" w:sz="4" w:space="0" w:color="auto"/>
            </w:tcBorders>
            <w:vAlign w:val="center"/>
          </w:tcPr>
          <w:p w14:paraId="57D94CB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6 B</w:t>
            </w:r>
          </w:p>
        </w:tc>
        <w:tc>
          <w:tcPr>
            <w:tcW w:w="1925" w:type="dxa"/>
            <w:tcBorders>
              <w:bottom w:val="single" w:sz="4" w:space="0" w:color="auto"/>
            </w:tcBorders>
            <w:vAlign w:val="center"/>
          </w:tcPr>
          <w:p w14:paraId="4660583A"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40.13</w:t>
            </w:r>
          </w:p>
        </w:tc>
      </w:tr>
      <w:tr w:rsidR="00F94B48" w:rsidRPr="00F32542" w14:paraId="7C24B188" w14:textId="77777777" w:rsidTr="00157015">
        <w:trPr>
          <w:trHeight w:val="533"/>
        </w:trPr>
        <w:tc>
          <w:tcPr>
            <w:tcW w:w="546" w:type="dxa"/>
            <w:shd w:val="clear" w:color="auto" w:fill="D9D9D9" w:themeFill="background1" w:themeFillShade="D9"/>
            <w:vAlign w:val="center"/>
          </w:tcPr>
          <w:p w14:paraId="2F3E74C4"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13</w:t>
            </w:r>
          </w:p>
        </w:tc>
        <w:tc>
          <w:tcPr>
            <w:tcW w:w="2939" w:type="dxa"/>
            <w:shd w:val="clear" w:color="auto" w:fill="D9D9D9" w:themeFill="background1" w:themeFillShade="D9"/>
            <w:vAlign w:val="center"/>
          </w:tcPr>
          <w:p w14:paraId="0A1251A8"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Christian Moctezuma González</w:t>
            </w:r>
          </w:p>
        </w:tc>
        <w:tc>
          <w:tcPr>
            <w:tcW w:w="763" w:type="dxa"/>
            <w:shd w:val="clear" w:color="auto" w:fill="D9D9D9" w:themeFill="background1" w:themeFillShade="D9"/>
            <w:vAlign w:val="center"/>
          </w:tcPr>
          <w:p w14:paraId="7BD3545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655" w:type="dxa"/>
            <w:shd w:val="clear" w:color="auto" w:fill="D9D9D9" w:themeFill="background1" w:themeFillShade="D9"/>
            <w:vAlign w:val="center"/>
          </w:tcPr>
          <w:p w14:paraId="7556DA20"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7 </w:t>
            </w:r>
            <w:proofErr w:type="gramStart"/>
            <w:r w:rsidRPr="00F32542">
              <w:rPr>
                <w:rFonts w:ascii="Arial" w:eastAsia="Calibri" w:hAnsi="Arial" w:cs="Arial"/>
                <w:sz w:val="20"/>
                <w:szCs w:val="20"/>
              </w:rPr>
              <w:t>A</w:t>
            </w:r>
            <w:proofErr w:type="gramEnd"/>
          </w:p>
        </w:tc>
        <w:tc>
          <w:tcPr>
            <w:tcW w:w="1925" w:type="dxa"/>
            <w:shd w:val="clear" w:color="auto" w:fill="D9D9D9" w:themeFill="background1" w:themeFillShade="D9"/>
            <w:vAlign w:val="center"/>
          </w:tcPr>
          <w:p w14:paraId="1FFB061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No aplica </w:t>
            </w:r>
          </w:p>
        </w:tc>
      </w:tr>
      <w:tr w:rsidR="00F94B48" w:rsidRPr="00F32542" w14:paraId="07AC797F" w14:textId="77777777" w:rsidTr="00157015">
        <w:trPr>
          <w:trHeight w:val="533"/>
        </w:trPr>
        <w:tc>
          <w:tcPr>
            <w:tcW w:w="546" w:type="dxa"/>
            <w:shd w:val="clear" w:color="auto" w:fill="D9D9D9" w:themeFill="background1" w:themeFillShade="D9"/>
            <w:vAlign w:val="center"/>
          </w:tcPr>
          <w:p w14:paraId="26BBBC2C"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14</w:t>
            </w:r>
          </w:p>
        </w:tc>
        <w:tc>
          <w:tcPr>
            <w:tcW w:w="2939" w:type="dxa"/>
            <w:shd w:val="clear" w:color="auto" w:fill="D9D9D9" w:themeFill="background1" w:themeFillShade="D9"/>
            <w:vAlign w:val="center"/>
          </w:tcPr>
          <w:p w14:paraId="0B2EB0F0"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Isabela Rosales Herrera</w:t>
            </w:r>
          </w:p>
        </w:tc>
        <w:tc>
          <w:tcPr>
            <w:tcW w:w="763" w:type="dxa"/>
            <w:shd w:val="clear" w:color="auto" w:fill="D9D9D9" w:themeFill="background1" w:themeFillShade="D9"/>
            <w:vAlign w:val="center"/>
          </w:tcPr>
          <w:p w14:paraId="1946AF9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655" w:type="dxa"/>
            <w:shd w:val="clear" w:color="auto" w:fill="D9D9D9" w:themeFill="background1" w:themeFillShade="D9"/>
            <w:vAlign w:val="center"/>
          </w:tcPr>
          <w:p w14:paraId="47CA395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7 B</w:t>
            </w:r>
          </w:p>
        </w:tc>
        <w:tc>
          <w:tcPr>
            <w:tcW w:w="1925" w:type="dxa"/>
            <w:shd w:val="clear" w:color="auto" w:fill="D9D9D9" w:themeFill="background1" w:themeFillShade="D9"/>
            <w:vAlign w:val="center"/>
          </w:tcPr>
          <w:p w14:paraId="3406E5D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28.96</w:t>
            </w:r>
          </w:p>
        </w:tc>
      </w:tr>
      <w:tr w:rsidR="00F94B48" w:rsidRPr="00F32542" w14:paraId="0812F288" w14:textId="77777777" w:rsidTr="00B65D24">
        <w:trPr>
          <w:trHeight w:val="533"/>
        </w:trPr>
        <w:tc>
          <w:tcPr>
            <w:tcW w:w="546" w:type="dxa"/>
            <w:vAlign w:val="center"/>
          </w:tcPr>
          <w:p w14:paraId="7EBDB16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15</w:t>
            </w:r>
          </w:p>
        </w:tc>
        <w:tc>
          <w:tcPr>
            <w:tcW w:w="2939" w:type="dxa"/>
            <w:vAlign w:val="center"/>
          </w:tcPr>
          <w:p w14:paraId="4E4CE749" w14:textId="77777777" w:rsidR="00F94B48" w:rsidRPr="00F32542" w:rsidRDefault="00F94B48" w:rsidP="00F94B48">
            <w:pPr>
              <w:spacing w:after="0" w:line="240" w:lineRule="auto"/>
              <w:jc w:val="center"/>
              <w:rPr>
                <w:rFonts w:ascii="Arial" w:eastAsia="Calibri" w:hAnsi="Arial" w:cs="Arial"/>
                <w:sz w:val="20"/>
                <w:szCs w:val="20"/>
              </w:rPr>
            </w:pPr>
            <w:proofErr w:type="spellStart"/>
            <w:r w:rsidRPr="00F32542">
              <w:rPr>
                <w:rFonts w:ascii="Arial" w:eastAsia="Calibri" w:hAnsi="Arial" w:cs="Arial"/>
                <w:sz w:val="20"/>
                <w:szCs w:val="20"/>
              </w:rPr>
              <w:t>Maryel</w:t>
            </w:r>
            <w:proofErr w:type="spellEnd"/>
            <w:r w:rsidRPr="00F32542">
              <w:rPr>
                <w:rFonts w:ascii="Arial" w:eastAsia="Calibri" w:hAnsi="Arial" w:cs="Arial"/>
                <w:sz w:val="20"/>
                <w:szCs w:val="20"/>
              </w:rPr>
              <w:t xml:space="preserve"> Alejandra Díaz Cavazos</w:t>
            </w:r>
          </w:p>
        </w:tc>
        <w:tc>
          <w:tcPr>
            <w:tcW w:w="763" w:type="dxa"/>
            <w:vAlign w:val="center"/>
          </w:tcPr>
          <w:p w14:paraId="7751AE0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655" w:type="dxa"/>
            <w:vAlign w:val="center"/>
          </w:tcPr>
          <w:p w14:paraId="138DA8C5"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8 </w:t>
            </w:r>
            <w:proofErr w:type="gramStart"/>
            <w:r w:rsidRPr="00F32542">
              <w:rPr>
                <w:rFonts w:ascii="Arial" w:eastAsia="Calibri" w:hAnsi="Arial" w:cs="Arial"/>
                <w:sz w:val="20"/>
                <w:szCs w:val="20"/>
              </w:rPr>
              <w:t>A</w:t>
            </w:r>
            <w:proofErr w:type="gramEnd"/>
          </w:p>
        </w:tc>
        <w:tc>
          <w:tcPr>
            <w:tcW w:w="1925" w:type="dxa"/>
            <w:vAlign w:val="center"/>
          </w:tcPr>
          <w:p w14:paraId="3C9054D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No aplica </w:t>
            </w:r>
          </w:p>
        </w:tc>
      </w:tr>
      <w:tr w:rsidR="00F94B48" w:rsidRPr="00F32542" w14:paraId="06823C03" w14:textId="77777777" w:rsidTr="00B65D24">
        <w:trPr>
          <w:trHeight w:val="533"/>
        </w:trPr>
        <w:tc>
          <w:tcPr>
            <w:tcW w:w="546" w:type="dxa"/>
            <w:vAlign w:val="center"/>
          </w:tcPr>
          <w:p w14:paraId="59EEF0A5"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16</w:t>
            </w:r>
          </w:p>
        </w:tc>
        <w:tc>
          <w:tcPr>
            <w:tcW w:w="2939" w:type="dxa"/>
            <w:vAlign w:val="center"/>
          </w:tcPr>
          <w:p w14:paraId="3E92CE5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José Luis Rodríguez Díaz de León </w:t>
            </w:r>
          </w:p>
        </w:tc>
        <w:tc>
          <w:tcPr>
            <w:tcW w:w="763" w:type="dxa"/>
            <w:vAlign w:val="center"/>
          </w:tcPr>
          <w:p w14:paraId="2102EF18"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655" w:type="dxa"/>
            <w:vAlign w:val="center"/>
          </w:tcPr>
          <w:p w14:paraId="089B3F7E"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8 B</w:t>
            </w:r>
          </w:p>
        </w:tc>
        <w:tc>
          <w:tcPr>
            <w:tcW w:w="1925" w:type="dxa"/>
            <w:vAlign w:val="center"/>
          </w:tcPr>
          <w:p w14:paraId="46DF7B1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35.27</w:t>
            </w:r>
          </w:p>
        </w:tc>
      </w:tr>
    </w:tbl>
    <w:p w14:paraId="4D44EEF8" w14:textId="77777777" w:rsidR="00157015" w:rsidRPr="00F32542" w:rsidRDefault="00157015" w:rsidP="00157015">
      <w:pPr>
        <w:spacing w:after="0" w:line="360" w:lineRule="auto"/>
        <w:jc w:val="both"/>
        <w:rPr>
          <w:rFonts w:ascii="Arial" w:eastAsia="Calibri" w:hAnsi="Arial" w:cs="Arial"/>
          <w:sz w:val="28"/>
          <w:szCs w:val="28"/>
        </w:rPr>
      </w:pPr>
    </w:p>
    <w:p w14:paraId="68907C8E"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Como se observa, el </w:t>
      </w:r>
      <w:r w:rsidRPr="00F32542">
        <w:rPr>
          <w:rFonts w:ascii="Arial" w:eastAsia="Calibri" w:hAnsi="Arial" w:cs="Arial"/>
          <w:i/>
          <w:sz w:val="28"/>
          <w:szCs w:val="28"/>
        </w:rPr>
        <w:t xml:space="preserve">Instituto local </w:t>
      </w:r>
      <w:r w:rsidRPr="00F32542">
        <w:rPr>
          <w:rFonts w:ascii="Arial" w:eastAsia="Calibri" w:hAnsi="Arial" w:cs="Arial"/>
          <w:sz w:val="28"/>
          <w:szCs w:val="28"/>
        </w:rPr>
        <w:t xml:space="preserve">conformó la lista definitiva alternando a una persona de la lista A con otra de la lista B, iniciando el primer bloque de intercalación con una persona de la lista A. </w:t>
      </w:r>
    </w:p>
    <w:p w14:paraId="0A0732F9" w14:textId="77777777" w:rsidR="00157015" w:rsidRPr="00F32542" w:rsidRDefault="00157015" w:rsidP="00157015">
      <w:pPr>
        <w:spacing w:after="0" w:line="360" w:lineRule="auto"/>
        <w:jc w:val="both"/>
        <w:rPr>
          <w:rFonts w:ascii="Arial" w:eastAsia="Calibri" w:hAnsi="Arial" w:cs="Arial"/>
          <w:sz w:val="28"/>
          <w:szCs w:val="28"/>
        </w:rPr>
      </w:pPr>
    </w:p>
    <w:p w14:paraId="513B36B3"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Para integrar a la lista definitiva a aquellas personas que conformaron a la </w:t>
      </w:r>
      <w:r w:rsidRPr="00F32542">
        <w:rPr>
          <w:rFonts w:ascii="Arial" w:eastAsia="Calibri" w:hAnsi="Arial" w:cs="Arial"/>
          <w:bCs/>
          <w:sz w:val="28"/>
          <w:szCs w:val="28"/>
        </w:rPr>
        <w:t>lista B, el</w:t>
      </w:r>
      <w:r w:rsidRPr="00F32542">
        <w:rPr>
          <w:rFonts w:ascii="Arial" w:eastAsia="Calibri" w:hAnsi="Arial" w:cs="Arial"/>
          <w:sz w:val="28"/>
          <w:szCs w:val="28"/>
        </w:rPr>
        <w:t xml:space="preserve"> Instituto consideró a las personas con más porcentaje de votación hasta el cuarto bloque de intercalación.</w:t>
      </w:r>
    </w:p>
    <w:p w14:paraId="67AE4C5D" w14:textId="77777777" w:rsidR="00157015" w:rsidRPr="00F32542" w:rsidRDefault="00157015" w:rsidP="00157015">
      <w:pPr>
        <w:spacing w:after="0" w:line="360" w:lineRule="auto"/>
        <w:jc w:val="both"/>
        <w:rPr>
          <w:rFonts w:ascii="Arial" w:eastAsia="Calibri" w:hAnsi="Arial" w:cs="Arial"/>
          <w:sz w:val="28"/>
          <w:szCs w:val="28"/>
        </w:rPr>
      </w:pPr>
    </w:p>
    <w:p w14:paraId="24B475BC"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Sin embargo, a partir del quinto bloque, precisamente en la posición diez (10), quinta posición de la lista B, así como en la posición catorce (14), séptima posición de la lista B, a fin de privilegiar la alternancia, se incorporaron a dos candidaturas de mujeres que obtuvieron una menor votación que los hombres incluidos en los lugares doce (12) y dieciséis (16) de la lista definitiva. </w:t>
      </w:r>
    </w:p>
    <w:p w14:paraId="3A1580FE" w14:textId="77777777" w:rsidR="00157015" w:rsidRPr="00F32542" w:rsidRDefault="00157015" w:rsidP="00157015">
      <w:pPr>
        <w:spacing w:after="0" w:line="360" w:lineRule="auto"/>
        <w:jc w:val="both"/>
        <w:rPr>
          <w:rFonts w:ascii="Arial" w:eastAsia="Calibri" w:hAnsi="Arial" w:cs="Arial"/>
          <w:sz w:val="28"/>
          <w:szCs w:val="28"/>
        </w:rPr>
      </w:pPr>
    </w:p>
    <w:p w14:paraId="660265FD"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De modo que, en la lista definitiva se incorporaron a dos candidaturas propietarias de mujeres, provenientes de la lista B, que tienen un menor porcentaje de votación que la parte actora.</w:t>
      </w:r>
    </w:p>
    <w:p w14:paraId="050F9353" w14:textId="77777777" w:rsidR="00157015" w:rsidRPr="00F32542" w:rsidRDefault="00157015" w:rsidP="00157015">
      <w:pPr>
        <w:spacing w:after="0" w:line="360" w:lineRule="auto"/>
        <w:jc w:val="both"/>
        <w:rPr>
          <w:rFonts w:ascii="Arial" w:eastAsia="Calibri" w:hAnsi="Arial" w:cs="Arial"/>
          <w:sz w:val="28"/>
          <w:szCs w:val="28"/>
        </w:rPr>
      </w:pPr>
    </w:p>
    <w:tbl>
      <w:tblPr>
        <w:tblStyle w:val="Tablaconcuadrcula25"/>
        <w:tblW w:w="0" w:type="auto"/>
        <w:tblLook w:val="04A0" w:firstRow="1" w:lastRow="0" w:firstColumn="1" w:lastColumn="0" w:noHBand="0" w:noVBand="1"/>
      </w:tblPr>
      <w:tblGrid>
        <w:gridCol w:w="542"/>
        <w:gridCol w:w="2829"/>
        <w:gridCol w:w="758"/>
        <w:gridCol w:w="2541"/>
        <w:gridCol w:w="1876"/>
      </w:tblGrid>
      <w:tr w:rsidR="00F94B48" w:rsidRPr="00F32542" w14:paraId="0A068DE4" w14:textId="77777777" w:rsidTr="00157015">
        <w:trPr>
          <w:tblHeader/>
        </w:trPr>
        <w:tc>
          <w:tcPr>
            <w:tcW w:w="546" w:type="dxa"/>
            <w:tcBorders>
              <w:bottom w:val="single" w:sz="4" w:space="0" w:color="auto"/>
            </w:tcBorders>
            <w:shd w:val="clear" w:color="auto" w:fill="BFBFBF" w:themeFill="background1" w:themeFillShade="BF"/>
          </w:tcPr>
          <w:p w14:paraId="419386A8" w14:textId="77777777" w:rsidR="00F94B48" w:rsidRPr="00F32542" w:rsidRDefault="00F94B48" w:rsidP="00F94B48">
            <w:pPr>
              <w:spacing w:after="0" w:line="240" w:lineRule="auto"/>
              <w:jc w:val="both"/>
              <w:rPr>
                <w:rFonts w:ascii="Arial" w:eastAsia="Calibri" w:hAnsi="Arial" w:cs="Arial"/>
                <w:b/>
                <w:sz w:val="20"/>
                <w:szCs w:val="20"/>
              </w:rPr>
            </w:pPr>
            <w:r w:rsidRPr="00F32542">
              <w:rPr>
                <w:rFonts w:ascii="Arial" w:eastAsia="Calibri" w:hAnsi="Arial" w:cs="Arial"/>
                <w:b/>
                <w:sz w:val="20"/>
                <w:szCs w:val="20"/>
              </w:rPr>
              <w:t>No</w:t>
            </w:r>
          </w:p>
        </w:tc>
        <w:tc>
          <w:tcPr>
            <w:tcW w:w="2939" w:type="dxa"/>
            <w:tcBorders>
              <w:bottom w:val="single" w:sz="4" w:space="0" w:color="auto"/>
            </w:tcBorders>
            <w:shd w:val="clear" w:color="auto" w:fill="BFBFBF" w:themeFill="background1" w:themeFillShade="BF"/>
          </w:tcPr>
          <w:p w14:paraId="53A1BB03"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Nombre (propietario)</w:t>
            </w:r>
          </w:p>
        </w:tc>
        <w:tc>
          <w:tcPr>
            <w:tcW w:w="763" w:type="dxa"/>
            <w:tcBorders>
              <w:bottom w:val="single" w:sz="4" w:space="0" w:color="auto"/>
            </w:tcBorders>
            <w:shd w:val="clear" w:color="auto" w:fill="BFBFBF" w:themeFill="background1" w:themeFillShade="BF"/>
          </w:tcPr>
          <w:p w14:paraId="7E905613"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 xml:space="preserve">Sexo </w:t>
            </w:r>
          </w:p>
        </w:tc>
        <w:tc>
          <w:tcPr>
            <w:tcW w:w="2655" w:type="dxa"/>
            <w:tcBorders>
              <w:bottom w:val="single" w:sz="4" w:space="0" w:color="auto"/>
            </w:tcBorders>
            <w:shd w:val="clear" w:color="auto" w:fill="BFBFBF" w:themeFill="background1" w:themeFillShade="BF"/>
          </w:tcPr>
          <w:p w14:paraId="02431E01" w14:textId="77777777" w:rsidR="00F94B48" w:rsidRPr="00F32542" w:rsidRDefault="00F94B48" w:rsidP="00F94B48">
            <w:pPr>
              <w:spacing w:after="0" w:line="240" w:lineRule="auto"/>
              <w:jc w:val="center"/>
              <w:rPr>
                <w:rFonts w:ascii="Arial" w:eastAsia="Calibri" w:hAnsi="Arial" w:cs="Arial"/>
                <w:b/>
                <w:sz w:val="20"/>
                <w:szCs w:val="20"/>
                <w:u w:val="single"/>
              </w:rPr>
            </w:pPr>
            <w:r w:rsidRPr="00F32542">
              <w:rPr>
                <w:rFonts w:ascii="Arial" w:eastAsia="Calibri" w:hAnsi="Arial" w:cs="Arial"/>
                <w:b/>
                <w:sz w:val="20"/>
                <w:szCs w:val="20"/>
                <w:u w:val="single"/>
              </w:rPr>
              <w:t xml:space="preserve">Lugar y lista de la que proviene </w:t>
            </w:r>
          </w:p>
        </w:tc>
        <w:tc>
          <w:tcPr>
            <w:tcW w:w="1925" w:type="dxa"/>
            <w:tcBorders>
              <w:bottom w:val="single" w:sz="4" w:space="0" w:color="auto"/>
            </w:tcBorders>
            <w:shd w:val="clear" w:color="auto" w:fill="BFBFBF" w:themeFill="background1" w:themeFillShade="BF"/>
          </w:tcPr>
          <w:p w14:paraId="63E2ACA8"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Porcentaje de votación</w:t>
            </w:r>
          </w:p>
        </w:tc>
      </w:tr>
      <w:tr w:rsidR="00F94B48" w:rsidRPr="00F32542" w14:paraId="22329302" w14:textId="77777777" w:rsidTr="00F94B48">
        <w:trPr>
          <w:trHeight w:val="533"/>
        </w:trPr>
        <w:tc>
          <w:tcPr>
            <w:tcW w:w="546" w:type="dxa"/>
            <w:shd w:val="clear" w:color="auto" w:fill="D0CECE"/>
            <w:vAlign w:val="center"/>
          </w:tcPr>
          <w:p w14:paraId="387E1AA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9</w:t>
            </w:r>
          </w:p>
        </w:tc>
        <w:tc>
          <w:tcPr>
            <w:tcW w:w="2939" w:type="dxa"/>
            <w:shd w:val="clear" w:color="auto" w:fill="D0CECE"/>
            <w:vAlign w:val="center"/>
          </w:tcPr>
          <w:p w14:paraId="58D23730"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José Martín Padilla Sánchez</w:t>
            </w:r>
          </w:p>
        </w:tc>
        <w:tc>
          <w:tcPr>
            <w:tcW w:w="763" w:type="dxa"/>
            <w:shd w:val="clear" w:color="auto" w:fill="D0CECE"/>
            <w:vAlign w:val="center"/>
          </w:tcPr>
          <w:p w14:paraId="139C0C3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655" w:type="dxa"/>
            <w:shd w:val="clear" w:color="auto" w:fill="D0CECE"/>
            <w:vAlign w:val="center"/>
          </w:tcPr>
          <w:p w14:paraId="648CB93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5 </w:t>
            </w:r>
            <w:proofErr w:type="gramStart"/>
            <w:r w:rsidRPr="00F32542">
              <w:rPr>
                <w:rFonts w:ascii="Arial" w:eastAsia="Calibri" w:hAnsi="Arial" w:cs="Arial"/>
                <w:sz w:val="20"/>
                <w:szCs w:val="20"/>
              </w:rPr>
              <w:t>A</w:t>
            </w:r>
            <w:proofErr w:type="gramEnd"/>
          </w:p>
        </w:tc>
        <w:tc>
          <w:tcPr>
            <w:tcW w:w="1925" w:type="dxa"/>
            <w:shd w:val="clear" w:color="auto" w:fill="D0CECE"/>
            <w:vAlign w:val="center"/>
          </w:tcPr>
          <w:p w14:paraId="05AB92FC"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No aplica </w:t>
            </w:r>
          </w:p>
        </w:tc>
      </w:tr>
      <w:tr w:rsidR="00F94B48" w:rsidRPr="00F32542" w14:paraId="3F28A6E7" w14:textId="77777777" w:rsidTr="00F94B48">
        <w:trPr>
          <w:trHeight w:val="533"/>
        </w:trPr>
        <w:tc>
          <w:tcPr>
            <w:tcW w:w="546" w:type="dxa"/>
            <w:shd w:val="clear" w:color="auto" w:fill="D0CECE"/>
            <w:vAlign w:val="center"/>
          </w:tcPr>
          <w:p w14:paraId="093E75D1" w14:textId="77777777" w:rsidR="00F94B48" w:rsidRPr="00F32542" w:rsidRDefault="00F94B48" w:rsidP="00F94B48">
            <w:pPr>
              <w:spacing w:after="0" w:line="240" w:lineRule="auto"/>
              <w:jc w:val="center"/>
              <w:rPr>
                <w:rFonts w:ascii="Arial" w:eastAsia="Calibri" w:hAnsi="Arial" w:cs="Arial"/>
                <w:b/>
                <w:bCs/>
                <w:sz w:val="20"/>
                <w:szCs w:val="20"/>
                <w:u w:val="single"/>
              </w:rPr>
            </w:pPr>
            <w:r w:rsidRPr="00F32542">
              <w:rPr>
                <w:rFonts w:ascii="Arial" w:eastAsia="Calibri" w:hAnsi="Arial" w:cs="Arial"/>
                <w:b/>
                <w:bCs/>
                <w:sz w:val="20"/>
                <w:szCs w:val="20"/>
                <w:u w:val="single"/>
              </w:rPr>
              <w:t>10</w:t>
            </w:r>
          </w:p>
        </w:tc>
        <w:tc>
          <w:tcPr>
            <w:tcW w:w="2939" w:type="dxa"/>
            <w:shd w:val="clear" w:color="auto" w:fill="D0CECE"/>
            <w:vAlign w:val="center"/>
          </w:tcPr>
          <w:p w14:paraId="3C3A8E58" w14:textId="77777777" w:rsidR="00F94B48" w:rsidRPr="00F32542" w:rsidRDefault="00F94B48" w:rsidP="00F94B48">
            <w:pPr>
              <w:spacing w:after="0" w:line="240" w:lineRule="auto"/>
              <w:jc w:val="center"/>
              <w:rPr>
                <w:rFonts w:ascii="Arial" w:eastAsia="Calibri" w:hAnsi="Arial" w:cs="Arial"/>
                <w:b/>
                <w:bCs/>
                <w:sz w:val="20"/>
                <w:szCs w:val="20"/>
                <w:u w:val="single"/>
              </w:rPr>
            </w:pPr>
            <w:r w:rsidRPr="00F32542">
              <w:rPr>
                <w:rFonts w:ascii="Arial" w:eastAsia="Calibri" w:hAnsi="Arial" w:cs="Arial"/>
                <w:b/>
                <w:bCs/>
                <w:sz w:val="20"/>
                <w:szCs w:val="20"/>
                <w:u w:val="single"/>
              </w:rPr>
              <w:t>Xóchitl Bravo Espinosa</w:t>
            </w:r>
          </w:p>
        </w:tc>
        <w:tc>
          <w:tcPr>
            <w:tcW w:w="763" w:type="dxa"/>
            <w:shd w:val="clear" w:color="auto" w:fill="D0CECE"/>
            <w:vAlign w:val="center"/>
          </w:tcPr>
          <w:p w14:paraId="2D73A162" w14:textId="77777777" w:rsidR="00F94B48" w:rsidRPr="00F32542" w:rsidRDefault="00F94B48" w:rsidP="00F94B48">
            <w:pPr>
              <w:spacing w:after="0" w:line="240" w:lineRule="auto"/>
              <w:jc w:val="center"/>
              <w:rPr>
                <w:rFonts w:ascii="Arial" w:eastAsia="Calibri" w:hAnsi="Arial" w:cs="Arial"/>
                <w:b/>
                <w:bCs/>
                <w:sz w:val="20"/>
                <w:szCs w:val="20"/>
                <w:u w:val="single"/>
              </w:rPr>
            </w:pPr>
            <w:r w:rsidRPr="00F32542">
              <w:rPr>
                <w:rFonts w:ascii="Arial" w:eastAsia="Calibri" w:hAnsi="Arial" w:cs="Arial"/>
                <w:b/>
                <w:bCs/>
                <w:sz w:val="20"/>
                <w:szCs w:val="20"/>
                <w:u w:val="single"/>
              </w:rPr>
              <w:t>M</w:t>
            </w:r>
          </w:p>
        </w:tc>
        <w:tc>
          <w:tcPr>
            <w:tcW w:w="2655" w:type="dxa"/>
            <w:shd w:val="clear" w:color="auto" w:fill="D0CECE"/>
            <w:vAlign w:val="center"/>
          </w:tcPr>
          <w:p w14:paraId="4802F728" w14:textId="77777777" w:rsidR="00F94B48" w:rsidRPr="00F32542" w:rsidRDefault="00F94B48" w:rsidP="00F94B48">
            <w:pPr>
              <w:spacing w:after="0" w:line="240" w:lineRule="auto"/>
              <w:jc w:val="center"/>
              <w:rPr>
                <w:rFonts w:ascii="Arial" w:eastAsia="Calibri" w:hAnsi="Arial" w:cs="Arial"/>
                <w:b/>
                <w:bCs/>
                <w:sz w:val="20"/>
                <w:szCs w:val="20"/>
                <w:u w:val="single"/>
              </w:rPr>
            </w:pPr>
            <w:r w:rsidRPr="00F32542">
              <w:rPr>
                <w:rFonts w:ascii="Arial" w:eastAsia="Calibri" w:hAnsi="Arial" w:cs="Arial"/>
                <w:b/>
                <w:bCs/>
                <w:sz w:val="20"/>
                <w:szCs w:val="20"/>
                <w:u w:val="single"/>
              </w:rPr>
              <w:t>5 B</w:t>
            </w:r>
          </w:p>
        </w:tc>
        <w:tc>
          <w:tcPr>
            <w:tcW w:w="1925" w:type="dxa"/>
            <w:shd w:val="clear" w:color="auto" w:fill="D0CECE"/>
            <w:vAlign w:val="center"/>
          </w:tcPr>
          <w:p w14:paraId="34D0891B" w14:textId="77777777" w:rsidR="00F94B48" w:rsidRPr="00F32542" w:rsidRDefault="00F94B48" w:rsidP="00F94B48">
            <w:pPr>
              <w:spacing w:after="0" w:line="240" w:lineRule="auto"/>
              <w:jc w:val="center"/>
              <w:rPr>
                <w:rFonts w:ascii="Arial" w:eastAsia="Calibri" w:hAnsi="Arial" w:cs="Arial"/>
                <w:b/>
                <w:bCs/>
                <w:sz w:val="20"/>
                <w:szCs w:val="20"/>
                <w:u w:val="single"/>
              </w:rPr>
            </w:pPr>
            <w:r w:rsidRPr="00F32542">
              <w:rPr>
                <w:rFonts w:ascii="Arial" w:eastAsia="Calibri" w:hAnsi="Arial" w:cs="Arial"/>
                <w:b/>
                <w:bCs/>
                <w:sz w:val="20"/>
                <w:szCs w:val="20"/>
                <w:u w:val="single"/>
              </w:rPr>
              <w:t>34.53</w:t>
            </w:r>
          </w:p>
        </w:tc>
      </w:tr>
      <w:tr w:rsidR="00F94B48" w:rsidRPr="00F32542" w14:paraId="242FDEAB" w14:textId="77777777" w:rsidTr="00B65D24">
        <w:trPr>
          <w:trHeight w:val="533"/>
        </w:trPr>
        <w:tc>
          <w:tcPr>
            <w:tcW w:w="546" w:type="dxa"/>
            <w:vAlign w:val="center"/>
          </w:tcPr>
          <w:p w14:paraId="1597BA7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11</w:t>
            </w:r>
          </w:p>
        </w:tc>
        <w:tc>
          <w:tcPr>
            <w:tcW w:w="2939" w:type="dxa"/>
            <w:vAlign w:val="center"/>
          </w:tcPr>
          <w:p w14:paraId="78D868AC"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Alejandra Méndez Vicuña</w:t>
            </w:r>
          </w:p>
        </w:tc>
        <w:tc>
          <w:tcPr>
            <w:tcW w:w="763" w:type="dxa"/>
            <w:vAlign w:val="center"/>
          </w:tcPr>
          <w:p w14:paraId="213496B5"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655" w:type="dxa"/>
            <w:vAlign w:val="center"/>
          </w:tcPr>
          <w:p w14:paraId="798659EB"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6 </w:t>
            </w:r>
            <w:proofErr w:type="gramStart"/>
            <w:r w:rsidRPr="00F32542">
              <w:rPr>
                <w:rFonts w:ascii="Arial" w:eastAsia="Calibri" w:hAnsi="Arial" w:cs="Arial"/>
                <w:sz w:val="20"/>
                <w:szCs w:val="20"/>
              </w:rPr>
              <w:t>A</w:t>
            </w:r>
            <w:proofErr w:type="gramEnd"/>
          </w:p>
        </w:tc>
        <w:tc>
          <w:tcPr>
            <w:tcW w:w="1925" w:type="dxa"/>
            <w:vAlign w:val="center"/>
          </w:tcPr>
          <w:p w14:paraId="3234871B"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No aplica </w:t>
            </w:r>
          </w:p>
        </w:tc>
      </w:tr>
      <w:tr w:rsidR="00F94B48" w:rsidRPr="00F32542" w14:paraId="12D24364" w14:textId="77777777" w:rsidTr="00B65D24">
        <w:trPr>
          <w:trHeight w:val="533"/>
        </w:trPr>
        <w:tc>
          <w:tcPr>
            <w:tcW w:w="546" w:type="dxa"/>
            <w:tcBorders>
              <w:bottom w:val="single" w:sz="4" w:space="0" w:color="auto"/>
            </w:tcBorders>
            <w:vAlign w:val="center"/>
          </w:tcPr>
          <w:p w14:paraId="5B7E010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12</w:t>
            </w:r>
          </w:p>
        </w:tc>
        <w:tc>
          <w:tcPr>
            <w:tcW w:w="2939" w:type="dxa"/>
            <w:tcBorders>
              <w:bottom w:val="single" w:sz="4" w:space="0" w:color="auto"/>
            </w:tcBorders>
            <w:vAlign w:val="center"/>
          </w:tcPr>
          <w:p w14:paraId="0BF9C774"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Carlos Cervantes Godoy</w:t>
            </w:r>
          </w:p>
        </w:tc>
        <w:tc>
          <w:tcPr>
            <w:tcW w:w="763" w:type="dxa"/>
            <w:tcBorders>
              <w:bottom w:val="single" w:sz="4" w:space="0" w:color="auto"/>
            </w:tcBorders>
            <w:vAlign w:val="center"/>
          </w:tcPr>
          <w:p w14:paraId="08656E2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655" w:type="dxa"/>
            <w:tcBorders>
              <w:bottom w:val="single" w:sz="4" w:space="0" w:color="auto"/>
            </w:tcBorders>
            <w:vAlign w:val="center"/>
          </w:tcPr>
          <w:p w14:paraId="3640A7AA"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6 B</w:t>
            </w:r>
          </w:p>
        </w:tc>
        <w:tc>
          <w:tcPr>
            <w:tcW w:w="1925" w:type="dxa"/>
            <w:tcBorders>
              <w:bottom w:val="single" w:sz="4" w:space="0" w:color="auto"/>
            </w:tcBorders>
            <w:vAlign w:val="center"/>
          </w:tcPr>
          <w:p w14:paraId="696CED2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40.13</w:t>
            </w:r>
          </w:p>
        </w:tc>
      </w:tr>
      <w:tr w:rsidR="00F94B48" w:rsidRPr="00F32542" w14:paraId="1EB0C3C0" w14:textId="77777777" w:rsidTr="00F94B48">
        <w:trPr>
          <w:trHeight w:val="533"/>
        </w:trPr>
        <w:tc>
          <w:tcPr>
            <w:tcW w:w="546" w:type="dxa"/>
            <w:shd w:val="clear" w:color="auto" w:fill="D0CECE"/>
            <w:vAlign w:val="center"/>
          </w:tcPr>
          <w:p w14:paraId="2770077B"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13</w:t>
            </w:r>
          </w:p>
        </w:tc>
        <w:tc>
          <w:tcPr>
            <w:tcW w:w="2939" w:type="dxa"/>
            <w:shd w:val="clear" w:color="auto" w:fill="D0CECE"/>
            <w:vAlign w:val="center"/>
          </w:tcPr>
          <w:p w14:paraId="0FDBBD5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Christian Moctezuma González</w:t>
            </w:r>
          </w:p>
        </w:tc>
        <w:tc>
          <w:tcPr>
            <w:tcW w:w="763" w:type="dxa"/>
            <w:shd w:val="clear" w:color="auto" w:fill="D0CECE"/>
            <w:vAlign w:val="center"/>
          </w:tcPr>
          <w:p w14:paraId="7BFBB3A1"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655" w:type="dxa"/>
            <w:shd w:val="clear" w:color="auto" w:fill="D0CECE"/>
            <w:vAlign w:val="center"/>
          </w:tcPr>
          <w:p w14:paraId="02271F74"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7 </w:t>
            </w:r>
            <w:proofErr w:type="gramStart"/>
            <w:r w:rsidRPr="00F32542">
              <w:rPr>
                <w:rFonts w:ascii="Arial" w:eastAsia="Calibri" w:hAnsi="Arial" w:cs="Arial"/>
                <w:sz w:val="20"/>
                <w:szCs w:val="20"/>
              </w:rPr>
              <w:t>A</w:t>
            </w:r>
            <w:proofErr w:type="gramEnd"/>
          </w:p>
        </w:tc>
        <w:tc>
          <w:tcPr>
            <w:tcW w:w="1925" w:type="dxa"/>
            <w:shd w:val="clear" w:color="auto" w:fill="D0CECE"/>
            <w:vAlign w:val="center"/>
          </w:tcPr>
          <w:p w14:paraId="31EE5146"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No aplica </w:t>
            </w:r>
          </w:p>
        </w:tc>
      </w:tr>
      <w:tr w:rsidR="00F94B48" w:rsidRPr="00F32542" w14:paraId="36C48E62" w14:textId="77777777" w:rsidTr="00F94B48">
        <w:trPr>
          <w:trHeight w:val="533"/>
        </w:trPr>
        <w:tc>
          <w:tcPr>
            <w:tcW w:w="546" w:type="dxa"/>
            <w:shd w:val="clear" w:color="auto" w:fill="D0CECE"/>
            <w:vAlign w:val="center"/>
          </w:tcPr>
          <w:p w14:paraId="7E5254A5" w14:textId="77777777" w:rsidR="00F94B48" w:rsidRPr="00F32542" w:rsidRDefault="00F94B48" w:rsidP="00F94B48">
            <w:pPr>
              <w:spacing w:after="0" w:line="240" w:lineRule="auto"/>
              <w:jc w:val="center"/>
              <w:rPr>
                <w:rFonts w:ascii="Arial" w:eastAsia="Calibri" w:hAnsi="Arial" w:cs="Arial"/>
                <w:b/>
                <w:bCs/>
                <w:sz w:val="20"/>
                <w:szCs w:val="20"/>
                <w:u w:val="single"/>
              </w:rPr>
            </w:pPr>
            <w:bookmarkStart w:id="45" w:name="_Hlk78147213"/>
            <w:r w:rsidRPr="00F32542">
              <w:rPr>
                <w:rFonts w:ascii="Arial" w:eastAsia="Calibri" w:hAnsi="Arial" w:cs="Arial"/>
                <w:b/>
                <w:bCs/>
                <w:sz w:val="20"/>
                <w:szCs w:val="20"/>
                <w:u w:val="single"/>
              </w:rPr>
              <w:t>14</w:t>
            </w:r>
          </w:p>
        </w:tc>
        <w:tc>
          <w:tcPr>
            <w:tcW w:w="2939" w:type="dxa"/>
            <w:shd w:val="clear" w:color="auto" w:fill="D0CECE"/>
            <w:vAlign w:val="center"/>
          </w:tcPr>
          <w:p w14:paraId="37862B1D" w14:textId="77777777" w:rsidR="00F94B48" w:rsidRPr="00F32542" w:rsidRDefault="00F94B48" w:rsidP="00F94B48">
            <w:pPr>
              <w:spacing w:after="0" w:line="240" w:lineRule="auto"/>
              <w:jc w:val="center"/>
              <w:rPr>
                <w:rFonts w:ascii="Arial" w:eastAsia="Calibri" w:hAnsi="Arial" w:cs="Arial"/>
                <w:b/>
                <w:bCs/>
                <w:sz w:val="20"/>
                <w:szCs w:val="20"/>
                <w:u w:val="single"/>
              </w:rPr>
            </w:pPr>
            <w:r w:rsidRPr="00F32542">
              <w:rPr>
                <w:rFonts w:ascii="Arial" w:eastAsia="Calibri" w:hAnsi="Arial" w:cs="Arial"/>
                <w:b/>
                <w:bCs/>
                <w:sz w:val="20"/>
                <w:szCs w:val="20"/>
                <w:u w:val="single"/>
              </w:rPr>
              <w:t>Isabela Rosales Herrera</w:t>
            </w:r>
          </w:p>
        </w:tc>
        <w:tc>
          <w:tcPr>
            <w:tcW w:w="763" w:type="dxa"/>
            <w:shd w:val="clear" w:color="auto" w:fill="D0CECE"/>
            <w:vAlign w:val="center"/>
          </w:tcPr>
          <w:p w14:paraId="3130C40A" w14:textId="77777777" w:rsidR="00F94B48" w:rsidRPr="00F32542" w:rsidRDefault="00F94B48" w:rsidP="00F94B48">
            <w:pPr>
              <w:spacing w:after="0" w:line="240" w:lineRule="auto"/>
              <w:jc w:val="center"/>
              <w:rPr>
                <w:rFonts w:ascii="Arial" w:eastAsia="Calibri" w:hAnsi="Arial" w:cs="Arial"/>
                <w:b/>
                <w:bCs/>
                <w:sz w:val="20"/>
                <w:szCs w:val="20"/>
                <w:u w:val="single"/>
              </w:rPr>
            </w:pPr>
            <w:r w:rsidRPr="00F32542">
              <w:rPr>
                <w:rFonts w:ascii="Arial" w:eastAsia="Calibri" w:hAnsi="Arial" w:cs="Arial"/>
                <w:b/>
                <w:bCs/>
                <w:sz w:val="20"/>
                <w:szCs w:val="20"/>
                <w:u w:val="single"/>
              </w:rPr>
              <w:t>M</w:t>
            </w:r>
          </w:p>
        </w:tc>
        <w:tc>
          <w:tcPr>
            <w:tcW w:w="2655" w:type="dxa"/>
            <w:shd w:val="clear" w:color="auto" w:fill="D0CECE"/>
            <w:vAlign w:val="center"/>
          </w:tcPr>
          <w:p w14:paraId="36DD7891" w14:textId="77777777" w:rsidR="00F94B48" w:rsidRPr="00F32542" w:rsidRDefault="00F94B48" w:rsidP="00F94B48">
            <w:pPr>
              <w:spacing w:after="0" w:line="240" w:lineRule="auto"/>
              <w:jc w:val="center"/>
              <w:rPr>
                <w:rFonts w:ascii="Arial" w:eastAsia="Calibri" w:hAnsi="Arial" w:cs="Arial"/>
                <w:b/>
                <w:bCs/>
                <w:sz w:val="20"/>
                <w:szCs w:val="20"/>
                <w:u w:val="single"/>
              </w:rPr>
            </w:pPr>
            <w:r w:rsidRPr="00F32542">
              <w:rPr>
                <w:rFonts w:ascii="Arial" w:eastAsia="Calibri" w:hAnsi="Arial" w:cs="Arial"/>
                <w:b/>
                <w:bCs/>
                <w:sz w:val="20"/>
                <w:szCs w:val="20"/>
                <w:u w:val="single"/>
              </w:rPr>
              <w:t>7 B</w:t>
            </w:r>
          </w:p>
        </w:tc>
        <w:tc>
          <w:tcPr>
            <w:tcW w:w="1925" w:type="dxa"/>
            <w:shd w:val="clear" w:color="auto" w:fill="D0CECE"/>
            <w:vAlign w:val="center"/>
          </w:tcPr>
          <w:p w14:paraId="696730B5" w14:textId="77777777" w:rsidR="00F94B48" w:rsidRPr="00F32542" w:rsidRDefault="00F94B48" w:rsidP="00F94B48">
            <w:pPr>
              <w:spacing w:after="0" w:line="240" w:lineRule="auto"/>
              <w:jc w:val="center"/>
              <w:rPr>
                <w:rFonts w:ascii="Arial" w:eastAsia="Calibri" w:hAnsi="Arial" w:cs="Arial"/>
                <w:b/>
                <w:bCs/>
                <w:sz w:val="20"/>
                <w:szCs w:val="20"/>
                <w:u w:val="single"/>
              </w:rPr>
            </w:pPr>
            <w:r w:rsidRPr="00F32542">
              <w:rPr>
                <w:rFonts w:ascii="Arial" w:eastAsia="Calibri" w:hAnsi="Arial" w:cs="Arial"/>
                <w:b/>
                <w:bCs/>
                <w:sz w:val="20"/>
                <w:szCs w:val="20"/>
                <w:u w:val="single"/>
              </w:rPr>
              <w:t>28.96</w:t>
            </w:r>
          </w:p>
        </w:tc>
      </w:tr>
      <w:tr w:rsidR="00F94B48" w:rsidRPr="00F32542" w14:paraId="279163EE" w14:textId="77777777" w:rsidTr="00B65D24">
        <w:trPr>
          <w:trHeight w:val="533"/>
        </w:trPr>
        <w:tc>
          <w:tcPr>
            <w:tcW w:w="546" w:type="dxa"/>
            <w:vAlign w:val="center"/>
          </w:tcPr>
          <w:p w14:paraId="2D971E65"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15</w:t>
            </w:r>
          </w:p>
        </w:tc>
        <w:tc>
          <w:tcPr>
            <w:tcW w:w="2939" w:type="dxa"/>
            <w:vAlign w:val="center"/>
          </w:tcPr>
          <w:p w14:paraId="1975C589" w14:textId="77777777" w:rsidR="00F94B48" w:rsidRPr="00F32542" w:rsidRDefault="00F94B48" w:rsidP="00F94B48">
            <w:pPr>
              <w:spacing w:after="0" w:line="240" w:lineRule="auto"/>
              <w:jc w:val="center"/>
              <w:rPr>
                <w:rFonts w:ascii="Arial" w:eastAsia="Calibri" w:hAnsi="Arial" w:cs="Arial"/>
                <w:sz w:val="20"/>
                <w:szCs w:val="20"/>
              </w:rPr>
            </w:pPr>
            <w:proofErr w:type="spellStart"/>
            <w:r w:rsidRPr="00F32542">
              <w:rPr>
                <w:rFonts w:ascii="Arial" w:eastAsia="Calibri" w:hAnsi="Arial" w:cs="Arial"/>
                <w:sz w:val="20"/>
                <w:szCs w:val="20"/>
              </w:rPr>
              <w:t>Maryel</w:t>
            </w:r>
            <w:proofErr w:type="spellEnd"/>
            <w:r w:rsidRPr="00F32542">
              <w:rPr>
                <w:rFonts w:ascii="Arial" w:eastAsia="Calibri" w:hAnsi="Arial" w:cs="Arial"/>
                <w:sz w:val="20"/>
                <w:szCs w:val="20"/>
              </w:rPr>
              <w:t xml:space="preserve"> Alejandra Díaz Cavazos</w:t>
            </w:r>
          </w:p>
        </w:tc>
        <w:tc>
          <w:tcPr>
            <w:tcW w:w="763" w:type="dxa"/>
            <w:vAlign w:val="center"/>
          </w:tcPr>
          <w:p w14:paraId="5627DF20"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655" w:type="dxa"/>
            <w:vAlign w:val="center"/>
          </w:tcPr>
          <w:p w14:paraId="52A7BDF8"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8 </w:t>
            </w:r>
            <w:proofErr w:type="gramStart"/>
            <w:r w:rsidRPr="00F32542">
              <w:rPr>
                <w:rFonts w:ascii="Arial" w:eastAsia="Calibri" w:hAnsi="Arial" w:cs="Arial"/>
                <w:sz w:val="20"/>
                <w:szCs w:val="20"/>
              </w:rPr>
              <w:t>A</w:t>
            </w:r>
            <w:proofErr w:type="gramEnd"/>
          </w:p>
        </w:tc>
        <w:tc>
          <w:tcPr>
            <w:tcW w:w="1925" w:type="dxa"/>
            <w:vAlign w:val="center"/>
          </w:tcPr>
          <w:p w14:paraId="082FA9CA"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No aplica </w:t>
            </w:r>
          </w:p>
        </w:tc>
      </w:tr>
      <w:tr w:rsidR="00F94B48" w:rsidRPr="00F32542" w14:paraId="186B2922" w14:textId="77777777" w:rsidTr="00B65D24">
        <w:trPr>
          <w:trHeight w:val="533"/>
        </w:trPr>
        <w:tc>
          <w:tcPr>
            <w:tcW w:w="546" w:type="dxa"/>
            <w:vAlign w:val="center"/>
          </w:tcPr>
          <w:p w14:paraId="0FB3681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lastRenderedPageBreak/>
              <w:t>16</w:t>
            </w:r>
          </w:p>
        </w:tc>
        <w:tc>
          <w:tcPr>
            <w:tcW w:w="2939" w:type="dxa"/>
            <w:vAlign w:val="center"/>
          </w:tcPr>
          <w:p w14:paraId="70AE2BC0"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José Luis Rodríguez Díaz de León </w:t>
            </w:r>
          </w:p>
        </w:tc>
        <w:tc>
          <w:tcPr>
            <w:tcW w:w="763" w:type="dxa"/>
            <w:vAlign w:val="center"/>
          </w:tcPr>
          <w:p w14:paraId="64D1515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655" w:type="dxa"/>
            <w:vAlign w:val="center"/>
          </w:tcPr>
          <w:p w14:paraId="4D299845"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8 B</w:t>
            </w:r>
          </w:p>
        </w:tc>
        <w:tc>
          <w:tcPr>
            <w:tcW w:w="1925" w:type="dxa"/>
            <w:vAlign w:val="center"/>
          </w:tcPr>
          <w:p w14:paraId="4FC374F8"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35.27</w:t>
            </w:r>
          </w:p>
        </w:tc>
      </w:tr>
      <w:bookmarkEnd w:id="45"/>
    </w:tbl>
    <w:p w14:paraId="6215CB6D" w14:textId="77777777" w:rsidR="00157015" w:rsidRPr="00F32542" w:rsidRDefault="00157015" w:rsidP="00157015">
      <w:pPr>
        <w:spacing w:after="0" w:line="360" w:lineRule="auto"/>
        <w:jc w:val="both"/>
        <w:rPr>
          <w:rFonts w:ascii="Arial" w:eastAsia="Calibri" w:hAnsi="Arial" w:cs="Arial"/>
          <w:sz w:val="28"/>
          <w:szCs w:val="28"/>
        </w:rPr>
      </w:pPr>
    </w:p>
    <w:p w14:paraId="7929F8C6"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Como se observa, Xóchitl Bravo Espinosa (posición 10) e Isabela Rosales Herrera (posición 14), quienes obtuvieron una diputación de representación proporcional, tienen un menor porcentaje de votación que José Luis Rodríguez Díaz de León (posición 16).</w:t>
      </w:r>
    </w:p>
    <w:p w14:paraId="5A39BE83" w14:textId="77777777" w:rsidR="00157015" w:rsidRPr="00F32542" w:rsidRDefault="00157015" w:rsidP="00157015">
      <w:pPr>
        <w:spacing w:after="0" w:line="360" w:lineRule="auto"/>
        <w:jc w:val="both"/>
        <w:rPr>
          <w:rFonts w:ascii="Arial" w:eastAsia="Calibri" w:hAnsi="Arial" w:cs="Arial"/>
          <w:sz w:val="28"/>
          <w:szCs w:val="28"/>
        </w:rPr>
      </w:pPr>
    </w:p>
    <w:p w14:paraId="744E87B8"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Una vez que se expuso el contexto, este Tribunal considera que el planteamiento de José Luis Rodríguez Díaz de León es </w:t>
      </w:r>
      <w:r w:rsidRPr="00F32542">
        <w:rPr>
          <w:rFonts w:ascii="Arial" w:eastAsia="Calibri" w:hAnsi="Arial" w:cs="Arial"/>
          <w:b/>
          <w:sz w:val="28"/>
          <w:szCs w:val="28"/>
        </w:rPr>
        <w:t xml:space="preserve">fundado </w:t>
      </w:r>
      <w:r w:rsidRPr="00F32542">
        <w:rPr>
          <w:rFonts w:ascii="Arial" w:eastAsia="Calibri" w:hAnsi="Arial" w:cs="Arial"/>
          <w:sz w:val="28"/>
          <w:szCs w:val="28"/>
        </w:rPr>
        <w:t>puesto que la autoridad responsable incumplió con la obligación de equilibrar los principios democrático, de paridad y de alternancia, en la integración del último bloque de intercalación que alcanzó una asignación de representación proporcional en MORENA, concretamente en la posición 14 de la respectiva lista definitiva.</w:t>
      </w:r>
    </w:p>
    <w:p w14:paraId="03B99FC6" w14:textId="77777777" w:rsidR="00157015" w:rsidRPr="00F32542" w:rsidRDefault="00157015" w:rsidP="00157015">
      <w:pPr>
        <w:spacing w:after="0" w:line="360" w:lineRule="auto"/>
        <w:jc w:val="both"/>
        <w:rPr>
          <w:rFonts w:ascii="Arial" w:eastAsia="Calibri" w:hAnsi="Arial" w:cs="Arial"/>
          <w:sz w:val="28"/>
          <w:szCs w:val="28"/>
        </w:rPr>
      </w:pPr>
    </w:p>
    <w:p w14:paraId="03332136" w14:textId="77777777" w:rsidR="00F94B48" w:rsidRPr="00F32542" w:rsidRDefault="00F94B48" w:rsidP="00157015">
      <w:pPr>
        <w:spacing w:after="0" w:line="360" w:lineRule="auto"/>
        <w:jc w:val="both"/>
        <w:rPr>
          <w:rFonts w:ascii="Arial" w:eastAsia="Calibri" w:hAnsi="Arial" w:cs="Arial"/>
          <w:b/>
          <w:sz w:val="28"/>
          <w:szCs w:val="28"/>
        </w:rPr>
      </w:pPr>
      <w:r w:rsidRPr="00F32542">
        <w:rPr>
          <w:rFonts w:ascii="Arial" w:eastAsia="Calibri" w:hAnsi="Arial" w:cs="Arial"/>
          <w:sz w:val="28"/>
          <w:szCs w:val="28"/>
        </w:rPr>
        <w:t xml:space="preserve">Debe recordarse que en los asuntos </w:t>
      </w:r>
      <w:r w:rsidRPr="00F32542">
        <w:rPr>
          <w:rFonts w:ascii="Arial" w:eastAsia="Calibri" w:hAnsi="Arial" w:cs="Arial"/>
          <w:b/>
          <w:sz w:val="28"/>
          <w:szCs w:val="28"/>
        </w:rPr>
        <w:t xml:space="preserve">SUP-REC-675/2015 y SUP-REC-1176/2018, la </w:t>
      </w:r>
      <w:r w:rsidRPr="00F32542">
        <w:rPr>
          <w:rFonts w:ascii="Arial" w:eastAsia="Calibri" w:hAnsi="Arial" w:cs="Arial"/>
          <w:b/>
          <w:i/>
          <w:sz w:val="28"/>
          <w:szCs w:val="28"/>
        </w:rPr>
        <w:t xml:space="preserve">Sala Superior </w:t>
      </w:r>
      <w:r w:rsidRPr="00F32542">
        <w:rPr>
          <w:rFonts w:ascii="Arial" w:eastAsia="Calibri" w:hAnsi="Arial" w:cs="Arial"/>
          <w:b/>
          <w:sz w:val="28"/>
          <w:szCs w:val="28"/>
        </w:rPr>
        <w:t>estableció que, al realizar la asignación de representación proporcional en la Ciudad de México, se debe ponderar el principio de paridad respecto al principio democrático.</w:t>
      </w:r>
    </w:p>
    <w:p w14:paraId="5B8DC385" w14:textId="77777777" w:rsidR="00157015" w:rsidRPr="00F32542" w:rsidRDefault="00157015" w:rsidP="00157015">
      <w:pPr>
        <w:spacing w:after="0" w:line="360" w:lineRule="auto"/>
        <w:jc w:val="both"/>
        <w:rPr>
          <w:rFonts w:ascii="Arial" w:eastAsia="Calibri" w:hAnsi="Arial" w:cs="Arial"/>
          <w:sz w:val="28"/>
          <w:szCs w:val="28"/>
        </w:rPr>
      </w:pPr>
    </w:p>
    <w:p w14:paraId="6892BA48" w14:textId="77777777" w:rsidR="00F94B48" w:rsidRPr="00F32542" w:rsidRDefault="00F94B48" w:rsidP="00157015">
      <w:pPr>
        <w:spacing w:after="0" w:line="360" w:lineRule="auto"/>
        <w:jc w:val="both"/>
        <w:rPr>
          <w:rFonts w:ascii="Arial" w:eastAsia="Calibri" w:hAnsi="Arial" w:cs="Arial"/>
          <w:bCs/>
          <w:sz w:val="28"/>
          <w:szCs w:val="28"/>
        </w:rPr>
      </w:pPr>
      <w:r w:rsidRPr="00F32542">
        <w:rPr>
          <w:rFonts w:ascii="Arial" w:eastAsia="Calibri" w:hAnsi="Arial" w:cs="Arial"/>
          <w:b/>
          <w:sz w:val="28"/>
          <w:szCs w:val="28"/>
        </w:rPr>
        <w:t>Esto, de tal modo que la paridad no haga nugatoria la voluntad del electorado depositada en las urnas, es decir, el principio democrático</w:t>
      </w:r>
      <w:r w:rsidR="00157015" w:rsidRPr="00F32542">
        <w:rPr>
          <w:rFonts w:ascii="Arial" w:eastAsia="Calibri" w:hAnsi="Arial" w:cs="Arial"/>
          <w:bCs/>
          <w:sz w:val="28"/>
          <w:szCs w:val="28"/>
        </w:rPr>
        <w:t>, es decir, ambos principios coexisten.</w:t>
      </w:r>
    </w:p>
    <w:p w14:paraId="60013B63" w14:textId="77777777" w:rsidR="00157015" w:rsidRPr="00F32542" w:rsidRDefault="00157015" w:rsidP="00157015">
      <w:pPr>
        <w:spacing w:after="0" w:line="360" w:lineRule="auto"/>
        <w:jc w:val="both"/>
        <w:rPr>
          <w:rFonts w:ascii="Arial" w:eastAsia="Calibri" w:hAnsi="Arial" w:cs="Arial"/>
          <w:b/>
          <w:sz w:val="28"/>
          <w:szCs w:val="28"/>
        </w:rPr>
      </w:pPr>
    </w:p>
    <w:p w14:paraId="2A504000"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En ese sentido, la autoridad responsable, para la asignación de la última candidatura de representación proporcional para MORENA (posición 14), debió partir del propio orden constitucional y adoptar la </w:t>
      </w:r>
      <w:r w:rsidRPr="00F32542">
        <w:rPr>
          <w:rFonts w:ascii="Arial" w:eastAsia="Calibri" w:hAnsi="Arial" w:cs="Arial"/>
          <w:sz w:val="28"/>
          <w:szCs w:val="28"/>
        </w:rPr>
        <w:lastRenderedPageBreak/>
        <w:t>regla que garantizara de mejor manera el equilibrio entre el principio de paridad y el principio democrático.</w:t>
      </w:r>
    </w:p>
    <w:p w14:paraId="63B3FD37" w14:textId="77777777" w:rsidR="00157015" w:rsidRPr="00F32542" w:rsidRDefault="00157015" w:rsidP="00157015">
      <w:pPr>
        <w:spacing w:after="0" w:line="360" w:lineRule="auto"/>
        <w:jc w:val="both"/>
        <w:rPr>
          <w:rFonts w:ascii="Arial" w:eastAsia="Calibri" w:hAnsi="Arial" w:cs="Arial"/>
          <w:sz w:val="28"/>
          <w:szCs w:val="28"/>
        </w:rPr>
      </w:pPr>
    </w:p>
    <w:p w14:paraId="0B06102F"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Sin que ello implicara sacrificar el principio de alternancia, instrumental para lograr la paridad, pues la normativa rectora de la </w:t>
      </w:r>
      <w:proofErr w:type="gramStart"/>
      <w:r w:rsidRPr="00F32542">
        <w:rPr>
          <w:rFonts w:ascii="Arial" w:eastAsia="Calibri" w:hAnsi="Arial" w:cs="Arial"/>
          <w:sz w:val="28"/>
          <w:szCs w:val="28"/>
        </w:rPr>
        <w:t>asignación,</w:t>
      </w:r>
      <w:proofErr w:type="gramEnd"/>
      <w:r w:rsidRPr="00F32542">
        <w:rPr>
          <w:rFonts w:ascii="Arial" w:eastAsia="Calibri" w:hAnsi="Arial" w:cs="Arial"/>
          <w:sz w:val="28"/>
          <w:szCs w:val="28"/>
        </w:rPr>
        <w:t xml:space="preserve"> prevé la existencia de bloques de hasta dos candidaturas de igual género, cuando se motive por la intercalación de listas.</w:t>
      </w:r>
    </w:p>
    <w:p w14:paraId="02A78F74" w14:textId="77777777" w:rsidR="00157015" w:rsidRPr="00F32542" w:rsidRDefault="00157015" w:rsidP="00157015">
      <w:pPr>
        <w:spacing w:after="0" w:line="360" w:lineRule="auto"/>
        <w:jc w:val="both"/>
        <w:rPr>
          <w:rFonts w:ascii="Arial" w:eastAsia="Calibri" w:hAnsi="Arial" w:cs="Arial"/>
          <w:sz w:val="28"/>
          <w:szCs w:val="28"/>
        </w:rPr>
      </w:pPr>
    </w:p>
    <w:p w14:paraId="71370757"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Esto, con el fin de garantizar la viabilidad del principio democrático que irradia, primero en la integración de la lista B y, posteriormente, en la lista definitiva, de modo que sea relevante la protección de la votación de la ciudadanía, permitiendo que accedan a la lista definitiva aquellas personas que hayan obtenido una mejor votación. </w:t>
      </w:r>
    </w:p>
    <w:p w14:paraId="67218945" w14:textId="77777777" w:rsidR="00157015" w:rsidRPr="00F32542" w:rsidRDefault="00157015" w:rsidP="00157015">
      <w:pPr>
        <w:spacing w:after="0" w:line="360" w:lineRule="auto"/>
        <w:jc w:val="both"/>
        <w:rPr>
          <w:rFonts w:ascii="Arial" w:eastAsia="Calibri" w:hAnsi="Arial" w:cs="Arial"/>
          <w:sz w:val="28"/>
          <w:szCs w:val="28"/>
        </w:rPr>
      </w:pPr>
    </w:p>
    <w:p w14:paraId="0C9C05CB"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La autoridad responsable pasó por alto que de las dieciocho (18) diputaciones que obtuvo Morena por el principio de mayoría relativa, doce (12) son encabezadas por mujeres respecto a seis (6), que corresponden a hombres. </w:t>
      </w:r>
    </w:p>
    <w:p w14:paraId="5896FB89" w14:textId="77777777" w:rsidR="00157015" w:rsidRPr="00F32542" w:rsidRDefault="00157015" w:rsidP="00157015">
      <w:pPr>
        <w:spacing w:after="0" w:line="360" w:lineRule="auto"/>
        <w:jc w:val="both"/>
        <w:rPr>
          <w:rFonts w:ascii="Arial" w:eastAsia="Calibri" w:hAnsi="Arial" w:cs="Arial"/>
          <w:sz w:val="28"/>
          <w:szCs w:val="28"/>
        </w:rPr>
      </w:pPr>
    </w:p>
    <w:p w14:paraId="333C98DA"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Es decir, que bajo ese principio las mujeres obtuvieron el doble de diputaciones que obtuvo el género de los hombres. </w:t>
      </w:r>
    </w:p>
    <w:p w14:paraId="36C0B41E" w14:textId="77777777" w:rsidR="00157015" w:rsidRPr="00F32542" w:rsidRDefault="00157015" w:rsidP="00157015">
      <w:pPr>
        <w:spacing w:after="0" w:line="360" w:lineRule="auto"/>
        <w:jc w:val="both"/>
        <w:rPr>
          <w:rFonts w:ascii="Arial" w:eastAsia="Calibri" w:hAnsi="Arial" w:cs="Arial"/>
          <w:sz w:val="28"/>
          <w:szCs w:val="28"/>
        </w:rPr>
      </w:pPr>
    </w:p>
    <w:p w14:paraId="19CAC355"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Esto, permitía advertir a la autoridad responsable que existen dos posiciones de la lista definitiva (10 y 14) provenientes de la lista B, que tenían un porcentaje menor de votación que la parte actora.</w:t>
      </w:r>
    </w:p>
    <w:p w14:paraId="12B464F4" w14:textId="77777777" w:rsidR="00157015" w:rsidRPr="00F32542" w:rsidRDefault="00157015" w:rsidP="00157015">
      <w:pPr>
        <w:spacing w:after="0" w:line="360" w:lineRule="auto"/>
        <w:jc w:val="both"/>
        <w:rPr>
          <w:rFonts w:ascii="Arial" w:eastAsia="Calibri" w:hAnsi="Arial" w:cs="Arial"/>
          <w:sz w:val="28"/>
          <w:szCs w:val="28"/>
        </w:rPr>
      </w:pPr>
    </w:p>
    <w:p w14:paraId="2D91ACA6"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También debió considerar, ante la predominancia de un género, era posible equilibrar los principios de paridad con el principio democrático al momento de integrar la lista final. </w:t>
      </w:r>
    </w:p>
    <w:p w14:paraId="48992523" w14:textId="77777777" w:rsidR="00157015" w:rsidRPr="00F32542" w:rsidRDefault="00157015" w:rsidP="00157015">
      <w:pPr>
        <w:spacing w:after="0" w:line="360" w:lineRule="auto"/>
        <w:jc w:val="both"/>
        <w:rPr>
          <w:rFonts w:ascii="Arial" w:eastAsia="Calibri" w:hAnsi="Arial" w:cs="Arial"/>
          <w:sz w:val="28"/>
          <w:szCs w:val="28"/>
        </w:rPr>
      </w:pPr>
    </w:p>
    <w:p w14:paraId="36327879"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Por ello, en el contexto de la predominancia del género femenino, en los cargos de mayoría relativa y representación proporcional que le correspondieron a MORENA, era posible que, en el penúltimo bloque de intercalación de la lista definitiva, se prefiriera a la fórmula de que obtuvo una mejor votación sobre otra que logró una menor votación.</w:t>
      </w:r>
    </w:p>
    <w:p w14:paraId="49447BBE" w14:textId="77777777" w:rsidR="00157015" w:rsidRPr="00F32542" w:rsidRDefault="00157015" w:rsidP="00157015">
      <w:pPr>
        <w:spacing w:after="0" w:line="360" w:lineRule="auto"/>
        <w:jc w:val="both"/>
        <w:rPr>
          <w:rFonts w:ascii="Arial" w:eastAsia="Calibri" w:hAnsi="Arial" w:cs="Arial"/>
          <w:sz w:val="28"/>
          <w:szCs w:val="28"/>
        </w:rPr>
      </w:pPr>
    </w:p>
    <w:p w14:paraId="634C144B" w14:textId="77777777" w:rsidR="00F94B48" w:rsidRPr="00F32542" w:rsidRDefault="007A07B6" w:rsidP="00157015">
      <w:pPr>
        <w:spacing w:after="0" w:line="360" w:lineRule="auto"/>
        <w:jc w:val="both"/>
        <w:rPr>
          <w:rFonts w:ascii="Arial" w:eastAsia="Calibri" w:hAnsi="Arial" w:cs="Arial"/>
          <w:sz w:val="28"/>
          <w:szCs w:val="28"/>
        </w:rPr>
      </w:pPr>
      <w:r w:rsidRPr="00F32542">
        <w:rPr>
          <w:rFonts w:ascii="Arial" w:eastAsia="Calibri" w:hAnsi="Arial" w:cs="Arial"/>
          <w:bCs/>
          <w:sz w:val="28"/>
          <w:szCs w:val="28"/>
        </w:rPr>
        <w:t>Lo dicho</w:t>
      </w:r>
      <w:r w:rsidR="00F94B48" w:rsidRPr="00F32542">
        <w:rPr>
          <w:rFonts w:ascii="Arial" w:eastAsia="Calibri" w:hAnsi="Arial" w:cs="Arial"/>
          <w:bCs/>
          <w:sz w:val="28"/>
          <w:szCs w:val="28"/>
        </w:rPr>
        <w:t>,</w:t>
      </w:r>
      <w:r w:rsidR="00F94B48" w:rsidRPr="00F32542">
        <w:rPr>
          <w:rFonts w:ascii="Arial" w:eastAsia="Calibri" w:hAnsi="Arial" w:cs="Arial"/>
          <w:b/>
          <w:sz w:val="28"/>
          <w:szCs w:val="28"/>
        </w:rPr>
        <w:t xml:space="preserve"> privilegiando al principio democrático para equilibrarlo con el de paridad,</w:t>
      </w:r>
      <w:r w:rsidR="00F94B48" w:rsidRPr="00F32542">
        <w:rPr>
          <w:rFonts w:ascii="Arial" w:eastAsia="Calibri" w:hAnsi="Arial" w:cs="Arial"/>
          <w:sz w:val="28"/>
          <w:szCs w:val="28"/>
        </w:rPr>
        <w:t xml:space="preserve"> sin que pase desapercibido</w:t>
      </w:r>
      <w:r w:rsidRPr="00F32542">
        <w:rPr>
          <w:rFonts w:ascii="Arial" w:eastAsia="Calibri" w:hAnsi="Arial" w:cs="Arial"/>
          <w:sz w:val="28"/>
          <w:szCs w:val="28"/>
        </w:rPr>
        <w:t>, como se ha expuesto,</w:t>
      </w:r>
      <w:r w:rsidR="00F94B48" w:rsidRPr="00F32542">
        <w:rPr>
          <w:rFonts w:ascii="Arial" w:eastAsia="Calibri" w:hAnsi="Arial" w:cs="Arial"/>
          <w:sz w:val="28"/>
          <w:szCs w:val="28"/>
        </w:rPr>
        <w:t xml:space="preserve"> que ambos principios deben coexistir.</w:t>
      </w:r>
    </w:p>
    <w:p w14:paraId="78B36D24" w14:textId="77777777" w:rsidR="00157015" w:rsidRPr="00F32542" w:rsidRDefault="00157015" w:rsidP="00157015">
      <w:pPr>
        <w:spacing w:after="0" w:line="360" w:lineRule="auto"/>
        <w:jc w:val="both"/>
        <w:rPr>
          <w:rFonts w:ascii="Arial" w:eastAsia="Calibri" w:hAnsi="Arial" w:cs="Arial"/>
          <w:sz w:val="28"/>
          <w:szCs w:val="28"/>
        </w:rPr>
      </w:pPr>
    </w:p>
    <w:p w14:paraId="166EED80" w14:textId="77777777" w:rsidR="00F94B48" w:rsidRPr="00F32542" w:rsidRDefault="00F94B48" w:rsidP="00157015">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Como se mostrará, preferir en el último bloque de la lista definitiva, a la candidatura con mejor votación después de las candidaturas ubicadas en las posiciones diez (10) y doce (12), es decir, a la candidatura de la parte actora, inicialmente ubicada en el lugar catorce (14), mantiene un </w:t>
      </w:r>
      <w:r w:rsidRPr="00F32542">
        <w:rPr>
          <w:rFonts w:ascii="Arial" w:eastAsia="Calibri" w:hAnsi="Arial" w:cs="Arial"/>
          <w:sz w:val="28"/>
          <w:szCs w:val="28"/>
          <w:u w:val="single"/>
        </w:rPr>
        <w:t>claro</w:t>
      </w:r>
      <w:r w:rsidRPr="00F32542">
        <w:rPr>
          <w:rFonts w:ascii="Arial" w:eastAsia="Calibri" w:hAnsi="Arial" w:cs="Arial"/>
          <w:sz w:val="28"/>
          <w:szCs w:val="28"/>
        </w:rPr>
        <w:t xml:space="preserve"> equilibrio y ponderación entre los principios que confluyen en la asignación de representación proporcional en la Ciudad de México: </w:t>
      </w:r>
    </w:p>
    <w:p w14:paraId="3899FEDF" w14:textId="77777777" w:rsidR="007A07B6" w:rsidRPr="00F32542" w:rsidRDefault="007A07B6" w:rsidP="00157015">
      <w:pPr>
        <w:spacing w:after="0" w:line="360" w:lineRule="auto"/>
        <w:jc w:val="both"/>
        <w:rPr>
          <w:rFonts w:ascii="Arial" w:eastAsia="Calibri" w:hAnsi="Arial" w:cs="Arial"/>
          <w:sz w:val="28"/>
          <w:szCs w:val="28"/>
        </w:rPr>
      </w:pPr>
    </w:p>
    <w:tbl>
      <w:tblPr>
        <w:tblStyle w:val="Tablaconcuadrcula25"/>
        <w:tblW w:w="0" w:type="auto"/>
        <w:tblLook w:val="04A0" w:firstRow="1" w:lastRow="0" w:firstColumn="1" w:lastColumn="0" w:noHBand="0" w:noVBand="1"/>
      </w:tblPr>
      <w:tblGrid>
        <w:gridCol w:w="533"/>
        <w:gridCol w:w="2605"/>
        <w:gridCol w:w="748"/>
        <w:gridCol w:w="2307"/>
        <w:gridCol w:w="1776"/>
      </w:tblGrid>
      <w:tr w:rsidR="00F94B48" w:rsidRPr="00F32542" w14:paraId="6AE392A2" w14:textId="77777777" w:rsidTr="007A07B6">
        <w:trPr>
          <w:tblHeader/>
        </w:trPr>
        <w:tc>
          <w:tcPr>
            <w:tcW w:w="533" w:type="dxa"/>
            <w:tcBorders>
              <w:bottom w:val="single" w:sz="4" w:space="0" w:color="auto"/>
            </w:tcBorders>
            <w:shd w:val="clear" w:color="auto" w:fill="BFBFBF" w:themeFill="background1" w:themeFillShade="BF"/>
          </w:tcPr>
          <w:p w14:paraId="06D393C5" w14:textId="77777777" w:rsidR="00F94B48" w:rsidRPr="00F32542" w:rsidRDefault="00F94B48" w:rsidP="00F94B48">
            <w:pPr>
              <w:spacing w:after="0" w:line="240" w:lineRule="auto"/>
              <w:jc w:val="both"/>
              <w:rPr>
                <w:rFonts w:ascii="Arial" w:eastAsia="Calibri" w:hAnsi="Arial" w:cs="Arial"/>
                <w:b/>
                <w:sz w:val="20"/>
                <w:szCs w:val="20"/>
              </w:rPr>
            </w:pPr>
            <w:r w:rsidRPr="00F32542">
              <w:rPr>
                <w:rFonts w:ascii="Arial" w:eastAsia="Calibri" w:hAnsi="Arial" w:cs="Arial"/>
                <w:b/>
                <w:sz w:val="20"/>
                <w:szCs w:val="20"/>
              </w:rPr>
              <w:t>No</w:t>
            </w:r>
          </w:p>
        </w:tc>
        <w:tc>
          <w:tcPr>
            <w:tcW w:w="2605" w:type="dxa"/>
            <w:tcBorders>
              <w:bottom w:val="single" w:sz="4" w:space="0" w:color="auto"/>
            </w:tcBorders>
            <w:shd w:val="clear" w:color="auto" w:fill="BFBFBF" w:themeFill="background1" w:themeFillShade="BF"/>
          </w:tcPr>
          <w:p w14:paraId="7DD8AF79"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Nombre (propietario)</w:t>
            </w:r>
          </w:p>
        </w:tc>
        <w:tc>
          <w:tcPr>
            <w:tcW w:w="748" w:type="dxa"/>
            <w:tcBorders>
              <w:bottom w:val="single" w:sz="4" w:space="0" w:color="auto"/>
            </w:tcBorders>
            <w:shd w:val="clear" w:color="auto" w:fill="BFBFBF" w:themeFill="background1" w:themeFillShade="BF"/>
          </w:tcPr>
          <w:p w14:paraId="7CD0BD06"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 xml:space="preserve">Sexo </w:t>
            </w:r>
          </w:p>
        </w:tc>
        <w:tc>
          <w:tcPr>
            <w:tcW w:w="2307" w:type="dxa"/>
            <w:tcBorders>
              <w:bottom w:val="single" w:sz="4" w:space="0" w:color="auto"/>
            </w:tcBorders>
            <w:shd w:val="clear" w:color="auto" w:fill="BFBFBF" w:themeFill="background1" w:themeFillShade="BF"/>
          </w:tcPr>
          <w:p w14:paraId="6EF089FC"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 xml:space="preserve">Lugar y lista de la que proviene </w:t>
            </w:r>
          </w:p>
        </w:tc>
        <w:tc>
          <w:tcPr>
            <w:tcW w:w="1776" w:type="dxa"/>
            <w:tcBorders>
              <w:bottom w:val="single" w:sz="4" w:space="0" w:color="auto"/>
            </w:tcBorders>
            <w:shd w:val="clear" w:color="auto" w:fill="BFBFBF" w:themeFill="background1" w:themeFillShade="BF"/>
          </w:tcPr>
          <w:p w14:paraId="1CEA7DAA"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Porcentaje de votación</w:t>
            </w:r>
          </w:p>
        </w:tc>
      </w:tr>
      <w:tr w:rsidR="00F94B48" w:rsidRPr="00F32542" w14:paraId="5CA71B6D" w14:textId="77777777" w:rsidTr="007A07B6">
        <w:trPr>
          <w:trHeight w:val="533"/>
        </w:trPr>
        <w:tc>
          <w:tcPr>
            <w:tcW w:w="533" w:type="dxa"/>
            <w:shd w:val="clear" w:color="auto" w:fill="D0CECE"/>
            <w:vAlign w:val="center"/>
          </w:tcPr>
          <w:p w14:paraId="377D53A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w:t>
            </w:r>
          </w:p>
        </w:tc>
        <w:tc>
          <w:tcPr>
            <w:tcW w:w="2605" w:type="dxa"/>
            <w:shd w:val="clear" w:color="auto" w:fill="D0CECE"/>
            <w:vAlign w:val="center"/>
          </w:tcPr>
          <w:p w14:paraId="5DFFF361"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José de Jesús Martín del Campo Castañeda</w:t>
            </w:r>
          </w:p>
        </w:tc>
        <w:tc>
          <w:tcPr>
            <w:tcW w:w="748" w:type="dxa"/>
            <w:shd w:val="clear" w:color="auto" w:fill="D0CECE"/>
            <w:vAlign w:val="center"/>
          </w:tcPr>
          <w:p w14:paraId="3F28C0C8"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307" w:type="dxa"/>
            <w:shd w:val="clear" w:color="auto" w:fill="D0CECE"/>
            <w:vAlign w:val="center"/>
          </w:tcPr>
          <w:p w14:paraId="19788BC1"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1 </w:t>
            </w:r>
            <w:proofErr w:type="gramStart"/>
            <w:r w:rsidRPr="00F32542">
              <w:rPr>
                <w:rFonts w:ascii="Arial" w:eastAsia="Calibri" w:hAnsi="Arial" w:cs="Arial"/>
                <w:sz w:val="20"/>
                <w:szCs w:val="20"/>
              </w:rPr>
              <w:t>A</w:t>
            </w:r>
            <w:proofErr w:type="gramEnd"/>
          </w:p>
        </w:tc>
        <w:tc>
          <w:tcPr>
            <w:tcW w:w="1776" w:type="dxa"/>
            <w:shd w:val="clear" w:color="auto" w:fill="D0CECE"/>
            <w:vAlign w:val="center"/>
          </w:tcPr>
          <w:p w14:paraId="40962F7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No aplica</w:t>
            </w:r>
          </w:p>
        </w:tc>
      </w:tr>
      <w:tr w:rsidR="00F94B48" w:rsidRPr="00F32542" w14:paraId="6CF8447D" w14:textId="77777777" w:rsidTr="007A07B6">
        <w:trPr>
          <w:trHeight w:val="533"/>
        </w:trPr>
        <w:tc>
          <w:tcPr>
            <w:tcW w:w="533" w:type="dxa"/>
            <w:shd w:val="clear" w:color="auto" w:fill="D0CECE"/>
            <w:vAlign w:val="center"/>
          </w:tcPr>
          <w:p w14:paraId="11D41DD6"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2</w:t>
            </w:r>
          </w:p>
        </w:tc>
        <w:tc>
          <w:tcPr>
            <w:tcW w:w="2605" w:type="dxa"/>
            <w:shd w:val="clear" w:color="auto" w:fill="D0CECE"/>
            <w:vAlign w:val="center"/>
          </w:tcPr>
          <w:p w14:paraId="11894A2D" w14:textId="77777777" w:rsidR="00F94B48" w:rsidRPr="00F32542" w:rsidRDefault="00F94B48" w:rsidP="00F94B48">
            <w:pPr>
              <w:spacing w:after="0" w:line="240" w:lineRule="auto"/>
              <w:jc w:val="center"/>
              <w:rPr>
                <w:rFonts w:ascii="Arial" w:eastAsia="Calibri" w:hAnsi="Arial" w:cs="Arial"/>
                <w:sz w:val="20"/>
                <w:szCs w:val="20"/>
              </w:rPr>
            </w:pPr>
            <w:proofErr w:type="spellStart"/>
            <w:r w:rsidRPr="00F32542">
              <w:rPr>
                <w:rFonts w:ascii="Arial" w:eastAsia="Calibri" w:hAnsi="Arial" w:cs="Arial"/>
                <w:sz w:val="20"/>
                <w:szCs w:val="20"/>
              </w:rPr>
              <w:t>Yuriri</w:t>
            </w:r>
            <w:proofErr w:type="spellEnd"/>
            <w:r w:rsidRPr="00F32542">
              <w:rPr>
                <w:rFonts w:ascii="Arial" w:eastAsia="Calibri" w:hAnsi="Arial" w:cs="Arial"/>
                <w:sz w:val="20"/>
                <w:szCs w:val="20"/>
              </w:rPr>
              <w:t xml:space="preserve"> Ayala Zúñiga </w:t>
            </w:r>
          </w:p>
        </w:tc>
        <w:tc>
          <w:tcPr>
            <w:tcW w:w="748" w:type="dxa"/>
            <w:shd w:val="clear" w:color="auto" w:fill="D0CECE"/>
            <w:vAlign w:val="center"/>
          </w:tcPr>
          <w:p w14:paraId="5AEF52F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307" w:type="dxa"/>
            <w:shd w:val="clear" w:color="auto" w:fill="D0CECE"/>
            <w:vAlign w:val="center"/>
          </w:tcPr>
          <w:p w14:paraId="2A4FF8C0"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 B</w:t>
            </w:r>
          </w:p>
        </w:tc>
        <w:tc>
          <w:tcPr>
            <w:tcW w:w="1776" w:type="dxa"/>
            <w:shd w:val="clear" w:color="auto" w:fill="D0CECE"/>
            <w:vAlign w:val="center"/>
          </w:tcPr>
          <w:p w14:paraId="590697BE"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45.56</w:t>
            </w:r>
          </w:p>
        </w:tc>
      </w:tr>
      <w:tr w:rsidR="00F94B48" w:rsidRPr="00F32542" w14:paraId="179EC17A" w14:textId="77777777" w:rsidTr="007A07B6">
        <w:trPr>
          <w:trHeight w:val="533"/>
        </w:trPr>
        <w:tc>
          <w:tcPr>
            <w:tcW w:w="533" w:type="dxa"/>
            <w:vAlign w:val="center"/>
          </w:tcPr>
          <w:p w14:paraId="0B6861E7"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3</w:t>
            </w:r>
          </w:p>
        </w:tc>
        <w:tc>
          <w:tcPr>
            <w:tcW w:w="2605" w:type="dxa"/>
            <w:vAlign w:val="center"/>
          </w:tcPr>
          <w:p w14:paraId="3E80A360"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Leticia Estrada Hernández </w:t>
            </w:r>
          </w:p>
        </w:tc>
        <w:tc>
          <w:tcPr>
            <w:tcW w:w="748" w:type="dxa"/>
            <w:vAlign w:val="center"/>
          </w:tcPr>
          <w:p w14:paraId="68086626"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307" w:type="dxa"/>
            <w:vAlign w:val="center"/>
          </w:tcPr>
          <w:p w14:paraId="2543BC90"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2 </w:t>
            </w:r>
            <w:proofErr w:type="gramStart"/>
            <w:r w:rsidRPr="00F32542">
              <w:rPr>
                <w:rFonts w:ascii="Arial" w:eastAsia="Calibri" w:hAnsi="Arial" w:cs="Arial"/>
                <w:sz w:val="20"/>
                <w:szCs w:val="20"/>
              </w:rPr>
              <w:t>A</w:t>
            </w:r>
            <w:proofErr w:type="gramEnd"/>
          </w:p>
        </w:tc>
        <w:tc>
          <w:tcPr>
            <w:tcW w:w="1776" w:type="dxa"/>
            <w:vAlign w:val="center"/>
          </w:tcPr>
          <w:p w14:paraId="32A5A45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No aplica </w:t>
            </w:r>
          </w:p>
        </w:tc>
      </w:tr>
      <w:tr w:rsidR="00F94B48" w:rsidRPr="00F32542" w14:paraId="25A8EAFC" w14:textId="77777777" w:rsidTr="007A07B6">
        <w:trPr>
          <w:trHeight w:val="533"/>
        </w:trPr>
        <w:tc>
          <w:tcPr>
            <w:tcW w:w="533" w:type="dxa"/>
            <w:tcBorders>
              <w:bottom w:val="single" w:sz="4" w:space="0" w:color="auto"/>
            </w:tcBorders>
            <w:vAlign w:val="center"/>
          </w:tcPr>
          <w:p w14:paraId="40712250"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4</w:t>
            </w:r>
          </w:p>
        </w:tc>
        <w:tc>
          <w:tcPr>
            <w:tcW w:w="2605" w:type="dxa"/>
            <w:tcBorders>
              <w:bottom w:val="single" w:sz="4" w:space="0" w:color="auto"/>
            </w:tcBorders>
            <w:vAlign w:val="center"/>
          </w:tcPr>
          <w:p w14:paraId="4F3E2B5B"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Marco Antonio Temístocles Villanueva Ramos </w:t>
            </w:r>
          </w:p>
        </w:tc>
        <w:tc>
          <w:tcPr>
            <w:tcW w:w="748" w:type="dxa"/>
            <w:tcBorders>
              <w:bottom w:val="single" w:sz="4" w:space="0" w:color="auto"/>
            </w:tcBorders>
            <w:vAlign w:val="center"/>
          </w:tcPr>
          <w:p w14:paraId="1F12292A"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307" w:type="dxa"/>
            <w:tcBorders>
              <w:bottom w:val="single" w:sz="4" w:space="0" w:color="auto"/>
            </w:tcBorders>
            <w:vAlign w:val="center"/>
          </w:tcPr>
          <w:p w14:paraId="16C1E157"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2 B</w:t>
            </w:r>
          </w:p>
        </w:tc>
        <w:tc>
          <w:tcPr>
            <w:tcW w:w="1776" w:type="dxa"/>
            <w:tcBorders>
              <w:bottom w:val="single" w:sz="4" w:space="0" w:color="auto"/>
            </w:tcBorders>
            <w:vAlign w:val="center"/>
          </w:tcPr>
          <w:p w14:paraId="26EE791C"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42.02</w:t>
            </w:r>
          </w:p>
        </w:tc>
      </w:tr>
      <w:tr w:rsidR="00F94B48" w:rsidRPr="00F32542" w14:paraId="3AE0E421" w14:textId="77777777" w:rsidTr="007A07B6">
        <w:trPr>
          <w:trHeight w:val="533"/>
        </w:trPr>
        <w:tc>
          <w:tcPr>
            <w:tcW w:w="533" w:type="dxa"/>
            <w:shd w:val="clear" w:color="auto" w:fill="D0CECE"/>
            <w:vAlign w:val="center"/>
          </w:tcPr>
          <w:p w14:paraId="5C4B87C8"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5</w:t>
            </w:r>
          </w:p>
        </w:tc>
        <w:tc>
          <w:tcPr>
            <w:tcW w:w="2605" w:type="dxa"/>
            <w:shd w:val="clear" w:color="auto" w:fill="D0CECE"/>
            <w:vAlign w:val="center"/>
          </w:tcPr>
          <w:p w14:paraId="58A4F360"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Héctor Díaz Polanco</w:t>
            </w:r>
          </w:p>
        </w:tc>
        <w:tc>
          <w:tcPr>
            <w:tcW w:w="748" w:type="dxa"/>
            <w:shd w:val="clear" w:color="auto" w:fill="D0CECE"/>
            <w:vAlign w:val="center"/>
          </w:tcPr>
          <w:p w14:paraId="4B197D0C"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307" w:type="dxa"/>
            <w:shd w:val="clear" w:color="auto" w:fill="D0CECE"/>
            <w:vAlign w:val="center"/>
          </w:tcPr>
          <w:p w14:paraId="2BDF00AA"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3 </w:t>
            </w:r>
            <w:proofErr w:type="gramStart"/>
            <w:r w:rsidRPr="00F32542">
              <w:rPr>
                <w:rFonts w:ascii="Arial" w:eastAsia="Calibri" w:hAnsi="Arial" w:cs="Arial"/>
                <w:sz w:val="20"/>
                <w:szCs w:val="20"/>
              </w:rPr>
              <w:t>A</w:t>
            </w:r>
            <w:proofErr w:type="gramEnd"/>
          </w:p>
        </w:tc>
        <w:tc>
          <w:tcPr>
            <w:tcW w:w="1776" w:type="dxa"/>
            <w:shd w:val="clear" w:color="auto" w:fill="D0CECE"/>
            <w:vAlign w:val="center"/>
          </w:tcPr>
          <w:p w14:paraId="2529424A"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No aplica </w:t>
            </w:r>
          </w:p>
        </w:tc>
      </w:tr>
      <w:tr w:rsidR="00F94B48" w:rsidRPr="00F32542" w14:paraId="397B36DF" w14:textId="77777777" w:rsidTr="007A07B6">
        <w:trPr>
          <w:trHeight w:val="533"/>
        </w:trPr>
        <w:tc>
          <w:tcPr>
            <w:tcW w:w="533" w:type="dxa"/>
            <w:shd w:val="clear" w:color="auto" w:fill="D0CECE"/>
            <w:vAlign w:val="center"/>
          </w:tcPr>
          <w:p w14:paraId="609C984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6</w:t>
            </w:r>
          </w:p>
        </w:tc>
        <w:tc>
          <w:tcPr>
            <w:tcW w:w="2605" w:type="dxa"/>
            <w:shd w:val="clear" w:color="auto" w:fill="D0CECE"/>
            <w:vAlign w:val="center"/>
          </w:tcPr>
          <w:p w14:paraId="728A06B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Valentina Valia Batres Guadarrama</w:t>
            </w:r>
          </w:p>
        </w:tc>
        <w:tc>
          <w:tcPr>
            <w:tcW w:w="748" w:type="dxa"/>
            <w:shd w:val="clear" w:color="auto" w:fill="D0CECE"/>
            <w:vAlign w:val="center"/>
          </w:tcPr>
          <w:p w14:paraId="3431C75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307" w:type="dxa"/>
            <w:shd w:val="clear" w:color="auto" w:fill="D0CECE"/>
            <w:vAlign w:val="center"/>
          </w:tcPr>
          <w:p w14:paraId="74BA564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3 B</w:t>
            </w:r>
          </w:p>
        </w:tc>
        <w:tc>
          <w:tcPr>
            <w:tcW w:w="1776" w:type="dxa"/>
            <w:shd w:val="clear" w:color="auto" w:fill="D0CECE"/>
            <w:vAlign w:val="center"/>
          </w:tcPr>
          <w:p w14:paraId="2B8C1E8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42.51</w:t>
            </w:r>
          </w:p>
        </w:tc>
      </w:tr>
      <w:tr w:rsidR="00F94B48" w:rsidRPr="00F32542" w14:paraId="38277421" w14:textId="77777777" w:rsidTr="007A07B6">
        <w:trPr>
          <w:trHeight w:val="533"/>
        </w:trPr>
        <w:tc>
          <w:tcPr>
            <w:tcW w:w="533" w:type="dxa"/>
            <w:vAlign w:val="center"/>
          </w:tcPr>
          <w:p w14:paraId="46F4D417"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7</w:t>
            </w:r>
          </w:p>
        </w:tc>
        <w:tc>
          <w:tcPr>
            <w:tcW w:w="2605" w:type="dxa"/>
            <w:vAlign w:val="center"/>
          </w:tcPr>
          <w:p w14:paraId="39795058"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Ana Francis López </w:t>
            </w:r>
            <w:proofErr w:type="spellStart"/>
            <w:r w:rsidRPr="00F32542">
              <w:rPr>
                <w:rFonts w:ascii="Arial" w:eastAsia="Calibri" w:hAnsi="Arial" w:cs="Arial"/>
                <w:sz w:val="20"/>
                <w:szCs w:val="20"/>
              </w:rPr>
              <w:t>Bayghen</w:t>
            </w:r>
            <w:proofErr w:type="spellEnd"/>
            <w:r w:rsidRPr="00F32542">
              <w:rPr>
                <w:rFonts w:ascii="Arial" w:eastAsia="Calibri" w:hAnsi="Arial" w:cs="Arial"/>
                <w:sz w:val="20"/>
                <w:szCs w:val="20"/>
              </w:rPr>
              <w:t xml:space="preserve"> Patiño</w:t>
            </w:r>
          </w:p>
        </w:tc>
        <w:tc>
          <w:tcPr>
            <w:tcW w:w="748" w:type="dxa"/>
            <w:vAlign w:val="center"/>
          </w:tcPr>
          <w:p w14:paraId="7E0C1F9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307" w:type="dxa"/>
            <w:vAlign w:val="center"/>
          </w:tcPr>
          <w:p w14:paraId="322441EA"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4 </w:t>
            </w:r>
            <w:proofErr w:type="gramStart"/>
            <w:r w:rsidRPr="00F32542">
              <w:rPr>
                <w:rFonts w:ascii="Arial" w:eastAsia="Calibri" w:hAnsi="Arial" w:cs="Arial"/>
                <w:sz w:val="20"/>
                <w:szCs w:val="20"/>
              </w:rPr>
              <w:t>A</w:t>
            </w:r>
            <w:proofErr w:type="gramEnd"/>
            <w:r w:rsidRPr="00F32542">
              <w:rPr>
                <w:rFonts w:ascii="Arial" w:eastAsia="Calibri" w:hAnsi="Arial" w:cs="Arial"/>
                <w:sz w:val="20"/>
                <w:szCs w:val="20"/>
              </w:rPr>
              <w:t xml:space="preserve"> </w:t>
            </w:r>
          </w:p>
        </w:tc>
        <w:tc>
          <w:tcPr>
            <w:tcW w:w="1776" w:type="dxa"/>
            <w:vAlign w:val="center"/>
          </w:tcPr>
          <w:p w14:paraId="34017D0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No aplica </w:t>
            </w:r>
          </w:p>
        </w:tc>
      </w:tr>
      <w:tr w:rsidR="00F94B48" w:rsidRPr="00F32542" w14:paraId="0BAB0449" w14:textId="77777777" w:rsidTr="007A07B6">
        <w:trPr>
          <w:trHeight w:val="533"/>
        </w:trPr>
        <w:tc>
          <w:tcPr>
            <w:tcW w:w="533" w:type="dxa"/>
            <w:tcBorders>
              <w:bottom w:val="single" w:sz="4" w:space="0" w:color="auto"/>
            </w:tcBorders>
            <w:vAlign w:val="center"/>
          </w:tcPr>
          <w:p w14:paraId="5C9EDAF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8</w:t>
            </w:r>
          </w:p>
        </w:tc>
        <w:tc>
          <w:tcPr>
            <w:tcW w:w="2605" w:type="dxa"/>
            <w:tcBorders>
              <w:bottom w:val="single" w:sz="4" w:space="0" w:color="auto"/>
            </w:tcBorders>
            <w:vAlign w:val="center"/>
          </w:tcPr>
          <w:p w14:paraId="55444DA4"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José Fernando Mercado </w:t>
            </w:r>
            <w:proofErr w:type="spellStart"/>
            <w:r w:rsidRPr="00F32542">
              <w:rPr>
                <w:rFonts w:ascii="Arial" w:eastAsia="Calibri" w:hAnsi="Arial" w:cs="Arial"/>
                <w:sz w:val="20"/>
                <w:szCs w:val="20"/>
              </w:rPr>
              <w:t>Guaida</w:t>
            </w:r>
            <w:proofErr w:type="spellEnd"/>
          </w:p>
        </w:tc>
        <w:tc>
          <w:tcPr>
            <w:tcW w:w="748" w:type="dxa"/>
            <w:tcBorders>
              <w:bottom w:val="single" w:sz="4" w:space="0" w:color="auto"/>
            </w:tcBorders>
            <w:vAlign w:val="center"/>
          </w:tcPr>
          <w:p w14:paraId="386360B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307" w:type="dxa"/>
            <w:tcBorders>
              <w:bottom w:val="single" w:sz="4" w:space="0" w:color="auto"/>
            </w:tcBorders>
            <w:vAlign w:val="center"/>
          </w:tcPr>
          <w:p w14:paraId="5782725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4 B</w:t>
            </w:r>
          </w:p>
        </w:tc>
        <w:tc>
          <w:tcPr>
            <w:tcW w:w="1776" w:type="dxa"/>
            <w:tcBorders>
              <w:bottom w:val="single" w:sz="4" w:space="0" w:color="auto"/>
            </w:tcBorders>
            <w:vAlign w:val="center"/>
          </w:tcPr>
          <w:p w14:paraId="426A863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40.47</w:t>
            </w:r>
          </w:p>
        </w:tc>
      </w:tr>
      <w:tr w:rsidR="00F94B48" w:rsidRPr="00F32542" w14:paraId="200F2ACB" w14:textId="77777777" w:rsidTr="007A07B6">
        <w:trPr>
          <w:trHeight w:val="533"/>
        </w:trPr>
        <w:tc>
          <w:tcPr>
            <w:tcW w:w="533" w:type="dxa"/>
            <w:shd w:val="clear" w:color="auto" w:fill="D0CECE"/>
            <w:vAlign w:val="center"/>
          </w:tcPr>
          <w:p w14:paraId="3AD0090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lastRenderedPageBreak/>
              <w:t>9</w:t>
            </w:r>
          </w:p>
        </w:tc>
        <w:tc>
          <w:tcPr>
            <w:tcW w:w="2605" w:type="dxa"/>
            <w:shd w:val="clear" w:color="auto" w:fill="D0CECE"/>
            <w:vAlign w:val="center"/>
          </w:tcPr>
          <w:p w14:paraId="59F67D2C"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José Martín Padilla Sánchez</w:t>
            </w:r>
          </w:p>
        </w:tc>
        <w:tc>
          <w:tcPr>
            <w:tcW w:w="748" w:type="dxa"/>
            <w:shd w:val="clear" w:color="auto" w:fill="D0CECE"/>
            <w:vAlign w:val="center"/>
          </w:tcPr>
          <w:p w14:paraId="602CECF4"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307" w:type="dxa"/>
            <w:shd w:val="clear" w:color="auto" w:fill="D0CECE"/>
            <w:vAlign w:val="center"/>
          </w:tcPr>
          <w:p w14:paraId="368B4307"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5 </w:t>
            </w:r>
            <w:proofErr w:type="gramStart"/>
            <w:r w:rsidRPr="00F32542">
              <w:rPr>
                <w:rFonts w:ascii="Arial" w:eastAsia="Calibri" w:hAnsi="Arial" w:cs="Arial"/>
                <w:sz w:val="20"/>
                <w:szCs w:val="20"/>
              </w:rPr>
              <w:t>A</w:t>
            </w:r>
            <w:proofErr w:type="gramEnd"/>
          </w:p>
        </w:tc>
        <w:tc>
          <w:tcPr>
            <w:tcW w:w="1776" w:type="dxa"/>
            <w:shd w:val="clear" w:color="auto" w:fill="D0CECE"/>
            <w:vAlign w:val="center"/>
          </w:tcPr>
          <w:p w14:paraId="17973D16"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No aplica </w:t>
            </w:r>
          </w:p>
        </w:tc>
      </w:tr>
      <w:tr w:rsidR="00F94B48" w:rsidRPr="00F32542" w14:paraId="4B433F02" w14:textId="77777777" w:rsidTr="007A07B6">
        <w:trPr>
          <w:trHeight w:val="533"/>
        </w:trPr>
        <w:tc>
          <w:tcPr>
            <w:tcW w:w="533" w:type="dxa"/>
            <w:shd w:val="clear" w:color="auto" w:fill="D0CECE"/>
            <w:vAlign w:val="center"/>
          </w:tcPr>
          <w:p w14:paraId="00E9714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10</w:t>
            </w:r>
          </w:p>
        </w:tc>
        <w:tc>
          <w:tcPr>
            <w:tcW w:w="2605" w:type="dxa"/>
            <w:shd w:val="clear" w:color="auto" w:fill="D0CECE"/>
            <w:vAlign w:val="center"/>
          </w:tcPr>
          <w:p w14:paraId="16AABDB5"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Xóchitl Bravo Espinosa</w:t>
            </w:r>
          </w:p>
        </w:tc>
        <w:tc>
          <w:tcPr>
            <w:tcW w:w="748" w:type="dxa"/>
            <w:shd w:val="clear" w:color="auto" w:fill="D0CECE"/>
            <w:vAlign w:val="center"/>
          </w:tcPr>
          <w:p w14:paraId="2F3C7C3B"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307" w:type="dxa"/>
            <w:shd w:val="clear" w:color="auto" w:fill="D0CECE"/>
            <w:vAlign w:val="center"/>
          </w:tcPr>
          <w:p w14:paraId="3E76C09B"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5 B</w:t>
            </w:r>
          </w:p>
        </w:tc>
        <w:tc>
          <w:tcPr>
            <w:tcW w:w="1776" w:type="dxa"/>
            <w:shd w:val="clear" w:color="auto" w:fill="D0CECE"/>
            <w:vAlign w:val="center"/>
          </w:tcPr>
          <w:p w14:paraId="6CC7E258"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34.53</w:t>
            </w:r>
          </w:p>
        </w:tc>
      </w:tr>
      <w:tr w:rsidR="00F94B48" w:rsidRPr="00F32542" w14:paraId="3ED655BF" w14:textId="77777777" w:rsidTr="007A07B6">
        <w:trPr>
          <w:trHeight w:val="533"/>
        </w:trPr>
        <w:tc>
          <w:tcPr>
            <w:tcW w:w="533" w:type="dxa"/>
            <w:vAlign w:val="center"/>
          </w:tcPr>
          <w:p w14:paraId="6DD4FF1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11</w:t>
            </w:r>
          </w:p>
        </w:tc>
        <w:tc>
          <w:tcPr>
            <w:tcW w:w="2605" w:type="dxa"/>
            <w:vAlign w:val="center"/>
          </w:tcPr>
          <w:p w14:paraId="1F4A6375"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Alejandra Méndez Vicuña</w:t>
            </w:r>
          </w:p>
        </w:tc>
        <w:tc>
          <w:tcPr>
            <w:tcW w:w="748" w:type="dxa"/>
            <w:vAlign w:val="center"/>
          </w:tcPr>
          <w:p w14:paraId="03D6342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307" w:type="dxa"/>
            <w:vAlign w:val="center"/>
          </w:tcPr>
          <w:p w14:paraId="4B9C96C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6 </w:t>
            </w:r>
            <w:proofErr w:type="gramStart"/>
            <w:r w:rsidRPr="00F32542">
              <w:rPr>
                <w:rFonts w:ascii="Arial" w:eastAsia="Calibri" w:hAnsi="Arial" w:cs="Arial"/>
                <w:sz w:val="20"/>
                <w:szCs w:val="20"/>
              </w:rPr>
              <w:t>A</w:t>
            </w:r>
            <w:proofErr w:type="gramEnd"/>
          </w:p>
        </w:tc>
        <w:tc>
          <w:tcPr>
            <w:tcW w:w="1776" w:type="dxa"/>
            <w:vAlign w:val="center"/>
          </w:tcPr>
          <w:p w14:paraId="5151813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No aplica </w:t>
            </w:r>
          </w:p>
        </w:tc>
      </w:tr>
      <w:tr w:rsidR="00F94B48" w:rsidRPr="00F32542" w14:paraId="49C008D7" w14:textId="77777777" w:rsidTr="007A07B6">
        <w:trPr>
          <w:trHeight w:val="533"/>
        </w:trPr>
        <w:tc>
          <w:tcPr>
            <w:tcW w:w="533" w:type="dxa"/>
            <w:tcBorders>
              <w:bottom w:val="single" w:sz="4" w:space="0" w:color="auto"/>
            </w:tcBorders>
            <w:vAlign w:val="center"/>
          </w:tcPr>
          <w:p w14:paraId="3FA46085"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12</w:t>
            </w:r>
          </w:p>
        </w:tc>
        <w:tc>
          <w:tcPr>
            <w:tcW w:w="2605" w:type="dxa"/>
            <w:tcBorders>
              <w:bottom w:val="single" w:sz="4" w:space="0" w:color="auto"/>
            </w:tcBorders>
            <w:vAlign w:val="center"/>
          </w:tcPr>
          <w:p w14:paraId="2017A9E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Carlos Cervantes Godoy</w:t>
            </w:r>
          </w:p>
        </w:tc>
        <w:tc>
          <w:tcPr>
            <w:tcW w:w="748" w:type="dxa"/>
            <w:tcBorders>
              <w:bottom w:val="single" w:sz="4" w:space="0" w:color="auto"/>
            </w:tcBorders>
            <w:vAlign w:val="center"/>
          </w:tcPr>
          <w:p w14:paraId="46DCF53A"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307" w:type="dxa"/>
            <w:tcBorders>
              <w:bottom w:val="single" w:sz="4" w:space="0" w:color="auto"/>
            </w:tcBorders>
            <w:vAlign w:val="center"/>
          </w:tcPr>
          <w:p w14:paraId="25B89FC4"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6 B</w:t>
            </w:r>
          </w:p>
        </w:tc>
        <w:tc>
          <w:tcPr>
            <w:tcW w:w="1776" w:type="dxa"/>
            <w:tcBorders>
              <w:bottom w:val="single" w:sz="4" w:space="0" w:color="auto"/>
            </w:tcBorders>
            <w:vAlign w:val="center"/>
          </w:tcPr>
          <w:p w14:paraId="36D5F90C"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40.13</w:t>
            </w:r>
          </w:p>
        </w:tc>
      </w:tr>
      <w:tr w:rsidR="00F94B48" w:rsidRPr="00F32542" w14:paraId="70525162" w14:textId="77777777" w:rsidTr="007A07B6">
        <w:trPr>
          <w:trHeight w:val="533"/>
        </w:trPr>
        <w:tc>
          <w:tcPr>
            <w:tcW w:w="533" w:type="dxa"/>
            <w:shd w:val="clear" w:color="auto" w:fill="D0CECE"/>
            <w:vAlign w:val="center"/>
          </w:tcPr>
          <w:p w14:paraId="672004E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13</w:t>
            </w:r>
          </w:p>
        </w:tc>
        <w:tc>
          <w:tcPr>
            <w:tcW w:w="2605" w:type="dxa"/>
            <w:shd w:val="clear" w:color="auto" w:fill="D0CECE"/>
            <w:vAlign w:val="center"/>
          </w:tcPr>
          <w:p w14:paraId="526837B4"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Christian Moctezuma González</w:t>
            </w:r>
          </w:p>
        </w:tc>
        <w:tc>
          <w:tcPr>
            <w:tcW w:w="748" w:type="dxa"/>
            <w:shd w:val="clear" w:color="auto" w:fill="D0CECE"/>
            <w:vAlign w:val="center"/>
          </w:tcPr>
          <w:p w14:paraId="032DD9EC"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307" w:type="dxa"/>
            <w:shd w:val="clear" w:color="auto" w:fill="D0CECE"/>
            <w:vAlign w:val="center"/>
          </w:tcPr>
          <w:p w14:paraId="110DEAE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7 </w:t>
            </w:r>
            <w:proofErr w:type="gramStart"/>
            <w:r w:rsidRPr="00F32542">
              <w:rPr>
                <w:rFonts w:ascii="Arial" w:eastAsia="Calibri" w:hAnsi="Arial" w:cs="Arial"/>
                <w:sz w:val="20"/>
                <w:szCs w:val="20"/>
              </w:rPr>
              <w:t>A</w:t>
            </w:r>
            <w:proofErr w:type="gramEnd"/>
          </w:p>
        </w:tc>
        <w:tc>
          <w:tcPr>
            <w:tcW w:w="1776" w:type="dxa"/>
            <w:shd w:val="clear" w:color="auto" w:fill="D0CECE"/>
            <w:vAlign w:val="center"/>
          </w:tcPr>
          <w:p w14:paraId="5DFA8F24"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No aplica </w:t>
            </w:r>
          </w:p>
        </w:tc>
      </w:tr>
      <w:tr w:rsidR="00F94B48" w:rsidRPr="00F32542" w14:paraId="77599B95" w14:textId="77777777" w:rsidTr="007A07B6">
        <w:trPr>
          <w:trHeight w:val="427"/>
        </w:trPr>
        <w:tc>
          <w:tcPr>
            <w:tcW w:w="533" w:type="dxa"/>
            <w:tcBorders>
              <w:bottom w:val="single" w:sz="4" w:space="0" w:color="auto"/>
            </w:tcBorders>
            <w:shd w:val="clear" w:color="auto" w:fill="D0CECE"/>
            <w:vAlign w:val="center"/>
          </w:tcPr>
          <w:p w14:paraId="21091FBA" w14:textId="77777777" w:rsidR="00F94B48" w:rsidRPr="00F32542" w:rsidRDefault="00F94B48" w:rsidP="00F94B48">
            <w:pPr>
              <w:spacing w:after="0" w:line="240" w:lineRule="auto"/>
              <w:jc w:val="center"/>
              <w:rPr>
                <w:rFonts w:ascii="Arial" w:eastAsia="Calibri" w:hAnsi="Arial" w:cs="Arial"/>
                <w:b/>
                <w:bCs/>
                <w:sz w:val="20"/>
                <w:szCs w:val="20"/>
                <w:u w:val="single"/>
              </w:rPr>
            </w:pPr>
            <w:r w:rsidRPr="00F32542">
              <w:rPr>
                <w:rFonts w:ascii="Arial" w:eastAsia="Calibri" w:hAnsi="Arial" w:cs="Arial"/>
                <w:b/>
                <w:bCs/>
                <w:sz w:val="20"/>
                <w:szCs w:val="20"/>
                <w:u w:val="single"/>
              </w:rPr>
              <w:t>14</w:t>
            </w:r>
          </w:p>
        </w:tc>
        <w:tc>
          <w:tcPr>
            <w:tcW w:w="2605" w:type="dxa"/>
            <w:tcBorders>
              <w:bottom w:val="single" w:sz="4" w:space="0" w:color="auto"/>
            </w:tcBorders>
            <w:shd w:val="clear" w:color="auto" w:fill="D0CECE"/>
            <w:vAlign w:val="center"/>
          </w:tcPr>
          <w:p w14:paraId="7612F79C" w14:textId="77777777" w:rsidR="00F94B48" w:rsidRPr="00F32542" w:rsidRDefault="00F94B48" w:rsidP="00F94B48">
            <w:pPr>
              <w:spacing w:after="0" w:line="240" w:lineRule="auto"/>
              <w:jc w:val="center"/>
              <w:rPr>
                <w:rFonts w:ascii="Arial" w:eastAsia="Calibri" w:hAnsi="Arial" w:cs="Arial"/>
                <w:b/>
                <w:bCs/>
                <w:sz w:val="20"/>
                <w:szCs w:val="20"/>
                <w:u w:val="single"/>
              </w:rPr>
            </w:pPr>
            <w:r w:rsidRPr="00F32542">
              <w:rPr>
                <w:rFonts w:ascii="Arial" w:eastAsia="Calibri" w:hAnsi="Arial" w:cs="Arial"/>
                <w:b/>
                <w:bCs/>
                <w:sz w:val="20"/>
                <w:szCs w:val="20"/>
                <w:u w:val="single"/>
              </w:rPr>
              <w:t xml:space="preserve">José Luis Rodríguez Díaz de León </w:t>
            </w:r>
          </w:p>
        </w:tc>
        <w:tc>
          <w:tcPr>
            <w:tcW w:w="748" w:type="dxa"/>
            <w:tcBorders>
              <w:bottom w:val="single" w:sz="4" w:space="0" w:color="auto"/>
            </w:tcBorders>
            <w:shd w:val="clear" w:color="auto" w:fill="D0CECE"/>
            <w:vAlign w:val="center"/>
          </w:tcPr>
          <w:p w14:paraId="50B22218" w14:textId="77777777" w:rsidR="00F94B48" w:rsidRPr="00F32542" w:rsidRDefault="00F94B48" w:rsidP="00F94B48">
            <w:pPr>
              <w:spacing w:after="0" w:line="240" w:lineRule="auto"/>
              <w:jc w:val="center"/>
              <w:rPr>
                <w:rFonts w:ascii="Arial" w:eastAsia="Calibri" w:hAnsi="Arial" w:cs="Arial"/>
                <w:b/>
                <w:bCs/>
                <w:sz w:val="20"/>
                <w:szCs w:val="20"/>
                <w:u w:val="single"/>
              </w:rPr>
            </w:pPr>
            <w:r w:rsidRPr="00F32542">
              <w:rPr>
                <w:rFonts w:ascii="Arial" w:eastAsia="Calibri" w:hAnsi="Arial" w:cs="Arial"/>
                <w:b/>
                <w:bCs/>
                <w:sz w:val="20"/>
                <w:szCs w:val="20"/>
                <w:u w:val="single"/>
              </w:rPr>
              <w:t>H</w:t>
            </w:r>
          </w:p>
        </w:tc>
        <w:tc>
          <w:tcPr>
            <w:tcW w:w="2307" w:type="dxa"/>
            <w:tcBorders>
              <w:bottom w:val="single" w:sz="4" w:space="0" w:color="auto"/>
            </w:tcBorders>
            <w:shd w:val="clear" w:color="auto" w:fill="D0CECE"/>
            <w:vAlign w:val="center"/>
          </w:tcPr>
          <w:p w14:paraId="5CD2C776" w14:textId="77777777" w:rsidR="00F94B48" w:rsidRPr="00F32542" w:rsidRDefault="00F94B48" w:rsidP="00F94B48">
            <w:pPr>
              <w:spacing w:after="0" w:line="240" w:lineRule="auto"/>
              <w:jc w:val="center"/>
              <w:rPr>
                <w:rFonts w:ascii="Arial" w:eastAsia="Calibri" w:hAnsi="Arial" w:cs="Arial"/>
                <w:b/>
                <w:bCs/>
                <w:sz w:val="20"/>
                <w:szCs w:val="20"/>
                <w:u w:val="single"/>
              </w:rPr>
            </w:pPr>
            <w:r w:rsidRPr="00F32542">
              <w:rPr>
                <w:rFonts w:ascii="Arial" w:eastAsia="Calibri" w:hAnsi="Arial" w:cs="Arial"/>
                <w:b/>
                <w:bCs/>
                <w:sz w:val="20"/>
                <w:szCs w:val="20"/>
                <w:u w:val="single"/>
              </w:rPr>
              <w:t>8 B</w:t>
            </w:r>
          </w:p>
        </w:tc>
        <w:tc>
          <w:tcPr>
            <w:tcW w:w="1776" w:type="dxa"/>
            <w:tcBorders>
              <w:bottom w:val="single" w:sz="4" w:space="0" w:color="auto"/>
            </w:tcBorders>
            <w:shd w:val="clear" w:color="auto" w:fill="D0CECE"/>
            <w:vAlign w:val="center"/>
          </w:tcPr>
          <w:p w14:paraId="1D3AE46B" w14:textId="77777777" w:rsidR="00F94B48" w:rsidRPr="00F32542" w:rsidRDefault="00F94B48" w:rsidP="00F94B48">
            <w:pPr>
              <w:spacing w:after="0" w:line="240" w:lineRule="auto"/>
              <w:jc w:val="center"/>
              <w:rPr>
                <w:rFonts w:ascii="Arial" w:eastAsia="Calibri" w:hAnsi="Arial" w:cs="Arial"/>
                <w:b/>
                <w:bCs/>
                <w:sz w:val="20"/>
                <w:szCs w:val="20"/>
                <w:u w:val="single"/>
              </w:rPr>
            </w:pPr>
            <w:r w:rsidRPr="00F32542">
              <w:rPr>
                <w:rFonts w:ascii="Arial" w:eastAsia="Calibri" w:hAnsi="Arial" w:cs="Arial"/>
                <w:b/>
                <w:bCs/>
                <w:sz w:val="20"/>
                <w:szCs w:val="20"/>
                <w:u w:val="single"/>
              </w:rPr>
              <w:t>35.27</w:t>
            </w:r>
          </w:p>
        </w:tc>
      </w:tr>
      <w:tr w:rsidR="007A07B6" w:rsidRPr="00F32542" w14:paraId="42B1275E" w14:textId="77777777" w:rsidTr="007A07B6">
        <w:trPr>
          <w:trHeight w:val="533"/>
        </w:trPr>
        <w:tc>
          <w:tcPr>
            <w:tcW w:w="3138" w:type="dxa"/>
            <w:gridSpan w:val="2"/>
            <w:shd w:val="clear" w:color="auto" w:fill="BFBFBF" w:themeFill="background1" w:themeFillShade="BF"/>
            <w:vAlign w:val="center"/>
          </w:tcPr>
          <w:p w14:paraId="43B2A49B" w14:textId="77777777" w:rsidR="007A07B6" w:rsidRPr="00F32542" w:rsidRDefault="007A07B6"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****Se sustituye a Isabela Rosales Herrera en la posición 14****</w:t>
            </w:r>
          </w:p>
        </w:tc>
        <w:tc>
          <w:tcPr>
            <w:tcW w:w="748" w:type="dxa"/>
            <w:shd w:val="clear" w:color="auto" w:fill="808080"/>
            <w:vAlign w:val="center"/>
          </w:tcPr>
          <w:p w14:paraId="3761A35A" w14:textId="77777777" w:rsidR="007A07B6" w:rsidRPr="00F32542" w:rsidRDefault="007A07B6" w:rsidP="00F94B48">
            <w:pPr>
              <w:spacing w:after="0" w:line="240" w:lineRule="auto"/>
              <w:jc w:val="center"/>
              <w:rPr>
                <w:rFonts w:ascii="Arial" w:eastAsia="Calibri" w:hAnsi="Arial" w:cs="Arial"/>
                <w:sz w:val="20"/>
                <w:szCs w:val="20"/>
              </w:rPr>
            </w:pPr>
          </w:p>
        </w:tc>
        <w:tc>
          <w:tcPr>
            <w:tcW w:w="2307" w:type="dxa"/>
            <w:shd w:val="clear" w:color="auto" w:fill="808080"/>
            <w:vAlign w:val="center"/>
          </w:tcPr>
          <w:p w14:paraId="37C493C1" w14:textId="77777777" w:rsidR="007A07B6" w:rsidRPr="00F32542" w:rsidRDefault="007A07B6" w:rsidP="00F94B48">
            <w:pPr>
              <w:spacing w:after="0" w:line="240" w:lineRule="auto"/>
              <w:jc w:val="center"/>
              <w:rPr>
                <w:rFonts w:ascii="Arial" w:eastAsia="Calibri" w:hAnsi="Arial" w:cs="Arial"/>
                <w:sz w:val="20"/>
                <w:szCs w:val="20"/>
              </w:rPr>
            </w:pPr>
          </w:p>
        </w:tc>
        <w:tc>
          <w:tcPr>
            <w:tcW w:w="1776" w:type="dxa"/>
            <w:shd w:val="clear" w:color="auto" w:fill="808080"/>
            <w:vAlign w:val="center"/>
          </w:tcPr>
          <w:p w14:paraId="0B6527B6" w14:textId="77777777" w:rsidR="007A07B6" w:rsidRPr="00F32542" w:rsidRDefault="007A07B6" w:rsidP="00F94B48">
            <w:pPr>
              <w:spacing w:after="0" w:line="240" w:lineRule="auto"/>
              <w:jc w:val="center"/>
              <w:rPr>
                <w:rFonts w:ascii="Arial" w:eastAsia="Calibri" w:hAnsi="Arial" w:cs="Arial"/>
                <w:sz w:val="20"/>
                <w:szCs w:val="20"/>
              </w:rPr>
            </w:pPr>
          </w:p>
        </w:tc>
      </w:tr>
      <w:tr w:rsidR="00F94B48" w:rsidRPr="00F32542" w14:paraId="09D2E0E2" w14:textId="77777777" w:rsidTr="007A07B6">
        <w:trPr>
          <w:trHeight w:val="533"/>
        </w:trPr>
        <w:tc>
          <w:tcPr>
            <w:tcW w:w="533" w:type="dxa"/>
            <w:vAlign w:val="center"/>
          </w:tcPr>
          <w:p w14:paraId="2140081C"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15</w:t>
            </w:r>
          </w:p>
        </w:tc>
        <w:tc>
          <w:tcPr>
            <w:tcW w:w="2605" w:type="dxa"/>
            <w:vAlign w:val="center"/>
          </w:tcPr>
          <w:p w14:paraId="3083CE2C" w14:textId="77777777" w:rsidR="00F94B48" w:rsidRPr="00F32542" w:rsidRDefault="00F94B48" w:rsidP="00F94B48">
            <w:pPr>
              <w:spacing w:after="0" w:line="240" w:lineRule="auto"/>
              <w:jc w:val="center"/>
              <w:rPr>
                <w:rFonts w:ascii="Arial" w:eastAsia="Calibri" w:hAnsi="Arial" w:cs="Arial"/>
                <w:sz w:val="20"/>
                <w:szCs w:val="20"/>
              </w:rPr>
            </w:pPr>
            <w:proofErr w:type="spellStart"/>
            <w:r w:rsidRPr="00F32542">
              <w:rPr>
                <w:rFonts w:ascii="Arial" w:eastAsia="Calibri" w:hAnsi="Arial" w:cs="Arial"/>
                <w:sz w:val="20"/>
                <w:szCs w:val="20"/>
              </w:rPr>
              <w:t>Maryel</w:t>
            </w:r>
            <w:proofErr w:type="spellEnd"/>
            <w:r w:rsidRPr="00F32542">
              <w:rPr>
                <w:rFonts w:ascii="Arial" w:eastAsia="Calibri" w:hAnsi="Arial" w:cs="Arial"/>
                <w:sz w:val="20"/>
                <w:szCs w:val="20"/>
              </w:rPr>
              <w:t xml:space="preserve"> Alejandra Díaz Cavazos</w:t>
            </w:r>
          </w:p>
        </w:tc>
        <w:tc>
          <w:tcPr>
            <w:tcW w:w="748" w:type="dxa"/>
            <w:vAlign w:val="center"/>
          </w:tcPr>
          <w:p w14:paraId="4B894A1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307" w:type="dxa"/>
            <w:vAlign w:val="center"/>
          </w:tcPr>
          <w:p w14:paraId="6CEB7771"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8 </w:t>
            </w:r>
            <w:proofErr w:type="gramStart"/>
            <w:r w:rsidRPr="00F32542">
              <w:rPr>
                <w:rFonts w:ascii="Arial" w:eastAsia="Calibri" w:hAnsi="Arial" w:cs="Arial"/>
                <w:sz w:val="20"/>
                <w:szCs w:val="20"/>
              </w:rPr>
              <w:t>A</w:t>
            </w:r>
            <w:proofErr w:type="gramEnd"/>
          </w:p>
        </w:tc>
        <w:tc>
          <w:tcPr>
            <w:tcW w:w="1776" w:type="dxa"/>
            <w:vAlign w:val="center"/>
          </w:tcPr>
          <w:p w14:paraId="20522144"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No aplica </w:t>
            </w:r>
          </w:p>
        </w:tc>
      </w:tr>
      <w:tr w:rsidR="00F94B48" w:rsidRPr="00F32542" w14:paraId="2288FF29" w14:textId="77777777" w:rsidTr="007A07B6">
        <w:trPr>
          <w:trHeight w:val="533"/>
        </w:trPr>
        <w:tc>
          <w:tcPr>
            <w:tcW w:w="533" w:type="dxa"/>
            <w:shd w:val="clear" w:color="auto" w:fill="D0CECE"/>
            <w:vAlign w:val="center"/>
          </w:tcPr>
          <w:p w14:paraId="7A09F3E6" w14:textId="77777777" w:rsidR="00F94B48" w:rsidRPr="00F32542" w:rsidRDefault="00F94B48" w:rsidP="00F94B48">
            <w:pPr>
              <w:spacing w:after="0" w:line="240" w:lineRule="auto"/>
              <w:jc w:val="center"/>
              <w:rPr>
                <w:rFonts w:ascii="Arial" w:eastAsia="Calibri" w:hAnsi="Arial" w:cs="Arial"/>
                <w:b/>
                <w:bCs/>
                <w:sz w:val="20"/>
                <w:szCs w:val="20"/>
                <w:u w:val="single"/>
              </w:rPr>
            </w:pPr>
            <w:r w:rsidRPr="00F32542">
              <w:rPr>
                <w:rFonts w:ascii="Arial" w:eastAsia="Calibri" w:hAnsi="Arial" w:cs="Arial"/>
                <w:b/>
                <w:bCs/>
                <w:sz w:val="20"/>
                <w:szCs w:val="20"/>
                <w:u w:val="single"/>
              </w:rPr>
              <w:t>16</w:t>
            </w:r>
          </w:p>
        </w:tc>
        <w:tc>
          <w:tcPr>
            <w:tcW w:w="2605" w:type="dxa"/>
            <w:shd w:val="clear" w:color="auto" w:fill="D0CECE"/>
            <w:vAlign w:val="center"/>
          </w:tcPr>
          <w:p w14:paraId="6ADEA86D" w14:textId="77777777" w:rsidR="00F94B48" w:rsidRPr="00F32542" w:rsidRDefault="00F94B48" w:rsidP="00F94B48">
            <w:pPr>
              <w:spacing w:after="0" w:line="240" w:lineRule="auto"/>
              <w:jc w:val="center"/>
              <w:rPr>
                <w:rFonts w:ascii="Arial" w:eastAsia="Calibri" w:hAnsi="Arial" w:cs="Arial"/>
                <w:b/>
                <w:bCs/>
                <w:sz w:val="20"/>
                <w:szCs w:val="20"/>
                <w:u w:val="single"/>
              </w:rPr>
            </w:pPr>
            <w:r w:rsidRPr="00F32542">
              <w:rPr>
                <w:rFonts w:ascii="Arial" w:eastAsia="Calibri" w:hAnsi="Arial" w:cs="Arial"/>
                <w:b/>
                <w:bCs/>
                <w:sz w:val="20"/>
                <w:szCs w:val="20"/>
                <w:u w:val="single"/>
              </w:rPr>
              <w:t>Isabela Rosales Herrera</w:t>
            </w:r>
          </w:p>
        </w:tc>
        <w:tc>
          <w:tcPr>
            <w:tcW w:w="748" w:type="dxa"/>
            <w:shd w:val="clear" w:color="auto" w:fill="D0CECE"/>
            <w:vAlign w:val="center"/>
          </w:tcPr>
          <w:p w14:paraId="7AF050C2" w14:textId="77777777" w:rsidR="00F94B48" w:rsidRPr="00F32542" w:rsidRDefault="00F94B48" w:rsidP="00F94B48">
            <w:pPr>
              <w:spacing w:after="0" w:line="240" w:lineRule="auto"/>
              <w:jc w:val="center"/>
              <w:rPr>
                <w:rFonts w:ascii="Arial" w:eastAsia="Calibri" w:hAnsi="Arial" w:cs="Arial"/>
                <w:b/>
                <w:bCs/>
                <w:sz w:val="20"/>
                <w:szCs w:val="20"/>
                <w:u w:val="single"/>
              </w:rPr>
            </w:pPr>
            <w:r w:rsidRPr="00F32542">
              <w:rPr>
                <w:rFonts w:ascii="Arial" w:eastAsia="Calibri" w:hAnsi="Arial" w:cs="Arial"/>
                <w:b/>
                <w:bCs/>
                <w:sz w:val="20"/>
                <w:szCs w:val="20"/>
                <w:u w:val="single"/>
              </w:rPr>
              <w:t>M</w:t>
            </w:r>
          </w:p>
        </w:tc>
        <w:tc>
          <w:tcPr>
            <w:tcW w:w="2307" w:type="dxa"/>
            <w:shd w:val="clear" w:color="auto" w:fill="D0CECE"/>
            <w:vAlign w:val="center"/>
          </w:tcPr>
          <w:p w14:paraId="705729B8" w14:textId="77777777" w:rsidR="00F94B48" w:rsidRPr="00F32542" w:rsidRDefault="00F94B48" w:rsidP="00F94B48">
            <w:pPr>
              <w:spacing w:after="0" w:line="240" w:lineRule="auto"/>
              <w:jc w:val="center"/>
              <w:rPr>
                <w:rFonts w:ascii="Arial" w:eastAsia="Calibri" w:hAnsi="Arial" w:cs="Arial"/>
                <w:b/>
                <w:bCs/>
                <w:sz w:val="20"/>
                <w:szCs w:val="20"/>
                <w:u w:val="single"/>
              </w:rPr>
            </w:pPr>
            <w:r w:rsidRPr="00F32542">
              <w:rPr>
                <w:rFonts w:ascii="Arial" w:eastAsia="Calibri" w:hAnsi="Arial" w:cs="Arial"/>
                <w:b/>
                <w:bCs/>
                <w:sz w:val="20"/>
                <w:szCs w:val="20"/>
                <w:u w:val="single"/>
              </w:rPr>
              <w:t>7 B</w:t>
            </w:r>
          </w:p>
        </w:tc>
        <w:tc>
          <w:tcPr>
            <w:tcW w:w="1776" w:type="dxa"/>
            <w:shd w:val="clear" w:color="auto" w:fill="D0CECE"/>
            <w:vAlign w:val="center"/>
          </w:tcPr>
          <w:p w14:paraId="5AE872CD" w14:textId="77777777" w:rsidR="00F94B48" w:rsidRPr="00F32542" w:rsidRDefault="00F94B48" w:rsidP="00F94B48">
            <w:pPr>
              <w:spacing w:after="0" w:line="240" w:lineRule="auto"/>
              <w:jc w:val="center"/>
              <w:rPr>
                <w:rFonts w:ascii="Arial" w:eastAsia="Calibri" w:hAnsi="Arial" w:cs="Arial"/>
                <w:b/>
                <w:bCs/>
                <w:sz w:val="20"/>
                <w:szCs w:val="20"/>
                <w:u w:val="single"/>
              </w:rPr>
            </w:pPr>
            <w:r w:rsidRPr="00F32542">
              <w:rPr>
                <w:rFonts w:ascii="Arial" w:eastAsia="Calibri" w:hAnsi="Arial" w:cs="Arial"/>
                <w:b/>
                <w:bCs/>
                <w:sz w:val="20"/>
                <w:szCs w:val="20"/>
                <w:u w:val="single"/>
              </w:rPr>
              <w:t>28.96</w:t>
            </w:r>
          </w:p>
        </w:tc>
      </w:tr>
    </w:tbl>
    <w:p w14:paraId="7CB195D1" w14:textId="77777777" w:rsidR="002D1883" w:rsidRPr="00F32542" w:rsidRDefault="002D1883" w:rsidP="002D1883">
      <w:pPr>
        <w:spacing w:after="0" w:line="360" w:lineRule="auto"/>
        <w:jc w:val="both"/>
        <w:rPr>
          <w:rFonts w:ascii="Arial" w:eastAsia="Calibri" w:hAnsi="Arial" w:cs="Arial"/>
          <w:sz w:val="28"/>
          <w:szCs w:val="28"/>
        </w:rPr>
      </w:pPr>
    </w:p>
    <w:p w14:paraId="43CD6F88"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Conforme a la anterior integración de la lista definitiva de MORENA, se garantiza la confluencia armónica de todos los principios involucrados en la asignación de diputaciones plurinominales en el Congreso local:</w:t>
      </w:r>
    </w:p>
    <w:p w14:paraId="3B3C90F1" w14:textId="77777777" w:rsidR="002D1883" w:rsidRPr="00F32542" w:rsidRDefault="002D1883" w:rsidP="002D1883">
      <w:pPr>
        <w:spacing w:after="0" w:line="360" w:lineRule="auto"/>
        <w:jc w:val="both"/>
        <w:rPr>
          <w:rFonts w:ascii="Arial" w:eastAsia="Calibri" w:hAnsi="Arial" w:cs="Arial"/>
          <w:sz w:val="28"/>
          <w:szCs w:val="28"/>
        </w:rPr>
      </w:pPr>
    </w:p>
    <w:p w14:paraId="1D9153E8"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El </w:t>
      </w:r>
      <w:r w:rsidRPr="00F32542">
        <w:rPr>
          <w:rFonts w:ascii="Arial" w:eastAsia="Calibri" w:hAnsi="Arial" w:cs="Arial"/>
          <w:b/>
          <w:sz w:val="28"/>
          <w:szCs w:val="28"/>
        </w:rPr>
        <w:t>principio de autodeterminación</w:t>
      </w:r>
      <w:r w:rsidRPr="00F32542">
        <w:rPr>
          <w:rFonts w:ascii="Arial" w:eastAsia="Calibri" w:hAnsi="Arial" w:cs="Arial"/>
          <w:sz w:val="28"/>
          <w:szCs w:val="28"/>
        </w:rPr>
        <w:t xml:space="preserve">, porque se mantienen a las personas que designó el partido político en la lista A. </w:t>
      </w:r>
    </w:p>
    <w:p w14:paraId="6B4CA366" w14:textId="77777777" w:rsidR="002D1883" w:rsidRPr="00F32542" w:rsidRDefault="002D1883" w:rsidP="002D1883">
      <w:pPr>
        <w:spacing w:after="0" w:line="360" w:lineRule="auto"/>
        <w:jc w:val="both"/>
        <w:rPr>
          <w:rFonts w:ascii="Arial" w:eastAsia="Calibri" w:hAnsi="Arial" w:cs="Arial"/>
          <w:sz w:val="28"/>
          <w:szCs w:val="28"/>
        </w:rPr>
      </w:pPr>
    </w:p>
    <w:p w14:paraId="76258221"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b/>
          <w:sz w:val="28"/>
          <w:szCs w:val="28"/>
        </w:rPr>
        <w:t>El principio de paridad</w:t>
      </w:r>
      <w:r w:rsidRPr="00F32542">
        <w:rPr>
          <w:rFonts w:ascii="Arial" w:eastAsia="Calibri" w:hAnsi="Arial" w:cs="Arial"/>
          <w:sz w:val="28"/>
          <w:szCs w:val="28"/>
        </w:rPr>
        <w:t>, pues debe considerarse que MORENA obtuvo en total treinta y dos diputaciones (32) tanto de mayoría relativa como de representación proporcional y de ellas, dieciocho (18) corresponden a mujeres y catorce (14) a hombres.</w:t>
      </w:r>
    </w:p>
    <w:p w14:paraId="17FE126B" w14:textId="77777777" w:rsidR="002D1883" w:rsidRPr="00F32542" w:rsidRDefault="002D1883" w:rsidP="002D1883">
      <w:pPr>
        <w:spacing w:after="0" w:line="360" w:lineRule="auto"/>
        <w:jc w:val="both"/>
        <w:rPr>
          <w:rFonts w:ascii="Arial" w:eastAsia="Calibri" w:hAnsi="Arial" w:cs="Arial"/>
          <w:sz w:val="28"/>
          <w:szCs w:val="28"/>
        </w:rPr>
      </w:pPr>
    </w:p>
    <w:p w14:paraId="0915520A"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Por lo que, aun con la modificación definida por este Tribunal, se asegura la paridad en beneficio de las mujeres, porque las diputaciones femeninas superan por cuatro (4) a las masculinas. </w:t>
      </w:r>
    </w:p>
    <w:p w14:paraId="11F901D5" w14:textId="77777777" w:rsidR="002D1883" w:rsidRPr="00F32542" w:rsidRDefault="002D1883" w:rsidP="002D1883">
      <w:pPr>
        <w:spacing w:after="0" w:line="360" w:lineRule="auto"/>
        <w:jc w:val="both"/>
        <w:rPr>
          <w:rFonts w:ascii="Arial" w:eastAsia="Calibri" w:hAnsi="Arial" w:cs="Arial"/>
          <w:sz w:val="28"/>
          <w:szCs w:val="28"/>
        </w:rPr>
      </w:pPr>
    </w:p>
    <w:p w14:paraId="18C804B3"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lastRenderedPageBreak/>
        <w:t>El</w:t>
      </w:r>
      <w:r w:rsidRPr="00F32542">
        <w:rPr>
          <w:rFonts w:ascii="Arial" w:eastAsia="Calibri" w:hAnsi="Arial" w:cs="Arial"/>
          <w:b/>
          <w:sz w:val="28"/>
          <w:szCs w:val="28"/>
        </w:rPr>
        <w:t xml:space="preserve"> principio democrático</w:t>
      </w:r>
      <w:r w:rsidRPr="00F32542">
        <w:rPr>
          <w:rFonts w:ascii="Arial" w:eastAsia="Calibri" w:hAnsi="Arial" w:cs="Arial"/>
          <w:sz w:val="28"/>
          <w:szCs w:val="28"/>
        </w:rPr>
        <w:t>, porque se permite alcanzar una asignación, a una fórmula que obtuvo un mayor porcentaje de votación (la encabezada por José Luis Rodríguez Díaz de León).</w:t>
      </w:r>
    </w:p>
    <w:p w14:paraId="4C6902F8" w14:textId="77777777" w:rsidR="002D1883" w:rsidRPr="00F32542" w:rsidRDefault="002D1883" w:rsidP="002D1883">
      <w:pPr>
        <w:spacing w:after="0" w:line="360" w:lineRule="auto"/>
        <w:jc w:val="both"/>
        <w:rPr>
          <w:rFonts w:ascii="Arial" w:eastAsia="Calibri" w:hAnsi="Arial" w:cs="Arial"/>
          <w:sz w:val="28"/>
          <w:szCs w:val="28"/>
        </w:rPr>
      </w:pPr>
    </w:p>
    <w:p w14:paraId="73A3C9EB"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Esto, en lugar de otra fórmula con un menor porcentaje (la encabezada por Isabela Rosales Herrera) propiciando que, en función de permitir la asignación de una candidatura que demostró contar con mayor representatividad, este principio se compense frente a los otros involucrados.</w:t>
      </w:r>
    </w:p>
    <w:p w14:paraId="6D8636CD" w14:textId="77777777" w:rsidR="002D1883" w:rsidRPr="00F32542" w:rsidRDefault="002D1883" w:rsidP="002D1883">
      <w:pPr>
        <w:spacing w:after="0" w:line="360" w:lineRule="auto"/>
        <w:jc w:val="both"/>
        <w:rPr>
          <w:rFonts w:ascii="Arial" w:eastAsia="Calibri" w:hAnsi="Arial" w:cs="Arial"/>
          <w:sz w:val="28"/>
          <w:szCs w:val="28"/>
        </w:rPr>
      </w:pPr>
    </w:p>
    <w:p w14:paraId="50F14F2E"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Por último, se garantiza el </w:t>
      </w:r>
      <w:r w:rsidRPr="00F32542">
        <w:rPr>
          <w:rFonts w:ascii="Arial" w:eastAsia="Calibri" w:hAnsi="Arial" w:cs="Arial"/>
          <w:b/>
          <w:sz w:val="28"/>
          <w:szCs w:val="28"/>
        </w:rPr>
        <w:t xml:space="preserve">principio de alternancia </w:t>
      </w:r>
      <w:r w:rsidRPr="00F32542">
        <w:rPr>
          <w:rFonts w:ascii="Arial" w:eastAsia="Calibri" w:hAnsi="Arial" w:cs="Arial"/>
          <w:sz w:val="28"/>
          <w:szCs w:val="28"/>
        </w:rPr>
        <w:t xml:space="preserve">porque de conformidad con el artículo 24 del </w:t>
      </w:r>
      <w:r w:rsidRPr="00F32542">
        <w:rPr>
          <w:rFonts w:ascii="Arial" w:eastAsia="Calibri" w:hAnsi="Arial" w:cs="Arial"/>
          <w:i/>
          <w:sz w:val="28"/>
          <w:szCs w:val="28"/>
        </w:rPr>
        <w:t xml:space="preserve">Código local </w:t>
      </w:r>
      <w:r w:rsidRPr="00F32542">
        <w:rPr>
          <w:rFonts w:ascii="Arial" w:eastAsia="Calibri" w:hAnsi="Arial" w:cs="Arial"/>
          <w:sz w:val="28"/>
          <w:szCs w:val="28"/>
        </w:rPr>
        <w:t>se pueden generar bloques de hasta dos fórmulas del mismo género, cuestión que se configura en este caso, pero que no representa una afectación desproporcionada a los otros principios y permite su subsistencia armónica.</w:t>
      </w:r>
    </w:p>
    <w:p w14:paraId="54778987" w14:textId="77777777" w:rsidR="002D1883" w:rsidRPr="00F32542" w:rsidRDefault="002D1883" w:rsidP="002D1883">
      <w:pPr>
        <w:spacing w:after="0" w:line="360" w:lineRule="auto"/>
        <w:jc w:val="both"/>
        <w:rPr>
          <w:rFonts w:ascii="Arial" w:eastAsia="Calibri" w:hAnsi="Arial" w:cs="Arial"/>
          <w:sz w:val="28"/>
          <w:szCs w:val="28"/>
        </w:rPr>
      </w:pPr>
    </w:p>
    <w:p w14:paraId="08E3D684"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Además de que, como se expuso, la alternancia tiene como propósito permitir la participación efectiva de las mujeres, cuestión que se cumple con esta determinación porque, como se mostró, existe un mayor número de mujeres que de hombres en las diputaciones electas por MORENA.</w:t>
      </w:r>
    </w:p>
    <w:p w14:paraId="27A92A98" w14:textId="77777777" w:rsidR="002D1883" w:rsidRPr="00F32542" w:rsidRDefault="002D1883" w:rsidP="002D1883">
      <w:pPr>
        <w:spacing w:after="0" w:line="360" w:lineRule="auto"/>
        <w:jc w:val="both"/>
        <w:rPr>
          <w:rFonts w:ascii="Arial" w:eastAsia="Calibri" w:hAnsi="Arial" w:cs="Arial"/>
          <w:sz w:val="28"/>
          <w:szCs w:val="28"/>
        </w:rPr>
      </w:pPr>
    </w:p>
    <w:p w14:paraId="1FD3DC3E"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Cabe señalar que, con la anterior conclusión, ninguna de las restantes candidaturas integrantes de la lista B, </w:t>
      </w:r>
      <w:proofErr w:type="gramStart"/>
      <w:r w:rsidRPr="00F32542">
        <w:rPr>
          <w:rFonts w:ascii="Arial" w:eastAsia="Calibri" w:hAnsi="Arial" w:cs="Arial"/>
          <w:sz w:val="28"/>
          <w:szCs w:val="28"/>
        </w:rPr>
        <w:t>que</w:t>
      </w:r>
      <w:proofErr w:type="gramEnd"/>
      <w:r w:rsidRPr="00F32542">
        <w:rPr>
          <w:rFonts w:ascii="Arial" w:eastAsia="Calibri" w:hAnsi="Arial" w:cs="Arial"/>
          <w:sz w:val="28"/>
          <w:szCs w:val="28"/>
        </w:rPr>
        <w:t xml:space="preserve"> de acuerdo a la lista definitiva, no alcanzaron una curul de representación proporcional, tiene un mejor porcentaje de votación que alguna de las candidaturas que sí lo hicieron. </w:t>
      </w:r>
    </w:p>
    <w:p w14:paraId="1DB4F3E4" w14:textId="77777777" w:rsidR="002D1883" w:rsidRPr="00F32542" w:rsidRDefault="002D1883" w:rsidP="002D1883">
      <w:pPr>
        <w:spacing w:after="0" w:line="360" w:lineRule="auto"/>
        <w:jc w:val="both"/>
        <w:rPr>
          <w:rFonts w:ascii="Arial" w:eastAsia="Calibri" w:hAnsi="Arial" w:cs="Arial"/>
          <w:sz w:val="28"/>
          <w:szCs w:val="28"/>
        </w:rPr>
      </w:pPr>
    </w:p>
    <w:p w14:paraId="41FD429A"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lastRenderedPageBreak/>
        <w:t xml:space="preserve">Es decir, con la interpretación efectuada por esta jurisdicción, sólo las candidaturas de la lista B, con un mejor porcentaje de votación son a las que les fue asignada una diputación plurinominal.    </w:t>
      </w:r>
    </w:p>
    <w:p w14:paraId="2BF0E071" w14:textId="77777777" w:rsidR="002D1883" w:rsidRPr="00F32542" w:rsidRDefault="002D1883" w:rsidP="002D1883">
      <w:pPr>
        <w:spacing w:after="0" w:line="360" w:lineRule="auto"/>
        <w:jc w:val="both"/>
        <w:rPr>
          <w:rFonts w:ascii="Arial" w:eastAsia="Calibri" w:hAnsi="Arial" w:cs="Arial"/>
          <w:sz w:val="28"/>
          <w:szCs w:val="28"/>
        </w:rPr>
      </w:pPr>
    </w:p>
    <w:p w14:paraId="52DF285D"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Conforme a lo anterior, es procedente modificar la lista definitiva de MORENA para que, su posición catorce (14) quede como a se muestra:</w:t>
      </w:r>
    </w:p>
    <w:p w14:paraId="561C6567" w14:textId="77777777" w:rsidR="002D1883" w:rsidRPr="00F32542" w:rsidRDefault="002D1883" w:rsidP="002D1883">
      <w:pPr>
        <w:spacing w:after="0" w:line="360" w:lineRule="auto"/>
        <w:jc w:val="both"/>
        <w:rPr>
          <w:rFonts w:ascii="Arial" w:eastAsia="Calibri" w:hAnsi="Arial" w:cs="Arial"/>
          <w:sz w:val="28"/>
          <w:szCs w:val="28"/>
        </w:rPr>
      </w:pPr>
    </w:p>
    <w:tbl>
      <w:tblPr>
        <w:tblStyle w:val="Tablaconcuadrcula25"/>
        <w:tblW w:w="0" w:type="auto"/>
        <w:tblLook w:val="04A0" w:firstRow="1" w:lastRow="0" w:firstColumn="1" w:lastColumn="0" w:noHBand="0" w:noVBand="1"/>
      </w:tblPr>
      <w:tblGrid>
        <w:gridCol w:w="542"/>
        <w:gridCol w:w="2825"/>
        <w:gridCol w:w="758"/>
        <w:gridCol w:w="2544"/>
        <w:gridCol w:w="1877"/>
      </w:tblGrid>
      <w:tr w:rsidR="00F94B48" w:rsidRPr="00F32542" w14:paraId="6C6F29A5" w14:textId="77777777" w:rsidTr="002D1883">
        <w:trPr>
          <w:tblHeader/>
        </w:trPr>
        <w:tc>
          <w:tcPr>
            <w:tcW w:w="546" w:type="dxa"/>
            <w:tcBorders>
              <w:bottom w:val="single" w:sz="4" w:space="0" w:color="auto"/>
            </w:tcBorders>
            <w:shd w:val="clear" w:color="auto" w:fill="BFBFBF" w:themeFill="background1" w:themeFillShade="BF"/>
          </w:tcPr>
          <w:p w14:paraId="1A6B16A8" w14:textId="77777777" w:rsidR="00F94B48" w:rsidRPr="00F32542" w:rsidRDefault="00F94B48" w:rsidP="00F94B48">
            <w:pPr>
              <w:spacing w:after="0" w:line="240" w:lineRule="auto"/>
              <w:jc w:val="both"/>
              <w:rPr>
                <w:rFonts w:ascii="Arial" w:eastAsia="Calibri" w:hAnsi="Arial" w:cs="Arial"/>
                <w:b/>
                <w:sz w:val="20"/>
                <w:szCs w:val="20"/>
              </w:rPr>
            </w:pPr>
            <w:r w:rsidRPr="00F32542">
              <w:rPr>
                <w:rFonts w:ascii="Arial" w:eastAsia="Calibri" w:hAnsi="Arial" w:cs="Arial"/>
                <w:b/>
                <w:sz w:val="20"/>
                <w:szCs w:val="20"/>
              </w:rPr>
              <w:t>No</w:t>
            </w:r>
          </w:p>
        </w:tc>
        <w:tc>
          <w:tcPr>
            <w:tcW w:w="2939" w:type="dxa"/>
            <w:tcBorders>
              <w:bottom w:val="single" w:sz="4" w:space="0" w:color="auto"/>
            </w:tcBorders>
            <w:shd w:val="clear" w:color="auto" w:fill="BFBFBF" w:themeFill="background1" w:themeFillShade="BF"/>
          </w:tcPr>
          <w:p w14:paraId="1950F6A3"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 xml:space="preserve">Nombre </w:t>
            </w:r>
          </w:p>
        </w:tc>
        <w:tc>
          <w:tcPr>
            <w:tcW w:w="763" w:type="dxa"/>
            <w:tcBorders>
              <w:bottom w:val="single" w:sz="4" w:space="0" w:color="auto"/>
            </w:tcBorders>
            <w:shd w:val="clear" w:color="auto" w:fill="BFBFBF" w:themeFill="background1" w:themeFillShade="BF"/>
          </w:tcPr>
          <w:p w14:paraId="52128941"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 xml:space="preserve">Sexo </w:t>
            </w:r>
          </w:p>
        </w:tc>
        <w:tc>
          <w:tcPr>
            <w:tcW w:w="2655" w:type="dxa"/>
            <w:tcBorders>
              <w:bottom w:val="single" w:sz="4" w:space="0" w:color="auto"/>
            </w:tcBorders>
            <w:shd w:val="clear" w:color="auto" w:fill="BFBFBF" w:themeFill="background1" w:themeFillShade="BF"/>
          </w:tcPr>
          <w:p w14:paraId="2C286BBD"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 xml:space="preserve">Lista de la que proviene y lugar en la lista </w:t>
            </w:r>
          </w:p>
        </w:tc>
        <w:tc>
          <w:tcPr>
            <w:tcW w:w="1925" w:type="dxa"/>
            <w:tcBorders>
              <w:bottom w:val="single" w:sz="4" w:space="0" w:color="auto"/>
            </w:tcBorders>
            <w:shd w:val="clear" w:color="auto" w:fill="BFBFBF" w:themeFill="background1" w:themeFillShade="BF"/>
          </w:tcPr>
          <w:p w14:paraId="25BA056F"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Porcentaje de votación</w:t>
            </w:r>
          </w:p>
        </w:tc>
      </w:tr>
      <w:tr w:rsidR="00F94B48" w:rsidRPr="00F32542" w14:paraId="727C21AB" w14:textId="77777777" w:rsidTr="00F94B48">
        <w:trPr>
          <w:trHeight w:val="533"/>
        </w:trPr>
        <w:tc>
          <w:tcPr>
            <w:tcW w:w="546" w:type="dxa"/>
            <w:vMerge w:val="restart"/>
            <w:shd w:val="clear" w:color="auto" w:fill="D0CECE"/>
            <w:vAlign w:val="center"/>
          </w:tcPr>
          <w:p w14:paraId="7F9D933A"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14</w:t>
            </w:r>
          </w:p>
        </w:tc>
        <w:tc>
          <w:tcPr>
            <w:tcW w:w="2939" w:type="dxa"/>
            <w:shd w:val="clear" w:color="auto" w:fill="D0CECE"/>
            <w:vAlign w:val="center"/>
          </w:tcPr>
          <w:p w14:paraId="5B2614A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José Luis Rodríguez Díaz de León (propietario)</w:t>
            </w:r>
          </w:p>
          <w:p w14:paraId="5EF40D62" w14:textId="77777777" w:rsidR="00F94B48" w:rsidRPr="00F32542" w:rsidRDefault="00F94B48" w:rsidP="00F94B48">
            <w:pPr>
              <w:spacing w:after="0" w:line="240" w:lineRule="auto"/>
              <w:jc w:val="center"/>
              <w:rPr>
                <w:rFonts w:ascii="Arial" w:eastAsia="Calibri" w:hAnsi="Arial" w:cs="Arial"/>
                <w:sz w:val="20"/>
                <w:szCs w:val="20"/>
              </w:rPr>
            </w:pPr>
          </w:p>
        </w:tc>
        <w:tc>
          <w:tcPr>
            <w:tcW w:w="763" w:type="dxa"/>
            <w:vMerge w:val="restart"/>
            <w:shd w:val="clear" w:color="auto" w:fill="D0CECE"/>
            <w:vAlign w:val="center"/>
          </w:tcPr>
          <w:p w14:paraId="53B24EF4"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655" w:type="dxa"/>
            <w:vMerge w:val="restart"/>
            <w:shd w:val="clear" w:color="auto" w:fill="D0CECE"/>
            <w:vAlign w:val="center"/>
          </w:tcPr>
          <w:p w14:paraId="7A8BC51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8B</w:t>
            </w:r>
          </w:p>
        </w:tc>
        <w:tc>
          <w:tcPr>
            <w:tcW w:w="1925" w:type="dxa"/>
            <w:vMerge w:val="restart"/>
            <w:shd w:val="clear" w:color="auto" w:fill="D0CECE"/>
            <w:vAlign w:val="center"/>
          </w:tcPr>
          <w:p w14:paraId="5F163856"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35.27</w:t>
            </w:r>
          </w:p>
        </w:tc>
      </w:tr>
      <w:tr w:rsidR="00F94B48" w:rsidRPr="00F32542" w14:paraId="2DDAEFFC" w14:textId="77777777" w:rsidTr="00F94B48">
        <w:trPr>
          <w:trHeight w:val="533"/>
        </w:trPr>
        <w:tc>
          <w:tcPr>
            <w:tcW w:w="546" w:type="dxa"/>
            <w:vMerge/>
            <w:tcBorders>
              <w:bottom w:val="single" w:sz="4" w:space="0" w:color="auto"/>
            </w:tcBorders>
            <w:shd w:val="clear" w:color="auto" w:fill="D0CECE"/>
            <w:vAlign w:val="center"/>
          </w:tcPr>
          <w:p w14:paraId="1F248294" w14:textId="77777777" w:rsidR="00F94B48" w:rsidRPr="00F32542" w:rsidRDefault="00F94B48" w:rsidP="00F94B48">
            <w:pPr>
              <w:spacing w:after="0" w:line="240" w:lineRule="auto"/>
              <w:jc w:val="center"/>
              <w:rPr>
                <w:rFonts w:ascii="Arial" w:eastAsia="Calibri" w:hAnsi="Arial" w:cs="Arial"/>
                <w:sz w:val="20"/>
                <w:szCs w:val="20"/>
              </w:rPr>
            </w:pPr>
          </w:p>
        </w:tc>
        <w:tc>
          <w:tcPr>
            <w:tcW w:w="2939" w:type="dxa"/>
            <w:tcBorders>
              <w:bottom w:val="single" w:sz="4" w:space="0" w:color="auto"/>
            </w:tcBorders>
            <w:shd w:val="clear" w:color="auto" w:fill="D0CECE"/>
            <w:vAlign w:val="center"/>
          </w:tcPr>
          <w:p w14:paraId="56B21924"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Francisco Medina Padilla (suplente)</w:t>
            </w:r>
          </w:p>
        </w:tc>
        <w:tc>
          <w:tcPr>
            <w:tcW w:w="763" w:type="dxa"/>
            <w:vMerge/>
            <w:tcBorders>
              <w:bottom w:val="single" w:sz="4" w:space="0" w:color="auto"/>
            </w:tcBorders>
            <w:shd w:val="clear" w:color="auto" w:fill="D0CECE"/>
            <w:vAlign w:val="center"/>
          </w:tcPr>
          <w:p w14:paraId="097B6ED2" w14:textId="77777777" w:rsidR="00F94B48" w:rsidRPr="00F32542" w:rsidRDefault="00F94B48" w:rsidP="00F94B48">
            <w:pPr>
              <w:spacing w:after="0" w:line="240" w:lineRule="auto"/>
              <w:jc w:val="center"/>
              <w:rPr>
                <w:rFonts w:ascii="Arial" w:eastAsia="Calibri" w:hAnsi="Arial" w:cs="Arial"/>
                <w:sz w:val="20"/>
                <w:szCs w:val="20"/>
              </w:rPr>
            </w:pPr>
          </w:p>
        </w:tc>
        <w:tc>
          <w:tcPr>
            <w:tcW w:w="2655" w:type="dxa"/>
            <w:vMerge/>
            <w:tcBorders>
              <w:bottom w:val="single" w:sz="4" w:space="0" w:color="auto"/>
            </w:tcBorders>
            <w:shd w:val="clear" w:color="auto" w:fill="D0CECE"/>
            <w:vAlign w:val="center"/>
          </w:tcPr>
          <w:p w14:paraId="5F57219D" w14:textId="77777777" w:rsidR="00F94B48" w:rsidRPr="00F32542" w:rsidRDefault="00F94B48" w:rsidP="00F94B48">
            <w:pPr>
              <w:spacing w:after="0" w:line="240" w:lineRule="auto"/>
              <w:jc w:val="center"/>
              <w:rPr>
                <w:rFonts w:ascii="Arial" w:eastAsia="Calibri" w:hAnsi="Arial" w:cs="Arial"/>
                <w:sz w:val="20"/>
                <w:szCs w:val="20"/>
              </w:rPr>
            </w:pPr>
          </w:p>
        </w:tc>
        <w:tc>
          <w:tcPr>
            <w:tcW w:w="1925" w:type="dxa"/>
            <w:vMerge/>
            <w:tcBorders>
              <w:bottom w:val="single" w:sz="4" w:space="0" w:color="auto"/>
            </w:tcBorders>
            <w:shd w:val="clear" w:color="auto" w:fill="D0CECE"/>
            <w:vAlign w:val="center"/>
          </w:tcPr>
          <w:p w14:paraId="2CB16E23" w14:textId="77777777" w:rsidR="00F94B48" w:rsidRPr="00F32542" w:rsidRDefault="00F94B48" w:rsidP="00F94B48">
            <w:pPr>
              <w:spacing w:after="0" w:line="240" w:lineRule="auto"/>
              <w:jc w:val="center"/>
              <w:rPr>
                <w:rFonts w:ascii="Arial" w:eastAsia="Calibri" w:hAnsi="Arial" w:cs="Arial"/>
                <w:sz w:val="20"/>
                <w:szCs w:val="20"/>
              </w:rPr>
            </w:pPr>
          </w:p>
        </w:tc>
      </w:tr>
    </w:tbl>
    <w:p w14:paraId="43356406" w14:textId="77777777" w:rsidR="002D1883" w:rsidRPr="00F32542" w:rsidRDefault="002D1883" w:rsidP="002D1883">
      <w:pPr>
        <w:spacing w:after="0" w:line="360" w:lineRule="auto"/>
        <w:jc w:val="both"/>
        <w:rPr>
          <w:rFonts w:ascii="Arial" w:eastAsia="Calibri" w:hAnsi="Arial" w:cs="Arial"/>
          <w:sz w:val="28"/>
          <w:szCs w:val="28"/>
        </w:rPr>
      </w:pPr>
    </w:p>
    <w:p w14:paraId="724B0CF9"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Cabe señalar que lo anterior es acorde con lo establecido en los asuntos </w:t>
      </w:r>
      <w:r w:rsidRPr="00F32542">
        <w:rPr>
          <w:rFonts w:ascii="Arial" w:eastAsia="Calibri" w:hAnsi="Arial" w:cs="Arial"/>
          <w:b/>
          <w:sz w:val="28"/>
          <w:szCs w:val="28"/>
        </w:rPr>
        <w:t xml:space="preserve">SUP-REC-936/2014 </w:t>
      </w:r>
      <w:r w:rsidRPr="00F32542">
        <w:rPr>
          <w:rFonts w:ascii="Arial" w:eastAsia="Calibri" w:hAnsi="Arial" w:cs="Arial"/>
          <w:sz w:val="28"/>
          <w:szCs w:val="28"/>
        </w:rPr>
        <w:t xml:space="preserve">y </w:t>
      </w:r>
      <w:r w:rsidRPr="00F32542">
        <w:rPr>
          <w:rFonts w:ascii="Arial" w:eastAsia="Calibri" w:hAnsi="Arial" w:cs="Arial"/>
          <w:b/>
          <w:sz w:val="28"/>
          <w:szCs w:val="28"/>
        </w:rPr>
        <w:t xml:space="preserve">SUP-REC-675/2015, </w:t>
      </w:r>
      <w:r w:rsidRPr="00F32542">
        <w:rPr>
          <w:rFonts w:ascii="Arial" w:eastAsia="Calibri" w:hAnsi="Arial" w:cs="Arial"/>
          <w:sz w:val="28"/>
          <w:szCs w:val="28"/>
        </w:rPr>
        <w:t xml:space="preserve">en la que la Sala Superior estableció que si la modificación en la lista </w:t>
      </w:r>
      <w:proofErr w:type="gramStart"/>
      <w:r w:rsidRPr="00F32542">
        <w:rPr>
          <w:rFonts w:ascii="Arial" w:eastAsia="Calibri" w:hAnsi="Arial" w:cs="Arial"/>
          <w:sz w:val="28"/>
          <w:szCs w:val="28"/>
        </w:rPr>
        <w:t>definitiva,</w:t>
      </w:r>
      <w:proofErr w:type="gramEnd"/>
      <w:r w:rsidRPr="00F32542">
        <w:rPr>
          <w:rFonts w:ascii="Arial" w:eastAsia="Calibri" w:hAnsi="Arial" w:cs="Arial"/>
          <w:sz w:val="28"/>
          <w:szCs w:val="28"/>
        </w:rPr>
        <w:t xml:space="preserve"> sólo incide en una diputación a asignar, esto no vulnera los otros principios implicados.</w:t>
      </w:r>
    </w:p>
    <w:p w14:paraId="443DA1A5" w14:textId="77777777" w:rsidR="002D1883" w:rsidRPr="00F32542" w:rsidRDefault="002D1883" w:rsidP="002D1883">
      <w:pPr>
        <w:spacing w:after="0" w:line="360" w:lineRule="auto"/>
        <w:jc w:val="both"/>
        <w:rPr>
          <w:rFonts w:ascii="Arial" w:eastAsia="Calibri" w:hAnsi="Arial" w:cs="Arial"/>
          <w:sz w:val="28"/>
          <w:szCs w:val="28"/>
        </w:rPr>
      </w:pPr>
    </w:p>
    <w:p w14:paraId="0B6F1415"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Esto, siempre que se pondere su incidencia en ellos, lo cual se ha realizado en la especie, ya que se ha justificado en forma objetiva y razonable la causa del ajuste propuesto. </w:t>
      </w:r>
    </w:p>
    <w:p w14:paraId="3F6214A3" w14:textId="77777777" w:rsidR="00520D2E" w:rsidRPr="00F32542" w:rsidRDefault="00520D2E" w:rsidP="00520D2E">
      <w:pPr>
        <w:spacing w:after="0" w:line="360" w:lineRule="auto"/>
        <w:jc w:val="both"/>
        <w:rPr>
          <w:rFonts w:ascii="Arial" w:eastAsia="Calibri" w:hAnsi="Arial" w:cs="Arial"/>
          <w:sz w:val="28"/>
          <w:szCs w:val="28"/>
        </w:rPr>
      </w:pPr>
    </w:p>
    <w:p w14:paraId="30BE9518" w14:textId="77777777" w:rsidR="00520D2E" w:rsidRPr="00F32542" w:rsidRDefault="00520D2E" w:rsidP="00520D2E">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Cabe señalar que la integración de la lista definitiva de MORENA establecida en esta sentencia no es contraria al artículo 24, fracción V, del </w:t>
      </w:r>
      <w:r w:rsidRPr="00F32542">
        <w:rPr>
          <w:rFonts w:ascii="Arial" w:eastAsia="Calibri" w:hAnsi="Arial" w:cs="Arial"/>
          <w:i/>
          <w:sz w:val="28"/>
          <w:szCs w:val="28"/>
        </w:rPr>
        <w:t xml:space="preserve">Código local, </w:t>
      </w:r>
      <w:r w:rsidRPr="00F32542">
        <w:rPr>
          <w:rFonts w:ascii="Arial" w:eastAsia="Calibri" w:hAnsi="Arial" w:cs="Arial"/>
          <w:sz w:val="28"/>
          <w:szCs w:val="28"/>
        </w:rPr>
        <w:t xml:space="preserve">respecto a la integración de bloques. </w:t>
      </w:r>
    </w:p>
    <w:p w14:paraId="1A6A986E" w14:textId="77777777" w:rsidR="00520D2E" w:rsidRPr="00F32542" w:rsidRDefault="00520D2E" w:rsidP="00520D2E">
      <w:pPr>
        <w:spacing w:after="0" w:line="360" w:lineRule="auto"/>
        <w:jc w:val="both"/>
        <w:rPr>
          <w:rFonts w:ascii="Arial" w:eastAsia="Calibri" w:hAnsi="Arial" w:cs="Arial"/>
          <w:sz w:val="28"/>
          <w:szCs w:val="28"/>
        </w:rPr>
      </w:pPr>
    </w:p>
    <w:p w14:paraId="06667E38" w14:textId="77777777" w:rsidR="00520D2E" w:rsidRPr="00F32542" w:rsidRDefault="00520D2E" w:rsidP="00520D2E">
      <w:pPr>
        <w:spacing w:after="0" w:line="360" w:lineRule="auto"/>
        <w:jc w:val="both"/>
        <w:rPr>
          <w:rFonts w:ascii="Arial" w:eastAsia="Calibri" w:hAnsi="Arial" w:cs="Arial"/>
          <w:sz w:val="28"/>
          <w:szCs w:val="28"/>
        </w:rPr>
      </w:pPr>
      <w:r w:rsidRPr="00F32542">
        <w:rPr>
          <w:rFonts w:ascii="Arial" w:eastAsia="Calibri" w:hAnsi="Arial" w:cs="Arial"/>
          <w:sz w:val="28"/>
          <w:szCs w:val="28"/>
        </w:rPr>
        <w:t>En efecto, la disposición citada establece lo siguiente:</w:t>
      </w:r>
    </w:p>
    <w:p w14:paraId="2504DE0C" w14:textId="77777777" w:rsidR="00520D2E" w:rsidRPr="00F32542" w:rsidRDefault="00520D2E" w:rsidP="00520D2E">
      <w:pPr>
        <w:spacing w:after="0" w:line="360" w:lineRule="auto"/>
        <w:jc w:val="both"/>
        <w:rPr>
          <w:rFonts w:ascii="Arial" w:eastAsia="Calibri" w:hAnsi="Arial" w:cs="Arial"/>
          <w:sz w:val="28"/>
          <w:szCs w:val="28"/>
        </w:rPr>
      </w:pPr>
    </w:p>
    <w:p w14:paraId="46C73293" w14:textId="77777777" w:rsidR="00520D2E" w:rsidRPr="00F32542" w:rsidRDefault="00520D2E" w:rsidP="00520D2E">
      <w:pPr>
        <w:spacing w:after="0" w:line="240" w:lineRule="auto"/>
        <w:ind w:left="1134" w:right="1185"/>
        <w:jc w:val="both"/>
        <w:rPr>
          <w:rFonts w:ascii="Arial" w:hAnsi="Arial" w:cs="Arial"/>
          <w:color w:val="000000"/>
          <w:sz w:val="24"/>
          <w:szCs w:val="24"/>
        </w:rPr>
      </w:pPr>
      <w:r w:rsidRPr="00F32542">
        <w:rPr>
          <w:rFonts w:ascii="Arial" w:hAnsi="Arial" w:cs="Arial"/>
          <w:b/>
          <w:bCs/>
          <w:color w:val="000000"/>
          <w:sz w:val="24"/>
          <w:szCs w:val="24"/>
        </w:rPr>
        <w:lastRenderedPageBreak/>
        <w:t>Artículo 24.</w:t>
      </w:r>
      <w:r w:rsidRPr="00F32542">
        <w:rPr>
          <w:rFonts w:ascii="Arial" w:hAnsi="Arial" w:cs="Arial"/>
          <w:color w:val="000000"/>
          <w:sz w:val="24"/>
          <w:szCs w:val="24"/>
        </w:rPr>
        <w:t xml:space="preserve"> Para la asignación de </w:t>
      </w:r>
      <w:proofErr w:type="gramStart"/>
      <w:r w:rsidRPr="00F32542">
        <w:rPr>
          <w:rFonts w:ascii="Arial" w:hAnsi="Arial" w:cs="Arial"/>
          <w:color w:val="000000"/>
          <w:sz w:val="24"/>
          <w:szCs w:val="24"/>
        </w:rPr>
        <w:t>Diputadas y Diputados</w:t>
      </w:r>
      <w:proofErr w:type="gramEnd"/>
      <w:r w:rsidRPr="00F32542">
        <w:rPr>
          <w:rFonts w:ascii="Arial" w:hAnsi="Arial" w:cs="Arial"/>
          <w:color w:val="000000"/>
          <w:sz w:val="24"/>
          <w:szCs w:val="24"/>
        </w:rPr>
        <w:t xml:space="preserve"> electos por el principio de representación proporcional se tendrán en cuenta los conceptos y principios siguientes:</w:t>
      </w:r>
    </w:p>
    <w:p w14:paraId="62EBFE6D" w14:textId="77777777" w:rsidR="00520D2E" w:rsidRPr="00F32542" w:rsidRDefault="00520D2E" w:rsidP="00520D2E">
      <w:pPr>
        <w:spacing w:after="0" w:line="240" w:lineRule="auto"/>
        <w:ind w:left="1134" w:right="1185"/>
        <w:jc w:val="both"/>
        <w:rPr>
          <w:rFonts w:ascii="Arial" w:hAnsi="Arial" w:cs="Arial"/>
          <w:color w:val="000000"/>
          <w:sz w:val="24"/>
          <w:szCs w:val="24"/>
        </w:rPr>
      </w:pPr>
      <w:r w:rsidRPr="00F32542">
        <w:rPr>
          <w:rFonts w:ascii="Arial" w:hAnsi="Arial" w:cs="Arial"/>
          <w:color w:val="000000"/>
          <w:sz w:val="24"/>
          <w:szCs w:val="24"/>
        </w:rPr>
        <w:t>…</w:t>
      </w:r>
    </w:p>
    <w:p w14:paraId="128C9150" w14:textId="77777777" w:rsidR="00520D2E" w:rsidRPr="00F32542" w:rsidRDefault="00520D2E" w:rsidP="00520D2E">
      <w:pPr>
        <w:spacing w:after="0" w:line="240" w:lineRule="auto"/>
        <w:ind w:left="1134" w:right="1185"/>
        <w:jc w:val="both"/>
        <w:rPr>
          <w:rFonts w:ascii="Arial" w:eastAsia="Calibri" w:hAnsi="Arial" w:cs="Arial"/>
          <w:sz w:val="24"/>
          <w:szCs w:val="24"/>
        </w:rPr>
      </w:pPr>
      <w:r w:rsidRPr="00F32542">
        <w:rPr>
          <w:rFonts w:ascii="Arial" w:hAnsi="Arial" w:cs="Arial"/>
          <w:b/>
          <w:bCs/>
          <w:color w:val="000000"/>
          <w:sz w:val="24"/>
          <w:szCs w:val="24"/>
        </w:rPr>
        <w:t>V. Lista Definitiva,</w:t>
      </w:r>
      <w:r w:rsidRPr="00F32542">
        <w:rPr>
          <w:rFonts w:ascii="Arial" w:hAnsi="Arial" w:cs="Arial"/>
          <w:color w:val="000000"/>
          <w:sz w:val="24"/>
          <w:szCs w:val="24"/>
        </w:rPr>
        <w:t> es el resultado de intercalar las fórmulas de candidatos de las Listas "A" y "B", que será encabezada siempre por la primera fórmula de la Lista "A". Tal intercalado podrá generar bloques de hasta dos fórmulas del mismo género, pero de diferente lista de origen.</w:t>
      </w:r>
    </w:p>
    <w:p w14:paraId="35AF6B40" w14:textId="77777777" w:rsidR="00520D2E" w:rsidRPr="00F32542" w:rsidRDefault="00520D2E" w:rsidP="00520D2E">
      <w:pPr>
        <w:spacing w:after="0" w:line="360" w:lineRule="auto"/>
        <w:jc w:val="both"/>
        <w:rPr>
          <w:rFonts w:ascii="Arial" w:eastAsia="Calibri" w:hAnsi="Arial" w:cs="Arial"/>
          <w:sz w:val="28"/>
          <w:szCs w:val="28"/>
        </w:rPr>
      </w:pPr>
    </w:p>
    <w:p w14:paraId="25B25124" w14:textId="77777777" w:rsidR="00520D2E" w:rsidRPr="00F32542" w:rsidRDefault="00520D2E" w:rsidP="00520D2E">
      <w:pPr>
        <w:spacing w:after="0" w:line="360" w:lineRule="auto"/>
        <w:jc w:val="both"/>
        <w:rPr>
          <w:rFonts w:ascii="Arial" w:eastAsia="Calibri" w:hAnsi="Arial" w:cs="Arial"/>
          <w:sz w:val="28"/>
          <w:szCs w:val="28"/>
        </w:rPr>
      </w:pPr>
      <w:r w:rsidRPr="00F32542">
        <w:rPr>
          <w:rFonts w:ascii="Arial" w:eastAsia="Calibri" w:hAnsi="Arial" w:cs="Arial"/>
          <w:sz w:val="28"/>
          <w:szCs w:val="28"/>
        </w:rPr>
        <w:t>Conforme a tal disposición la lista definitiva se construye a partir de la intercalación de las fórmulas de candidaturas de la lista A y la lista B.</w:t>
      </w:r>
    </w:p>
    <w:p w14:paraId="44DF9237" w14:textId="77777777" w:rsidR="00520D2E" w:rsidRPr="00F32542" w:rsidRDefault="00520D2E" w:rsidP="00520D2E">
      <w:pPr>
        <w:spacing w:after="0" w:line="360" w:lineRule="auto"/>
        <w:jc w:val="both"/>
        <w:rPr>
          <w:rFonts w:ascii="Arial" w:eastAsia="Calibri" w:hAnsi="Arial" w:cs="Arial"/>
          <w:sz w:val="28"/>
          <w:szCs w:val="28"/>
        </w:rPr>
      </w:pPr>
    </w:p>
    <w:p w14:paraId="4FF93467" w14:textId="77777777" w:rsidR="00520D2E" w:rsidRPr="00F32542" w:rsidRDefault="00520D2E" w:rsidP="00520D2E">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Debe iniciar con el primer lugar de la lista A, por lo cual, el siguiente lugar en la lista será el primer lugar de la lista B, y así sucesivamente. </w:t>
      </w:r>
    </w:p>
    <w:p w14:paraId="265C26E4" w14:textId="77777777" w:rsidR="00520D2E" w:rsidRPr="00F32542" w:rsidRDefault="00520D2E" w:rsidP="00520D2E">
      <w:pPr>
        <w:spacing w:after="0" w:line="360" w:lineRule="auto"/>
        <w:jc w:val="both"/>
        <w:rPr>
          <w:rFonts w:ascii="Arial" w:eastAsia="Calibri" w:hAnsi="Arial" w:cs="Arial"/>
          <w:sz w:val="28"/>
          <w:szCs w:val="28"/>
        </w:rPr>
      </w:pPr>
    </w:p>
    <w:p w14:paraId="384CB9A4" w14:textId="77777777" w:rsidR="00520D2E" w:rsidRPr="00F32542" w:rsidRDefault="00520D2E" w:rsidP="00520D2E">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De tal modo que, la lista definitiva queda conformada por segmentos integrados por la intercalación de una fórmula de la lista A y otra de la lista B. </w:t>
      </w:r>
    </w:p>
    <w:p w14:paraId="727AA6FC" w14:textId="77777777" w:rsidR="00520D2E" w:rsidRPr="00F32542" w:rsidRDefault="00520D2E" w:rsidP="00520D2E">
      <w:pPr>
        <w:spacing w:after="0" w:line="360" w:lineRule="auto"/>
        <w:jc w:val="both"/>
        <w:rPr>
          <w:rFonts w:ascii="Arial" w:eastAsia="Calibri" w:hAnsi="Arial" w:cs="Arial"/>
          <w:sz w:val="28"/>
          <w:szCs w:val="28"/>
        </w:rPr>
      </w:pPr>
    </w:p>
    <w:p w14:paraId="66650CA7" w14:textId="77777777" w:rsidR="00520D2E" w:rsidRPr="00F32542" w:rsidRDefault="00520D2E" w:rsidP="00520D2E">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Esto muestra que la disposición citada, al referirse a la palabra </w:t>
      </w:r>
      <w:r w:rsidRPr="00F32542">
        <w:rPr>
          <w:rFonts w:ascii="Arial" w:eastAsia="Calibri" w:hAnsi="Arial" w:cs="Arial"/>
          <w:b/>
          <w:sz w:val="28"/>
          <w:szCs w:val="28"/>
        </w:rPr>
        <w:t xml:space="preserve">bloque, </w:t>
      </w:r>
      <w:r w:rsidRPr="00F32542">
        <w:rPr>
          <w:rFonts w:ascii="Arial" w:eastAsia="Calibri" w:hAnsi="Arial" w:cs="Arial"/>
          <w:sz w:val="28"/>
          <w:szCs w:val="28"/>
        </w:rPr>
        <w:t xml:space="preserve">se refiere a cada segmento que se conforma con la intercalación de una fórmula integrante de la lista A y otra de la lista B. </w:t>
      </w:r>
    </w:p>
    <w:p w14:paraId="4DA34D4A" w14:textId="77777777" w:rsidR="00520D2E" w:rsidRPr="00F32542" w:rsidRDefault="00520D2E" w:rsidP="00520D2E">
      <w:pPr>
        <w:spacing w:after="0" w:line="360" w:lineRule="auto"/>
        <w:jc w:val="both"/>
        <w:rPr>
          <w:rFonts w:ascii="Arial" w:eastAsia="Calibri" w:hAnsi="Arial" w:cs="Arial"/>
          <w:sz w:val="28"/>
          <w:szCs w:val="28"/>
        </w:rPr>
      </w:pPr>
    </w:p>
    <w:p w14:paraId="0CD8FBEF" w14:textId="77777777" w:rsidR="00520D2E" w:rsidRPr="00F32542" w:rsidRDefault="00520D2E" w:rsidP="00520D2E">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Por ello, cuando la legislación alude a que el intercalado puede producir bloques de hasta dos fórmulas de un mismo género, significa una permisión para que un bloque pueda ser conformado por un mismo </w:t>
      </w:r>
      <w:proofErr w:type="gramStart"/>
      <w:r w:rsidRPr="00F32542">
        <w:rPr>
          <w:rFonts w:ascii="Arial" w:eastAsia="Calibri" w:hAnsi="Arial" w:cs="Arial"/>
          <w:sz w:val="28"/>
          <w:szCs w:val="28"/>
        </w:rPr>
        <w:t>género</w:t>
      </w:r>
      <w:proofErr w:type="gramEnd"/>
      <w:r w:rsidRPr="00F32542">
        <w:rPr>
          <w:rFonts w:ascii="Arial" w:eastAsia="Calibri" w:hAnsi="Arial" w:cs="Arial"/>
          <w:sz w:val="28"/>
          <w:szCs w:val="28"/>
        </w:rPr>
        <w:t xml:space="preserve"> pero de diferente lista. </w:t>
      </w:r>
    </w:p>
    <w:p w14:paraId="7B45B073" w14:textId="77777777" w:rsidR="00520D2E" w:rsidRPr="00F32542" w:rsidRDefault="00520D2E" w:rsidP="00520D2E">
      <w:pPr>
        <w:spacing w:after="0" w:line="360" w:lineRule="auto"/>
        <w:jc w:val="both"/>
        <w:rPr>
          <w:rFonts w:ascii="Arial" w:eastAsia="Calibri" w:hAnsi="Arial" w:cs="Arial"/>
          <w:sz w:val="28"/>
          <w:szCs w:val="28"/>
        </w:rPr>
      </w:pPr>
    </w:p>
    <w:p w14:paraId="3B8F278F" w14:textId="77777777" w:rsidR="00520D2E" w:rsidRPr="00F32542" w:rsidRDefault="00520D2E" w:rsidP="00520D2E">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De tal modo, lo que establece la disposición citada es la posibilidad de </w:t>
      </w:r>
      <w:r w:rsidR="000B0266" w:rsidRPr="00F32542">
        <w:rPr>
          <w:rFonts w:ascii="Arial" w:eastAsia="Calibri" w:hAnsi="Arial" w:cs="Arial"/>
          <w:sz w:val="28"/>
          <w:szCs w:val="28"/>
        </w:rPr>
        <w:t xml:space="preserve">que </w:t>
      </w:r>
      <w:r w:rsidRPr="00F32542">
        <w:rPr>
          <w:rFonts w:ascii="Arial" w:eastAsia="Calibri" w:hAnsi="Arial" w:cs="Arial"/>
          <w:sz w:val="28"/>
          <w:szCs w:val="28"/>
        </w:rPr>
        <w:t xml:space="preserve">cada segmento o </w:t>
      </w:r>
      <w:r w:rsidRPr="00F32542">
        <w:rPr>
          <w:rFonts w:ascii="Arial" w:eastAsia="Calibri" w:hAnsi="Arial" w:cs="Arial"/>
          <w:b/>
          <w:sz w:val="28"/>
          <w:szCs w:val="28"/>
        </w:rPr>
        <w:t xml:space="preserve">bloque </w:t>
      </w:r>
      <w:r w:rsidRPr="00F32542">
        <w:rPr>
          <w:rFonts w:ascii="Arial" w:eastAsia="Calibri" w:hAnsi="Arial" w:cs="Arial"/>
          <w:sz w:val="28"/>
          <w:szCs w:val="28"/>
        </w:rPr>
        <w:t xml:space="preserve">sea de un mismo género. </w:t>
      </w:r>
    </w:p>
    <w:p w14:paraId="7DED757B" w14:textId="77777777" w:rsidR="00520D2E" w:rsidRPr="00F32542" w:rsidRDefault="00520D2E" w:rsidP="00520D2E">
      <w:pPr>
        <w:spacing w:after="0" w:line="360" w:lineRule="auto"/>
        <w:jc w:val="both"/>
        <w:rPr>
          <w:rFonts w:ascii="Arial" w:eastAsia="Calibri" w:hAnsi="Arial" w:cs="Arial"/>
          <w:sz w:val="28"/>
          <w:szCs w:val="28"/>
        </w:rPr>
      </w:pPr>
    </w:p>
    <w:p w14:paraId="19C0FC67" w14:textId="77777777" w:rsidR="00520D2E" w:rsidRPr="00F32542" w:rsidRDefault="00520D2E" w:rsidP="00520D2E">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Sin embargo, en atención al principio de paridad y de alternancia, lo que está prohibido es la conformación de dos bloques o segmentos de un mismo género. </w:t>
      </w:r>
    </w:p>
    <w:p w14:paraId="1B9FB3B1" w14:textId="77777777" w:rsidR="00520D2E" w:rsidRPr="00F32542" w:rsidRDefault="00520D2E" w:rsidP="00520D2E">
      <w:pPr>
        <w:spacing w:after="0" w:line="360" w:lineRule="auto"/>
        <w:jc w:val="both"/>
        <w:rPr>
          <w:rFonts w:ascii="Arial" w:eastAsia="Calibri" w:hAnsi="Arial" w:cs="Arial"/>
          <w:sz w:val="28"/>
          <w:szCs w:val="28"/>
        </w:rPr>
      </w:pPr>
    </w:p>
    <w:p w14:paraId="58BD5096" w14:textId="77777777" w:rsidR="00520D2E" w:rsidRPr="00F32542" w:rsidRDefault="00520D2E" w:rsidP="00520D2E">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Cuando la legislación alude a que los bloques pueden ser de </w:t>
      </w:r>
      <w:r w:rsidRPr="00F32542">
        <w:rPr>
          <w:rFonts w:ascii="Arial" w:eastAsia="Calibri" w:hAnsi="Arial" w:cs="Arial"/>
          <w:b/>
          <w:sz w:val="28"/>
          <w:szCs w:val="28"/>
        </w:rPr>
        <w:t xml:space="preserve">hasta dos fórmulas del mismo género, </w:t>
      </w:r>
      <w:r w:rsidRPr="00F32542">
        <w:rPr>
          <w:rFonts w:ascii="Arial" w:eastAsia="Calibri" w:hAnsi="Arial" w:cs="Arial"/>
          <w:sz w:val="28"/>
          <w:szCs w:val="28"/>
        </w:rPr>
        <w:t xml:space="preserve">esto, precisamente se refiere, a que cada bloque debe ser conformado por dos fórmulas que pueden ser del mismo género. </w:t>
      </w:r>
    </w:p>
    <w:p w14:paraId="71C968AD" w14:textId="77777777" w:rsidR="00520D2E" w:rsidRPr="00F32542" w:rsidRDefault="00520D2E" w:rsidP="00520D2E">
      <w:pPr>
        <w:spacing w:after="0" w:line="360" w:lineRule="auto"/>
        <w:jc w:val="both"/>
        <w:rPr>
          <w:rFonts w:ascii="Arial" w:eastAsia="Calibri" w:hAnsi="Arial" w:cs="Arial"/>
          <w:sz w:val="28"/>
          <w:szCs w:val="28"/>
        </w:rPr>
      </w:pPr>
    </w:p>
    <w:p w14:paraId="56C19B0C" w14:textId="77777777" w:rsidR="00520D2E" w:rsidRPr="00F32542" w:rsidRDefault="00520D2E" w:rsidP="00520D2E">
      <w:pPr>
        <w:spacing w:after="0" w:line="360" w:lineRule="auto"/>
        <w:jc w:val="both"/>
        <w:rPr>
          <w:rFonts w:ascii="Arial" w:eastAsia="Calibri" w:hAnsi="Arial" w:cs="Arial"/>
          <w:sz w:val="28"/>
          <w:szCs w:val="28"/>
        </w:rPr>
      </w:pPr>
      <w:r w:rsidRPr="00F32542">
        <w:rPr>
          <w:rFonts w:ascii="Arial" w:eastAsia="Calibri" w:hAnsi="Arial" w:cs="Arial"/>
          <w:sz w:val="28"/>
          <w:szCs w:val="28"/>
        </w:rPr>
        <w:t>No podría entenderse que la legislación se refiera a la prohibición de bloques conformados por tres fórmulas de un mismo género, puesto que e</w:t>
      </w:r>
      <w:r w:rsidR="000B0266" w:rsidRPr="00F32542">
        <w:rPr>
          <w:rFonts w:ascii="Arial" w:eastAsia="Calibri" w:hAnsi="Arial" w:cs="Arial"/>
          <w:sz w:val="28"/>
          <w:szCs w:val="28"/>
        </w:rPr>
        <w:t>llo</w:t>
      </w:r>
      <w:r w:rsidRPr="00F32542">
        <w:rPr>
          <w:rFonts w:ascii="Arial" w:eastAsia="Calibri" w:hAnsi="Arial" w:cs="Arial"/>
          <w:sz w:val="28"/>
          <w:szCs w:val="28"/>
        </w:rPr>
        <w:t xml:space="preserve"> sería contrario al principio interpretativo del legislador racional, conforme al cual existe la presunción de que las normas no son reiterativas, inconexas, incoherentes</w:t>
      </w:r>
      <w:r w:rsidR="000B0266" w:rsidRPr="00F32542">
        <w:rPr>
          <w:rFonts w:ascii="Arial" w:eastAsia="Calibri" w:hAnsi="Arial" w:cs="Arial"/>
          <w:sz w:val="28"/>
          <w:szCs w:val="28"/>
        </w:rPr>
        <w:t xml:space="preserve"> </w:t>
      </w:r>
      <w:r w:rsidRPr="00F32542">
        <w:rPr>
          <w:rFonts w:ascii="Arial" w:eastAsia="Calibri" w:hAnsi="Arial" w:cs="Arial"/>
          <w:sz w:val="28"/>
          <w:szCs w:val="28"/>
        </w:rPr>
        <w:t>o de imposible aplicación.</w:t>
      </w:r>
    </w:p>
    <w:p w14:paraId="5C661245" w14:textId="77777777" w:rsidR="00520D2E" w:rsidRPr="00F32542" w:rsidRDefault="00520D2E" w:rsidP="00520D2E">
      <w:pPr>
        <w:spacing w:after="0" w:line="360" w:lineRule="auto"/>
        <w:jc w:val="both"/>
        <w:rPr>
          <w:rFonts w:ascii="Arial" w:eastAsia="Calibri" w:hAnsi="Arial" w:cs="Arial"/>
          <w:sz w:val="28"/>
          <w:szCs w:val="28"/>
        </w:rPr>
      </w:pPr>
    </w:p>
    <w:p w14:paraId="52D7C505" w14:textId="77777777" w:rsidR="00520D2E" w:rsidRPr="00F32542" w:rsidRDefault="00520D2E" w:rsidP="00520D2E">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Lo anterior, porque </w:t>
      </w:r>
      <w:r w:rsidR="000B0266" w:rsidRPr="00F32542">
        <w:rPr>
          <w:rFonts w:ascii="Arial" w:eastAsia="Calibri" w:hAnsi="Arial" w:cs="Arial"/>
          <w:sz w:val="28"/>
          <w:szCs w:val="28"/>
        </w:rPr>
        <w:t xml:space="preserve">una lectura como tal, </w:t>
      </w:r>
      <w:r w:rsidRPr="00F32542">
        <w:rPr>
          <w:rFonts w:ascii="Arial" w:eastAsia="Calibri" w:hAnsi="Arial" w:cs="Arial"/>
          <w:sz w:val="28"/>
          <w:szCs w:val="28"/>
        </w:rPr>
        <w:t>sería redundante o reiterativ</w:t>
      </w:r>
      <w:r w:rsidR="000B0266" w:rsidRPr="00F32542">
        <w:rPr>
          <w:rFonts w:ascii="Arial" w:eastAsia="Calibri" w:hAnsi="Arial" w:cs="Arial"/>
          <w:sz w:val="28"/>
          <w:szCs w:val="28"/>
        </w:rPr>
        <w:t>a</w:t>
      </w:r>
      <w:r w:rsidRPr="00F32542">
        <w:rPr>
          <w:rFonts w:ascii="Arial" w:eastAsia="Calibri" w:hAnsi="Arial" w:cs="Arial"/>
          <w:sz w:val="28"/>
          <w:szCs w:val="28"/>
        </w:rPr>
        <w:t xml:space="preserve">, pues como se vio, los bloques están conformados por segmentos de dos fórmulas, por lo que no tendría sentido prohibir la integración de bloques de tres, pues implicaría repetir una misma norma dos veces, cuestión que, como se afirmó, es contraria al principio del legislador racional. </w:t>
      </w:r>
    </w:p>
    <w:p w14:paraId="3AAE367F" w14:textId="77777777" w:rsidR="00520D2E" w:rsidRPr="00F32542" w:rsidRDefault="00520D2E" w:rsidP="00520D2E">
      <w:pPr>
        <w:spacing w:after="0" w:line="360" w:lineRule="auto"/>
        <w:jc w:val="both"/>
        <w:rPr>
          <w:rFonts w:ascii="Arial" w:eastAsia="Calibri" w:hAnsi="Arial" w:cs="Arial"/>
          <w:sz w:val="28"/>
          <w:szCs w:val="28"/>
        </w:rPr>
      </w:pPr>
    </w:p>
    <w:p w14:paraId="486D6C45" w14:textId="77777777" w:rsidR="00520D2E" w:rsidRPr="00F32542" w:rsidRDefault="00520D2E" w:rsidP="00520D2E">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A partir de lo anterior, se muestra que la conformación de la lista final </w:t>
      </w:r>
      <w:r w:rsidR="000B0266" w:rsidRPr="00F32542">
        <w:rPr>
          <w:rFonts w:ascii="Arial" w:eastAsia="Calibri" w:hAnsi="Arial" w:cs="Arial"/>
          <w:sz w:val="28"/>
          <w:szCs w:val="28"/>
        </w:rPr>
        <w:t>que se ordena a</w:t>
      </w:r>
      <w:r w:rsidRPr="00F32542">
        <w:rPr>
          <w:rFonts w:ascii="Arial" w:eastAsia="Calibri" w:hAnsi="Arial" w:cs="Arial"/>
          <w:sz w:val="28"/>
          <w:szCs w:val="28"/>
        </w:rPr>
        <w:t xml:space="preserve"> </w:t>
      </w:r>
      <w:proofErr w:type="gramStart"/>
      <w:r w:rsidRPr="00F32542">
        <w:rPr>
          <w:rFonts w:ascii="Arial" w:eastAsia="Calibri" w:hAnsi="Arial" w:cs="Arial"/>
          <w:sz w:val="28"/>
          <w:szCs w:val="28"/>
        </w:rPr>
        <w:t>MORENA,</w:t>
      </w:r>
      <w:proofErr w:type="gramEnd"/>
      <w:r w:rsidRPr="00F32542">
        <w:rPr>
          <w:rFonts w:ascii="Arial" w:eastAsia="Calibri" w:hAnsi="Arial" w:cs="Arial"/>
          <w:sz w:val="28"/>
          <w:szCs w:val="28"/>
        </w:rPr>
        <w:t xml:space="preserve"> no vulnera la disposición citada:</w:t>
      </w:r>
    </w:p>
    <w:p w14:paraId="28DF6D82" w14:textId="77777777" w:rsidR="00520D2E" w:rsidRPr="00F32542" w:rsidRDefault="00520D2E" w:rsidP="00520D2E">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 </w:t>
      </w:r>
    </w:p>
    <w:tbl>
      <w:tblPr>
        <w:tblStyle w:val="Tablaconcuadrcula25"/>
        <w:tblW w:w="0" w:type="auto"/>
        <w:tblLook w:val="04A0" w:firstRow="1" w:lastRow="0" w:firstColumn="1" w:lastColumn="0" w:noHBand="0" w:noVBand="1"/>
      </w:tblPr>
      <w:tblGrid>
        <w:gridCol w:w="533"/>
        <w:gridCol w:w="2605"/>
        <w:gridCol w:w="748"/>
        <w:gridCol w:w="2307"/>
        <w:gridCol w:w="1776"/>
      </w:tblGrid>
      <w:tr w:rsidR="00520D2E" w:rsidRPr="00F32542" w14:paraId="7F520C01" w14:textId="77777777" w:rsidTr="00B65D24">
        <w:trPr>
          <w:tblHeader/>
        </w:trPr>
        <w:tc>
          <w:tcPr>
            <w:tcW w:w="533" w:type="dxa"/>
            <w:tcBorders>
              <w:bottom w:val="single" w:sz="4" w:space="0" w:color="auto"/>
            </w:tcBorders>
            <w:shd w:val="clear" w:color="auto" w:fill="BFBFBF" w:themeFill="background1" w:themeFillShade="BF"/>
          </w:tcPr>
          <w:p w14:paraId="1E78D0EC" w14:textId="77777777" w:rsidR="00520D2E" w:rsidRPr="00F32542" w:rsidRDefault="00520D2E" w:rsidP="00B65D24">
            <w:pPr>
              <w:spacing w:after="0" w:line="240" w:lineRule="auto"/>
              <w:jc w:val="both"/>
              <w:rPr>
                <w:rFonts w:ascii="Arial" w:eastAsia="Calibri" w:hAnsi="Arial" w:cs="Arial"/>
                <w:b/>
                <w:sz w:val="20"/>
                <w:szCs w:val="20"/>
              </w:rPr>
            </w:pPr>
            <w:r w:rsidRPr="00F32542">
              <w:rPr>
                <w:rFonts w:ascii="Arial" w:eastAsia="Calibri" w:hAnsi="Arial" w:cs="Arial"/>
                <w:b/>
                <w:sz w:val="20"/>
                <w:szCs w:val="20"/>
              </w:rPr>
              <w:t>No</w:t>
            </w:r>
          </w:p>
        </w:tc>
        <w:tc>
          <w:tcPr>
            <w:tcW w:w="2605" w:type="dxa"/>
            <w:tcBorders>
              <w:bottom w:val="single" w:sz="4" w:space="0" w:color="auto"/>
            </w:tcBorders>
            <w:shd w:val="clear" w:color="auto" w:fill="BFBFBF" w:themeFill="background1" w:themeFillShade="BF"/>
          </w:tcPr>
          <w:p w14:paraId="1BF3A628" w14:textId="77777777" w:rsidR="00520D2E" w:rsidRPr="00F32542" w:rsidRDefault="00520D2E" w:rsidP="00B65D24">
            <w:pPr>
              <w:spacing w:after="0" w:line="240" w:lineRule="auto"/>
              <w:jc w:val="center"/>
              <w:rPr>
                <w:rFonts w:ascii="Arial" w:eastAsia="Calibri" w:hAnsi="Arial" w:cs="Arial"/>
                <w:b/>
                <w:sz w:val="20"/>
                <w:szCs w:val="20"/>
              </w:rPr>
            </w:pPr>
            <w:r w:rsidRPr="00F32542">
              <w:rPr>
                <w:rFonts w:ascii="Arial" w:eastAsia="Calibri" w:hAnsi="Arial" w:cs="Arial"/>
                <w:b/>
                <w:sz w:val="20"/>
                <w:szCs w:val="20"/>
              </w:rPr>
              <w:t>Nombre (propietario)</w:t>
            </w:r>
          </w:p>
        </w:tc>
        <w:tc>
          <w:tcPr>
            <w:tcW w:w="748" w:type="dxa"/>
            <w:tcBorders>
              <w:bottom w:val="single" w:sz="4" w:space="0" w:color="auto"/>
            </w:tcBorders>
            <w:shd w:val="clear" w:color="auto" w:fill="BFBFBF" w:themeFill="background1" w:themeFillShade="BF"/>
          </w:tcPr>
          <w:p w14:paraId="6D3A1DC0" w14:textId="77777777" w:rsidR="00520D2E" w:rsidRPr="00F32542" w:rsidRDefault="00520D2E" w:rsidP="00B65D24">
            <w:pPr>
              <w:spacing w:after="0" w:line="240" w:lineRule="auto"/>
              <w:jc w:val="center"/>
              <w:rPr>
                <w:rFonts w:ascii="Arial" w:eastAsia="Calibri" w:hAnsi="Arial" w:cs="Arial"/>
                <w:b/>
                <w:sz w:val="20"/>
                <w:szCs w:val="20"/>
              </w:rPr>
            </w:pPr>
            <w:r w:rsidRPr="00F32542">
              <w:rPr>
                <w:rFonts w:ascii="Arial" w:eastAsia="Calibri" w:hAnsi="Arial" w:cs="Arial"/>
                <w:b/>
                <w:sz w:val="20"/>
                <w:szCs w:val="20"/>
              </w:rPr>
              <w:t xml:space="preserve">Sexo </w:t>
            </w:r>
          </w:p>
        </w:tc>
        <w:tc>
          <w:tcPr>
            <w:tcW w:w="2307" w:type="dxa"/>
            <w:tcBorders>
              <w:bottom w:val="single" w:sz="4" w:space="0" w:color="auto"/>
            </w:tcBorders>
            <w:shd w:val="clear" w:color="auto" w:fill="BFBFBF" w:themeFill="background1" w:themeFillShade="BF"/>
          </w:tcPr>
          <w:p w14:paraId="69944B0E" w14:textId="77777777" w:rsidR="00520D2E" w:rsidRPr="00F32542" w:rsidRDefault="00520D2E" w:rsidP="00B65D24">
            <w:pPr>
              <w:spacing w:after="0" w:line="240" w:lineRule="auto"/>
              <w:jc w:val="center"/>
              <w:rPr>
                <w:rFonts w:ascii="Arial" w:eastAsia="Calibri" w:hAnsi="Arial" w:cs="Arial"/>
                <w:b/>
                <w:sz w:val="20"/>
                <w:szCs w:val="20"/>
              </w:rPr>
            </w:pPr>
            <w:r w:rsidRPr="00F32542">
              <w:rPr>
                <w:rFonts w:ascii="Arial" w:eastAsia="Calibri" w:hAnsi="Arial" w:cs="Arial"/>
                <w:b/>
                <w:sz w:val="20"/>
                <w:szCs w:val="20"/>
              </w:rPr>
              <w:t xml:space="preserve">Lugar y lista de la que proviene </w:t>
            </w:r>
          </w:p>
        </w:tc>
        <w:tc>
          <w:tcPr>
            <w:tcW w:w="1776" w:type="dxa"/>
            <w:tcBorders>
              <w:bottom w:val="single" w:sz="4" w:space="0" w:color="auto"/>
            </w:tcBorders>
            <w:shd w:val="clear" w:color="auto" w:fill="BFBFBF" w:themeFill="background1" w:themeFillShade="BF"/>
          </w:tcPr>
          <w:p w14:paraId="79103F1C" w14:textId="77777777" w:rsidR="00520D2E" w:rsidRPr="00F32542" w:rsidRDefault="00520D2E" w:rsidP="00B65D24">
            <w:pPr>
              <w:spacing w:after="0" w:line="240" w:lineRule="auto"/>
              <w:jc w:val="center"/>
              <w:rPr>
                <w:rFonts w:ascii="Arial" w:eastAsia="Calibri" w:hAnsi="Arial" w:cs="Arial"/>
                <w:b/>
                <w:sz w:val="20"/>
                <w:szCs w:val="20"/>
              </w:rPr>
            </w:pPr>
            <w:r w:rsidRPr="00F32542">
              <w:rPr>
                <w:rFonts w:ascii="Arial" w:eastAsia="Calibri" w:hAnsi="Arial" w:cs="Arial"/>
                <w:b/>
                <w:sz w:val="20"/>
                <w:szCs w:val="20"/>
              </w:rPr>
              <w:t>Bloques</w:t>
            </w:r>
          </w:p>
        </w:tc>
      </w:tr>
      <w:tr w:rsidR="00520D2E" w:rsidRPr="00F32542" w14:paraId="6560A87E" w14:textId="77777777" w:rsidTr="00B65D24">
        <w:trPr>
          <w:trHeight w:val="533"/>
        </w:trPr>
        <w:tc>
          <w:tcPr>
            <w:tcW w:w="533" w:type="dxa"/>
            <w:shd w:val="clear" w:color="auto" w:fill="D0CECE"/>
            <w:vAlign w:val="center"/>
          </w:tcPr>
          <w:p w14:paraId="09A385DE"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1</w:t>
            </w:r>
          </w:p>
        </w:tc>
        <w:tc>
          <w:tcPr>
            <w:tcW w:w="2605" w:type="dxa"/>
            <w:shd w:val="clear" w:color="auto" w:fill="D0CECE"/>
            <w:vAlign w:val="center"/>
          </w:tcPr>
          <w:p w14:paraId="615340BB"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José de Jesús Martín del Campo Castañeda</w:t>
            </w:r>
          </w:p>
        </w:tc>
        <w:tc>
          <w:tcPr>
            <w:tcW w:w="748" w:type="dxa"/>
            <w:shd w:val="clear" w:color="auto" w:fill="D0CECE"/>
            <w:vAlign w:val="center"/>
          </w:tcPr>
          <w:p w14:paraId="51E730C8"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307" w:type="dxa"/>
            <w:shd w:val="clear" w:color="auto" w:fill="D0CECE"/>
            <w:vAlign w:val="center"/>
          </w:tcPr>
          <w:p w14:paraId="2D47433F"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1 </w:t>
            </w:r>
            <w:proofErr w:type="gramStart"/>
            <w:r w:rsidRPr="00F32542">
              <w:rPr>
                <w:rFonts w:ascii="Arial" w:eastAsia="Calibri" w:hAnsi="Arial" w:cs="Arial"/>
                <w:sz w:val="20"/>
                <w:szCs w:val="20"/>
              </w:rPr>
              <w:t>A</w:t>
            </w:r>
            <w:proofErr w:type="gramEnd"/>
          </w:p>
        </w:tc>
        <w:tc>
          <w:tcPr>
            <w:tcW w:w="1776" w:type="dxa"/>
            <w:vMerge w:val="restart"/>
            <w:shd w:val="clear" w:color="auto" w:fill="D0CECE"/>
            <w:vAlign w:val="center"/>
          </w:tcPr>
          <w:p w14:paraId="21EB9284" w14:textId="77777777" w:rsidR="00520D2E" w:rsidRPr="00F32542" w:rsidRDefault="00520D2E" w:rsidP="00B65D24">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Bloque 1</w:t>
            </w:r>
          </w:p>
        </w:tc>
      </w:tr>
      <w:tr w:rsidR="00520D2E" w:rsidRPr="00F32542" w14:paraId="7ABEB845" w14:textId="77777777" w:rsidTr="00B65D24">
        <w:trPr>
          <w:trHeight w:val="533"/>
        </w:trPr>
        <w:tc>
          <w:tcPr>
            <w:tcW w:w="533" w:type="dxa"/>
            <w:shd w:val="clear" w:color="auto" w:fill="D0CECE"/>
            <w:vAlign w:val="center"/>
          </w:tcPr>
          <w:p w14:paraId="482CE21C"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2</w:t>
            </w:r>
          </w:p>
        </w:tc>
        <w:tc>
          <w:tcPr>
            <w:tcW w:w="2605" w:type="dxa"/>
            <w:shd w:val="clear" w:color="auto" w:fill="D0CECE"/>
            <w:vAlign w:val="center"/>
          </w:tcPr>
          <w:p w14:paraId="7CEB1B11" w14:textId="77777777" w:rsidR="00520D2E" w:rsidRPr="00F32542" w:rsidRDefault="00520D2E" w:rsidP="00B65D24">
            <w:pPr>
              <w:spacing w:after="0" w:line="240" w:lineRule="auto"/>
              <w:jc w:val="center"/>
              <w:rPr>
                <w:rFonts w:ascii="Arial" w:eastAsia="Calibri" w:hAnsi="Arial" w:cs="Arial"/>
                <w:sz w:val="20"/>
                <w:szCs w:val="20"/>
              </w:rPr>
            </w:pPr>
            <w:proofErr w:type="spellStart"/>
            <w:r w:rsidRPr="00F32542">
              <w:rPr>
                <w:rFonts w:ascii="Arial" w:eastAsia="Calibri" w:hAnsi="Arial" w:cs="Arial"/>
                <w:sz w:val="20"/>
                <w:szCs w:val="20"/>
              </w:rPr>
              <w:t>Yuriri</w:t>
            </w:r>
            <w:proofErr w:type="spellEnd"/>
            <w:r w:rsidRPr="00F32542">
              <w:rPr>
                <w:rFonts w:ascii="Arial" w:eastAsia="Calibri" w:hAnsi="Arial" w:cs="Arial"/>
                <w:sz w:val="20"/>
                <w:szCs w:val="20"/>
              </w:rPr>
              <w:t xml:space="preserve"> Ayala Zúñiga </w:t>
            </w:r>
          </w:p>
        </w:tc>
        <w:tc>
          <w:tcPr>
            <w:tcW w:w="748" w:type="dxa"/>
            <w:shd w:val="clear" w:color="auto" w:fill="D0CECE"/>
            <w:vAlign w:val="center"/>
          </w:tcPr>
          <w:p w14:paraId="627A65A4"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307" w:type="dxa"/>
            <w:shd w:val="clear" w:color="auto" w:fill="D0CECE"/>
            <w:vAlign w:val="center"/>
          </w:tcPr>
          <w:p w14:paraId="0C9A3832"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1 B</w:t>
            </w:r>
          </w:p>
        </w:tc>
        <w:tc>
          <w:tcPr>
            <w:tcW w:w="1776" w:type="dxa"/>
            <w:vMerge/>
            <w:shd w:val="clear" w:color="auto" w:fill="D0CECE"/>
            <w:vAlign w:val="center"/>
          </w:tcPr>
          <w:p w14:paraId="136A940F" w14:textId="77777777" w:rsidR="00520D2E" w:rsidRPr="00F32542" w:rsidRDefault="00520D2E" w:rsidP="00B65D24">
            <w:pPr>
              <w:spacing w:after="0" w:line="240" w:lineRule="auto"/>
              <w:jc w:val="center"/>
              <w:rPr>
                <w:rFonts w:ascii="Arial" w:eastAsia="Calibri" w:hAnsi="Arial" w:cs="Arial"/>
                <w:b/>
                <w:bCs/>
                <w:sz w:val="20"/>
                <w:szCs w:val="20"/>
              </w:rPr>
            </w:pPr>
          </w:p>
        </w:tc>
      </w:tr>
      <w:tr w:rsidR="00520D2E" w:rsidRPr="00F32542" w14:paraId="681AF49A" w14:textId="77777777" w:rsidTr="00B65D24">
        <w:trPr>
          <w:trHeight w:val="533"/>
        </w:trPr>
        <w:tc>
          <w:tcPr>
            <w:tcW w:w="533" w:type="dxa"/>
            <w:vAlign w:val="center"/>
          </w:tcPr>
          <w:p w14:paraId="01B03172"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lastRenderedPageBreak/>
              <w:t>3</w:t>
            </w:r>
          </w:p>
        </w:tc>
        <w:tc>
          <w:tcPr>
            <w:tcW w:w="2605" w:type="dxa"/>
            <w:vAlign w:val="center"/>
          </w:tcPr>
          <w:p w14:paraId="5F6597FC"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Leticia Estrada Hernández </w:t>
            </w:r>
          </w:p>
        </w:tc>
        <w:tc>
          <w:tcPr>
            <w:tcW w:w="748" w:type="dxa"/>
            <w:vAlign w:val="center"/>
          </w:tcPr>
          <w:p w14:paraId="578499E1"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307" w:type="dxa"/>
            <w:vAlign w:val="center"/>
          </w:tcPr>
          <w:p w14:paraId="15103CD5"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2 </w:t>
            </w:r>
            <w:proofErr w:type="gramStart"/>
            <w:r w:rsidRPr="00F32542">
              <w:rPr>
                <w:rFonts w:ascii="Arial" w:eastAsia="Calibri" w:hAnsi="Arial" w:cs="Arial"/>
                <w:sz w:val="20"/>
                <w:szCs w:val="20"/>
              </w:rPr>
              <w:t>A</w:t>
            </w:r>
            <w:proofErr w:type="gramEnd"/>
          </w:p>
        </w:tc>
        <w:tc>
          <w:tcPr>
            <w:tcW w:w="1776" w:type="dxa"/>
            <w:vMerge w:val="restart"/>
            <w:vAlign w:val="center"/>
          </w:tcPr>
          <w:p w14:paraId="2AFA8707" w14:textId="77777777" w:rsidR="00520D2E" w:rsidRPr="00F32542" w:rsidRDefault="00520D2E" w:rsidP="00B65D24">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Bloque 2</w:t>
            </w:r>
          </w:p>
        </w:tc>
      </w:tr>
      <w:tr w:rsidR="00520D2E" w:rsidRPr="00F32542" w14:paraId="5540EB59" w14:textId="77777777" w:rsidTr="00B65D24">
        <w:trPr>
          <w:trHeight w:val="533"/>
        </w:trPr>
        <w:tc>
          <w:tcPr>
            <w:tcW w:w="533" w:type="dxa"/>
            <w:tcBorders>
              <w:bottom w:val="single" w:sz="4" w:space="0" w:color="auto"/>
            </w:tcBorders>
            <w:vAlign w:val="center"/>
          </w:tcPr>
          <w:p w14:paraId="6D26A8B6"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4</w:t>
            </w:r>
          </w:p>
        </w:tc>
        <w:tc>
          <w:tcPr>
            <w:tcW w:w="2605" w:type="dxa"/>
            <w:tcBorders>
              <w:bottom w:val="single" w:sz="4" w:space="0" w:color="auto"/>
            </w:tcBorders>
            <w:vAlign w:val="center"/>
          </w:tcPr>
          <w:p w14:paraId="7F23361D"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Marco Antonio Temístocles Villanueva Ramos </w:t>
            </w:r>
          </w:p>
        </w:tc>
        <w:tc>
          <w:tcPr>
            <w:tcW w:w="748" w:type="dxa"/>
            <w:tcBorders>
              <w:bottom w:val="single" w:sz="4" w:space="0" w:color="auto"/>
            </w:tcBorders>
            <w:vAlign w:val="center"/>
          </w:tcPr>
          <w:p w14:paraId="04DFFB3D"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307" w:type="dxa"/>
            <w:tcBorders>
              <w:bottom w:val="single" w:sz="4" w:space="0" w:color="auto"/>
            </w:tcBorders>
            <w:vAlign w:val="center"/>
          </w:tcPr>
          <w:p w14:paraId="1FB5FAA6"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2 B</w:t>
            </w:r>
          </w:p>
        </w:tc>
        <w:tc>
          <w:tcPr>
            <w:tcW w:w="1776" w:type="dxa"/>
            <w:vMerge/>
            <w:tcBorders>
              <w:bottom w:val="single" w:sz="4" w:space="0" w:color="auto"/>
            </w:tcBorders>
            <w:vAlign w:val="center"/>
          </w:tcPr>
          <w:p w14:paraId="235D8195" w14:textId="77777777" w:rsidR="00520D2E" w:rsidRPr="00F32542" w:rsidRDefault="00520D2E" w:rsidP="00B65D24">
            <w:pPr>
              <w:spacing w:after="0" w:line="240" w:lineRule="auto"/>
              <w:jc w:val="center"/>
              <w:rPr>
                <w:rFonts w:ascii="Arial" w:eastAsia="Calibri" w:hAnsi="Arial" w:cs="Arial"/>
                <w:b/>
                <w:bCs/>
                <w:sz w:val="20"/>
                <w:szCs w:val="20"/>
              </w:rPr>
            </w:pPr>
          </w:p>
        </w:tc>
      </w:tr>
      <w:tr w:rsidR="00520D2E" w:rsidRPr="00F32542" w14:paraId="46B9D949" w14:textId="77777777" w:rsidTr="00B65D24">
        <w:trPr>
          <w:trHeight w:val="533"/>
        </w:trPr>
        <w:tc>
          <w:tcPr>
            <w:tcW w:w="533" w:type="dxa"/>
            <w:shd w:val="clear" w:color="auto" w:fill="D0CECE"/>
            <w:vAlign w:val="center"/>
          </w:tcPr>
          <w:p w14:paraId="36919458"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5</w:t>
            </w:r>
          </w:p>
        </w:tc>
        <w:tc>
          <w:tcPr>
            <w:tcW w:w="2605" w:type="dxa"/>
            <w:shd w:val="clear" w:color="auto" w:fill="D0CECE"/>
            <w:vAlign w:val="center"/>
          </w:tcPr>
          <w:p w14:paraId="09F4B3BD"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Héctor Díaz Polanco</w:t>
            </w:r>
          </w:p>
        </w:tc>
        <w:tc>
          <w:tcPr>
            <w:tcW w:w="748" w:type="dxa"/>
            <w:shd w:val="clear" w:color="auto" w:fill="D0CECE"/>
            <w:vAlign w:val="center"/>
          </w:tcPr>
          <w:p w14:paraId="0B9FFCE1"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307" w:type="dxa"/>
            <w:shd w:val="clear" w:color="auto" w:fill="D0CECE"/>
            <w:vAlign w:val="center"/>
          </w:tcPr>
          <w:p w14:paraId="13B50574"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3 </w:t>
            </w:r>
            <w:proofErr w:type="gramStart"/>
            <w:r w:rsidRPr="00F32542">
              <w:rPr>
                <w:rFonts w:ascii="Arial" w:eastAsia="Calibri" w:hAnsi="Arial" w:cs="Arial"/>
                <w:sz w:val="20"/>
                <w:szCs w:val="20"/>
              </w:rPr>
              <w:t>A</w:t>
            </w:r>
            <w:proofErr w:type="gramEnd"/>
          </w:p>
        </w:tc>
        <w:tc>
          <w:tcPr>
            <w:tcW w:w="1776" w:type="dxa"/>
            <w:vMerge w:val="restart"/>
            <w:shd w:val="clear" w:color="auto" w:fill="D0CECE"/>
            <w:vAlign w:val="center"/>
          </w:tcPr>
          <w:p w14:paraId="229EF215" w14:textId="77777777" w:rsidR="00520D2E" w:rsidRPr="00F32542" w:rsidRDefault="00520D2E" w:rsidP="00B65D24">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Bloque 3</w:t>
            </w:r>
          </w:p>
        </w:tc>
      </w:tr>
      <w:tr w:rsidR="00520D2E" w:rsidRPr="00F32542" w14:paraId="3382339A" w14:textId="77777777" w:rsidTr="00B65D24">
        <w:trPr>
          <w:trHeight w:val="533"/>
        </w:trPr>
        <w:tc>
          <w:tcPr>
            <w:tcW w:w="533" w:type="dxa"/>
            <w:shd w:val="clear" w:color="auto" w:fill="D0CECE"/>
            <w:vAlign w:val="center"/>
          </w:tcPr>
          <w:p w14:paraId="62D18E33"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6</w:t>
            </w:r>
          </w:p>
        </w:tc>
        <w:tc>
          <w:tcPr>
            <w:tcW w:w="2605" w:type="dxa"/>
            <w:shd w:val="clear" w:color="auto" w:fill="D0CECE"/>
            <w:vAlign w:val="center"/>
          </w:tcPr>
          <w:p w14:paraId="1C491BB6"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Valentina Valia Batres Guadarrama</w:t>
            </w:r>
          </w:p>
        </w:tc>
        <w:tc>
          <w:tcPr>
            <w:tcW w:w="748" w:type="dxa"/>
            <w:shd w:val="clear" w:color="auto" w:fill="D0CECE"/>
            <w:vAlign w:val="center"/>
          </w:tcPr>
          <w:p w14:paraId="3BB8DF26"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307" w:type="dxa"/>
            <w:shd w:val="clear" w:color="auto" w:fill="D0CECE"/>
            <w:vAlign w:val="center"/>
          </w:tcPr>
          <w:p w14:paraId="3E5579F7"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3 B</w:t>
            </w:r>
          </w:p>
        </w:tc>
        <w:tc>
          <w:tcPr>
            <w:tcW w:w="1776" w:type="dxa"/>
            <w:vMerge/>
            <w:shd w:val="clear" w:color="auto" w:fill="D0CECE"/>
            <w:vAlign w:val="center"/>
          </w:tcPr>
          <w:p w14:paraId="7034C54E" w14:textId="77777777" w:rsidR="00520D2E" w:rsidRPr="00F32542" w:rsidRDefault="00520D2E" w:rsidP="00B65D24">
            <w:pPr>
              <w:spacing w:after="0" w:line="240" w:lineRule="auto"/>
              <w:jc w:val="center"/>
              <w:rPr>
                <w:rFonts w:ascii="Arial" w:eastAsia="Calibri" w:hAnsi="Arial" w:cs="Arial"/>
                <w:b/>
                <w:bCs/>
                <w:sz w:val="20"/>
                <w:szCs w:val="20"/>
              </w:rPr>
            </w:pPr>
          </w:p>
        </w:tc>
      </w:tr>
      <w:tr w:rsidR="00520D2E" w:rsidRPr="00F32542" w14:paraId="68D034E6" w14:textId="77777777" w:rsidTr="00B65D24">
        <w:trPr>
          <w:trHeight w:val="533"/>
        </w:trPr>
        <w:tc>
          <w:tcPr>
            <w:tcW w:w="533" w:type="dxa"/>
            <w:vAlign w:val="center"/>
          </w:tcPr>
          <w:p w14:paraId="250274F0"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7</w:t>
            </w:r>
          </w:p>
        </w:tc>
        <w:tc>
          <w:tcPr>
            <w:tcW w:w="2605" w:type="dxa"/>
            <w:vAlign w:val="center"/>
          </w:tcPr>
          <w:p w14:paraId="6A4CD46E"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Ana Francis López </w:t>
            </w:r>
            <w:proofErr w:type="spellStart"/>
            <w:r w:rsidRPr="00F32542">
              <w:rPr>
                <w:rFonts w:ascii="Arial" w:eastAsia="Calibri" w:hAnsi="Arial" w:cs="Arial"/>
                <w:sz w:val="20"/>
                <w:szCs w:val="20"/>
              </w:rPr>
              <w:t>Bayghen</w:t>
            </w:r>
            <w:proofErr w:type="spellEnd"/>
            <w:r w:rsidRPr="00F32542">
              <w:rPr>
                <w:rFonts w:ascii="Arial" w:eastAsia="Calibri" w:hAnsi="Arial" w:cs="Arial"/>
                <w:sz w:val="20"/>
                <w:szCs w:val="20"/>
              </w:rPr>
              <w:t xml:space="preserve"> Patiño</w:t>
            </w:r>
          </w:p>
        </w:tc>
        <w:tc>
          <w:tcPr>
            <w:tcW w:w="748" w:type="dxa"/>
            <w:vAlign w:val="center"/>
          </w:tcPr>
          <w:p w14:paraId="207E7779"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307" w:type="dxa"/>
            <w:vAlign w:val="center"/>
          </w:tcPr>
          <w:p w14:paraId="2EBA2BEF"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4 </w:t>
            </w:r>
            <w:proofErr w:type="gramStart"/>
            <w:r w:rsidRPr="00F32542">
              <w:rPr>
                <w:rFonts w:ascii="Arial" w:eastAsia="Calibri" w:hAnsi="Arial" w:cs="Arial"/>
                <w:sz w:val="20"/>
                <w:szCs w:val="20"/>
              </w:rPr>
              <w:t>A</w:t>
            </w:r>
            <w:proofErr w:type="gramEnd"/>
            <w:r w:rsidRPr="00F32542">
              <w:rPr>
                <w:rFonts w:ascii="Arial" w:eastAsia="Calibri" w:hAnsi="Arial" w:cs="Arial"/>
                <w:sz w:val="20"/>
                <w:szCs w:val="20"/>
              </w:rPr>
              <w:t xml:space="preserve"> </w:t>
            </w:r>
          </w:p>
        </w:tc>
        <w:tc>
          <w:tcPr>
            <w:tcW w:w="1776" w:type="dxa"/>
            <w:vMerge w:val="restart"/>
            <w:vAlign w:val="center"/>
          </w:tcPr>
          <w:p w14:paraId="37343489" w14:textId="77777777" w:rsidR="00520D2E" w:rsidRPr="00F32542" w:rsidRDefault="00520D2E" w:rsidP="00B65D24">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Bloque 4</w:t>
            </w:r>
          </w:p>
        </w:tc>
      </w:tr>
      <w:tr w:rsidR="00520D2E" w:rsidRPr="00F32542" w14:paraId="63B13209" w14:textId="77777777" w:rsidTr="00B65D24">
        <w:trPr>
          <w:trHeight w:val="533"/>
        </w:trPr>
        <w:tc>
          <w:tcPr>
            <w:tcW w:w="533" w:type="dxa"/>
            <w:tcBorders>
              <w:bottom w:val="single" w:sz="4" w:space="0" w:color="auto"/>
            </w:tcBorders>
            <w:vAlign w:val="center"/>
          </w:tcPr>
          <w:p w14:paraId="168A4030"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8</w:t>
            </w:r>
          </w:p>
        </w:tc>
        <w:tc>
          <w:tcPr>
            <w:tcW w:w="2605" w:type="dxa"/>
            <w:tcBorders>
              <w:bottom w:val="single" w:sz="4" w:space="0" w:color="auto"/>
            </w:tcBorders>
            <w:vAlign w:val="center"/>
          </w:tcPr>
          <w:p w14:paraId="50CD22BD"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José Fernando Mercado </w:t>
            </w:r>
            <w:proofErr w:type="spellStart"/>
            <w:r w:rsidRPr="00F32542">
              <w:rPr>
                <w:rFonts w:ascii="Arial" w:eastAsia="Calibri" w:hAnsi="Arial" w:cs="Arial"/>
                <w:sz w:val="20"/>
                <w:szCs w:val="20"/>
              </w:rPr>
              <w:t>Guaida</w:t>
            </w:r>
            <w:proofErr w:type="spellEnd"/>
          </w:p>
        </w:tc>
        <w:tc>
          <w:tcPr>
            <w:tcW w:w="748" w:type="dxa"/>
            <w:tcBorders>
              <w:bottom w:val="single" w:sz="4" w:space="0" w:color="auto"/>
            </w:tcBorders>
            <w:vAlign w:val="center"/>
          </w:tcPr>
          <w:p w14:paraId="68BA9A6E"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307" w:type="dxa"/>
            <w:tcBorders>
              <w:bottom w:val="single" w:sz="4" w:space="0" w:color="auto"/>
            </w:tcBorders>
            <w:vAlign w:val="center"/>
          </w:tcPr>
          <w:p w14:paraId="59C34BC5"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4 B</w:t>
            </w:r>
          </w:p>
        </w:tc>
        <w:tc>
          <w:tcPr>
            <w:tcW w:w="1776" w:type="dxa"/>
            <w:vMerge/>
            <w:tcBorders>
              <w:bottom w:val="single" w:sz="4" w:space="0" w:color="auto"/>
            </w:tcBorders>
            <w:vAlign w:val="center"/>
          </w:tcPr>
          <w:p w14:paraId="343EAE4B" w14:textId="77777777" w:rsidR="00520D2E" w:rsidRPr="00F32542" w:rsidRDefault="00520D2E" w:rsidP="00B65D24">
            <w:pPr>
              <w:spacing w:after="0" w:line="240" w:lineRule="auto"/>
              <w:jc w:val="center"/>
              <w:rPr>
                <w:rFonts w:ascii="Arial" w:eastAsia="Calibri" w:hAnsi="Arial" w:cs="Arial"/>
                <w:b/>
                <w:bCs/>
                <w:sz w:val="20"/>
                <w:szCs w:val="20"/>
              </w:rPr>
            </w:pPr>
          </w:p>
        </w:tc>
      </w:tr>
      <w:tr w:rsidR="00520D2E" w:rsidRPr="00F32542" w14:paraId="6936E186" w14:textId="77777777" w:rsidTr="00B65D24">
        <w:trPr>
          <w:trHeight w:val="533"/>
        </w:trPr>
        <w:tc>
          <w:tcPr>
            <w:tcW w:w="533" w:type="dxa"/>
            <w:shd w:val="clear" w:color="auto" w:fill="D0CECE"/>
            <w:vAlign w:val="center"/>
          </w:tcPr>
          <w:p w14:paraId="1FD9655A"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9</w:t>
            </w:r>
          </w:p>
        </w:tc>
        <w:tc>
          <w:tcPr>
            <w:tcW w:w="2605" w:type="dxa"/>
            <w:shd w:val="clear" w:color="auto" w:fill="D0CECE"/>
            <w:vAlign w:val="center"/>
          </w:tcPr>
          <w:p w14:paraId="7211FE9D"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José Martín Padilla Sánchez</w:t>
            </w:r>
          </w:p>
        </w:tc>
        <w:tc>
          <w:tcPr>
            <w:tcW w:w="748" w:type="dxa"/>
            <w:shd w:val="clear" w:color="auto" w:fill="D0CECE"/>
            <w:vAlign w:val="center"/>
          </w:tcPr>
          <w:p w14:paraId="3761D3D5"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307" w:type="dxa"/>
            <w:shd w:val="clear" w:color="auto" w:fill="D0CECE"/>
            <w:vAlign w:val="center"/>
          </w:tcPr>
          <w:p w14:paraId="3F086387"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5 </w:t>
            </w:r>
            <w:proofErr w:type="gramStart"/>
            <w:r w:rsidRPr="00F32542">
              <w:rPr>
                <w:rFonts w:ascii="Arial" w:eastAsia="Calibri" w:hAnsi="Arial" w:cs="Arial"/>
                <w:sz w:val="20"/>
                <w:szCs w:val="20"/>
              </w:rPr>
              <w:t>A</w:t>
            </w:r>
            <w:proofErr w:type="gramEnd"/>
          </w:p>
        </w:tc>
        <w:tc>
          <w:tcPr>
            <w:tcW w:w="1776" w:type="dxa"/>
            <w:vMerge w:val="restart"/>
            <w:shd w:val="clear" w:color="auto" w:fill="D0CECE"/>
            <w:vAlign w:val="center"/>
          </w:tcPr>
          <w:p w14:paraId="3FDF0105" w14:textId="77777777" w:rsidR="00520D2E" w:rsidRPr="00F32542" w:rsidRDefault="00520D2E" w:rsidP="00B65D24">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Bloque 5</w:t>
            </w:r>
          </w:p>
        </w:tc>
      </w:tr>
      <w:tr w:rsidR="00520D2E" w:rsidRPr="00F32542" w14:paraId="0E52434D" w14:textId="77777777" w:rsidTr="00B65D24">
        <w:trPr>
          <w:trHeight w:val="533"/>
        </w:trPr>
        <w:tc>
          <w:tcPr>
            <w:tcW w:w="533" w:type="dxa"/>
            <w:shd w:val="clear" w:color="auto" w:fill="D0CECE"/>
            <w:vAlign w:val="center"/>
          </w:tcPr>
          <w:p w14:paraId="7976C12B"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10</w:t>
            </w:r>
          </w:p>
        </w:tc>
        <w:tc>
          <w:tcPr>
            <w:tcW w:w="2605" w:type="dxa"/>
            <w:shd w:val="clear" w:color="auto" w:fill="D0CECE"/>
            <w:vAlign w:val="center"/>
          </w:tcPr>
          <w:p w14:paraId="5BDD999D"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Xóchitl Bravo Espinosa</w:t>
            </w:r>
          </w:p>
        </w:tc>
        <w:tc>
          <w:tcPr>
            <w:tcW w:w="748" w:type="dxa"/>
            <w:shd w:val="clear" w:color="auto" w:fill="D0CECE"/>
            <w:vAlign w:val="center"/>
          </w:tcPr>
          <w:p w14:paraId="5F5AF3C6"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307" w:type="dxa"/>
            <w:shd w:val="clear" w:color="auto" w:fill="D0CECE"/>
            <w:vAlign w:val="center"/>
          </w:tcPr>
          <w:p w14:paraId="3F46E7AB"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5 B</w:t>
            </w:r>
          </w:p>
        </w:tc>
        <w:tc>
          <w:tcPr>
            <w:tcW w:w="1776" w:type="dxa"/>
            <w:vMerge/>
            <w:shd w:val="clear" w:color="auto" w:fill="D0CECE"/>
            <w:vAlign w:val="center"/>
          </w:tcPr>
          <w:p w14:paraId="1E3264D0" w14:textId="77777777" w:rsidR="00520D2E" w:rsidRPr="00F32542" w:rsidRDefault="00520D2E" w:rsidP="00B65D24">
            <w:pPr>
              <w:spacing w:after="0" w:line="240" w:lineRule="auto"/>
              <w:jc w:val="center"/>
              <w:rPr>
                <w:rFonts w:ascii="Arial" w:eastAsia="Calibri" w:hAnsi="Arial" w:cs="Arial"/>
                <w:b/>
                <w:bCs/>
                <w:sz w:val="20"/>
                <w:szCs w:val="20"/>
              </w:rPr>
            </w:pPr>
          </w:p>
        </w:tc>
      </w:tr>
      <w:tr w:rsidR="00520D2E" w:rsidRPr="00F32542" w14:paraId="2C1B05BE" w14:textId="77777777" w:rsidTr="00B65D24">
        <w:trPr>
          <w:trHeight w:val="533"/>
        </w:trPr>
        <w:tc>
          <w:tcPr>
            <w:tcW w:w="533" w:type="dxa"/>
            <w:vAlign w:val="center"/>
          </w:tcPr>
          <w:p w14:paraId="04EC9C3F"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11</w:t>
            </w:r>
          </w:p>
        </w:tc>
        <w:tc>
          <w:tcPr>
            <w:tcW w:w="2605" w:type="dxa"/>
            <w:vAlign w:val="center"/>
          </w:tcPr>
          <w:p w14:paraId="0432C401"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Alejandra Méndez Vicuña</w:t>
            </w:r>
          </w:p>
        </w:tc>
        <w:tc>
          <w:tcPr>
            <w:tcW w:w="748" w:type="dxa"/>
            <w:vAlign w:val="center"/>
          </w:tcPr>
          <w:p w14:paraId="2A9606CC"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307" w:type="dxa"/>
            <w:vAlign w:val="center"/>
          </w:tcPr>
          <w:p w14:paraId="588F8EEF"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6 </w:t>
            </w:r>
            <w:proofErr w:type="gramStart"/>
            <w:r w:rsidRPr="00F32542">
              <w:rPr>
                <w:rFonts w:ascii="Arial" w:eastAsia="Calibri" w:hAnsi="Arial" w:cs="Arial"/>
                <w:sz w:val="20"/>
                <w:szCs w:val="20"/>
              </w:rPr>
              <w:t>A</w:t>
            </w:r>
            <w:proofErr w:type="gramEnd"/>
          </w:p>
        </w:tc>
        <w:tc>
          <w:tcPr>
            <w:tcW w:w="1776" w:type="dxa"/>
            <w:vMerge w:val="restart"/>
            <w:vAlign w:val="center"/>
          </w:tcPr>
          <w:p w14:paraId="166B43F7" w14:textId="77777777" w:rsidR="00520D2E" w:rsidRPr="00F32542" w:rsidRDefault="00520D2E" w:rsidP="00B65D24">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Bloque 6</w:t>
            </w:r>
          </w:p>
        </w:tc>
      </w:tr>
      <w:tr w:rsidR="00520D2E" w:rsidRPr="00F32542" w14:paraId="3F62AA0B" w14:textId="77777777" w:rsidTr="00B65D24">
        <w:trPr>
          <w:trHeight w:val="533"/>
        </w:trPr>
        <w:tc>
          <w:tcPr>
            <w:tcW w:w="533" w:type="dxa"/>
            <w:tcBorders>
              <w:bottom w:val="single" w:sz="4" w:space="0" w:color="auto"/>
            </w:tcBorders>
            <w:vAlign w:val="center"/>
          </w:tcPr>
          <w:p w14:paraId="23B8078B"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12</w:t>
            </w:r>
          </w:p>
        </w:tc>
        <w:tc>
          <w:tcPr>
            <w:tcW w:w="2605" w:type="dxa"/>
            <w:tcBorders>
              <w:bottom w:val="single" w:sz="4" w:space="0" w:color="auto"/>
            </w:tcBorders>
            <w:vAlign w:val="center"/>
          </w:tcPr>
          <w:p w14:paraId="660617D7"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Carlos Cervantes Godoy</w:t>
            </w:r>
          </w:p>
        </w:tc>
        <w:tc>
          <w:tcPr>
            <w:tcW w:w="748" w:type="dxa"/>
            <w:tcBorders>
              <w:bottom w:val="single" w:sz="4" w:space="0" w:color="auto"/>
            </w:tcBorders>
            <w:vAlign w:val="center"/>
          </w:tcPr>
          <w:p w14:paraId="12CD83BA"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307" w:type="dxa"/>
            <w:tcBorders>
              <w:bottom w:val="single" w:sz="4" w:space="0" w:color="auto"/>
            </w:tcBorders>
            <w:vAlign w:val="center"/>
          </w:tcPr>
          <w:p w14:paraId="71432A45"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6 B</w:t>
            </w:r>
          </w:p>
        </w:tc>
        <w:tc>
          <w:tcPr>
            <w:tcW w:w="1776" w:type="dxa"/>
            <w:vMerge/>
            <w:tcBorders>
              <w:bottom w:val="single" w:sz="4" w:space="0" w:color="auto"/>
            </w:tcBorders>
            <w:vAlign w:val="center"/>
          </w:tcPr>
          <w:p w14:paraId="38B97FA5" w14:textId="77777777" w:rsidR="00520D2E" w:rsidRPr="00F32542" w:rsidRDefault="00520D2E" w:rsidP="00B65D24">
            <w:pPr>
              <w:spacing w:after="0" w:line="240" w:lineRule="auto"/>
              <w:jc w:val="center"/>
              <w:rPr>
                <w:rFonts w:ascii="Arial" w:eastAsia="Calibri" w:hAnsi="Arial" w:cs="Arial"/>
                <w:b/>
                <w:bCs/>
                <w:sz w:val="20"/>
                <w:szCs w:val="20"/>
              </w:rPr>
            </w:pPr>
          </w:p>
        </w:tc>
      </w:tr>
      <w:tr w:rsidR="00520D2E" w:rsidRPr="00F32542" w14:paraId="2B19C785" w14:textId="77777777" w:rsidTr="00B65D24">
        <w:trPr>
          <w:trHeight w:val="533"/>
        </w:trPr>
        <w:tc>
          <w:tcPr>
            <w:tcW w:w="533" w:type="dxa"/>
            <w:shd w:val="clear" w:color="auto" w:fill="D0CECE"/>
            <w:vAlign w:val="center"/>
          </w:tcPr>
          <w:p w14:paraId="47223E50"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13</w:t>
            </w:r>
          </w:p>
        </w:tc>
        <w:tc>
          <w:tcPr>
            <w:tcW w:w="2605" w:type="dxa"/>
            <w:shd w:val="clear" w:color="auto" w:fill="D0CECE"/>
            <w:vAlign w:val="center"/>
          </w:tcPr>
          <w:p w14:paraId="07BD667F"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Christian Moctezuma González</w:t>
            </w:r>
          </w:p>
        </w:tc>
        <w:tc>
          <w:tcPr>
            <w:tcW w:w="748" w:type="dxa"/>
            <w:shd w:val="clear" w:color="auto" w:fill="D0CECE"/>
            <w:vAlign w:val="center"/>
          </w:tcPr>
          <w:p w14:paraId="0811CB0A"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307" w:type="dxa"/>
            <w:shd w:val="clear" w:color="auto" w:fill="D0CECE"/>
            <w:vAlign w:val="center"/>
          </w:tcPr>
          <w:p w14:paraId="2DA6FB40" w14:textId="77777777" w:rsidR="00520D2E" w:rsidRPr="00F32542" w:rsidRDefault="00520D2E" w:rsidP="00B65D24">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7 </w:t>
            </w:r>
            <w:proofErr w:type="gramStart"/>
            <w:r w:rsidRPr="00F32542">
              <w:rPr>
                <w:rFonts w:ascii="Arial" w:eastAsia="Calibri" w:hAnsi="Arial" w:cs="Arial"/>
                <w:sz w:val="20"/>
                <w:szCs w:val="20"/>
              </w:rPr>
              <w:t>A</w:t>
            </w:r>
            <w:proofErr w:type="gramEnd"/>
          </w:p>
        </w:tc>
        <w:tc>
          <w:tcPr>
            <w:tcW w:w="1776" w:type="dxa"/>
            <w:vMerge w:val="restart"/>
            <w:shd w:val="clear" w:color="auto" w:fill="D0CECE"/>
            <w:vAlign w:val="center"/>
          </w:tcPr>
          <w:p w14:paraId="7A019E10" w14:textId="77777777" w:rsidR="00520D2E" w:rsidRPr="00F32542" w:rsidRDefault="00520D2E" w:rsidP="00B65D24">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Bloque 7</w:t>
            </w:r>
          </w:p>
        </w:tc>
      </w:tr>
      <w:tr w:rsidR="00520D2E" w:rsidRPr="00F32542" w14:paraId="74B86E46" w14:textId="77777777" w:rsidTr="007511F6">
        <w:trPr>
          <w:trHeight w:val="427"/>
        </w:trPr>
        <w:tc>
          <w:tcPr>
            <w:tcW w:w="533" w:type="dxa"/>
            <w:shd w:val="clear" w:color="auto" w:fill="D0CECE"/>
            <w:vAlign w:val="center"/>
          </w:tcPr>
          <w:p w14:paraId="17080EF6" w14:textId="77777777" w:rsidR="00520D2E" w:rsidRPr="00F32542" w:rsidRDefault="00520D2E" w:rsidP="00B65D24">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14</w:t>
            </w:r>
          </w:p>
        </w:tc>
        <w:tc>
          <w:tcPr>
            <w:tcW w:w="2605" w:type="dxa"/>
            <w:shd w:val="clear" w:color="auto" w:fill="D0CECE"/>
            <w:vAlign w:val="center"/>
          </w:tcPr>
          <w:p w14:paraId="2B32BE72" w14:textId="77777777" w:rsidR="00520D2E" w:rsidRPr="00F32542" w:rsidRDefault="00520D2E" w:rsidP="00B65D24">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 xml:space="preserve">José Luis Rodríguez Díaz de León </w:t>
            </w:r>
          </w:p>
        </w:tc>
        <w:tc>
          <w:tcPr>
            <w:tcW w:w="748" w:type="dxa"/>
            <w:shd w:val="clear" w:color="auto" w:fill="D0CECE"/>
            <w:vAlign w:val="center"/>
          </w:tcPr>
          <w:p w14:paraId="54C0F567" w14:textId="77777777" w:rsidR="00520D2E" w:rsidRPr="00F32542" w:rsidRDefault="00520D2E" w:rsidP="00B65D24">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H</w:t>
            </w:r>
          </w:p>
        </w:tc>
        <w:tc>
          <w:tcPr>
            <w:tcW w:w="2307" w:type="dxa"/>
            <w:shd w:val="clear" w:color="auto" w:fill="D0CECE"/>
            <w:vAlign w:val="center"/>
          </w:tcPr>
          <w:p w14:paraId="09935008" w14:textId="77777777" w:rsidR="00520D2E" w:rsidRPr="00F32542" w:rsidRDefault="00520D2E" w:rsidP="00B65D24">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8 B</w:t>
            </w:r>
          </w:p>
        </w:tc>
        <w:tc>
          <w:tcPr>
            <w:tcW w:w="1776" w:type="dxa"/>
            <w:vMerge/>
            <w:shd w:val="clear" w:color="auto" w:fill="D0CECE"/>
            <w:vAlign w:val="center"/>
          </w:tcPr>
          <w:p w14:paraId="7371EDB0" w14:textId="77777777" w:rsidR="00520D2E" w:rsidRPr="00F32542" w:rsidRDefault="00520D2E" w:rsidP="00B65D24">
            <w:pPr>
              <w:spacing w:after="0" w:line="240" w:lineRule="auto"/>
              <w:jc w:val="center"/>
              <w:rPr>
                <w:rFonts w:ascii="Arial" w:eastAsia="Calibri" w:hAnsi="Arial" w:cs="Arial"/>
                <w:b/>
                <w:bCs/>
                <w:sz w:val="20"/>
                <w:szCs w:val="20"/>
              </w:rPr>
            </w:pPr>
          </w:p>
        </w:tc>
      </w:tr>
      <w:tr w:rsidR="007511F6" w:rsidRPr="00F32542" w14:paraId="74A4A38B" w14:textId="77777777" w:rsidTr="007511F6">
        <w:trPr>
          <w:trHeight w:val="383"/>
        </w:trPr>
        <w:tc>
          <w:tcPr>
            <w:tcW w:w="533" w:type="dxa"/>
            <w:vAlign w:val="center"/>
          </w:tcPr>
          <w:p w14:paraId="626B5EA6" w14:textId="77777777" w:rsidR="007511F6" w:rsidRPr="00F32542" w:rsidRDefault="007511F6" w:rsidP="007511F6">
            <w:pPr>
              <w:jc w:val="center"/>
              <w:rPr>
                <w:rFonts w:ascii="Arial" w:eastAsia="Calibri" w:hAnsi="Arial" w:cs="Arial"/>
                <w:b/>
                <w:bCs/>
                <w:sz w:val="20"/>
                <w:szCs w:val="20"/>
              </w:rPr>
            </w:pPr>
            <w:r w:rsidRPr="00F32542">
              <w:rPr>
                <w:rFonts w:ascii="Arial" w:eastAsia="Calibri" w:hAnsi="Arial" w:cs="Arial"/>
                <w:b/>
                <w:bCs/>
                <w:sz w:val="20"/>
                <w:szCs w:val="20"/>
              </w:rPr>
              <w:t>15</w:t>
            </w:r>
          </w:p>
        </w:tc>
        <w:tc>
          <w:tcPr>
            <w:tcW w:w="2605" w:type="dxa"/>
            <w:vAlign w:val="center"/>
          </w:tcPr>
          <w:p w14:paraId="4C1B03CF" w14:textId="77777777" w:rsidR="007511F6" w:rsidRPr="00F32542" w:rsidRDefault="007511F6" w:rsidP="007511F6">
            <w:pPr>
              <w:jc w:val="center"/>
              <w:rPr>
                <w:rFonts w:ascii="Arial" w:eastAsia="Calibri" w:hAnsi="Arial" w:cs="Arial"/>
                <w:sz w:val="20"/>
                <w:szCs w:val="20"/>
              </w:rPr>
            </w:pPr>
            <w:proofErr w:type="spellStart"/>
            <w:r w:rsidRPr="00F32542">
              <w:rPr>
                <w:rFonts w:ascii="Arial" w:eastAsia="Calibri" w:hAnsi="Arial" w:cs="Arial"/>
                <w:sz w:val="20"/>
                <w:szCs w:val="20"/>
              </w:rPr>
              <w:t>Maryel</w:t>
            </w:r>
            <w:proofErr w:type="spellEnd"/>
            <w:r w:rsidRPr="00F32542">
              <w:rPr>
                <w:rFonts w:ascii="Arial" w:eastAsia="Calibri" w:hAnsi="Arial" w:cs="Arial"/>
                <w:sz w:val="20"/>
                <w:szCs w:val="20"/>
              </w:rPr>
              <w:t xml:space="preserve"> Alejandra Díaz Cavazos</w:t>
            </w:r>
          </w:p>
        </w:tc>
        <w:tc>
          <w:tcPr>
            <w:tcW w:w="748" w:type="dxa"/>
            <w:vAlign w:val="center"/>
          </w:tcPr>
          <w:p w14:paraId="436DFF8E" w14:textId="77777777" w:rsidR="007511F6" w:rsidRPr="00F32542" w:rsidRDefault="007511F6" w:rsidP="007511F6">
            <w:pPr>
              <w:jc w:val="center"/>
              <w:rPr>
                <w:rFonts w:ascii="Arial" w:eastAsia="Calibri" w:hAnsi="Arial" w:cs="Arial"/>
                <w:sz w:val="20"/>
                <w:szCs w:val="20"/>
              </w:rPr>
            </w:pPr>
            <w:r w:rsidRPr="00F32542">
              <w:rPr>
                <w:rFonts w:ascii="Arial" w:eastAsia="Calibri" w:hAnsi="Arial" w:cs="Arial"/>
                <w:sz w:val="20"/>
                <w:szCs w:val="20"/>
              </w:rPr>
              <w:t>M</w:t>
            </w:r>
          </w:p>
        </w:tc>
        <w:tc>
          <w:tcPr>
            <w:tcW w:w="2307" w:type="dxa"/>
            <w:vAlign w:val="center"/>
          </w:tcPr>
          <w:p w14:paraId="6DF1BEE1" w14:textId="77777777" w:rsidR="007511F6" w:rsidRPr="00F32542" w:rsidRDefault="007511F6" w:rsidP="007511F6">
            <w:pPr>
              <w:jc w:val="center"/>
              <w:rPr>
                <w:rFonts w:ascii="Arial" w:eastAsia="Calibri" w:hAnsi="Arial" w:cs="Arial"/>
                <w:sz w:val="20"/>
                <w:szCs w:val="20"/>
              </w:rPr>
            </w:pPr>
            <w:r w:rsidRPr="00F32542">
              <w:rPr>
                <w:rFonts w:ascii="Arial" w:eastAsia="Calibri" w:hAnsi="Arial" w:cs="Arial"/>
                <w:sz w:val="20"/>
                <w:szCs w:val="20"/>
              </w:rPr>
              <w:t>8A</w:t>
            </w:r>
          </w:p>
        </w:tc>
        <w:tc>
          <w:tcPr>
            <w:tcW w:w="1776" w:type="dxa"/>
            <w:vMerge w:val="restart"/>
            <w:vAlign w:val="center"/>
          </w:tcPr>
          <w:p w14:paraId="6E34A4D6" w14:textId="77777777" w:rsidR="007511F6" w:rsidRPr="00F32542" w:rsidRDefault="007511F6" w:rsidP="007511F6">
            <w:pPr>
              <w:jc w:val="center"/>
              <w:rPr>
                <w:rFonts w:ascii="Arial" w:eastAsia="Calibri" w:hAnsi="Arial" w:cs="Arial"/>
                <w:b/>
                <w:bCs/>
                <w:sz w:val="20"/>
                <w:szCs w:val="20"/>
              </w:rPr>
            </w:pPr>
            <w:r w:rsidRPr="00F32542">
              <w:rPr>
                <w:rFonts w:ascii="Arial" w:eastAsia="Calibri" w:hAnsi="Arial" w:cs="Arial"/>
                <w:b/>
                <w:bCs/>
                <w:sz w:val="20"/>
                <w:szCs w:val="20"/>
              </w:rPr>
              <w:t>Bloque 8</w:t>
            </w:r>
          </w:p>
        </w:tc>
      </w:tr>
      <w:tr w:rsidR="007511F6" w:rsidRPr="00F32542" w14:paraId="5531426A" w14:textId="77777777" w:rsidTr="007511F6">
        <w:trPr>
          <w:trHeight w:val="427"/>
        </w:trPr>
        <w:tc>
          <w:tcPr>
            <w:tcW w:w="533" w:type="dxa"/>
            <w:vAlign w:val="center"/>
          </w:tcPr>
          <w:p w14:paraId="6B230ACC" w14:textId="77777777" w:rsidR="007511F6" w:rsidRPr="00F32542" w:rsidRDefault="007511F6" w:rsidP="007511F6">
            <w:pPr>
              <w:jc w:val="center"/>
              <w:rPr>
                <w:rFonts w:ascii="Arial" w:eastAsia="Calibri" w:hAnsi="Arial" w:cs="Arial"/>
                <w:b/>
                <w:bCs/>
                <w:sz w:val="20"/>
                <w:szCs w:val="20"/>
              </w:rPr>
            </w:pPr>
            <w:r w:rsidRPr="00F32542">
              <w:rPr>
                <w:rFonts w:ascii="Arial" w:eastAsia="Calibri" w:hAnsi="Arial" w:cs="Arial"/>
                <w:b/>
                <w:bCs/>
                <w:sz w:val="20"/>
                <w:szCs w:val="20"/>
              </w:rPr>
              <w:t>16</w:t>
            </w:r>
          </w:p>
        </w:tc>
        <w:tc>
          <w:tcPr>
            <w:tcW w:w="2605" w:type="dxa"/>
            <w:vAlign w:val="center"/>
          </w:tcPr>
          <w:p w14:paraId="3A622554" w14:textId="77777777" w:rsidR="007511F6" w:rsidRPr="00F32542" w:rsidRDefault="007511F6" w:rsidP="007511F6">
            <w:pPr>
              <w:jc w:val="center"/>
              <w:rPr>
                <w:rFonts w:ascii="Arial" w:eastAsia="Calibri" w:hAnsi="Arial" w:cs="Arial"/>
                <w:sz w:val="20"/>
                <w:szCs w:val="20"/>
              </w:rPr>
            </w:pPr>
            <w:r w:rsidRPr="00F32542">
              <w:rPr>
                <w:rFonts w:ascii="Arial" w:eastAsia="Calibri" w:hAnsi="Arial" w:cs="Arial"/>
                <w:sz w:val="20"/>
                <w:szCs w:val="20"/>
              </w:rPr>
              <w:t>Isabela Rosales Herrera</w:t>
            </w:r>
          </w:p>
        </w:tc>
        <w:tc>
          <w:tcPr>
            <w:tcW w:w="748" w:type="dxa"/>
            <w:vAlign w:val="center"/>
          </w:tcPr>
          <w:p w14:paraId="623ECCAC" w14:textId="77777777" w:rsidR="007511F6" w:rsidRPr="00F32542" w:rsidRDefault="007511F6" w:rsidP="007511F6">
            <w:pPr>
              <w:jc w:val="center"/>
              <w:rPr>
                <w:rFonts w:ascii="Arial" w:eastAsia="Calibri" w:hAnsi="Arial" w:cs="Arial"/>
                <w:sz w:val="20"/>
                <w:szCs w:val="20"/>
              </w:rPr>
            </w:pPr>
            <w:r w:rsidRPr="00F32542">
              <w:rPr>
                <w:rFonts w:ascii="Arial" w:eastAsia="Calibri" w:hAnsi="Arial" w:cs="Arial"/>
                <w:sz w:val="20"/>
                <w:szCs w:val="20"/>
              </w:rPr>
              <w:t>M</w:t>
            </w:r>
          </w:p>
        </w:tc>
        <w:tc>
          <w:tcPr>
            <w:tcW w:w="2307" w:type="dxa"/>
            <w:vAlign w:val="center"/>
          </w:tcPr>
          <w:p w14:paraId="1E3ED56D" w14:textId="77777777" w:rsidR="007511F6" w:rsidRPr="00F32542" w:rsidRDefault="007511F6" w:rsidP="007511F6">
            <w:pPr>
              <w:jc w:val="center"/>
              <w:rPr>
                <w:rFonts w:ascii="Arial" w:eastAsia="Calibri" w:hAnsi="Arial" w:cs="Arial"/>
                <w:sz w:val="20"/>
                <w:szCs w:val="20"/>
              </w:rPr>
            </w:pPr>
            <w:r w:rsidRPr="00F32542">
              <w:rPr>
                <w:rFonts w:ascii="Arial" w:eastAsia="Calibri" w:hAnsi="Arial" w:cs="Arial"/>
                <w:sz w:val="20"/>
                <w:szCs w:val="20"/>
              </w:rPr>
              <w:t>7B</w:t>
            </w:r>
          </w:p>
        </w:tc>
        <w:tc>
          <w:tcPr>
            <w:tcW w:w="1776" w:type="dxa"/>
            <w:vMerge/>
          </w:tcPr>
          <w:p w14:paraId="6B8E827F" w14:textId="77777777" w:rsidR="007511F6" w:rsidRPr="00F32542" w:rsidRDefault="007511F6" w:rsidP="00B65D24">
            <w:pPr>
              <w:jc w:val="center"/>
              <w:rPr>
                <w:rFonts w:ascii="Arial" w:eastAsia="Calibri" w:hAnsi="Arial" w:cs="Arial"/>
                <w:b/>
                <w:bCs/>
                <w:sz w:val="20"/>
                <w:szCs w:val="20"/>
              </w:rPr>
            </w:pPr>
          </w:p>
        </w:tc>
      </w:tr>
    </w:tbl>
    <w:p w14:paraId="5DCDB526" w14:textId="77777777" w:rsidR="00520D2E" w:rsidRPr="00F32542" w:rsidRDefault="00520D2E" w:rsidP="00520D2E">
      <w:pPr>
        <w:spacing w:after="0" w:line="360" w:lineRule="auto"/>
        <w:jc w:val="both"/>
        <w:rPr>
          <w:rFonts w:ascii="Arial" w:eastAsia="Calibri" w:hAnsi="Arial" w:cs="Arial"/>
          <w:sz w:val="28"/>
          <w:szCs w:val="28"/>
        </w:rPr>
      </w:pPr>
    </w:p>
    <w:p w14:paraId="37AB4813" w14:textId="77777777" w:rsidR="00520D2E" w:rsidRPr="00F32542" w:rsidRDefault="00520D2E" w:rsidP="00520D2E">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Como se observa, se respeta la disposición citada, puesto que la lista definitiva de MORENA se conforma por siete (7) bloques y cada uno de ellos se conforma por una fórmula de la lista A y otra de la lista B. </w:t>
      </w:r>
    </w:p>
    <w:p w14:paraId="40F8CF81" w14:textId="77777777" w:rsidR="00520D2E" w:rsidRPr="00F32542" w:rsidRDefault="00520D2E" w:rsidP="00520D2E">
      <w:pPr>
        <w:spacing w:after="0" w:line="360" w:lineRule="auto"/>
        <w:jc w:val="both"/>
        <w:rPr>
          <w:rFonts w:ascii="Arial" w:eastAsia="Calibri" w:hAnsi="Arial" w:cs="Arial"/>
          <w:sz w:val="28"/>
          <w:szCs w:val="28"/>
        </w:rPr>
      </w:pPr>
    </w:p>
    <w:p w14:paraId="243D5019" w14:textId="77777777" w:rsidR="00520D2E" w:rsidRPr="00F32542" w:rsidRDefault="00520D2E" w:rsidP="00520D2E">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También se respeta la citada disposición puesto que no existe la repetición de bloques del mismo género. </w:t>
      </w:r>
    </w:p>
    <w:p w14:paraId="5F368674" w14:textId="77777777" w:rsidR="00520D2E" w:rsidRPr="00F32542" w:rsidRDefault="00520D2E" w:rsidP="00520D2E">
      <w:pPr>
        <w:spacing w:after="0" w:line="360" w:lineRule="auto"/>
        <w:jc w:val="both"/>
        <w:rPr>
          <w:rFonts w:ascii="Arial" w:eastAsia="Calibri" w:hAnsi="Arial" w:cs="Arial"/>
          <w:sz w:val="28"/>
          <w:szCs w:val="28"/>
        </w:rPr>
      </w:pPr>
    </w:p>
    <w:p w14:paraId="49D0F2E5" w14:textId="77777777" w:rsidR="00520D2E" w:rsidRPr="00F32542" w:rsidRDefault="00520D2E" w:rsidP="00520D2E">
      <w:pPr>
        <w:spacing w:after="0" w:line="360" w:lineRule="auto"/>
        <w:jc w:val="both"/>
        <w:rPr>
          <w:rFonts w:ascii="Arial" w:eastAsia="Calibri" w:hAnsi="Arial" w:cs="Arial"/>
          <w:i/>
          <w:sz w:val="28"/>
          <w:szCs w:val="28"/>
        </w:rPr>
      </w:pPr>
      <w:r w:rsidRPr="00F32542">
        <w:rPr>
          <w:rFonts w:ascii="Arial" w:eastAsia="Calibri" w:hAnsi="Arial" w:cs="Arial"/>
          <w:sz w:val="28"/>
          <w:szCs w:val="28"/>
        </w:rPr>
        <w:t xml:space="preserve">Cabe señalar que las posiciones trece (13) y catorce (14), conforman un bloque de un mismo género, sin embargo, esto está permitido por el artículo 24, fracción V, del </w:t>
      </w:r>
      <w:r w:rsidRPr="00F32542">
        <w:rPr>
          <w:rFonts w:ascii="Arial" w:eastAsia="Calibri" w:hAnsi="Arial" w:cs="Arial"/>
          <w:i/>
          <w:sz w:val="28"/>
          <w:szCs w:val="28"/>
        </w:rPr>
        <w:t xml:space="preserve">Código local. </w:t>
      </w:r>
    </w:p>
    <w:p w14:paraId="70032477" w14:textId="77777777" w:rsidR="00520D2E" w:rsidRPr="00F32542" w:rsidRDefault="00520D2E" w:rsidP="00520D2E">
      <w:pPr>
        <w:spacing w:after="0" w:line="360" w:lineRule="auto"/>
        <w:jc w:val="both"/>
        <w:rPr>
          <w:rFonts w:ascii="Arial" w:eastAsia="Calibri" w:hAnsi="Arial" w:cs="Arial"/>
          <w:sz w:val="28"/>
          <w:szCs w:val="28"/>
        </w:rPr>
      </w:pPr>
    </w:p>
    <w:p w14:paraId="439ACAF0" w14:textId="77777777" w:rsidR="00520D2E" w:rsidRPr="00F32542" w:rsidRDefault="00520D2E" w:rsidP="00520D2E">
      <w:pPr>
        <w:spacing w:after="0" w:line="360" w:lineRule="auto"/>
        <w:jc w:val="both"/>
        <w:rPr>
          <w:rFonts w:ascii="Arial" w:eastAsia="Calibri" w:hAnsi="Arial" w:cs="Arial"/>
          <w:sz w:val="28"/>
          <w:szCs w:val="28"/>
        </w:rPr>
      </w:pPr>
      <w:r w:rsidRPr="00F32542">
        <w:rPr>
          <w:rFonts w:ascii="Arial" w:eastAsia="Calibri" w:hAnsi="Arial" w:cs="Arial"/>
          <w:sz w:val="28"/>
          <w:szCs w:val="28"/>
        </w:rPr>
        <w:lastRenderedPageBreak/>
        <w:t>Ciertamente, las posiciones doce (12), trece (13) y catorce (14), están integradas por fórmulas de hombres.</w:t>
      </w:r>
    </w:p>
    <w:p w14:paraId="24682DA2" w14:textId="77777777" w:rsidR="00520D2E" w:rsidRPr="00F32542" w:rsidRDefault="00520D2E" w:rsidP="00520D2E">
      <w:pPr>
        <w:spacing w:after="0" w:line="360" w:lineRule="auto"/>
        <w:jc w:val="both"/>
        <w:rPr>
          <w:rFonts w:ascii="Arial" w:eastAsia="Calibri" w:hAnsi="Arial" w:cs="Arial"/>
          <w:sz w:val="28"/>
          <w:szCs w:val="28"/>
        </w:rPr>
      </w:pPr>
    </w:p>
    <w:p w14:paraId="4BAB6E87" w14:textId="77777777" w:rsidR="00520D2E" w:rsidRPr="00F32542" w:rsidRDefault="00520D2E" w:rsidP="00520D2E">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Sin embargo, esto no constituye un bloque de tres, puesto que la posición doce (12) corresponde al segmento seis (6), mientras que las posiciones trece (13) y catorce (14) corresponden al bloque siete (7).  Es decir, las posiciones doce (12), trece (13) y catorce (14), pertenecen a bloques distintos. </w:t>
      </w:r>
    </w:p>
    <w:p w14:paraId="0ABC003F" w14:textId="77777777" w:rsidR="00520D2E" w:rsidRPr="00F32542" w:rsidRDefault="00520D2E" w:rsidP="00520D2E">
      <w:pPr>
        <w:spacing w:after="0" w:line="360" w:lineRule="auto"/>
        <w:jc w:val="both"/>
        <w:rPr>
          <w:rFonts w:ascii="Arial" w:eastAsia="Calibri" w:hAnsi="Arial" w:cs="Arial"/>
          <w:sz w:val="28"/>
          <w:szCs w:val="28"/>
        </w:rPr>
      </w:pPr>
    </w:p>
    <w:p w14:paraId="69622423" w14:textId="77777777" w:rsidR="00520D2E" w:rsidRPr="00F32542" w:rsidRDefault="00520D2E" w:rsidP="00520D2E">
      <w:pPr>
        <w:spacing w:after="0" w:line="360" w:lineRule="auto"/>
        <w:jc w:val="both"/>
        <w:rPr>
          <w:rFonts w:ascii="Arial" w:eastAsia="Calibri" w:hAnsi="Arial" w:cs="Arial"/>
          <w:sz w:val="28"/>
          <w:szCs w:val="28"/>
        </w:rPr>
      </w:pPr>
      <w:r w:rsidRPr="00F32542">
        <w:rPr>
          <w:rFonts w:ascii="Arial" w:eastAsia="Calibri" w:hAnsi="Arial" w:cs="Arial"/>
          <w:sz w:val="28"/>
          <w:szCs w:val="28"/>
        </w:rPr>
        <w:t>Además de que el bloque seis (6), en el que se encuentra la fórmula doce (12), se inicia con una fórmula de mujeres, como se advierte de la posición once (11).</w:t>
      </w:r>
    </w:p>
    <w:p w14:paraId="751135D8" w14:textId="77777777" w:rsidR="00520D2E" w:rsidRPr="00F32542" w:rsidRDefault="00520D2E" w:rsidP="00520D2E">
      <w:pPr>
        <w:spacing w:after="0" w:line="360" w:lineRule="auto"/>
        <w:jc w:val="both"/>
        <w:rPr>
          <w:rFonts w:ascii="Arial" w:eastAsia="Calibri" w:hAnsi="Arial" w:cs="Arial"/>
          <w:sz w:val="28"/>
          <w:szCs w:val="28"/>
        </w:rPr>
      </w:pPr>
    </w:p>
    <w:p w14:paraId="304B8539" w14:textId="77777777" w:rsidR="00520D2E" w:rsidRPr="00F32542" w:rsidRDefault="00520D2E" w:rsidP="00520D2E">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Por ende, debido a que el bloque seis (6) </w:t>
      </w:r>
      <w:r w:rsidR="000B0266" w:rsidRPr="00F32542">
        <w:rPr>
          <w:rFonts w:ascii="Arial" w:eastAsia="Calibri" w:hAnsi="Arial" w:cs="Arial"/>
          <w:sz w:val="28"/>
          <w:szCs w:val="28"/>
        </w:rPr>
        <w:t>i</w:t>
      </w:r>
      <w:r w:rsidRPr="00F32542">
        <w:rPr>
          <w:rFonts w:ascii="Arial" w:eastAsia="Calibri" w:hAnsi="Arial" w:cs="Arial"/>
          <w:sz w:val="28"/>
          <w:szCs w:val="28"/>
        </w:rPr>
        <w:t>nicia con una fórmula de mujeres (posición 11), no se vulnera la prohibición de que existan dos bloques del mismo género en cuanto a los bloques seis (6) y siete (7).</w:t>
      </w:r>
    </w:p>
    <w:p w14:paraId="5C42A8F5" w14:textId="77777777" w:rsidR="00520D2E" w:rsidRPr="00F32542" w:rsidRDefault="00520D2E" w:rsidP="002D1883">
      <w:pPr>
        <w:spacing w:after="0" w:line="360" w:lineRule="auto"/>
        <w:jc w:val="both"/>
        <w:rPr>
          <w:rFonts w:ascii="Arial" w:eastAsia="Calibri" w:hAnsi="Arial" w:cs="Arial"/>
          <w:sz w:val="28"/>
          <w:szCs w:val="28"/>
        </w:rPr>
      </w:pPr>
    </w:p>
    <w:p w14:paraId="0458A343"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Ahora bien, son </w:t>
      </w:r>
      <w:r w:rsidRPr="00F32542">
        <w:rPr>
          <w:rFonts w:ascii="Arial" w:eastAsia="Calibri" w:hAnsi="Arial" w:cs="Arial"/>
          <w:b/>
          <w:sz w:val="28"/>
          <w:szCs w:val="28"/>
        </w:rPr>
        <w:t>inoperantes</w:t>
      </w:r>
      <w:r w:rsidRPr="00F32542">
        <w:rPr>
          <w:rFonts w:ascii="Arial" w:eastAsia="Calibri" w:hAnsi="Arial" w:cs="Arial"/>
          <w:sz w:val="28"/>
          <w:szCs w:val="28"/>
        </w:rPr>
        <w:t xml:space="preserve"> los agravios en torno a que, en la lista definitiva de MORENA, desde las primeras posiciones, se debieron conformar bloques de dos personas del mismo género, para permitirle a MORENA, como uno de los partidos con mayor votación, incluir a más candidaturas masculinas en su lista definitiva.</w:t>
      </w:r>
    </w:p>
    <w:p w14:paraId="577BF62A" w14:textId="77777777" w:rsidR="002D1883" w:rsidRPr="00F32542" w:rsidRDefault="002D1883" w:rsidP="002D1883">
      <w:pPr>
        <w:spacing w:after="0" w:line="360" w:lineRule="auto"/>
        <w:jc w:val="both"/>
        <w:rPr>
          <w:rFonts w:ascii="Arial" w:eastAsia="Calibri" w:hAnsi="Arial" w:cs="Arial"/>
          <w:sz w:val="28"/>
          <w:szCs w:val="28"/>
        </w:rPr>
      </w:pPr>
    </w:p>
    <w:p w14:paraId="499F8545"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Igual calificación reciben los agravios referentes a que debió alterarse la prelación de la totalidad de la lista B y, por ende, de la lista definitiva del propio partido, a fin de privilegiar el principio democrático sobre los de paridad y autodeterminación.</w:t>
      </w:r>
    </w:p>
    <w:p w14:paraId="07C88402" w14:textId="77777777" w:rsidR="002D1883" w:rsidRPr="00F32542" w:rsidRDefault="002D1883" w:rsidP="002D1883">
      <w:pPr>
        <w:spacing w:after="0" w:line="360" w:lineRule="auto"/>
        <w:jc w:val="both"/>
        <w:rPr>
          <w:rFonts w:ascii="Arial" w:eastAsia="Calibri" w:hAnsi="Arial" w:cs="Arial"/>
          <w:sz w:val="28"/>
          <w:szCs w:val="28"/>
        </w:rPr>
      </w:pPr>
    </w:p>
    <w:p w14:paraId="327CEF55"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lastRenderedPageBreak/>
        <w:t>Empero, al alcanzarse la pretensión de las partes actoras, conforme a la solución expuesta en esta sentencia, no resulta necesario atender las anteriores interpretaciones de la normativa propuestas por MORENA.</w:t>
      </w:r>
    </w:p>
    <w:p w14:paraId="7DF668F7" w14:textId="77777777" w:rsidR="002D1883" w:rsidRPr="00F32542" w:rsidRDefault="002D1883" w:rsidP="002D1883">
      <w:pPr>
        <w:spacing w:after="0" w:line="360" w:lineRule="auto"/>
        <w:jc w:val="both"/>
        <w:rPr>
          <w:rFonts w:ascii="Arial" w:eastAsia="Calibri" w:hAnsi="Arial" w:cs="Arial"/>
          <w:sz w:val="28"/>
          <w:szCs w:val="28"/>
        </w:rPr>
      </w:pPr>
    </w:p>
    <w:p w14:paraId="7125CACE"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A su vez, es </w:t>
      </w:r>
      <w:r w:rsidRPr="00F32542">
        <w:rPr>
          <w:rFonts w:ascii="Arial" w:eastAsia="Calibri" w:hAnsi="Arial" w:cs="Arial"/>
          <w:b/>
          <w:sz w:val="28"/>
          <w:szCs w:val="28"/>
        </w:rPr>
        <w:t xml:space="preserve">inoperante </w:t>
      </w:r>
      <w:r w:rsidRPr="00F32542">
        <w:rPr>
          <w:rFonts w:ascii="Arial" w:eastAsia="Calibri" w:hAnsi="Arial" w:cs="Arial"/>
          <w:sz w:val="28"/>
          <w:szCs w:val="28"/>
        </w:rPr>
        <w:t xml:space="preserve">el agravio relativo a que el lugar trece (13) de la lista definitiva en comento, debió ubicarse una candidatura masculina con mayor porcentaje de votación, en lugar de una candidatura masculina proveniente de la lista A, para así tutelarse, en apariencia, los principios de alternancia, democrático y paridad. </w:t>
      </w:r>
    </w:p>
    <w:p w14:paraId="51E2436F" w14:textId="77777777" w:rsidR="002D1883" w:rsidRPr="00F32542" w:rsidRDefault="002D1883" w:rsidP="002D1883">
      <w:pPr>
        <w:spacing w:after="0" w:line="360" w:lineRule="auto"/>
        <w:jc w:val="both"/>
        <w:rPr>
          <w:rFonts w:ascii="Arial" w:eastAsia="Calibri" w:hAnsi="Arial" w:cs="Arial"/>
          <w:sz w:val="28"/>
          <w:szCs w:val="28"/>
        </w:rPr>
      </w:pPr>
    </w:p>
    <w:p w14:paraId="7041EA3D"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Lo anterior, aunado a que las partes actoras han alcanzado su pretensión, debido a que este Tribunal no advierte, ni dichas partes demuestran, cómo es que ese planteamiento potenciaría, de mejor manera a la conclusión asumida en esta sentencia, la coexistencia armónica de tales principios.</w:t>
      </w:r>
    </w:p>
    <w:p w14:paraId="2BC41C19" w14:textId="77777777" w:rsidR="002D1883" w:rsidRPr="00F32542" w:rsidRDefault="002D1883" w:rsidP="002D1883">
      <w:pPr>
        <w:spacing w:after="0" w:line="360" w:lineRule="auto"/>
        <w:jc w:val="both"/>
        <w:rPr>
          <w:rFonts w:ascii="Arial" w:eastAsia="Calibri" w:hAnsi="Arial" w:cs="Arial"/>
          <w:sz w:val="28"/>
          <w:szCs w:val="28"/>
        </w:rPr>
      </w:pPr>
    </w:p>
    <w:p w14:paraId="1D76C154"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Adicionalmente, debe considerarse que no procedería la propuesta de los actores porque si se sustituyera a la fórmula número 13 (proveniente de la lista A) por alguien de la lista B, se vulneraría sin justificación el principio de autodeterminación partidista.</w:t>
      </w:r>
    </w:p>
    <w:p w14:paraId="6FE3699C" w14:textId="77777777" w:rsidR="002D1883" w:rsidRPr="00F32542" w:rsidRDefault="002D1883" w:rsidP="002D1883">
      <w:pPr>
        <w:spacing w:after="0" w:line="360" w:lineRule="auto"/>
        <w:jc w:val="both"/>
        <w:rPr>
          <w:rFonts w:ascii="Arial" w:eastAsia="Calibri" w:hAnsi="Arial" w:cs="Arial"/>
          <w:sz w:val="28"/>
          <w:szCs w:val="28"/>
        </w:rPr>
      </w:pPr>
    </w:p>
    <w:p w14:paraId="02578B6C"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Lo anterior, debido a que el respectivo bloque quedaría integrado sin candidatura proveniente de la lista A, cuestión contraria al artículo 24 del Código local. </w:t>
      </w:r>
    </w:p>
    <w:p w14:paraId="738C6A8D" w14:textId="77777777" w:rsidR="002D1883" w:rsidRPr="00F32542" w:rsidRDefault="002D1883" w:rsidP="002D1883">
      <w:pPr>
        <w:spacing w:after="0" w:line="360" w:lineRule="auto"/>
        <w:jc w:val="both"/>
        <w:rPr>
          <w:rFonts w:ascii="Arial" w:eastAsia="Calibri" w:hAnsi="Arial" w:cs="Arial"/>
          <w:sz w:val="28"/>
          <w:szCs w:val="28"/>
        </w:rPr>
      </w:pPr>
    </w:p>
    <w:p w14:paraId="6CE08587"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Por último, es </w:t>
      </w:r>
      <w:r w:rsidRPr="00F32542">
        <w:rPr>
          <w:rFonts w:ascii="Arial" w:eastAsia="Calibri" w:hAnsi="Arial" w:cs="Arial"/>
          <w:b/>
          <w:sz w:val="28"/>
          <w:szCs w:val="28"/>
        </w:rPr>
        <w:t xml:space="preserve">inoperante </w:t>
      </w:r>
      <w:r w:rsidRPr="00F32542">
        <w:rPr>
          <w:rFonts w:ascii="Arial" w:eastAsia="Calibri" w:hAnsi="Arial" w:cs="Arial"/>
          <w:sz w:val="28"/>
          <w:szCs w:val="28"/>
        </w:rPr>
        <w:t xml:space="preserve">la solicitud de inaplicación del artículo 24, fracción IV, del </w:t>
      </w:r>
      <w:r w:rsidRPr="00F32542">
        <w:rPr>
          <w:rFonts w:ascii="Arial" w:eastAsia="Calibri" w:hAnsi="Arial" w:cs="Arial"/>
          <w:i/>
          <w:sz w:val="28"/>
          <w:szCs w:val="28"/>
        </w:rPr>
        <w:t xml:space="preserve">Código local, </w:t>
      </w:r>
      <w:r w:rsidRPr="00F32542">
        <w:rPr>
          <w:rFonts w:ascii="Arial" w:eastAsia="Calibri" w:hAnsi="Arial" w:cs="Arial"/>
          <w:sz w:val="28"/>
          <w:szCs w:val="28"/>
        </w:rPr>
        <w:t xml:space="preserve">aducida por las </w:t>
      </w:r>
      <w:r w:rsidRPr="00F32542">
        <w:rPr>
          <w:rFonts w:ascii="Arial" w:eastAsia="Calibri" w:hAnsi="Arial" w:cs="Arial"/>
          <w:i/>
          <w:iCs/>
          <w:sz w:val="28"/>
          <w:szCs w:val="28"/>
        </w:rPr>
        <w:t>partes actoras</w:t>
      </w:r>
      <w:r w:rsidRPr="00F32542">
        <w:rPr>
          <w:rFonts w:ascii="Arial" w:eastAsia="Calibri" w:hAnsi="Arial" w:cs="Arial"/>
          <w:sz w:val="28"/>
          <w:szCs w:val="28"/>
        </w:rPr>
        <w:t>.</w:t>
      </w:r>
    </w:p>
    <w:p w14:paraId="7C6F88F2" w14:textId="77777777" w:rsidR="002D1883" w:rsidRPr="00F32542" w:rsidRDefault="002D1883" w:rsidP="002D1883">
      <w:pPr>
        <w:spacing w:after="0" w:line="360" w:lineRule="auto"/>
        <w:jc w:val="both"/>
        <w:rPr>
          <w:rFonts w:ascii="Arial" w:eastAsia="Calibri" w:hAnsi="Arial" w:cs="Arial"/>
          <w:sz w:val="28"/>
          <w:szCs w:val="28"/>
        </w:rPr>
      </w:pPr>
    </w:p>
    <w:p w14:paraId="5DE5A453"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lastRenderedPageBreak/>
        <w:t xml:space="preserve">Ello, puesto que tal planteamiento dependía de que no prosperarán sus agravios; sin embargo, ambos actores alcanzaron su pretensión de que se equilibraran los </w:t>
      </w:r>
      <w:proofErr w:type="gramStart"/>
      <w:r w:rsidRPr="00F32542">
        <w:rPr>
          <w:rFonts w:ascii="Arial" w:eastAsia="Calibri" w:hAnsi="Arial" w:cs="Arial"/>
          <w:sz w:val="28"/>
          <w:szCs w:val="28"/>
        </w:rPr>
        <w:t>principios democrático</w:t>
      </w:r>
      <w:proofErr w:type="gramEnd"/>
      <w:r w:rsidRPr="00F32542">
        <w:rPr>
          <w:rFonts w:ascii="Arial" w:eastAsia="Calibri" w:hAnsi="Arial" w:cs="Arial"/>
          <w:sz w:val="28"/>
          <w:szCs w:val="28"/>
        </w:rPr>
        <w:t>, de alternancia, paridad y de autodeterminación, lo cual tuvo como resultado que José Luis Rodríguez Díaz de León obtuviera una curul.</w:t>
      </w:r>
    </w:p>
    <w:p w14:paraId="4DDDDA18" w14:textId="77777777" w:rsidR="002D1883" w:rsidRPr="00F32542" w:rsidRDefault="002D1883" w:rsidP="002D1883">
      <w:pPr>
        <w:spacing w:after="0" w:line="360" w:lineRule="auto"/>
        <w:jc w:val="both"/>
        <w:rPr>
          <w:rFonts w:ascii="Arial" w:eastAsia="Calibri" w:hAnsi="Arial" w:cs="Arial"/>
          <w:sz w:val="28"/>
          <w:szCs w:val="28"/>
        </w:rPr>
      </w:pPr>
    </w:p>
    <w:p w14:paraId="5304B1AB"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Máxime que la pretensión de los actores con la solicitud de inaplicación era que no existiera alguna candidatura con una mayor votación que no hubiera alcanzado una curul, por encima de algunas otras que, a pesar de contar con una menor votación si hubieran alcanzado una asignación, aspecto que se evitó con la determinación que ajustó la integración de la lista definitiva de MORENA.</w:t>
      </w:r>
    </w:p>
    <w:p w14:paraId="7620DCFC" w14:textId="77777777" w:rsidR="002D1883" w:rsidRPr="00F32542" w:rsidRDefault="002D1883" w:rsidP="002D1883">
      <w:pPr>
        <w:spacing w:after="0" w:line="360" w:lineRule="auto"/>
        <w:jc w:val="both"/>
        <w:rPr>
          <w:rFonts w:ascii="Arial" w:eastAsia="Calibri" w:hAnsi="Arial" w:cs="Arial"/>
          <w:sz w:val="28"/>
          <w:szCs w:val="28"/>
        </w:rPr>
      </w:pPr>
    </w:p>
    <w:p w14:paraId="65CAB704"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Es decir, las candidaturas de la lista B que no obtuvieron una curul de representación proporcional tienen un porcentaje de votación menor respecto de aquellas que si la obtuvieron; lo que hace innecesario el análisis de inaplicación propuesto por las partes actoras. </w:t>
      </w:r>
    </w:p>
    <w:p w14:paraId="2CDBFDE1" w14:textId="77777777" w:rsidR="00F94B48" w:rsidRPr="00F32542" w:rsidRDefault="00F94B48" w:rsidP="002D1883">
      <w:pPr>
        <w:spacing w:after="0" w:line="360" w:lineRule="auto"/>
        <w:jc w:val="both"/>
        <w:rPr>
          <w:rFonts w:ascii="Arial" w:eastAsia="Calibri" w:hAnsi="Arial" w:cs="Times New Roman"/>
          <w:sz w:val="28"/>
        </w:rPr>
      </w:pPr>
    </w:p>
    <w:p w14:paraId="0EA76A06" w14:textId="77777777" w:rsidR="00F94B48" w:rsidRPr="00F32542" w:rsidRDefault="00F94B48" w:rsidP="002D1883">
      <w:pPr>
        <w:spacing w:after="0" w:line="360" w:lineRule="auto"/>
        <w:jc w:val="both"/>
        <w:rPr>
          <w:rFonts w:ascii="Arial" w:eastAsia="Calibri" w:hAnsi="Arial" w:cs="Arial"/>
          <w:b/>
          <w:sz w:val="28"/>
          <w:szCs w:val="28"/>
        </w:rPr>
      </w:pPr>
      <w:r w:rsidRPr="00F32542">
        <w:rPr>
          <w:rFonts w:ascii="Arial" w:eastAsia="Calibri" w:hAnsi="Arial" w:cs="Arial"/>
          <w:b/>
          <w:sz w:val="28"/>
          <w:szCs w:val="28"/>
        </w:rPr>
        <w:t>V</w:t>
      </w:r>
      <w:r w:rsidR="002D1883" w:rsidRPr="00F32542">
        <w:rPr>
          <w:rFonts w:ascii="Arial" w:eastAsia="Calibri" w:hAnsi="Arial" w:cs="Arial"/>
          <w:b/>
          <w:sz w:val="28"/>
          <w:szCs w:val="28"/>
        </w:rPr>
        <w:t>II</w:t>
      </w:r>
      <w:r w:rsidRPr="00F32542">
        <w:rPr>
          <w:rFonts w:ascii="Arial" w:eastAsia="Calibri" w:hAnsi="Arial" w:cs="Arial"/>
          <w:b/>
          <w:sz w:val="28"/>
          <w:szCs w:val="28"/>
        </w:rPr>
        <w:t>. Sustitución de candidaturas de la lista A por candidaturas de la lista B</w:t>
      </w:r>
      <w:r w:rsidR="002D1883" w:rsidRPr="00F32542">
        <w:rPr>
          <w:rFonts w:ascii="Arial" w:eastAsia="Calibri" w:hAnsi="Arial" w:cs="Arial"/>
          <w:b/>
          <w:sz w:val="28"/>
          <w:szCs w:val="28"/>
        </w:rPr>
        <w:t>.</w:t>
      </w:r>
    </w:p>
    <w:p w14:paraId="479B0E05" w14:textId="77777777" w:rsidR="002D1883" w:rsidRPr="00F32542" w:rsidRDefault="002D1883" w:rsidP="002D1883">
      <w:pPr>
        <w:spacing w:after="0" w:line="360" w:lineRule="auto"/>
        <w:jc w:val="both"/>
        <w:rPr>
          <w:rFonts w:ascii="Arial" w:eastAsia="Calibri" w:hAnsi="Arial" w:cs="Arial"/>
          <w:b/>
          <w:sz w:val="28"/>
          <w:szCs w:val="28"/>
        </w:rPr>
      </w:pPr>
    </w:p>
    <w:p w14:paraId="2275A53E"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En este apartado se analizarán los siguientes planteamientos:</w:t>
      </w:r>
    </w:p>
    <w:p w14:paraId="165103AF" w14:textId="77777777" w:rsidR="002D1883" w:rsidRPr="00F32542" w:rsidRDefault="002D1883" w:rsidP="002D1883">
      <w:pPr>
        <w:spacing w:after="0" w:line="360" w:lineRule="auto"/>
        <w:jc w:val="both"/>
        <w:rPr>
          <w:rFonts w:ascii="Arial" w:eastAsia="Calibri" w:hAnsi="Arial" w:cs="Arial"/>
          <w:b/>
          <w:bCs/>
          <w:sz w:val="28"/>
          <w:szCs w:val="28"/>
        </w:rPr>
      </w:pPr>
    </w:p>
    <w:p w14:paraId="3D0700FA"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b/>
          <w:bCs/>
          <w:sz w:val="28"/>
          <w:szCs w:val="28"/>
        </w:rPr>
        <w:t>TECDMX-JLDC-099/2021</w:t>
      </w:r>
      <w:r w:rsidRPr="00F32542">
        <w:rPr>
          <w:rFonts w:ascii="Arial" w:eastAsia="Calibri" w:hAnsi="Arial" w:cs="Arial"/>
          <w:sz w:val="28"/>
          <w:szCs w:val="28"/>
        </w:rPr>
        <w:t xml:space="preserve"> </w:t>
      </w:r>
      <w:r w:rsidRPr="00F32542">
        <w:rPr>
          <w:rFonts w:ascii="Arial" w:eastAsia="Calibri" w:hAnsi="Arial" w:cs="Arial"/>
          <w:b/>
          <w:bCs/>
          <w:sz w:val="28"/>
          <w:szCs w:val="28"/>
        </w:rPr>
        <w:t>(</w:t>
      </w:r>
      <w:proofErr w:type="spellStart"/>
      <w:r w:rsidRPr="00F32542">
        <w:rPr>
          <w:rFonts w:ascii="Arial" w:eastAsia="Calibri" w:hAnsi="Arial" w:cs="Arial"/>
          <w:b/>
          <w:bCs/>
          <w:sz w:val="28"/>
          <w:szCs w:val="28"/>
        </w:rPr>
        <w:t>Nitzia</w:t>
      </w:r>
      <w:proofErr w:type="spellEnd"/>
      <w:r w:rsidRPr="00F32542">
        <w:rPr>
          <w:rFonts w:ascii="Arial" w:eastAsia="Calibri" w:hAnsi="Arial" w:cs="Arial"/>
          <w:b/>
          <w:bCs/>
          <w:sz w:val="28"/>
          <w:szCs w:val="28"/>
        </w:rPr>
        <w:t xml:space="preserve"> Lucero Rosas Chávez)</w:t>
      </w:r>
      <w:r w:rsidRPr="00F32542">
        <w:rPr>
          <w:rFonts w:ascii="Arial" w:eastAsia="Calibri" w:hAnsi="Arial" w:cs="Arial"/>
          <w:sz w:val="28"/>
          <w:szCs w:val="28"/>
        </w:rPr>
        <w:t xml:space="preserve"> </w:t>
      </w:r>
    </w:p>
    <w:p w14:paraId="50BD5DB2" w14:textId="77777777" w:rsidR="002D1883" w:rsidRPr="00F32542" w:rsidRDefault="002D1883" w:rsidP="002D1883">
      <w:pPr>
        <w:spacing w:after="0" w:line="360" w:lineRule="auto"/>
        <w:jc w:val="both"/>
        <w:rPr>
          <w:rFonts w:ascii="Arial" w:eastAsia="Calibri" w:hAnsi="Arial" w:cs="Arial"/>
          <w:sz w:val="28"/>
          <w:szCs w:val="28"/>
        </w:rPr>
      </w:pPr>
      <w:bookmarkStart w:id="46" w:name="_Hlk78194272"/>
    </w:p>
    <w:p w14:paraId="0BC05E91"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La parte actora sostiene que la posición cinco (5) de la lista definitiva del PRI le debió corresponder a ella, y no a una persona proveniente de la lista A, por el porcentaje de votación que obtuvo en mayoría </w:t>
      </w:r>
      <w:r w:rsidRPr="00F32542">
        <w:rPr>
          <w:rFonts w:ascii="Arial" w:eastAsia="Calibri" w:hAnsi="Arial" w:cs="Arial"/>
          <w:sz w:val="28"/>
          <w:szCs w:val="28"/>
        </w:rPr>
        <w:lastRenderedPageBreak/>
        <w:t xml:space="preserve">relativa, lo que la ubicó en la segunda candidata mejor votada </w:t>
      </w:r>
      <w:bookmarkEnd w:id="46"/>
      <w:r w:rsidRPr="00F32542">
        <w:rPr>
          <w:rFonts w:ascii="Arial" w:eastAsia="Calibri" w:hAnsi="Arial" w:cs="Arial"/>
          <w:sz w:val="28"/>
          <w:szCs w:val="28"/>
        </w:rPr>
        <w:t>de la lista B de dicho partido.</w:t>
      </w:r>
    </w:p>
    <w:p w14:paraId="6DF89F8A" w14:textId="77777777" w:rsidR="002D1883" w:rsidRPr="00F32542" w:rsidRDefault="002D1883" w:rsidP="002D1883">
      <w:pPr>
        <w:spacing w:after="0" w:line="360" w:lineRule="auto"/>
        <w:jc w:val="both"/>
        <w:rPr>
          <w:rFonts w:ascii="Arial" w:eastAsia="Calibri" w:hAnsi="Arial" w:cs="Arial"/>
          <w:sz w:val="28"/>
          <w:szCs w:val="28"/>
        </w:rPr>
      </w:pPr>
    </w:p>
    <w:p w14:paraId="760D5A2E"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Afirma que lo anterior no afecta la autodeterminación del PRI, pues su lista definitiva está integrada mayoritariamente por hombres.</w:t>
      </w:r>
    </w:p>
    <w:p w14:paraId="79498A06" w14:textId="77777777" w:rsidR="002D1883" w:rsidRPr="00F32542" w:rsidRDefault="002D1883" w:rsidP="002D1883">
      <w:pPr>
        <w:spacing w:after="0" w:line="360" w:lineRule="auto"/>
        <w:jc w:val="both"/>
        <w:rPr>
          <w:rFonts w:ascii="Arial" w:eastAsia="Calibri" w:hAnsi="Arial" w:cs="Arial"/>
          <w:sz w:val="28"/>
          <w:szCs w:val="28"/>
        </w:rPr>
      </w:pPr>
    </w:p>
    <w:p w14:paraId="1540F700"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b/>
          <w:bCs/>
          <w:sz w:val="28"/>
          <w:szCs w:val="28"/>
        </w:rPr>
        <w:t>TECDMX-JLDC-103/2021</w:t>
      </w:r>
      <w:r w:rsidRPr="00F32542">
        <w:rPr>
          <w:rFonts w:ascii="Arial" w:eastAsia="Calibri" w:hAnsi="Arial" w:cs="Arial"/>
          <w:sz w:val="28"/>
          <w:szCs w:val="28"/>
        </w:rPr>
        <w:t xml:space="preserve"> </w:t>
      </w:r>
      <w:r w:rsidRPr="00F32542">
        <w:rPr>
          <w:rFonts w:ascii="Arial" w:eastAsia="Calibri" w:hAnsi="Arial" w:cs="Arial"/>
          <w:b/>
          <w:bCs/>
          <w:sz w:val="28"/>
          <w:szCs w:val="28"/>
        </w:rPr>
        <w:t>(Mónica Jessica Menocal del Moral)</w:t>
      </w:r>
      <w:r w:rsidRPr="00F32542">
        <w:rPr>
          <w:rFonts w:ascii="Arial" w:eastAsia="Calibri" w:hAnsi="Arial" w:cs="Arial"/>
          <w:sz w:val="28"/>
          <w:szCs w:val="28"/>
        </w:rPr>
        <w:t xml:space="preserve"> </w:t>
      </w:r>
    </w:p>
    <w:p w14:paraId="78508759" w14:textId="77777777" w:rsidR="002D1883" w:rsidRPr="00F32542" w:rsidRDefault="002D1883" w:rsidP="002D1883">
      <w:pPr>
        <w:spacing w:after="0" w:line="360" w:lineRule="auto"/>
        <w:jc w:val="both"/>
        <w:rPr>
          <w:rFonts w:ascii="Arial" w:eastAsia="Calibri" w:hAnsi="Arial" w:cs="Arial"/>
          <w:sz w:val="28"/>
          <w:szCs w:val="28"/>
        </w:rPr>
      </w:pPr>
    </w:p>
    <w:p w14:paraId="4465650E"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La actora sostiene que le corresponde el lugar nueve (9) de la lista definitiva del PAN, asignada a una persona de la lista A, porque fue la tercera fórmula de mujeres más votada, como se observa de la lista B.  </w:t>
      </w:r>
    </w:p>
    <w:p w14:paraId="00E2B084" w14:textId="77777777" w:rsidR="002D1883" w:rsidRPr="00F32542" w:rsidRDefault="002D1883" w:rsidP="002D1883">
      <w:pPr>
        <w:spacing w:after="0" w:line="360" w:lineRule="auto"/>
        <w:jc w:val="both"/>
        <w:rPr>
          <w:rFonts w:ascii="Arial" w:eastAsia="Calibri" w:hAnsi="Arial" w:cs="Arial"/>
          <w:sz w:val="28"/>
          <w:szCs w:val="28"/>
        </w:rPr>
      </w:pPr>
    </w:p>
    <w:p w14:paraId="139A770C"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En el acuerdo impugnado no se aclara cómo se efectuó la designación de lugares en la lista B, ni la fórmula para obtener los porcentajes expuestos en ésta.</w:t>
      </w:r>
    </w:p>
    <w:p w14:paraId="27D5B897" w14:textId="77777777" w:rsidR="002D1883" w:rsidRPr="00F32542" w:rsidRDefault="002D1883" w:rsidP="002D1883">
      <w:pPr>
        <w:spacing w:after="0" w:line="360" w:lineRule="auto"/>
        <w:jc w:val="both"/>
        <w:rPr>
          <w:rFonts w:ascii="Arial" w:eastAsia="Calibri" w:hAnsi="Arial" w:cs="Arial"/>
          <w:sz w:val="28"/>
          <w:szCs w:val="28"/>
        </w:rPr>
      </w:pPr>
    </w:p>
    <w:p w14:paraId="4D1744CB"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La responsable tomó como regla la excepción contenida en el artículo 24, fracción V, del Código local, relativa a que la intercalación de listas A y B puede formar bloques de hasta dos fórmulas del mismo género. Por ello, este precepto debe ser inaplicado.</w:t>
      </w:r>
    </w:p>
    <w:p w14:paraId="10B71054" w14:textId="77777777" w:rsidR="002D1883" w:rsidRPr="00F32542" w:rsidRDefault="002D1883" w:rsidP="002D1883">
      <w:pPr>
        <w:spacing w:after="0" w:line="360" w:lineRule="auto"/>
        <w:jc w:val="both"/>
        <w:rPr>
          <w:rFonts w:ascii="Arial" w:eastAsia="Calibri" w:hAnsi="Arial" w:cs="Arial"/>
          <w:sz w:val="28"/>
          <w:szCs w:val="28"/>
        </w:rPr>
      </w:pPr>
    </w:p>
    <w:p w14:paraId="59FA29F3" w14:textId="77777777" w:rsidR="00F94B48" w:rsidRPr="00F32542" w:rsidRDefault="00F94B48" w:rsidP="002D1883">
      <w:pPr>
        <w:spacing w:after="0" w:line="360" w:lineRule="auto"/>
        <w:jc w:val="both"/>
        <w:rPr>
          <w:rFonts w:ascii="Arial" w:eastAsia="Calibri" w:hAnsi="Arial" w:cs="Arial"/>
          <w:b/>
          <w:bCs/>
          <w:sz w:val="28"/>
          <w:szCs w:val="28"/>
        </w:rPr>
      </w:pPr>
      <w:r w:rsidRPr="00F32542">
        <w:rPr>
          <w:rFonts w:ascii="Arial" w:eastAsia="Calibri" w:hAnsi="Arial" w:cs="Arial"/>
          <w:b/>
          <w:bCs/>
          <w:sz w:val="28"/>
          <w:szCs w:val="28"/>
        </w:rPr>
        <w:t>TECDMX-JLDC-109/2021</w:t>
      </w:r>
      <w:r w:rsidRPr="00F32542">
        <w:rPr>
          <w:rFonts w:ascii="Arial" w:eastAsia="Calibri" w:hAnsi="Arial" w:cs="Arial"/>
          <w:sz w:val="28"/>
          <w:szCs w:val="28"/>
        </w:rPr>
        <w:t xml:space="preserve"> </w:t>
      </w:r>
      <w:r w:rsidRPr="00F32542">
        <w:rPr>
          <w:rFonts w:ascii="Arial" w:eastAsia="Calibri" w:hAnsi="Arial" w:cs="Arial"/>
          <w:b/>
          <w:bCs/>
          <w:sz w:val="28"/>
          <w:szCs w:val="28"/>
        </w:rPr>
        <w:t xml:space="preserve">(Nayaret </w:t>
      </w:r>
      <w:proofErr w:type="spellStart"/>
      <w:r w:rsidRPr="00F32542">
        <w:rPr>
          <w:rFonts w:ascii="Arial" w:eastAsia="Calibri" w:hAnsi="Arial" w:cs="Arial"/>
          <w:b/>
          <w:bCs/>
          <w:sz w:val="28"/>
          <w:szCs w:val="28"/>
        </w:rPr>
        <w:t>Yazmin</w:t>
      </w:r>
      <w:proofErr w:type="spellEnd"/>
      <w:r w:rsidRPr="00F32542">
        <w:rPr>
          <w:rFonts w:ascii="Arial" w:eastAsia="Calibri" w:hAnsi="Arial" w:cs="Arial"/>
          <w:b/>
          <w:bCs/>
          <w:sz w:val="28"/>
          <w:szCs w:val="28"/>
        </w:rPr>
        <w:t xml:space="preserve"> Calderón Martínez) </w:t>
      </w:r>
    </w:p>
    <w:p w14:paraId="6D283B65" w14:textId="77777777" w:rsidR="002D1883" w:rsidRPr="00F32542" w:rsidRDefault="002D1883" w:rsidP="002D1883">
      <w:pPr>
        <w:spacing w:after="0" w:line="360" w:lineRule="auto"/>
        <w:jc w:val="both"/>
        <w:rPr>
          <w:rFonts w:ascii="Arial" w:eastAsia="Calibri" w:hAnsi="Arial" w:cs="Arial"/>
          <w:b/>
          <w:bCs/>
          <w:sz w:val="28"/>
          <w:szCs w:val="28"/>
        </w:rPr>
      </w:pPr>
    </w:p>
    <w:p w14:paraId="3B7B9604" w14:textId="77777777" w:rsidR="00F94B48" w:rsidRPr="00F32542" w:rsidRDefault="00F94B48" w:rsidP="002D1883">
      <w:pPr>
        <w:spacing w:after="0" w:line="360" w:lineRule="auto"/>
        <w:jc w:val="both"/>
        <w:rPr>
          <w:rFonts w:ascii="Arial" w:eastAsia="Calibri" w:hAnsi="Arial" w:cs="Arial"/>
          <w:sz w:val="28"/>
          <w:szCs w:val="28"/>
        </w:rPr>
      </w:pPr>
      <w:r w:rsidRPr="00F32542">
        <w:rPr>
          <w:rFonts w:ascii="Arial" w:eastAsia="Calibri" w:hAnsi="Arial" w:cs="Arial"/>
          <w:sz w:val="28"/>
          <w:szCs w:val="28"/>
        </w:rPr>
        <w:t>Sostiene que le debe corresponder la única asignación de representación proporcional del partido Movimiento Ciudadano, por ser la mujer más votada de la lista B, de manera que al intercalarse las listas A y B, ella debería ser la primera asignación de la lista B y no el candidato hombre que la encabeza.</w:t>
      </w:r>
    </w:p>
    <w:p w14:paraId="0F36E8E7" w14:textId="77777777" w:rsidR="002D1883" w:rsidRPr="00F32542" w:rsidRDefault="002D1883" w:rsidP="002D1883">
      <w:pPr>
        <w:spacing w:after="0" w:line="360" w:lineRule="auto"/>
        <w:jc w:val="both"/>
        <w:rPr>
          <w:rFonts w:ascii="Arial" w:eastAsia="Calibri" w:hAnsi="Arial" w:cs="Arial"/>
          <w:b/>
          <w:bCs/>
          <w:sz w:val="28"/>
          <w:szCs w:val="28"/>
        </w:rPr>
      </w:pPr>
    </w:p>
    <w:p w14:paraId="4891AA67" w14:textId="77777777" w:rsidR="00F94B48" w:rsidRPr="00F32542" w:rsidRDefault="00F94B48" w:rsidP="002D1883">
      <w:pPr>
        <w:widowControl w:val="0"/>
        <w:spacing w:after="0" w:line="360" w:lineRule="auto"/>
        <w:jc w:val="both"/>
        <w:rPr>
          <w:rFonts w:ascii="Arial" w:eastAsia="Calibri" w:hAnsi="Arial" w:cs="Arial"/>
          <w:b/>
          <w:bCs/>
          <w:sz w:val="28"/>
          <w:szCs w:val="28"/>
          <w:lang w:val="es-ES"/>
        </w:rPr>
      </w:pPr>
      <w:r w:rsidRPr="00F32542">
        <w:rPr>
          <w:rFonts w:ascii="Arial" w:eastAsia="Calibri" w:hAnsi="Arial" w:cs="Arial"/>
          <w:b/>
          <w:bCs/>
          <w:sz w:val="28"/>
          <w:szCs w:val="28"/>
          <w:lang w:val="es-ES"/>
        </w:rPr>
        <w:t>Estudio de los planteamientos.</w:t>
      </w:r>
    </w:p>
    <w:p w14:paraId="17430C02" w14:textId="77777777" w:rsidR="00F94B48" w:rsidRPr="00F32542" w:rsidRDefault="00F94B48" w:rsidP="002D1883">
      <w:pPr>
        <w:widowControl w:val="0"/>
        <w:spacing w:after="0" w:line="360" w:lineRule="auto"/>
        <w:jc w:val="both"/>
        <w:rPr>
          <w:rFonts w:ascii="Arial" w:eastAsia="Calibri" w:hAnsi="Arial" w:cs="Arial"/>
          <w:b/>
          <w:bCs/>
          <w:sz w:val="28"/>
          <w:szCs w:val="28"/>
          <w:lang w:val="es-ES"/>
        </w:rPr>
      </w:pPr>
    </w:p>
    <w:p w14:paraId="0230735C" w14:textId="77777777" w:rsidR="002D1883" w:rsidRPr="00F32542" w:rsidRDefault="00F94B48" w:rsidP="002D1883">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Como se observa, el planteamiento común es que, al haber obtenido un mejor porcentaje de votación, se debería sustituir a una fórmula perteneciente a la lista A. </w:t>
      </w:r>
    </w:p>
    <w:p w14:paraId="17C6409B" w14:textId="77777777" w:rsidR="002D1883" w:rsidRPr="00F32542" w:rsidRDefault="002D1883" w:rsidP="002D1883">
      <w:pPr>
        <w:widowControl w:val="0"/>
        <w:spacing w:after="0" w:line="360" w:lineRule="auto"/>
        <w:jc w:val="both"/>
        <w:rPr>
          <w:rFonts w:ascii="Arial" w:eastAsia="Calibri" w:hAnsi="Arial" w:cs="Arial"/>
          <w:sz w:val="28"/>
          <w:szCs w:val="28"/>
        </w:rPr>
      </w:pPr>
    </w:p>
    <w:p w14:paraId="2BA925EC" w14:textId="77777777" w:rsidR="002D1883" w:rsidRPr="00F32542" w:rsidRDefault="00F94B48" w:rsidP="002D1883">
      <w:pPr>
        <w:widowControl w:val="0"/>
        <w:spacing w:after="0" w:line="360" w:lineRule="auto"/>
        <w:jc w:val="both"/>
        <w:rPr>
          <w:rFonts w:ascii="Arial" w:eastAsia="Calibri" w:hAnsi="Arial" w:cs="Arial"/>
          <w:sz w:val="28"/>
          <w:szCs w:val="28"/>
        </w:rPr>
      </w:pPr>
      <w:r w:rsidRPr="00F32542">
        <w:rPr>
          <w:rFonts w:ascii="Arial" w:eastAsia="Calibri" w:hAnsi="Arial" w:cs="Arial"/>
          <w:b/>
          <w:sz w:val="28"/>
          <w:szCs w:val="28"/>
        </w:rPr>
        <w:t>Marco jurídico</w:t>
      </w:r>
      <w:r w:rsidR="002D1883" w:rsidRPr="00F32542">
        <w:rPr>
          <w:rFonts w:ascii="Arial" w:eastAsia="Calibri" w:hAnsi="Arial" w:cs="Arial"/>
          <w:b/>
          <w:sz w:val="28"/>
          <w:szCs w:val="28"/>
        </w:rPr>
        <w:t>.</w:t>
      </w:r>
    </w:p>
    <w:p w14:paraId="13208E47" w14:textId="77777777" w:rsidR="002D1883" w:rsidRPr="00F32542" w:rsidRDefault="002D1883" w:rsidP="002D1883">
      <w:pPr>
        <w:widowControl w:val="0"/>
        <w:spacing w:after="0" w:line="360" w:lineRule="auto"/>
        <w:jc w:val="both"/>
        <w:rPr>
          <w:rFonts w:ascii="Arial" w:eastAsia="Calibri" w:hAnsi="Arial" w:cs="Arial"/>
          <w:sz w:val="28"/>
          <w:szCs w:val="28"/>
        </w:rPr>
      </w:pPr>
    </w:p>
    <w:p w14:paraId="62FEEE77" w14:textId="77777777" w:rsidR="002D1883" w:rsidRPr="00F32542" w:rsidRDefault="00F94B48" w:rsidP="002D1883">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El artículo 23 del </w:t>
      </w:r>
      <w:r w:rsidRPr="00F32542">
        <w:rPr>
          <w:rFonts w:ascii="Arial" w:eastAsia="Calibri" w:hAnsi="Arial" w:cs="Arial"/>
          <w:i/>
          <w:sz w:val="28"/>
          <w:szCs w:val="28"/>
        </w:rPr>
        <w:t xml:space="preserve">Código local, </w:t>
      </w:r>
      <w:r w:rsidRPr="00F32542">
        <w:rPr>
          <w:rFonts w:ascii="Arial" w:eastAsia="Calibri" w:hAnsi="Arial" w:cs="Arial"/>
          <w:sz w:val="28"/>
          <w:szCs w:val="28"/>
        </w:rPr>
        <w:t xml:space="preserve">prevé que en cada lista (A y B) se alternarán las fórmulas de distinto género para garantizar el principio de paridad hasta agotar cada una de las listas. También prevé que para la creación de la </w:t>
      </w:r>
      <w:r w:rsidRPr="00F32542">
        <w:rPr>
          <w:rFonts w:ascii="Arial" w:eastAsia="Calibri" w:hAnsi="Arial" w:cs="Arial"/>
          <w:b/>
          <w:sz w:val="28"/>
          <w:szCs w:val="28"/>
        </w:rPr>
        <w:t xml:space="preserve">lista definitiva </w:t>
      </w:r>
      <w:r w:rsidRPr="00F32542">
        <w:rPr>
          <w:rFonts w:ascii="Arial" w:eastAsia="Calibri" w:hAnsi="Arial" w:cs="Arial"/>
          <w:sz w:val="28"/>
          <w:szCs w:val="28"/>
        </w:rPr>
        <w:t>se intercalará la lista A y la lista B, para crear la lista definitiva.</w:t>
      </w:r>
    </w:p>
    <w:p w14:paraId="690F3FAB" w14:textId="77777777" w:rsidR="002D1883" w:rsidRPr="00F32542" w:rsidRDefault="002D1883" w:rsidP="002D1883">
      <w:pPr>
        <w:widowControl w:val="0"/>
        <w:spacing w:after="0" w:line="360" w:lineRule="auto"/>
        <w:jc w:val="both"/>
        <w:rPr>
          <w:rFonts w:ascii="Arial" w:eastAsia="Calibri" w:hAnsi="Arial" w:cs="Arial"/>
          <w:sz w:val="28"/>
          <w:szCs w:val="28"/>
        </w:rPr>
      </w:pPr>
    </w:p>
    <w:p w14:paraId="090A674E" w14:textId="77777777" w:rsidR="002D1883" w:rsidRPr="00F32542" w:rsidRDefault="00F94B48" w:rsidP="002D1883">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El artículo 24, fracción III, del citado Código define a la </w:t>
      </w:r>
      <w:r w:rsidRPr="00F32542">
        <w:rPr>
          <w:rFonts w:ascii="Arial" w:eastAsia="Calibri" w:hAnsi="Arial" w:cs="Arial"/>
          <w:b/>
          <w:sz w:val="28"/>
          <w:szCs w:val="28"/>
        </w:rPr>
        <w:t xml:space="preserve">lista A </w:t>
      </w:r>
      <w:r w:rsidRPr="00F32542">
        <w:rPr>
          <w:rFonts w:ascii="Arial" w:eastAsia="Calibri" w:hAnsi="Arial" w:cs="Arial"/>
          <w:sz w:val="28"/>
          <w:szCs w:val="28"/>
        </w:rPr>
        <w:t>como la relación de diecisiete fórmulas de candidaturas a diputaciones, a elegir por el principio de representación proporcional, integradas por una propietaria y suplente del mismo género, listadas en orden de prelación alternando fórmulas de género distinto de manera sucesiva, de las cuales cuatro deberán estar integradas por jóvenes de dieciocho a treinta y cinco años.</w:t>
      </w:r>
    </w:p>
    <w:p w14:paraId="6F29C931" w14:textId="77777777" w:rsidR="002D1883" w:rsidRPr="00F32542" w:rsidRDefault="002D1883" w:rsidP="002D1883">
      <w:pPr>
        <w:widowControl w:val="0"/>
        <w:spacing w:after="0" w:line="360" w:lineRule="auto"/>
        <w:jc w:val="both"/>
        <w:rPr>
          <w:rFonts w:ascii="Arial" w:eastAsia="Calibri" w:hAnsi="Arial" w:cs="Arial"/>
          <w:sz w:val="28"/>
          <w:szCs w:val="28"/>
        </w:rPr>
      </w:pPr>
    </w:p>
    <w:p w14:paraId="31183CEF" w14:textId="77777777" w:rsidR="002D1883" w:rsidRPr="00F32542" w:rsidRDefault="00F94B48" w:rsidP="002D1883">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En la fracción IV, se establece que la </w:t>
      </w:r>
      <w:r w:rsidRPr="00F32542">
        <w:rPr>
          <w:rFonts w:ascii="Arial" w:eastAsia="Calibri" w:hAnsi="Arial" w:cs="Arial"/>
          <w:b/>
          <w:sz w:val="28"/>
          <w:szCs w:val="28"/>
        </w:rPr>
        <w:t>lista B</w:t>
      </w:r>
      <w:r w:rsidRPr="00F32542">
        <w:rPr>
          <w:rFonts w:ascii="Arial" w:eastAsia="Calibri" w:hAnsi="Arial" w:cs="Arial"/>
          <w:sz w:val="28"/>
          <w:szCs w:val="28"/>
        </w:rPr>
        <w:t xml:space="preserve"> es la relación de diecisiete fórmulas de candidaturas a las diputaciones que no lograron el triunfo en la elección por el principio de mayoría relativa, pero que alcanzaron a nivel distrital los mayores porcentajes de la votación local emitida. </w:t>
      </w:r>
    </w:p>
    <w:p w14:paraId="09E67877" w14:textId="77777777" w:rsidR="002D1883" w:rsidRPr="00F32542" w:rsidRDefault="002D1883" w:rsidP="002D1883">
      <w:pPr>
        <w:widowControl w:val="0"/>
        <w:spacing w:after="0" w:line="360" w:lineRule="auto"/>
        <w:jc w:val="both"/>
        <w:rPr>
          <w:rFonts w:ascii="Arial" w:eastAsia="Calibri" w:hAnsi="Arial" w:cs="Arial"/>
          <w:sz w:val="28"/>
          <w:szCs w:val="28"/>
        </w:rPr>
      </w:pPr>
    </w:p>
    <w:p w14:paraId="69A82653" w14:textId="77777777" w:rsidR="002D1883" w:rsidRPr="00F32542" w:rsidRDefault="00F94B48" w:rsidP="002D1883">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lastRenderedPageBreak/>
        <w:t xml:space="preserve">La fracción V del artículo 24 del Código local, prevé que la </w:t>
      </w:r>
      <w:r w:rsidRPr="00F32542">
        <w:rPr>
          <w:rFonts w:ascii="Arial" w:eastAsia="Calibri" w:hAnsi="Arial" w:cs="Arial"/>
          <w:b/>
          <w:sz w:val="28"/>
          <w:szCs w:val="28"/>
        </w:rPr>
        <w:t xml:space="preserve">lista definitiva </w:t>
      </w:r>
      <w:r w:rsidRPr="00F32542">
        <w:rPr>
          <w:rFonts w:ascii="Arial" w:eastAsia="Calibri" w:hAnsi="Arial" w:cs="Arial"/>
          <w:sz w:val="28"/>
          <w:szCs w:val="28"/>
        </w:rPr>
        <w:t xml:space="preserve">es el resultado de intercalar las fórmulas de candidatos de las </w:t>
      </w:r>
      <w:r w:rsidRPr="00F32542">
        <w:rPr>
          <w:rFonts w:ascii="Arial" w:eastAsia="Calibri" w:hAnsi="Arial" w:cs="Arial"/>
          <w:b/>
          <w:sz w:val="28"/>
          <w:szCs w:val="28"/>
        </w:rPr>
        <w:t>listas A y B</w:t>
      </w:r>
      <w:r w:rsidRPr="00F32542">
        <w:rPr>
          <w:rFonts w:ascii="Arial" w:eastAsia="Calibri" w:hAnsi="Arial" w:cs="Arial"/>
          <w:sz w:val="28"/>
          <w:szCs w:val="28"/>
        </w:rPr>
        <w:t xml:space="preserve">, que será encabezada siempre por la primera fórmula de la </w:t>
      </w:r>
      <w:r w:rsidRPr="00F32542">
        <w:rPr>
          <w:rFonts w:ascii="Arial" w:eastAsia="Calibri" w:hAnsi="Arial" w:cs="Arial"/>
          <w:b/>
          <w:sz w:val="28"/>
          <w:szCs w:val="28"/>
        </w:rPr>
        <w:t>lista A</w:t>
      </w:r>
      <w:r w:rsidRPr="00F32542">
        <w:rPr>
          <w:rFonts w:ascii="Arial" w:eastAsia="Calibri" w:hAnsi="Arial" w:cs="Arial"/>
          <w:sz w:val="28"/>
          <w:szCs w:val="28"/>
        </w:rPr>
        <w:t xml:space="preserve">. Tal intercalado </w:t>
      </w:r>
      <w:r w:rsidRPr="00F32542">
        <w:rPr>
          <w:rFonts w:ascii="Arial" w:eastAsia="Calibri" w:hAnsi="Arial" w:cs="Arial"/>
          <w:b/>
          <w:sz w:val="28"/>
          <w:szCs w:val="28"/>
        </w:rPr>
        <w:t>podrá</w:t>
      </w:r>
      <w:r w:rsidRPr="00F32542">
        <w:rPr>
          <w:rFonts w:ascii="Arial" w:eastAsia="Calibri" w:hAnsi="Arial" w:cs="Arial"/>
          <w:sz w:val="28"/>
          <w:szCs w:val="28"/>
        </w:rPr>
        <w:t xml:space="preserve"> generar bloques de hasta dos fórmulas del mismo género, pero de diferente lista de origen.</w:t>
      </w:r>
    </w:p>
    <w:p w14:paraId="72D327B9" w14:textId="77777777" w:rsidR="002D1883" w:rsidRPr="00F32542" w:rsidRDefault="002D1883" w:rsidP="002D1883">
      <w:pPr>
        <w:widowControl w:val="0"/>
        <w:spacing w:after="0" w:line="360" w:lineRule="auto"/>
        <w:jc w:val="both"/>
        <w:rPr>
          <w:rFonts w:ascii="Arial" w:eastAsia="Calibri" w:hAnsi="Arial" w:cs="Arial"/>
          <w:sz w:val="28"/>
          <w:szCs w:val="28"/>
        </w:rPr>
      </w:pPr>
    </w:p>
    <w:p w14:paraId="29A7E1CA" w14:textId="77777777" w:rsidR="00F94B48" w:rsidRPr="00F32542" w:rsidRDefault="00F94B48" w:rsidP="002D1883">
      <w:pPr>
        <w:widowControl w:val="0"/>
        <w:spacing w:after="0" w:line="360" w:lineRule="auto"/>
        <w:jc w:val="both"/>
        <w:rPr>
          <w:rFonts w:ascii="Arial" w:eastAsia="Calibri" w:hAnsi="Arial" w:cs="Arial"/>
          <w:sz w:val="28"/>
          <w:szCs w:val="28"/>
        </w:rPr>
      </w:pPr>
      <w:r w:rsidRPr="00F32542">
        <w:rPr>
          <w:rFonts w:ascii="Arial" w:eastAsia="Calibri" w:hAnsi="Arial" w:cs="Arial"/>
          <w:sz w:val="28"/>
          <w:szCs w:val="28"/>
        </w:rPr>
        <w:t>Por otro lado, como ya se ha expuesto en esta sentencia, en la integración de las listas interactúan los siguientes principios:</w:t>
      </w:r>
    </w:p>
    <w:p w14:paraId="288DC658" w14:textId="77777777" w:rsidR="007511F6" w:rsidRPr="00F32542" w:rsidRDefault="007511F6" w:rsidP="002D1883">
      <w:pPr>
        <w:widowControl w:val="0"/>
        <w:spacing w:after="0" w:line="360" w:lineRule="auto"/>
        <w:jc w:val="both"/>
        <w:rPr>
          <w:rFonts w:ascii="Arial" w:eastAsia="Calibri" w:hAnsi="Arial" w:cs="Arial"/>
          <w:sz w:val="28"/>
          <w:szCs w:val="28"/>
        </w:rPr>
      </w:pPr>
    </w:p>
    <w:p w14:paraId="61FEEE24" w14:textId="77777777" w:rsidR="002D1883" w:rsidRPr="00F32542" w:rsidRDefault="00F94B48" w:rsidP="009B6ED0">
      <w:pPr>
        <w:pStyle w:val="Prrafodelista"/>
        <w:numPr>
          <w:ilvl w:val="0"/>
          <w:numId w:val="32"/>
        </w:numPr>
        <w:spacing w:line="360" w:lineRule="auto"/>
        <w:rPr>
          <w:rFonts w:ascii="Arial" w:eastAsia="Calibri" w:hAnsi="Arial" w:cs="Arial"/>
          <w:szCs w:val="28"/>
        </w:rPr>
      </w:pPr>
      <w:r w:rsidRPr="00F32542">
        <w:rPr>
          <w:rFonts w:ascii="Arial" w:eastAsia="Calibri" w:hAnsi="Arial" w:cs="Arial"/>
          <w:szCs w:val="28"/>
        </w:rPr>
        <w:t xml:space="preserve">El </w:t>
      </w:r>
      <w:r w:rsidRPr="00F32542">
        <w:rPr>
          <w:rFonts w:ascii="Arial" w:eastAsia="Calibri" w:hAnsi="Arial" w:cs="Arial"/>
          <w:b/>
          <w:szCs w:val="28"/>
        </w:rPr>
        <w:t>principio democrático</w:t>
      </w:r>
      <w:r w:rsidRPr="00F32542">
        <w:rPr>
          <w:rFonts w:ascii="Arial" w:eastAsia="Calibri" w:hAnsi="Arial" w:cs="Arial"/>
          <w:szCs w:val="28"/>
        </w:rPr>
        <w:t xml:space="preserve"> se refiere a la voluntad ciudadana expresada en las urnas, lo que se refleja en la </w:t>
      </w:r>
      <w:r w:rsidRPr="00F32542">
        <w:rPr>
          <w:rFonts w:ascii="Arial" w:eastAsia="Calibri" w:hAnsi="Arial" w:cs="Arial"/>
          <w:b/>
          <w:szCs w:val="28"/>
        </w:rPr>
        <w:t>lista B</w:t>
      </w:r>
      <w:r w:rsidRPr="00F32542">
        <w:rPr>
          <w:rFonts w:ascii="Arial" w:eastAsia="Calibri" w:hAnsi="Arial" w:cs="Arial"/>
          <w:szCs w:val="28"/>
        </w:rPr>
        <w:t>, pues como se vio, se integra con las fórmulas de candidaturas con mejores porcentajes votación que no ganaron la elección de mayoría relativa.</w:t>
      </w:r>
    </w:p>
    <w:p w14:paraId="0C02C28F" w14:textId="77777777" w:rsidR="002D1883" w:rsidRPr="00F32542" w:rsidRDefault="002D1883" w:rsidP="00DC4161">
      <w:pPr>
        <w:spacing w:after="0" w:line="360" w:lineRule="auto"/>
        <w:ind w:left="360"/>
        <w:rPr>
          <w:rFonts w:ascii="Arial" w:eastAsia="Calibri" w:hAnsi="Arial" w:cs="Arial"/>
          <w:szCs w:val="28"/>
        </w:rPr>
      </w:pPr>
    </w:p>
    <w:p w14:paraId="60EE9581" w14:textId="77777777" w:rsidR="00DC4161" w:rsidRPr="00F32542" w:rsidRDefault="00F94B48" w:rsidP="009B6ED0">
      <w:pPr>
        <w:pStyle w:val="Prrafodelista"/>
        <w:numPr>
          <w:ilvl w:val="0"/>
          <w:numId w:val="32"/>
        </w:numPr>
        <w:spacing w:line="360" w:lineRule="auto"/>
        <w:rPr>
          <w:rFonts w:ascii="Arial" w:eastAsia="Calibri" w:hAnsi="Arial" w:cs="Arial"/>
          <w:szCs w:val="28"/>
        </w:rPr>
      </w:pPr>
      <w:r w:rsidRPr="00F32542">
        <w:rPr>
          <w:rFonts w:ascii="Arial" w:eastAsia="Calibri" w:hAnsi="Arial" w:cs="Arial"/>
          <w:szCs w:val="28"/>
        </w:rPr>
        <w:t xml:space="preserve">El principio de </w:t>
      </w:r>
      <w:r w:rsidRPr="00F32542">
        <w:rPr>
          <w:rFonts w:ascii="Arial" w:eastAsia="Calibri" w:hAnsi="Arial" w:cs="Arial"/>
          <w:b/>
          <w:szCs w:val="28"/>
        </w:rPr>
        <w:t xml:space="preserve">paridad de género, </w:t>
      </w:r>
      <w:r w:rsidRPr="00F32542">
        <w:rPr>
          <w:rFonts w:ascii="Arial" w:eastAsia="Calibri" w:hAnsi="Arial" w:cs="Arial"/>
          <w:szCs w:val="28"/>
        </w:rPr>
        <w:t xml:space="preserve">el cual es una medida permanente de conformidad con el artículo 41 constitucional. </w:t>
      </w:r>
    </w:p>
    <w:p w14:paraId="3BEA607D" w14:textId="77777777" w:rsidR="00DC4161" w:rsidRPr="00F32542" w:rsidRDefault="00DC4161" w:rsidP="00DC4161">
      <w:pPr>
        <w:pStyle w:val="Prrafodelista"/>
        <w:rPr>
          <w:rFonts w:ascii="Arial" w:eastAsia="Calibri" w:hAnsi="Arial" w:cs="Arial"/>
          <w:szCs w:val="28"/>
        </w:rPr>
      </w:pPr>
    </w:p>
    <w:p w14:paraId="29846118" w14:textId="77777777" w:rsidR="00DC4161" w:rsidRPr="00F32542" w:rsidRDefault="00F94B48" w:rsidP="009B6ED0">
      <w:pPr>
        <w:pStyle w:val="Prrafodelista"/>
        <w:numPr>
          <w:ilvl w:val="0"/>
          <w:numId w:val="32"/>
        </w:numPr>
        <w:spacing w:line="360" w:lineRule="auto"/>
        <w:rPr>
          <w:rFonts w:ascii="Arial" w:eastAsia="Calibri" w:hAnsi="Arial" w:cs="Arial"/>
          <w:szCs w:val="28"/>
        </w:rPr>
      </w:pPr>
      <w:r w:rsidRPr="00F32542">
        <w:rPr>
          <w:rFonts w:ascii="Arial" w:eastAsia="Calibri" w:hAnsi="Arial" w:cs="Arial"/>
          <w:szCs w:val="28"/>
        </w:rPr>
        <w:t xml:space="preserve">El </w:t>
      </w:r>
      <w:r w:rsidRPr="00F32542">
        <w:rPr>
          <w:rFonts w:ascii="Arial" w:eastAsia="Calibri" w:hAnsi="Arial" w:cs="Arial"/>
          <w:b/>
          <w:szCs w:val="28"/>
        </w:rPr>
        <w:t>principio de autodeterminación</w:t>
      </w:r>
      <w:r w:rsidRPr="00F32542">
        <w:rPr>
          <w:rFonts w:ascii="Arial" w:eastAsia="Calibri" w:hAnsi="Arial" w:cs="Arial"/>
          <w:szCs w:val="28"/>
        </w:rPr>
        <w:t xml:space="preserve">, relativo a respetar las decisiones adoptadas por los partidos políticos, derivadas de su organización interna, con relación a los derechos de sus </w:t>
      </w:r>
      <w:proofErr w:type="gramStart"/>
      <w:r w:rsidRPr="00F32542">
        <w:rPr>
          <w:rFonts w:ascii="Arial" w:eastAsia="Calibri" w:hAnsi="Arial" w:cs="Arial"/>
          <w:szCs w:val="28"/>
        </w:rPr>
        <w:t>candidatas y candidatos</w:t>
      </w:r>
      <w:proofErr w:type="gramEnd"/>
      <w:r w:rsidRPr="00F32542">
        <w:rPr>
          <w:rFonts w:ascii="Arial" w:eastAsia="Calibri" w:hAnsi="Arial" w:cs="Arial"/>
          <w:szCs w:val="28"/>
        </w:rPr>
        <w:t>.</w:t>
      </w:r>
    </w:p>
    <w:p w14:paraId="568DACB6" w14:textId="77777777" w:rsidR="00DC4161" w:rsidRPr="00F32542" w:rsidRDefault="00DC4161" w:rsidP="00DC4161">
      <w:pPr>
        <w:pStyle w:val="Prrafodelista"/>
        <w:rPr>
          <w:rFonts w:ascii="Arial" w:eastAsia="Calibri" w:hAnsi="Arial" w:cs="Arial"/>
          <w:szCs w:val="28"/>
        </w:rPr>
      </w:pPr>
    </w:p>
    <w:p w14:paraId="1427978A" w14:textId="77777777" w:rsidR="00F94B48" w:rsidRPr="00F32542" w:rsidRDefault="00F94B48" w:rsidP="009B6ED0">
      <w:pPr>
        <w:pStyle w:val="Prrafodelista"/>
        <w:numPr>
          <w:ilvl w:val="0"/>
          <w:numId w:val="32"/>
        </w:numPr>
        <w:spacing w:line="360" w:lineRule="auto"/>
        <w:rPr>
          <w:rFonts w:ascii="Arial" w:eastAsia="Calibri" w:hAnsi="Arial" w:cs="Arial"/>
          <w:szCs w:val="28"/>
        </w:rPr>
      </w:pPr>
      <w:r w:rsidRPr="00F32542">
        <w:rPr>
          <w:rFonts w:ascii="Arial" w:eastAsia="Calibri" w:hAnsi="Arial" w:cs="Arial"/>
          <w:szCs w:val="28"/>
        </w:rPr>
        <w:t xml:space="preserve">El </w:t>
      </w:r>
      <w:r w:rsidRPr="00F32542">
        <w:rPr>
          <w:rFonts w:ascii="Arial" w:eastAsia="Calibri" w:hAnsi="Arial" w:cs="Arial"/>
          <w:b/>
          <w:szCs w:val="28"/>
        </w:rPr>
        <w:t xml:space="preserve">principio de alternancia </w:t>
      </w:r>
      <w:r w:rsidRPr="00F32542">
        <w:rPr>
          <w:rFonts w:ascii="Arial" w:eastAsia="Calibri" w:hAnsi="Arial" w:cs="Arial"/>
          <w:szCs w:val="28"/>
        </w:rPr>
        <w:t>consiste en colocar de forma sucesiva, a un género seguido de otro distinto, de modo tal que el mismo género no se encuentre en dos lugares consecutivos del segmento respectivo, siendo su finalidad instrumental, para lograr el equilibrio de género entre las candidaturas y lograr la participación política de hombres y mujeres en un plano de igualdad sustancial.</w:t>
      </w:r>
    </w:p>
    <w:p w14:paraId="4DED3F4E" w14:textId="77777777" w:rsidR="00DC4161" w:rsidRPr="00F32542" w:rsidRDefault="00DC4161" w:rsidP="00DC4161">
      <w:pPr>
        <w:spacing w:after="0" w:line="360" w:lineRule="auto"/>
        <w:jc w:val="both"/>
        <w:rPr>
          <w:rFonts w:ascii="Arial" w:eastAsia="Calibri" w:hAnsi="Arial" w:cs="Arial"/>
          <w:sz w:val="28"/>
          <w:szCs w:val="28"/>
        </w:rPr>
      </w:pPr>
    </w:p>
    <w:p w14:paraId="21A279B1" w14:textId="77777777" w:rsidR="00F94B48" w:rsidRPr="00F32542" w:rsidRDefault="00F94B48" w:rsidP="00DC4161">
      <w:pPr>
        <w:spacing w:after="0" w:line="360" w:lineRule="auto"/>
        <w:jc w:val="both"/>
        <w:rPr>
          <w:rFonts w:ascii="Arial" w:eastAsia="Calibri" w:hAnsi="Arial" w:cs="Arial"/>
          <w:sz w:val="28"/>
          <w:szCs w:val="28"/>
        </w:rPr>
      </w:pPr>
      <w:r w:rsidRPr="00F32542">
        <w:rPr>
          <w:rFonts w:ascii="Arial" w:eastAsia="Calibri" w:hAnsi="Arial" w:cs="Arial"/>
          <w:sz w:val="28"/>
          <w:szCs w:val="28"/>
        </w:rPr>
        <w:t>Cabe señalar que</w:t>
      </w:r>
      <w:r w:rsidR="00DC4161" w:rsidRPr="00F32542">
        <w:rPr>
          <w:rFonts w:ascii="Arial" w:eastAsia="Calibri" w:hAnsi="Arial" w:cs="Arial"/>
          <w:sz w:val="28"/>
          <w:szCs w:val="28"/>
        </w:rPr>
        <w:t>,</w:t>
      </w:r>
      <w:r w:rsidRPr="00F32542">
        <w:rPr>
          <w:rFonts w:ascii="Arial" w:eastAsia="Calibri" w:hAnsi="Arial" w:cs="Arial"/>
          <w:sz w:val="28"/>
          <w:szCs w:val="28"/>
        </w:rPr>
        <w:t xml:space="preserve"> para la integración de la lista definitiva, esos principios deben guardar equilibrio y sistematicidad, cuestión que se analizará en cada caso particular, </w:t>
      </w:r>
      <w:r w:rsidR="00DC4161" w:rsidRPr="00F32542">
        <w:rPr>
          <w:rFonts w:ascii="Arial" w:eastAsia="Calibri" w:hAnsi="Arial" w:cs="Arial"/>
          <w:sz w:val="28"/>
          <w:szCs w:val="28"/>
        </w:rPr>
        <w:t>a fin de</w:t>
      </w:r>
      <w:r w:rsidRPr="00F32542">
        <w:rPr>
          <w:rFonts w:ascii="Arial" w:eastAsia="Calibri" w:hAnsi="Arial" w:cs="Arial"/>
          <w:sz w:val="28"/>
          <w:szCs w:val="28"/>
        </w:rPr>
        <w:t xml:space="preserve"> verificar el modo en que interactúan tales mandatos de optimización y si existen la condiciones que permitan o hagan necesario ponderarlos para evitar afectaciones entre ellos.</w:t>
      </w:r>
    </w:p>
    <w:p w14:paraId="7123336B"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b/>
          <w:sz w:val="28"/>
          <w:szCs w:val="28"/>
        </w:rPr>
        <w:t xml:space="preserve">Caso concreto. </w:t>
      </w:r>
    </w:p>
    <w:p w14:paraId="6E7891F2"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En el caso de </w:t>
      </w:r>
      <w:proofErr w:type="spellStart"/>
      <w:r w:rsidRPr="00F32542">
        <w:rPr>
          <w:rFonts w:ascii="Arial" w:eastAsia="Calibri" w:hAnsi="Arial" w:cs="Arial"/>
          <w:sz w:val="28"/>
          <w:szCs w:val="28"/>
        </w:rPr>
        <w:t>Nitzia</w:t>
      </w:r>
      <w:proofErr w:type="spellEnd"/>
      <w:r w:rsidRPr="00F32542">
        <w:rPr>
          <w:rFonts w:ascii="Arial" w:eastAsia="Calibri" w:hAnsi="Arial" w:cs="Arial"/>
          <w:sz w:val="28"/>
          <w:szCs w:val="28"/>
        </w:rPr>
        <w:t xml:space="preserve"> Lucero Rosas Chávez aduce que la posición cinco (5) de la lista definitiva del PRI debió serle asignada a ella, y no a una persona inscrita en la lista A, debido a que el porcentaje de votación que obtuvo en mayoría relativa, la colocó como la segunda mujer mejor votada de la lista B.</w:t>
      </w:r>
    </w:p>
    <w:p w14:paraId="2283D758"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Sostiene que se debe privilegiar su votación y no la autodeterminación del partido político. </w:t>
      </w:r>
    </w:p>
    <w:p w14:paraId="36E90A22"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sz w:val="28"/>
          <w:szCs w:val="28"/>
        </w:rPr>
        <w:t xml:space="preserve">Ahora bien, de conformidad con el acuerdo </w:t>
      </w:r>
      <w:r w:rsidRPr="00F32542">
        <w:rPr>
          <w:rFonts w:ascii="Arial" w:eastAsia="Calibri" w:hAnsi="Arial" w:cs="Arial"/>
          <w:b/>
          <w:bCs/>
          <w:sz w:val="28"/>
          <w:szCs w:val="28"/>
        </w:rPr>
        <w:t xml:space="preserve">IECM/ACU-CG-324/2021, </w:t>
      </w:r>
      <w:r w:rsidRPr="00F32542">
        <w:rPr>
          <w:rFonts w:ascii="Arial" w:eastAsia="Calibri" w:hAnsi="Arial" w:cs="Arial"/>
          <w:bCs/>
          <w:sz w:val="28"/>
          <w:szCs w:val="28"/>
        </w:rPr>
        <w:t>la lista definitiva del PRI es la siguiente:</w:t>
      </w:r>
    </w:p>
    <w:tbl>
      <w:tblPr>
        <w:tblStyle w:val="Tablaconcuadrcula25"/>
        <w:tblW w:w="0" w:type="auto"/>
        <w:tblLook w:val="04A0" w:firstRow="1" w:lastRow="0" w:firstColumn="1" w:lastColumn="0" w:noHBand="0" w:noVBand="1"/>
      </w:tblPr>
      <w:tblGrid>
        <w:gridCol w:w="542"/>
        <w:gridCol w:w="2829"/>
        <w:gridCol w:w="758"/>
        <w:gridCol w:w="2541"/>
        <w:gridCol w:w="1876"/>
      </w:tblGrid>
      <w:tr w:rsidR="00F94B48" w:rsidRPr="00F32542" w14:paraId="612FB08D" w14:textId="77777777" w:rsidTr="00DC4161">
        <w:trPr>
          <w:tblHeader/>
        </w:trPr>
        <w:tc>
          <w:tcPr>
            <w:tcW w:w="546" w:type="dxa"/>
            <w:tcBorders>
              <w:bottom w:val="single" w:sz="4" w:space="0" w:color="auto"/>
            </w:tcBorders>
            <w:shd w:val="clear" w:color="auto" w:fill="BFBFBF" w:themeFill="background1" w:themeFillShade="BF"/>
          </w:tcPr>
          <w:p w14:paraId="253698EA" w14:textId="77777777" w:rsidR="00F94B48" w:rsidRPr="00F32542" w:rsidRDefault="00F94B48" w:rsidP="00F94B48">
            <w:pPr>
              <w:spacing w:after="0" w:line="360" w:lineRule="auto"/>
              <w:jc w:val="both"/>
              <w:rPr>
                <w:rFonts w:ascii="Arial" w:eastAsia="Calibri" w:hAnsi="Arial" w:cs="Arial"/>
                <w:b/>
                <w:sz w:val="20"/>
                <w:szCs w:val="20"/>
              </w:rPr>
            </w:pPr>
            <w:r w:rsidRPr="00F32542">
              <w:rPr>
                <w:rFonts w:ascii="Arial" w:eastAsia="Calibri" w:hAnsi="Arial" w:cs="Arial"/>
                <w:b/>
                <w:sz w:val="20"/>
                <w:szCs w:val="20"/>
              </w:rPr>
              <w:t>No</w:t>
            </w:r>
          </w:p>
        </w:tc>
        <w:tc>
          <w:tcPr>
            <w:tcW w:w="2939" w:type="dxa"/>
            <w:tcBorders>
              <w:bottom w:val="single" w:sz="4" w:space="0" w:color="auto"/>
            </w:tcBorders>
            <w:shd w:val="clear" w:color="auto" w:fill="BFBFBF" w:themeFill="background1" w:themeFillShade="BF"/>
          </w:tcPr>
          <w:p w14:paraId="3A950553" w14:textId="77777777" w:rsidR="00F94B48" w:rsidRPr="00F32542" w:rsidRDefault="00F94B48" w:rsidP="00F94B48">
            <w:pPr>
              <w:spacing w:after="0" w:line="360" w:lineRule="auto"/>
              <w:jc w:val="center"/>
              <w:rPr>
                <w:rFonts w:ascii="Arial" w:eastAsia="Calibri" w:hAnsi="Arial" w:cs="Arial"/>
                <w:b/>
                <w:sz w:val="20"/>
                <w:szCs w:val="20"/>
              </w:rPr>
            </w:pPr>
            <w:r w:rsidRPr="00F32542">
              <w:rPr>
                <w:rFonts w:ascii="Arial" w:eastAsia="Calibri" w:hAnsi="Arial" w:cs="Arial"/>
                <w:b/>
                <w:sz w:val="20"/>
                <w:szCs w:val="20"/>
              </w:rPr>
              <w:t>Nombre (propietario)</w:t>
            </w:r>
          </w:p>
        </w:tc>
        <w:tc>
          <w:tcPr>
            <w:tcW w:w="763" w:type="dxa"/>
            <w:tcBorders>
              <w:bottom w:val="single" w:sz="4" w:space="0" w:color="auto"/>
            </w:tcBorders>
            <w:shd w:val="clear" w:color="auto" w:fill="BFBFBF" w:themeFill="background1" w:themeFillShade="BF"/>
          </w:tcPr>
          <w:p w14:paraId="01FA2376" w14:textId="77777777" w:rsidR="00F94B48" w:rsidRPr="00F32542" w:rsidRDefault="00F94B48" w:rsidP="00F94B48">
            <w:pPr>
              <w:spacing w:after="0" w:line="360" w:lineRule="auto"/>
              <w:jc w:val="center"/>
              <w:rPr>
                <w:rFonts w:ascii="Arial" w:eastAsia="Calibri" w:hAnsi="Arial" w:cs="Arial"/>
                <w:b/>
                <w:sz w:val="20"/>
                <w:szCs w:val="20"/>
              </w:rPr>
            </w:pPr>
            <w:r w:rsidRPr="00F32542">
              <w:rPr>
                <w:rFonts w:ascii="Arial" w:eastAsia="Calibri" w:hAnsi="Arial" w:cs="Arial"/>
                <w:b/>
                <w:sz w:val="20"/>
                <w:szCs w:val="20"/>
              </w:rPr>
              <w:t xml:space="preserve">Sexo </w:t>
            </w:r>
          </w:p>
        </w:tc>
        <w:tc>
          <w:tcPr>
            <w:tcW w:w="2655" w:type="dxa"/>
            <w:tcBorders>
              <w:bottom w:val="single" w:sz="4" w:space="0" w:color="auto"/>
            </w:tcBorders>
            <w:shd w:val="clear" w:color="auto" w:fill="BFBFBF" w:themeFill="background1" w:themeFillShade="BF"/>
          </w:tcPr>
          <w:p w14:paraId="742F2554" w14:textId="77777777" w:rsidR="00F94B48" w:rsidRPr="00F32542" w:rsidRDefault="00F94B48" w:rsidP="00F94B48">
            <w:pPr>
              <w:spacing w:after="0" w:line="360" w:lineRule="auto"/>
              <w:jc w:val="center"/>
              <w:rPr>
                <w:rFonts w:ascii="Arial" w:eastAsia="Calibri" w:hAnsi="Arial" w:cs="Arial"/>
                <w:b/>
                <w:sz w:val="20"/>
                <w:szCs w:val="20"/>
                <w:u w:val="single"/>
              </w:rPr>
            </w:pPr>
            <w:r w:rsidRPr="00F32542">
              <w:rPr>
                <w:rFonts w:ascii="Arial" w:eastAsia="Calibri" w:hAnsi="Arial" w:cs="Arial"/>
                <w:b/>
                <w:sz w:val="20"/>
                <w:szCs w:val="20"/>
                <w:u w:val="single"/>
              </w:rPr>
              <w:t xml:space="preserve">Lista de la que proviene y lugar en la lista </w:t>
            </w:r>
          </w:p>
        </w:tc>
        <w:tc>
          <w:tcPr>
            <w:tcW w:w="1925" w:type="dxa"/>
            <w:tcBorders>
              <w:bottom w:val="single" w:sz="4" w:space="0" w:color="auto"/>
            </w:tcBorders>
            <w:shd w:val="clear" w:color="auto" w:fill="BFBFBF" w:themeFill="background1" w:themeFillShade="BF"/>
          </w:tcPr>
          <w:p w14:paraId="4FB801F3" w14:textId="77777777" w:rsidR="00F94B48" w:rsidRPr="00F32542" w:rsidRDefault="00F94B48" w:rsidP="00F94B48">
            <w:pPr>
              <w:spacing w:after="0" w:line="360" w:lineRule="auto"/>
              <w:jc w:val="center"/>
              <w:rPr>
                <w:rFonts w:ascii="Arial" w:eastAsia="Calibri" w:hAnsi="Arial" w:cs="Arial"/>
                <w:b/>
                <w:sz w:val="20"/>
                <w:szCs w:val="20"/>
              </w:rPr>
            </w:pPr>
            <w:r w:rsidRPr="00F32542">
              <w:rPr>
                <w:rFonts w:ascii="Arial" w:eastAsia="Calibri" w:hAnsi="Arial" w:cs="Arial"/>
                <w:b/>
                <w:sz w:val="20"/>
                <w:szCs w:val="20"/>
              </w:rPr>
              <w:t>Porcentaje de votación</w:t>
            </w:r>
          </w:p>
        </w:tc>
      </w:tr>
      <w:tr w:rsidR="00F94B48" w:rsidRPr="00F32542" w14:paraId="06F71446" w14:textId="77777777" w:rsidTr="00F94B48">
        <w:trPr>
          <w:trHeight w:val="533"/>
        </w:trPr>
        <w:tc>
          <w:tcPr>
            <w:tcW w:w="546" w:type="dxa"/>
            <w:shd w:val="clear" w:color="auto" w:fill="D0CECE"/>
            <w:vAlign w:val="center"/>
          </w:tcPr>
          <w:p w14:paraId="7D94F2ED"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w:t>
            </w:r>
          </w:p>
        </w:tc>
        <w:tc>
          <w:tcPr>
            <w:tcW w:w="2939" w:type="dxa"/>
            <w:shd w:val="clear" w:color="auto" w:fill="D0CECE"/>
            <w:vAlign w:val="center"/>
          </w:tcPr>
          <w:p w14:paraId="563868E7"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Carlos Joaquín Fernández Tinoco</w:t>
            </w:r>
          </w:p>
        </w:tc>
        <w:tc>
          <w:tcPr>
            <w:tcW w:w="763" w:type="dxa"/>
            <w:shd w:val="clear" w:color="auto" w:fill="D0CECE"/>
            <w:vAlign w:val="center"/>
          </w:tcPr>
          <w:p w14:paraId="4D1D5B08"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H</w:t>
            </w:r>
          </w:p>
        </w:tc>
        <w:tc>
          <w:tcPr>
            <w:tcW w:w="2655" w:type="dxa"/>
            <w:shd w:val="clear" w:color="auto" w:fill="D0CECE"/>
            <w:vAlign w:val="center"/>
          </w:tcPr>
          <w:p w14:paraId="7A3A1812"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 xml:space="preserve">1 </w:t>
            </w:r>
            <w:proofErr w:type="gramStart"/>
            <w:r w:rsidRPr="00F32542">
              <w:rPr>
                <w:rFonts w:ascii="Arial" w:eastAsia="Calibri" w:hAnsi="Arial" w:cs="Arial"/>
                <w:sz w:val="20"/>
                <w:szCs w:val="20"/>
              </w:rPr>
              <w:t>A</w:t>
            </w:r>
            <w:proofErr w:type="gramEnd"/>
          </w:p>
        </w:tc>
        <w:tc>
          <w:tcPr>
            <w:tcW w:w="1925" w:type="dxa"/>
            <w:shd w:val="clear" w:color="auto" w:fill="D0CECE"/>
            <w:vAlign w:val="center"/>
          </w:tcPr>
          <w:p w14:paraId="21BA6666"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 xml:space="preserve">No aplica </w:t>
            </w:r>
          </w:p>
        </w:tc>
      </w:tr>
      <w:tr w:rsidR="00F94B48" w:rsidRPr="00F32542" w14:paraId="6BB3239B" w14:textId="77777777" w:rsidTr="00F94B48">
        <w:trPr>
          <w:trHeight w:val="533"/>
        </w:trPr>
        <w:tc>
          <w:tcPr>
            <w:tcW w:w="546" w:type="dxa"/>
            <w:shd w:val="clear" w:color="auto" w:fill="D0CECE"/>
            <w:vAlign w:val="center"/>
          </w:tcPr>
          <w:p w14:paraId="4FD18444"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2</w:t>
            </w:r>
          </w:p>
        </w:tc>
        <w:tc>
          <w:tcPr>
            <w:tcW w:w="2939" w:type="dxa"/>
            <w:shd w:val="clear" w:color="auto" w:fill="D0CECE"/>
            <w:vAlign w:val="center"/>
          </w:tcPr>
          <w:p w14:paraId="33CBFF71"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Mónica Fernández César</w:t>
            </w:r>
          </w:p>
        </w:tc>
        <w:tc>
          <w:tcPr>
            <w:tcW w:w="763" w:type="dxa"/>
            <w:shd w:val="clear" w:color="auto" w:fill="D0CECE"/>
            <w:vAlign w:val="center"/>
          </w:tcPr>
          <w:p w14:paraId="34136A9E"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M</w:t>
            </w:r>
          </w:p>
        </w:tc>
        <w:tc>
          <w:tcPr>
            <w:tcW w:w="2655" w:type="dxa"/>
            <w:shd w:val="clear" w:color="auto" w:fill="D0CECE"/>
            <w:vAlign w:val="center"/>
          </w:tcPr>
          <w:p w14:paraId="67EDFDB2"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 B</w:t>
            </w:r>
          </w:p>
        </w:tc>
        <w:tc>
          <w:tcPr>
            <w:tcW w:w="1925" w:type="dxa"/>
            <w:shd w:val="clear" w:color="auto" w:fill="D0CECE"/>
            <w:vAlign w:val="center"/>
          </w:tcPr>
          <w:p w14:paraId="302A8EC0"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17.84</w:t>
            </w:r>
          </w:p>
        </w:tc>
      </w:tr>
      <w:tr w:rsidR="00F94B48" w:rsidRPr="00F32542" w14:paraId="211E7DAA" w14:textId="77777777" w:rsidTr="00B65D24">
        <w:trPr>
          <w:trHeight w:val="533"/>
        </w:trPr>
        <w:tc>
          <w:tcPr>
            <w:tcW w:w="546" w:type="dxa"/>
            <w:vAlign w:val="center"/>
          </w:tcPr>
          <w:p w14:paraId="5269D291"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3</w:t>
            </w:r>
          </w:p>
        </w:tc>
        <w:tc>
          <w:tcPr>
            <w:tcW w:w="2939" w:type="dxa"/>
            <w:vAlign w:val="center"/>
          </w:tcPr>
          <w:p w14:paraId="40BFD5D3"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Tania Nanette Larios Pérez</w:t>
            </w:r>
          </w:p>
        </w:tc>
        <w:tc>
          <w:tcPr>
            <w:tcW w:w="763" w:type="dxa"/>
            <w:vAlign w:val="center"/>
          </w:tcPr>
          <w:p w14:paraId="1A7ACEA1"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M</w:t>
            </w:r>
          </w:p>
        </w:tc>
        <w:tc>
          <w:tcPr>
            <w:tcW w:w="2655" w:type="dxa"/>
            <w:vAlign w:val="center"/>
          </w:tcPr>
          <w:p w14:paraId="7455BB32"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 xml:space="preserve">2 </w:t>
            </w:r>
            <w:proofErr w:type="gramStart"/>
            <w:r w:rsidRPr="00F32542">
              <w:rPr>
                <w:rFonts w:ascii="Arial" w:eastAsia="Calibri" w:hAnsi="Arial" w:cs="Arial"/>
                <w:sz w:val="20"/>
                <w:szCs w:val="20"/>
              </w:rPr>
              <w:t>A</w:t>
            </w:r>
            <w:proofErr w:type="gramEnd"/>
          </w:p>
        </w:tc>
        <w:tc>
          <w:tcPr>
            <w:tcW w:w="1925" w:type="dxa"/>
            <w:vAlign w:val="center"/>
          </w:tcPr>
          <w:p w14:paraId="17FB5CA9"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No aplica</w:t>
            </w:r>
          </w:p>
        </w:tc>
      </w:tr>
      <w:tr w:rsidR="00F94B48" w:rsidRPr="00F32542" w14:paraId="42A88644" w14:textId="77777777" w:rsidTr="00B65D24">
        <w:trPr>
          <w:trHeight w:val="533"/>
        </w:trPr>
        <w:tc>
          <w:tcPr>
            <w:tcW w:w="546" w:type="dxa"/>
            <w:tcBorders>
              <w:bottom w:val="single" w:sz="4" w:space="0" w:color="auto"/>
            </w:tcBorders>
            <w:vAlign w:val="center"/>
          </w:tcPr>
          <w:p w14:paraId="29C79410"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4</w:t>
            </w:r>
          </w:p>
        </w:tc>
        <w:tc>
          <w:tcPr>
            <w:tcW w:w="2939" w:type="dxa"/>
            <w:tcBorders>
              <w:bottom w:val="single" w:sz="4" w:space="0" w:color="auto"/>
            </w:tcBorders>
            <w:vAlign w:val="center"/>
          </w:tcPr>
          <w:p w14:paraId="6887F138" w14:textId="77777777" w:rsidR="00F94B48" w:rsidRPr="00F32542" w:rsidRDefault="00F94B48" w:rsidP="00F94B48">
            <w:pPr>
              <w:spacing w:after="0" w:line="360" w:lineRule="auto"/>
              <w:jc w:val="center"/>
              <w:rPr>
                <w:rFonts w:ascii="Arial" w:eastAsia="Calibri" w:hAnsi="Arial" w:cs="Arial"/>
                <w:sz w:val="20"/>
                <w:szCs w:val="20"/>
              </w:rPr>
            </w:pPr>
            <w:proofErr w:type="spellStart"/>
            <w:r w:rsidRPr="00F32542">
              <w:rPr>
                <w:rFonts w:ascii="Arial" w:eastAsia="Calibri" w:hAnsi="Arial" w:cs="Arial"/>
                <w:sz w:val="20"/>
                <w:szCs w:val="20"/>
              </w:rPr>
              <w:t>Jhonatan</w:t>
            </w:r>
            <w:proofErr w:type="spellEnd"/>
            <w:r w:rsidRPr="00F32542">
              <w:rPr>
                <w:rFonts w:ascii="Arial" w:eastAsia="Calibri" w:hAnsi="Arial" w:cs="Arial"/>
                <w:sz w:val="20"/>
                <w:szCs w:val="20"/>
              </w:rPr>
              <w:t xml:space="preserve"> Colmenares Rentería</w:t>
            </w:r>
          </w:p>
        </w:tc>
        <w:tc>
          <w:tcPr>
            <w:tcW w:w="763" w:type="dxa"/>
            <w:tcBorders>
              <w:bottom w:val="single" w:sz="4" w:space="0" w:color="auto"/>
            </w:tcBorders>
            <w:vAlign w:val="center"/>
          </w:tcPr>
          <w:p w14:paraId="423DCF27"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H</w:t>
            </w:r>
          </w:p>
        </w:tc>
        <w:tc>
          <w:tcPr>
            <w:tcW w:w="2655" w:type="dxa"/>
            <w:tcBorders>
              <w:bottom w:val="single" w:sz="4" w:space="0" w:color="auto"/>
            </w:tcBorders>
            <w:vAlign w:val="center"/>
          </w:tcPr>
          <w:p w14:paraId="5840F4E4"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2 B</w:t>
            </w:r>
          </w:p>
        </w:tc>
        <w:tc>
          <w:tcPr>
            <w:tcW w:w="1925" w:type="dxa"/>
            <w:tcBorders>
              <w:bottom w:val="single" w:sz="4" w:space="0" w:color="auto"/>
            </w:tcBorders>
            <w:vAlign w:val="center"/>
          </w:tcPr>
          <w:p w14:paraId="4EFFB3FB"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15.61</w:t>
            </w:r>
          </w:p>
        </w:tc>
      </w:tr>
      <w:tr w:rsidR="00F94B48" w:rsidRPr="00F32542" w14:paraId="38B4C7D3" w14:textId="77777777" w:rsidTr="00F94B48">
        <w:trPr>
          <w:trHeight w:val="533"/>
        </w:trPr>
        <w:tc>
          <w:tcPr>
            <w:tcW w:w="546" w:type="dxa"/>
            <w:shd w:val="clear" w:color="auto" w:fill="D0CECE"/>
            <w:vAlign w:val="center"/>
          </w:tcPr>
          <w:p w14:paraId="5633AFA0"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5</w:t>
            </w:r>
          </w:p>
        </w:tc>
        <w:tc>
          <w:tcPr>
            <w:tcW w:w="2939" w:type="dxa"/>
            <w:shd w:val="clear" w:color="auto" w:fill="D0CECE"/>
            <w:vAlign w:val="center"/>
          </w:tcPr>
          <w:p w14:paraId="17E56D8F"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Fausto Manuel Zamorano Esparza</w:t>
            </w:r>
          </w:p>
        </w:tc>
        <w:tc>
          <w:tcPr>
            <w:tcW w:w="763" w:type="dxa"/>
            <w:shd w:val="clear" w:color="auto" w:fill="D0CECE"/>
            <w:vAlign w:val="center"/>
          </w:tcPr>
          <w:p w14:paraId="57A8D805"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H</w:t>
            </w:r>
          </w:p>
        </w:tc>
        <w:tc>
          <w:tcPr>
            <w:tcW w:w="2655" w:type="dxa"/>
            <w:shd w:val="clear" w:color="auto" w:fill="D0CECE"/>
            <w:vAlign w:val="center"/>
          </w:tcPr>
          <w:p w14:paraId="03742631"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 xml:space="preserve">3 </w:t>
            </w:r>
            <w:proofErr w:type="gramStart"/>
            <w:r w:rsidRPr="00F32542">
              <w:rPr>
                <w:rFonts w:ascii="Arial" w:eastAsia="Calibri" w:hAnsi="Arial" w:cs="Arial"/>
                <w:sz w:val="20"/>
                <w:szCs w:val="20"/>
              </w:rPr>
              <w:t>A</w:t>
            </w:r>
            <w:proofErr w:type="gramEnd"/>
          </w:p>
        </w:tc>
        <w:tc>
          <w:tcPr>
            <w:tcW w:w="1925" w:type="dxa"/>
            <w:shd w:val="clear" w:color="auto" w:fill="D0CECE"/>
            <w:vAlign w:val="center"/>
          </w:tcPr>
          <w:p w14:paraId="19E9C845"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No aplica</w:t>
            </w:r>
          </w:p>
        </w:tc>
      </w:tr>
      <w:tr w:rsidR="00F94B48" w:rsidRPr="00F32542" w14:paraId="17C8738F" w14:textId="77777777" w:rsidTr="00F94B48">
        <w:trPr>
          <w:trHeight w:val="533"/>
        </w:trPr>
        <w:tc>
          <w:tcPr>
            <w:tcW w:w="546" w:type="dxa"/>
            <w:shd w:val="clear" w:color="auto" w:fill="D0CECE"/>
            <w:vAlign w:val="center"/>
          </w:tcPr>
          <w:p w14:paraId="0A62AB71"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6</w:t>
            </w:r>
          </w:p>
        </w:tc>
        <w:tc>
          <w:tcPr>
            <w:tcW w:w="2939" w:type="dxa"/>
            <w:shd w:val="clear" w:color="auto" w:fill="D0CECE"/>
            <w:vAlign w:val="center"/>
          </w:tcPr>
          <w:p w14:paraId="0657D3F6" w14:textId="77777777" w:rsidR="00F94B48" w:rsidRPr="00F32542" w:rsidRDefault="00F94B48" w:rsidP="00F94B48">
            <w:pPr>
              <w:spacing w:after="0" w:line="360" w:lineRule="auto"/>
              <w:jc w:val="center"/>
              <w:rPr>
                <w:rFonts w:ascii="Arial" w:eastAsia="Calibri" w:hAnsi="Arial" w:cs="Arial"/>
                <w:sz w:val="20"/>
                <w:szCs w:val="20"/>
              </w:rPr>
            </w:pPr>
            <w:proofErr w:type="spellStart"/>
            <w:r w:rsidRPr="00F32542">
              <w:rPr>
                <w:rFonts w:ascii="Arial" w:eastAsia="Calibri" w:hAnsi="Arial" w:cs="Arial"/>
                <w:sz w:val="20"/>
                <w:szCs w:val="20"/>
              </w:rPr>
              <w:t>Nitzia</w:t>
            </w:r>
            <w:proofErr w:type="spellEnd"/>
            <w:r w:rsidRPr="00F32542">
              <w:rPr>
                <w:rFonts w:ascii="Arial" w:eastAsia="Calibri" w:hAnsi="Arial" w:cs="Arial"/>
                <w:sz w:val="20"/>
                <w:szCs w:val="20"/>
              </w:rPr>
              <w:t xml:space="preserve"> Lucero Rosas Chávez</w:t>
            </w:r>
          </w:p>
        </w:tc>
        <w:tc>
          <w:tcPr>
            <w:tcW w:w="763" w:type="dxa"/>
            <w:shd w:val="clear" w:color="auto" w:fill="D0CECE"/>
            <w:vAlign w:val="center"/>
          </w:tcPr>
          <w:p w14:paraId="726B49E6"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M</w:t>
            </w:r>
          </w:p>
        </w:tc>
        <w:tc>
          <w:tcPr>
            <w:tcW w:w="2655" w:type="dxa"/>
            <w:shd w:val="clear" w:color="auto" w:fill="D0CECE"/>
            <w:vAlign w:val="center"/>
          </w:tcPr>
          <w:p w14:paraId="18FEEBFA"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3 B</w:t>
            </w:r>
          </w:p>
        </w:tc>
        <w:tc>
          <w:tcPr>
            <w:tcW w:w="1925" w:type="dxa"/>
            <w:shd w:val="clear" w:color="auto" w:fill="D0CECE"/>
            <w:vAlign w:val="center"/>
          </w:tcPr>
          <w:p w14:paraId="06AF8D32"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15.52</w:t>
            </w:r>
          </w:p>
        </w:tc>
      </w:tr>
    </w:tbl>
    <w:p w14:paraId="0005F7DD"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lastRenderedPageBreak/>
        <w:t xml:space="preserve">Como se observa, la lista referida se organizó de tal modo, que el primer lugar le correspondió a la primera posición de la lista A, del PRI esto, en atención a lo dispuesto en el artículo 24, fracción V, del </w:t>
      </w:r>
      <w:r w:rsidRPr="00F32542">
        <w:rPr>
          <w:rFonts w:ascii="Arial" w:eastAsia="Calibri" w:hAnsi="Arial" w:cs="Arial"/>
          <w:i/>
          <w:sz w:val="28"/>
          <w:szCs w:val="28"/>
        </w:rPr>
        <w:t xml:space="preserve">Código local. </w:t>
      </w:r>
    </w:p>
    <w:p w14:paraId="000294A2"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En cumplimiento a tal disposición, el segundo lugar de la lista definitiva le correspondió al primer lugar de la lista B y los bloques se continuaron conformando de esa manera, es decir, el segundo de ellos se integró con el segundo lugar tanto de la lista A y como de la lista B y así sucesivamente.</w:t>
      </w:r>
    </w:p>
    <w:p w14:paraId="7E0CB8EE"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sz w:val="28"/>
          <w:szCs w:val="28"/>
        </w:rPr>
        <w:t xml:space="preserve">Cabe señalar que de conformidad con el acuerdo </w:t>
      </w:r>
      <w:r w:rsidRPr="00F32542">
        <w:rPr>
          <w:rFonts w:ascii="Arial" w:eastAsia="Calibri" w:hAnsi="Arial" w:cs="Arial"/>
          <w:b/>
          <w:bCs/>
          <w:sz w:val="28"/>
          <w:szCs w:val="28"/>
        </w:rPr>
        <w:t xml:space="preserve">IECM/ACU-CG-324/2021, </w:t>
      </w:r>
      <w:r w:rsidRPr="00F32542">
        <w:rPr>
          <w:rFonts w:ascii="Arial" w:eastAsia="Calibri" w:hAnsi="Arial" w:cs="Arial"/>
          <w:bCs/>
          <w:sz w:val="28"/>
          <w:szCs w:val="28"/>
        </w:rPr>
        <w:t xml:space="preserve">al PRI le correspondieron cinco (5) diputaciones de representación proporcional. </w:t>
      </w:r>
      <w:proofErr w:type="gramStart"/>
      <w:r w:rsidRPr="00F32542">
        <w:rPr>
          <w:rFonts w:ascii="Arial" w:eastAsia="Calibri" w:hAnsi="Arial" w:cs="Arial"/>
          <w:bCs/>
          <w:sz w:val="28"/>
          <w:szCs w:val="28"/>
        </w:rPr>
        <w:t>En razón de</w:t>
      </w:r>
      <w:proofErr w:type="gramEnd"/>
      <w:r w:rsidRPr="00F32542">
        <w:rPr>
          <w:rFonts w:ascii="Arial" w:eastAsia="Calibri" w:hAnsi="Arial" w:cs="Arial"/>
          <w:bCs/>
          <w:sz w:val="28"/>
          <w:szCs w:val="28"/>
        </w:rPr>
        <w:t xml:space="preserve"> ello, la asignación correspondiente comprendería hasta la quinta posición de la respectiva lista definitiva. </w:t>
      </w:r>
    </w:p>
    <w:p w14:paraId="491F8527"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Ahora bien, como se indicó, </w:t>
      </w:r>
      <w:proofErr w:type="spellStart"/>
      <w:r w:rsidRPr="00F32542">
        <w:rPr>
          <w:rFonts w:ascii="Arial" w:eastAsia="Calibri" w:hAnsi="Arial" w:cs="Arial"/>
          <w:bCs/>
          <w:sz w:val="28"/>
          <w:szCs w:val="28"/>
        </w:rPr>
        <w:t>Nitzia</w:t>
      </w:r>
      <w:proofErr w:type="spellEnd"/>
      <w:r w:rsidRPr="00F32542">
        <w:rPr>
          <w:rFonts w:ascii="Arial" w:eastAsia="Calibri" w:hAnsi="Arial" w:cs="Arial"/>
          <w:bCs/>
          <w:sz w:val="28"/>
          <w:szCs w:val="28"/>
        </w:rPr>
        <w:t xml:space="preserve"> Lucero Rosas Chávez, quien ocupó la posición seis (6) de la lista definitiva, proviene del lugar tres (3) de la lista B, y pretende ocupar la posición cinco (5) de la propia lista definitiva. </w:t>
      </w:r>
    </w:p>
    <w:p w14:paraId="59441523"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Es decir, la actora pretende que la posición cinco (5), que le correspondió a una persona de la lista A, se sustituya por alguien de la lista B, esto es, por su candidatura. </w:t>
      </w:r>
    </w:p>
    <w:p w14:paraId="23EBD61B"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Este Tribunal considera que el planteamiento es </w:t>
      </w:r>
      <w:r w:rsidRPr="00F32542">
        <w:rPr>
          <w:rFonts w:ascii="Arial" w:eastAsia="Calibri" w:hAnsi="Arial" w:cs="Arial"/>
          <w:b/>
          <w:bCs/>
          <w:sz w:val="28"/>
          <w:szCs w:val="28"/>
        </w:rPr>
        <w:t>infundado</w:t>
      </w:r>
      <w:r w:rsidRPr="00F32542">
        <w:rPr>
          <w:rFonts w:ascii="Arial" w:eastAsia="Calibri" w:hAnsi="Arial" w:cs="Arial"/>
          <w:bCs/>
          <w:sz w:val="28"/>
          <w:szCs w:val="28"/>
        </w:rPr>
        <w:t xml:space="preserve"> porque no es posible, en este caso, desplazar a una posición que le corresponde a la lista A, porque con ello se afectaría el derecho de autodeterminación de los partidos políticos.</w:t>
      </w:r>
    </w:p>
    <w:p w14:paraId="29817CFC"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lastRenderedPageBreak/>
        <w:t>Esto, porque como se explicó, la conformación de la lista A es resultado de la expresión del derecho de los institutos políticos a autoorganizarse y, por ende, a definir la estrategia política que le resulte más conveniente a sus intereses.</w:t>
      </w:r>
    </w:p>
    <w:p w14:paraId="67A4ABB5"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De manera que, al tratarse de un asunto de la incumbencia exclusiva de sus asuntos internos, según lo dispone el artículo 34, párrafo 2, de la Ley General de Partidos Políticos, la autoridad electoral no puede interferir, sin justificación, en la decisión de ese tema. </w:t>
      </w:r>
    </w:p>
    <w:p w14:paraId="335C28A1"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Por tanto, la autodeterminación de los partidos </w:t>
      </w:r>
      <w:proofErr w:type="gramStart"/>
      <w:r w:rsidRPr="00F32542">
        <w:rPr>
          <w:rFonts w:ascii="Arial" w:eastAsia="Calibri" w:hAnsi="Arial" w:cs="Arial"/>
          <w:bCs/>
          <w:sz w:val="28"/>
          <w:szCs w:val="28"/>
        </w:rPr>
        <w:t>políticos,</w:t>
      </w:r>
      <w:proofErr w:type="gramEnd"/>
      <w:r w:rsidRPr="00F32542">
        <w:rPr>
          <w:rFonts w:ascii="Arial" w:eastAsia="Calibri" w:hAnsi="Arial" w:cs="Arial"/>
          <w:bCs/>
          <w:sz w:val="28"/>
          <w:szCs w:val="28"/>
        </w:rPr>
        <w:t xml:space="preserve"> se ve reflejada en el hecho de que la primera posición de la respectiva lista definitiva, le corresponde al primer lugar de la lista A.</w:t>
      </w:r>
    </w:p>
    <w:p w14:paraId="718F7536"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Esto, en la medida que esta lista se integra por las candidaturas consideradas por cada partido, como las que cumplirán de mejor manera sus expectativas de participación política y representatividad, en la posición que, debido al principio de representación proporcional, les asegurara una curul plurinominal. </w:t>
      </w:r>
    </w:p>
    <w:p w14:paraId="279098D2"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Así, al concederle razón a la parte actora, y permitir que desplace a la candidatura que ocupa la quinta posición de la lista definitiva, con origen en la lista A, ello se afectaría el derecho de autodeterminación del PRI.</w:t>
      </w:r>
    </w:p>
    <w:p w14:paraId="71438208"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Al respecto, la parte actora sostiene que el ajuste por ella </w:t>
      </w:r>
      <w:proofErr w:type="gramStart"/>
      <w:r w:rsidRPr="00F32542">
        <w:rPr>
          <w:rFonts w:ascii="Arial" w:eastAsia="Calibri" w:hAnsi="Arial" w:cs="Arial"/>
          <w:bCs/>
          <w:sz w:val="28"/>
          <w:szCs w:val="28"/>
        </w:rPr>
        <w:t>planteado,</w:t>
      </w:r>
      <w:proofErr w:type="gramEnd"/>
      <w:r w:rsidRPr="00F32542">
        <w:rPr>
          <w:rFonts w:ascii="Arial" w:eastAsia="Calibri" w:hAnsi="Arial" w:cs="Arial"/>
          <w:bCs/>
          <w:sz w:val="28"/>
          <w:szCs w:val="28"/>
        </w:rPr>
        <w:t xml:space="preserve"> podría justificarse porque al PRI le correspondieron cinco diputaciones de representación proporcional, de las cuales tres fueron para hombres y dos para mujeres, o sea, a partir del hecho de que existen más hombres que mujeres en la asignación de curules de representación proporcional del PRI.</w:t>
      </w:r>
    </w:p>
    <w:p w14:paraId="45E073A1"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lastRenderedPageBreak/>
        <w:t xml:space="preserve">No obstante, tal justificación no resulta válida si se consideran también las diputaciones de mayoría relativa que obtuvo el PRI. </w:t>
      </w:r>
    </w:p>
    <w:p w14:paraId="4EC0B1BE"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En efecto, de conformidad con el acuerdo impugnado, si se suman las diputaciones de mayoría relativa y de representación proporcional del PRI, en total obtuvo nueve (9) diputaciones. </w:t>
      </w:r>
    </w:p>
    <w:p w14:paraId="516FA016"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De ellas, cinco (5) son mujeres y cuatro (4) son hombres. Por tanto, en las diputaciones que le correspondieron al PRI existen más mujeres que hombres.</w:t>
      </w:r>
    </w:p>
    <w:p w14:paraId="425D5292"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Por ello, se concluye que no tiene razón la actora, cuando alega que se debe desplazar a la posición cinco (5) de la lista definitiva, porque existen más hombres que mujeres en las diputaciones plurinominales del PRI.</w:t>
      </w:r>
    </w:p>
    <w:p w14:paraId="11357812"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Asumir otra conclusión, redundaría en una afectación injustificada al principio de autodeterminación reconocido a favor de dicho partido político, la cual también sería innecesaria y desproporcional si se toma en cuenta que, en cuanto a las curules obtenidas por el propio partido, existe equilibrio entre dicho principio, el principio democrático y el de paridad.</w:t>
      </w:r>
    </w:p>
    <w:p w14:paraId="4B4BF386"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Por las razones expuestas, no se puede modificar el tercer bloque de la lista definitiva para que la actora ocupara la posición cinco.</w:t>
      </w:r>
    </w:p>
    <w:p w14:paraId="3BCA433B"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bCs/>
          <w:sz w:val="28"/>
          <w:szCs w:val="28"/>
        </w:rPr>
        <w:t xml:space="preserve">Por otro lado, en cuanto al planteamiento de </w:t>
      </w:r>
      <w:r w:rsidRPr="00F32542">
        <w:rPr>
          <w:rFonts w:ascii="Arial" w:eastAsia="Calibri" w:hAnsi="Arial" w:cs="Arial"/>
          <w:sz w:val="28"/>
          <w:szCs w:val="28"/>
        </w:rPr>
        <w:t xml:space="preserve">Mónica Jessica Menocal del Moral respecto a que su fórmula debe ocupar la posición nueve </w:t>
      </w:r>
      <w:r w:rsidR="00DC4161" w:rsidRPr="00F32542">
        <w:rPr>
          <w:rFonts w:ascii="Arial" w:eastAsia="Calibri" w:hAnsi="Arial" w:cs="Arial"/>
          <w:sz w:val="28"/>
          <w:szCs w:val="28"/>
        </w:rPr>
        <w:t xml:space="preserve">(9) </w:t>
      </w:r>
      <w:r w:rsidRPr="00F32542">
        <w:rPr>
          <w:rFonts w:ascii="Arial" w:eastAsia="Calibri" w:hAnsi="Arial" w:cs="Arial"/>
          <w:sz w:val="28"/>
          <w:szCs w:val="28"/>
        </w:rPr>
        <w:t xml:space="preserve">de la lista definitiva del PAN, se considera </w:t>
      </w:r>
      <w:r w:rsidRPr="00F32542">
        <w:rPr>
          <w:rFonts w:ascii="Arial" w:eastAsia="Calibri" w:hAnsi="Arial" w:cs="Arial"/>
          <w:b/>
          <w:sz w:val="28"/>
          <w:szCs w:val="28"/>
        </w:rPr>
        <w:t xml:space="preserve">infundado. </w:t>
      </w:r>
    </w:p>
    <w:p w14:paraId="59820952"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lastRenderedPageBreak/>
        <w:t>Cabe aclarar, que esta actora parte de la premisa consistente en que, en el acuerdo impugnado, la diputación migrante fue considerada el primer lugar de la lista A del PAN.</w:t>
      </w:r>
    </w:p>
    <w:p w14:paraId="6CAC754A"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Cuestión que la conduce a sostener que el primer lugar de la lista definitiva debió corresponder a la fórmula femenina ubicada en el primer lugar de la lista B de ese partido.</w:t>
      </w:r>
    </w:p>
    <w:p w14:paraId="2F1C844E"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El planteamiento es </w:t>
      </w:r>
      <w:r w:rsidRPr="00F32542">
        <w:rPr>
          <w:rFonts w:ascii="Arial" w:eastAsia="Calibri" w:hAnsi="Arial" w:cs="Arial"/>
          <w:b/>
          <w:sz w:val="28"/>
          <w:szCs w:val="28"/>
        </w:rPr>
        <w:t>inoperante</w:t>
      </w:r>
      <w:r w:rsidRPr="00F32542">
        <w:rPr>
          <w:rFonts w:ascii="Arial" w:eastAsia="Calibri" w:hAnsi="Arial" w:cs="Arial"/>
          <w:sz w:val="28"/>
          <w:szCs w:val="28"/>
        </w:rPr>
        <w:t>, puesto que, en esta sentencia, la premisa aducida por la actora ha sido superada, al considerarse incorrecto el ajuste relativo a ubicar a la diputación migrante como primer lugar de la lista A del PAN.</w:t>
      </w:r>
    </w:p>
    <w:p w14:paraId="740C77E1"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proofErr w:type="gramStart"/>
      <w:r w:rsidRPr="00F32542">
        <w:rPr>
          <w:rFonts w:ascii="Arial" w:eastAsia="Calibri" w:hAnsi="Arial" w:cs="Arial"/>
          <w:sz w:val="28"/>
          <w:szCs w:val="28"/>
        </w:rPr>
        <w:t>En razón de</w:t>
      </w:r>
      <w:proofErr w:type="gramEnd"/>
      <w:r w:rsidRPr="00F32542">
        <w:rPr>
          <w:rFonts w:ascii="Arial" w:eastAsia="Calibri" w:hAnsi="Arial" w:cs="Arial"/>
          <w:sz w:val="28"/>
          <w:szCs w:val="28"/>
        </w:rPr>
        <w:t xml:space="preserve"> ello, de conformidad con el artículo 24, fracción V, del </w:t>
      </w:r>
      <w:r w:rsidRPr="00F32542">
        <w:rPr>
          <w:rFonts w:ascii="Arial" w:eastAsia="Calibri" w:hAnsi="Arial" w:cs="Arial"/>
          <w:i/>
          <w:sz w:val="28"/>
          <w:szCs w:val="28"/>
        </w:rPr>
        <w:t>Código local</w:t>
      </w:r>
      <w:r w:rsidRPr="00F32542">
        <w:rPr>
          <w:rFonts w:ascii="Arial" w:eastAsia="Calibri" w:hAnsi="Arial" w:cs="Arial"/>
          <w:sz w:val="28"/>
          <w:szCs w:val="28"/>
        </w:rPr>
        <w:t xml:space="preserve"> la lista definitiva del PAN debe iniciar con el primer lugar de la lista A que originalmente registró este partido. </w:t>
      </w:r>
    </w:p>
    <w:p w14:paraId="1D5FE0E3"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Ahora bien, para demostrar lo </w:t>
      </w:r>
      <w:r w:rsidRPr="00F32542">
        <w:rPr>
          <w:rFonts w:ascii="Arial" w:eastAsia="Calibri" w:hAnsi="Arial" w:cs="Arial"/>
          <w:b/>
          <w:bCs/>
          <w:sz w:val="28"/>
          <w:szCs w:val="28"/>
        </w:rPr>
        <w:t>infundado</w:t>
      </w:r>
      <w:r w:rsidRPr="00F32542">
        <w:rPr>
          <w:rFonts w:ascii="Arial" w:eastAsia="Calibri" w:hAnsi="Arial" w:cs="Arial"/>
          <w:sz w:val="28"/>
          <w:szCs w:val="28"/>
        </w:rPr>
        <w:t xml:space="preserve"> del presente agravio, es necesario presentar la lista definitiva del PAN, </w:t>
      </w:r>
      <w:proofErr w:type="gramStart"/>
      <w:r w:rsidRPr="00F32542">
        <w:rPr>
          <w:rFonts w:ascii="Arial" w:eastAsia="Calibri" w:hAnsi="Arial" w:cs="Arial"/>
          <w:sz w:val="28"/>
          <w:szCs w:val="28"/>
        </w:rPr>
        <w:t>de acuerdo a</w:t>
      </w:r>
      <w:proofErr w:type="gramEnd"/>
      <w:r w:rsidRPr="00F32542">
        <w:rPr>
          <w:rFonts w:ascii="Arial" w:eastAsia="Calibri" w:hAnsi="Arial" w:cs="Arial"/>
          <w:sz w:val="28"/>
          <w:szCs w:val="28"/>
        </w:rPr>
        <w:t xml:space="preserve"> lo establecido previamente en esta sentencia:</w:t>
      </w:r>
    </w:p>
    <w:tbl>
      <w:tblPr>
        <w:tblStyle w:val="Tablaconcuadrcula25"/>
        <w:tblW w:w="0" w:type="auto"/>
        <w:tblLook w:val="04A0" w:firstRow="1" w:lastRow="0" w:firstColumn="1" w:lastColumn="0" w:noHBand="0" w:noVBand="1"/>
      </w:tblPr>
      <w:tblGrid>
        <w:gridCol w:w="542"/>
        <w:gridCol w:w="2829"/>
        <w:gridCol w:w="758"/>
        <w:gridCol w:w="2541"/>
        <w:gridCol w:w="1876"/>
      </w:tblGrid>
      <w:tr w:rsidR="00F94B48" w:rsidRPr="00F32542" w14:paraId="337F2EF4" w14:textId="77777777" w:rsidTr="00DC4161">
        <w:trPr>
          <w:tblHeader/>
        </w:trPr>
        <w:tc>
          <w:tcPr>
            <w:tcW w:w="546" w:type="dxa"/>
            <w:tcBorders>
              <w:bottom w:val="single" w:sz="4" w:space="0" w:color="auto"/>
            </w:tcBorders>
            <w:shd w:val="clear" w:color="auto" w:fill="BFBFBF" w:themeFill="background1" w:themeFillShade="BF"/>
          </w:tcPr>
          <w:p w14:paraId="0243188B" w14:textId="77777777" w:rsidR="00F94B48" w:rsidRPr="00F32542" w:rsidRDefault="00F94B48" w:rsidP="00F94B48">
            <w:pPr>
              <w:spacing w:after="0" w:line="360" w:lineRule="auto"/>
              <w:jc w:val="both"/>
              <w:rPr>
                <w:rFonts w:ascii="Arial" w:eastAsia="Calibri" w:hAnsi="Arial" w:cs="Arial"/>
                <w:b/>
                <w:sz w:val="20"/>
                <w:szCs w:val="20"/>
              </w:rPr>
            </w:pPr>
            <w:r w:rsidRPr="00F32542">
              <w:rPr>
                <w:rFonts w:ascii="Arial" w:eastAsia="Calibri" w:hAnsi="Arial" w:cs="Arial"/>
                <w:b/>
                <w:sz w:val="20"/>
                <w:szCs w:val="20"/>
              </w:rPr>
              <w:t>No</w:t>
            </w:r>
          </w:p>
        </w:tc>
        <w:tc>
          <w:tcPr>
            <w:tcW w:w="2939" w:type="dxa"/>
            <w:tcBorders>
              <w:bottom w:val="single" w:sz="4" w:space="0" w:color="auto"/>
            </w:tcBorders>
            <w:shd w:val="clear" w:color="auto" w:fill="BFBFBF" w:themeFill="background1" w:themeFillShade="BF"/>
          </w:tcPr>
          <w:p w14:paraId="63114930" w14:textId="77777777" w:rsidR="00F94B48" w:rsidRPr="00F32542" w:rsidRDefault="00F94B48" w:rsidP="00F94B48">
            <w:pPr>
              <w:spacing w:after="0" w:line="360" w:lineRule="auto"/>
              <w:jc w:val="center"/>
              <w:rPr>
                <w:rFonts w:ascii="Arial" w:eastAsia="Calibri" w:hAnsi="Arial" w:cs="Arial"/>
                <w:b/>
                <w:sz w:val="20"/>
                <w:szCs w:val="20"/>
              </w:rPr>
            </w:pPr>
            <w:r w:rsidRPr="00F32542">
              <w:rPr>
                <w:rFonts w:ascii="Arial" w:eastAsia="Calibri" w:hAnsi="Arial" w:cs="Arial"/>
                <w:b/>
                <w:sz w:val="20"/>
                <w:szCs w:val="20"/>
              </w:rPr>
              <w:t>Nombre (propietario)</w:t>
            </w:r>
          </w:p>
        </w:tc>
        <w:tc>
          <w:tcPr>
            <w:tcW w:w="763" w:type="dxa"/>
            <w:tcBorders>
              <w:bottom w:val="single" w:sz="4" w:space="0" w:color="auto"/>
            </w:tcBorders>
            <w:shd w:val="clear" w:color="auto" w:fill="BFBFBF" w:themeFill="background1" w:themeFillShade="BF"/>
          </w:tcPr>
          <w:p w14:paraId="2931953A" w14:textId="77777777" w:rsidR="00F94B48" w:rsidRPr="00F32542" w:rsidRDefault="00F94B48" w:rsidP="00F94B48">
            <w:pPr>
              <w:spacing w:after="0" w:line="360" w:lineRule="auto"/>
              <w:jc w:val="center"/>
              <w:rPr>
                <w:rFonts w:ascii="Arial" w:eastAsia="Calibri" w:hAnsi="Arial" w:cs="Arial"/>
                <w:b/>
                <w:sz w:val="20"/>
                <w:szCs w:val="20"/>
              </w:rPr>
            </w:pPr>
            <w:r w:rsidRPr="00F32542">
              <w:rPr>
                <w:rFonts w:ascii="Arial" w:eastAsia="Calibri" w:hAnsi="Arial" w:cs="Arial"/>
                <w:b/>
                <w:sz w:val="20"/>
                <w:szCs w:val="20"/>
              </w:rPr>
              <w:t xml:space="preserve">Sexo </w:t>
            </w:r>
          </w:p>
        </w:tc>
        <w:tc>
          <w:tcPr>
            <w:tcW w:w="2655" w:type="dxa"/>
            <w:tcBorders>
              <w:bottom w:val="single" w:sz="4" w:space="0" w:color="auto"/>
            </w:tcBorders>
            <w:shd w:val="clear" w:color="auto" w:fill="BFBFBF" w:themeFill="background1" w:themeFillShade="BF"/>
          </w:tcPr>
          <w:p w14:paraId="6E3693EE" w14:textId="77777777" w:rsidR="00F94B48" w:rsidRPr="00F32542" w:rsidRDefault="00F94B48" w:rsidP="00F94B48">
            <w:pPr>
              <w:spacing w:after="0" w:line="360" w:lineRule="auto"/>
              <w:jc w:val="center"/>
              <w:rPr>
                <w:rFonts w:ascii="Arial" w:eastAsia="Calibri" w:hAnsi="Arial" w:cs="Arial"/>
                <w:b/>
                <w:sz w:val="20"/>
                <w:szCs w:val="20"/>
              </w:rPr>
            </w:pPr>
            <w:r w:rsidRPr="00F32542">
              <w:rPr>
                <w:rFonts w:ascii="Arial" w:eastAsia="Calibri" w:hAnsi="Arial" w:cs="Arial"/>
                <w:b/>
                <w:sz w:val="20"/>
                <w:szCs w:val="20"/>
              </w:rPr>
              <w:t xml:space="preserve">Lugar y lista de la que proviene </w:t>
            </w:r>
          </w:p>
        </w:tc>
        <w:tc>
          <w:tcPr>
            <w:tcW w:w="1925" w:type="dxa"/>
            <w:tcBorders>
              <w:bottom w:val="single" w:sz="4" w:space="0" w:color="auto"/>
            </w:tcBorders>
            <w:shd w:val="clear" w:color="auto" w:fill="BFBFBF" w:themeFill="background1" w:themeFillShade="BF"/>
          </w:tcPr>
          <w:p w14:paraId="3ED604B3" w14:textId="77777777" w:rsidR="00F94B48" w:rsidRPr="00F32542" w:rsidRDefault="00F94B48" w:rsidP="00F94B48">
            <w:pPr>
              <w:spacing w:after="0" w:line="360" w:lineRule="auto"/>
              <w:jc w:val="center"/>
              <w:rPr>
                <w:rFonts w:ascii="Arial" w:eastAsia="Calibri" w:hAnsi="Arial" w:cs="Arial"/>
                <w:b/>
                <w:sz w:val="20"/>
                <w:szCs w:val="20"/>
              </w:rPr>
            </w:pPr>
            <w:r w:rsidRPr="00F32542">
              <w:rPr>
                <w:rFonts w:ascii="Arial" w:eastAsia="Calibri" w:hAnsi="Arial" w:cs="Arial"/>
                <w:b/>
                <w:sz w:val="20"/>
                <w:szCs w:val="20"/>
              </w:rPr>
              <w:t>Porcentaje de votación</w:t>
            </w:r>
          </w:p>
        </w:tc>
      </w:tr>
      <w:tr w:rsidR="00F94B48" w:rsidRPr="00F32542" w14:paraId="5C84BAF6" w14:textId="77777777" w:rsidTr="00F94B48">
        <w:trPr>
          <w:trHeight w:val="533"/>
        </w:trPr>
        <w:tc>
          <w:tcPr>
            <w:tcW w:w="546" w:type="dxa"/>
            <w:shd w:val="clear" w:color="auto" w:fill="D0CECE"/>
            <w:vAlign w:val="center"/>
          </w:tcPr>
          <w:p w14:paraId="31391E02"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w:t>
            </w:r>
          </w:p>
        </w:tc>
        <w:tc>
          <w:tcPr>
            <w:tcW w:w="2939" w:type="dxa"/>
            <w:shd w:val="clear" w:color="auto" w:fill="D0CECE"/>
            <w:vAlign w:val="center"/>
          </w:tcPr>
          <w:p w14:paraId="7741049F"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 xml:space="preserve">Federico </w:t>
            </w:r>
            <w:proofErr w:type="spellStart"/>
            <w:r w:rsidRPr="00F32542">
              <w:rPr>
                <w:rFonts w:ascii="Arial" w:eastAsia="Calibri" w:hAnsi="Arial" w:cs="Arial"/>
                <w:sz w:val="20"/>
                <w:szCs w:val="20"/>
              </w:rPr>
              <w:t>Döring</w:t>
            </w:r>
            <w:proofErr w:type="spellEnd"/>
            <w:r w:rsidRPr="00F32542">
              <w:rPr>
                <w:rFonts w:ascii="Arial" w:eastAsia="Calibri" w:hAnsi="Arial" w:cs="Arial"/>
                <w:sz w:val="20"/>
                <w:szCs w:val="20"/>
              </w:rPr>
              <w:t xml:space="preserve"> Casar</w:t>
            </w:r>
          </w:p>
        </w:tc>
        <w:tc>
          <w:tcPr>
            <w:tcW w:w="763" w:type="dxa"/>
            <w:shd w:val="clear" w:color="auto" w:fill="D0CECE"/>
            <w:vAlign w:val="center"/>
          </w:tcPr>
          <w:p w14:paraId="145B360F"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H</w:t>
            </w:r>
          </w:p>
        </w:tc>
        <w:tc>
          <w:tcPr>
            <w:tcW w:w="2655" w:type="dxa"/>
            <w:shd w:val="clear" w:color="auto" w:fill="D0CECE"/>
            <w:vAlign w:val="center"/>
          </w:tcPr>
          <w:p w14:paraId="0A359F51"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 xml:space="preserve">1 </w:t>
            </w:r>
            <w:proofErr w:type="gramStart"/>
            <w:r w:rsidRPr="00F32542">
              <w:rPr>
                <w:rFonts w:ascii="Arial" w:eastAsia="Calibri" w:hAnsi="Arial" w:cs="Arial"/>
                <w:sz w:val="20"/>
                <w:szCs w:val="20"/>
              </w:rPr>
              <w:t>A</w:t>
            </w:r>
            <w:proofErr w:type="gramEnd"/>
          </w:p>
        </w:tc>
        <w:tc>
          <w:tcPr>
            <w:tcW w:w="1925" w:type="dxa"/>
            <w:shd w:val="clear" w:color="auto" w:fill="D0CECE"/>
            <w:vAlign w:val="center"/>
          </w:tcPr>
          <w:p w14:paraId="462D8CF0"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 xml:space="preserve">No aplica </w:t>
            </w:r>
          </w:p>
        </w:tc>
      </w:tr>
      <w:tr w:rsidR="00F94B48" w:rsidRPr="00F32542" w14:paraId="6A608ADC" w14:textId="77777777" w:rsidTr="00F94B48">
        <w:trPr>
          <w:trHeight w:val="533"/>
        </w:trPr>
        <w:tc>
          <w:tcPr>
            <w:tcW w:w="546" w:type="dxa"/>
            <w:shd w:val="clear" w:color="auto" w:fill="D0CECE"/>
            <w:vAlign w:val="center"/>
          </w:tcPr>
          <w:p w14:paraId="6B055F28"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2</w:t>
            </w:r>
          </w:p>
        </w:tc>
        <w:tc>
          <w:tcPr>
            <w:tcW w:w="2939" w:type="dxa"/>
            <w:shd w:val="clear" w:color="auto" w:fill="D0CECE"/>
            <w:vAlign w:val="center"/>
          </w:tcPr>
          <w:p w14:paraId="48208208"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María Gabriela Salido Magos</w:t>
            </w:r>
          </w:p>
        </w:tc>
        <w:tc>
          <w:tcPr>
            <w:tcW w:w="763" w:type="dxa"/>
            <w:shd w:val="clear" w:color="auto" w:fill="D0CECE"/>
            <w:vAlign w:val="center"/>
          </w:tcPr>
          <w:p w14:paraId="22295A87"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M</w:t>
            </w:r>
          </w:p>
        </w:tc>
        <w:tc>
          <w:tcPr>
            <w:tcW w:w="2655" w:type="dxa"/>
            <w:shd w:val="clear" w:color="auto" w:fill="D0CECE"/>
            <w:vAlign w:val="center"/>
          </w:tcPr>
          <w:p w14:paraId="2782BCEB"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 B</w:t>
            </w:r>
          </w:p>
        </w:tc>
        <w:tc>
          <w:tcPr>
            <w:tcW w:w="1925" w:type="dxa"/>
            <w:shd w:val="clear" w:color="auto" w:fill="D0CECE"/>
            <w:vAlign w:val="center"/>
          </w:tcPr>
          <w:p w14:paraId="5D964EF9"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37.29</w:t>
            </w:r>
          </w:p>
        </w:tc>
      </w:tr>
      <w:tr w:rsidR="00F94B48" w:rsidRPr="00F32542" w14:paraId="79672571" w14:textId="77777777" w:rsidTr="00B65D24">
        <w:trPr>
          <w:trHeight w:val="533"/>
        </w:trPr>
        <w:tc>
          <w:tcPr>
            <w:tcW w:w="546" w:type="dxa"/>
            <w:vAlign w:val="center"/>
          </w:tcPr>
          <w:p w14:paraId="14BC030D"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3</w:t>
            </w:r>
          </w:p>
        </w:tc>
        <w:tc>
          <w:tcPr>
            <w:tcW w:w="2939" w:type="dxa"/>
            <w:vAlign w:val="center"/>
          </w:tcPr>
          <w:p w14:paraId="0BCDB722"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Luisa Adriana Gutiérrez Ureña</w:t>
            </w:r>
          </w:p>
        </w:tc>
        <w:tc>
          <w:tcPr>
            <w:tcW w:w="763" w:type="dxa"/>
            <w:vAlign w:val="center"/>
          </w:tcPr>
          <w:p w14:paraId="6DF749AC"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M</w:t>
            </w:r>
          </w:p>
        </w:tc>
        <w:tc>
          <w:tcPr>
            <w:tcW w:w="2655" w:type="dxa"/>
            <w:vAlign w:val="center"/>
          </w:tcPr>
          <w:p w14:paraId="42D23FC6"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 xml:space="preserve">2 </w:t>
            </w:r>
            <w:proofErr w:type="gramStart"/>
            <w:r w:rsidRPr="00F32542">
              <w:rPr>
                <w:rFonts w:ascii="Arial" w:eastAsia="Calibri" w:hAnsi="Arial" w:cs="Arial"/>
                <w:sz w:val="20"/>
                <w:szCs w:val="20"/>
              </w:rPr>
              <w:t>A</w:t>
            </w:r>
            <w:proofErr w:type="gramEnd"/>
          </w:p>
        </w:tc>
        <w:tc>
          <w:tcPr>
            <w:tcW w:w="1925" w:type="dxa"/>
            <w:vAlign w:val="center"/>
          </w:tcPr>
          <w:p w14:paraId="16E5652D"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No aplica</w:t>
            </w:r>
          </w:p>
        </w:tc>
      </w:tr>
      <w:tr w:rsidR="00F94B48" w:rsidRPr="00F32542" w14:paraId="6946FBA0" w14:textId="77777777" w:rsidTr="00B65D24">
        <w:trPr>
          <w:trHeight w:val="533"/>
        </w:trPr>
        <w:tc>
          <w:tcPr>
            <w:tcW w:w="546" w:type="dxa"/>
            <w:tcBorders>
              <w:bottom w:val="single" w:sz="4" w:space="0" w:color="auto"/>
            </w:tcBorders>
            <w:vAlign w:val="center"/>
          </w:tcPr>
          <w:p w14:paraId="051465CD"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4</w:t>
            </w:r>
          </w:p>
        </w:tc>
        <w:tc>
          <w:tcPr>
            <w:tcW w:w="2939" w:type="dxa"/>
            <w:tcBorders>
              <w:bottom w:val="single" w:sz="4" w:space="0" w:color="auto"/>
            </w:tcBorders>
            <w:vAlign w:val="center"/>
          </w:tcPr>
          <w:p w14:paraId="7A9225C9"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Luis Alberto Chávez García</w:t>
            </w:r>
          </w:p>
        </w:tc>
        <w:tc>
          <w:tcPr>
            <w:tcW w:w="763" w:type="dxa"/>
            <w:tcBorders>
              <w:bottom w:val="single" w:sz="4" w:space="0" w:color="auto"/>
            </w:tcBorders>
            <w:vAlign w:val="center"/>
          </w:tcPr>
          <w:p w14:paraId="53C098B0"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H</w:t>
            </w:r>
          </w:p>
        </w:tc>
        <w:tc>
          <w:tcPr>
            <w:tcW w:w="2655" w:type="dxa"/>
            <w:tcBorders>
              <w:bottom w:val="single" w:sz="4" w:space="0" w:color="auto"/>
            </w:tcBorders>
            <w:vAlign w:val="center"/>
          </w:tcPr>
          <w:p w14:paraId="1EAE7DC4"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2 B</w:t>
            </w:r>
          </w:p>
        </w:tc>
        <w:tc>
          <w:tcPr>
            <w:tcW w:w="1925" w:type="dxa"/>
            <w:tcBorders>
              <w:bottom w:val="single" w:sz="4" w:space="0" w:color="auto"/>
            </w:tcBorders>
            <w:vAlign w:val="center"/>
          </w:tcPr>
          <w:p w14:paraId="271B9C46"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28.35</w:t>
            </w:r>
          </w:p>
        </w:tc>
      </w:tr>
      <w:tr w:rsidR="00F94B48" w:rsidRPr="00F32542" w14:paraId="4B01BA19" w14:textId="77777777" w:rsidTr="00F94B48">
        <w:trPr>
          <w:trHeight w:val="533"/>
        </w:trPr>
        <w:tc>
          <w:tcPr>
            <w:tcW w:w="546" w:type="dxa"/>
            <w:shd w:val="clear" w:color="auto" w:fill="D0CECE"/>
            <w:vAlign w:val="center"/>
          </w:tcPr>
          <w:p w14:paraId="63300CED"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5</w:t>
            </w:r>
          </w:p>
        </w:tc>
        <w:tc>
          <w:tcPr>
            <w:tcW w:w="2939" w:type="dxa"/>
            <w:shd w:val="clear" w:color="auto" w:fill="D0CECE"/>
            <w:vAlign w:val="center"/>
          </w:tcPr>
          <w:p w14:paraId="456CDE34" w14:textId="77777777" w:rsidR="00F94B48" w:rsidRPr="00F32542" w:rsidRDefault="00F94B48" w:rsidP="00F94B48">
            <w:pPr>
              <w:spacing w:after="0" w:line="360" w:lineRule="auto"/>
              <w:jc w:val="center"/>
              <w:rPr>
                <w:rFonts w:ascii="Arial" w:eastAsia="Calibri" w:hAnsi="Arial" w:cs="Arial"/>
                <w:sz w:val="20"/>
                <w:szCs w:val="20"/>
              </w:rPr>
            </w:pPr>
            <w:proofErr w:type="spellStart"/>
            <w:r w:rsidRPr="00F32542">
              <w:rPr>
                <w:rFonts w:ascii="Arial" w:eastAsia="Calibri" w:hAnsi="Arial" w:cs="Arial"/>
                <w:sz w:val="20"/>
                <w:szCs w:val="20"/>
              </w:rPr>
              <w:t>Anibal</w:t>
            </w:r>
            <w:proofErr w:type="spellEnd"/>
            <w:r w:rsidRPr="00F32542">
              <w:rPr>
                <w:rFonts w:ascii="Arial" w:eastAsia="Calibri" w:hAnsi="Arial" w:cs="Arial"/>
                <w:sz w:val="20"/>
                <w:szCs w:val="20"/>
              </w:rPr>
              <w:t xml:space="preserve"> Alexandro </w:t>
            </w:r>
            <w:proofErr w:type="spellStart"/>
            <w:r w:rsidRPr="00F32542">
              <w:rPr>
                <w:rFonts w:ascii="Arial" w:eastAsia="Calibri" w:hAnsi="Arial" w:cs="Arial"/>
                <w:sz w:val="20"/>
                <w:szCs w:val="20"/>
              </w:rPr>
              <w:t>Cáñez</w:t>
            </w:r>
            <w:proofErr w:type="spellEnd"/>
            <w:r w:rsidRPr="00F32542">
              <w:rPr>
                <w:rFonts w:ascii="Arial" w:eastAsia="Calibri" w:hAnsi="Arial" w:cs="Arial"/>
                <w:sz w:val="20"/>
                <w:szCs w:val="20"/>
              </w:rPr>
              <w:t xml:space="preserve"> Morales</w:t>
            </w:r>
          </w:p>
        </w:tc>
        <w:tc>
          <w:tcPr>
            <w:tcW w:w="763" w:type="dxa"/>
            <w:shd w:val="clear" w:color="auto" w:fill="D0CECE"/>
            <w:vAlign w:val="center"/>
          </w:tcPr>
          <w:p w14:paraId="7C953F43"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H</w:t>
            </w:r>
          </w:p>
        </w:tc>
        <w:tc>
          <w:tcPr>
            <w:tcW w:w="2655" w:type="dxa"/>
            <w:shd w:val="clear" w:color="auto" w:fill="D0CECE"/>
            <w:vAlign w:val="center"/>
          </w:tcPr>
          <w:p w14:paraId="04A8ED65"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 xml:space="preserve">3 </w:t>
            </w:r>
            <w:proofErr w:type="gramStart"/>
            <w:r w:rsidRPr="00F32542">
              <w:rPr>
                <w:rFonts w:ascii="Arial" w:eastAsia="Calibri" w:hAnsi="Arial" w:cs="Arial"/>
                <w:sz w:val="20"/>
                <w:szCs w:val="20"/>
              </w:rPr>
              <w:t>A</w:t>
            </w:r>
            <w:proofErr w:type="gramEnd"/>
          </w:p>
        </w:tc>
        <w:tc>
          <w:tcPr>
            <w:tcW w:w="1925" w:type="dxa"/>
            <w:shd w:val="clear" w:color="auto" w:fill="D0CECE"/>
            <w:vAlign w:val="center"/>
          </w:tcPr>
          <w:p w14:paraId="5FA7FF80"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No aplica</w:t>
            </w:r>
          </w:p>
        </w:tc>
      </w:tr>
      <w:tr w:rsidR="00F94B48" w:rsidRPr="00F32542" w14:paraId="695E522B" w14:textId="77777777" w:rsidTr="00F94B48">
        <w:trPr>
          <w:trHeight w:val="533"/>
        </w:trPr>
        <w:tc>
          <w:tcPr>
            <w:tcW w:w="546" w:type="dxa"/>
            <w:tcBorders>
              <w:bottom w:val="single" w:sz="4" w:space="0" w:color="auto"/>
            </w:tcBorders>
            <w:shd w:val="clear" w:color="auto" w:fill="D0CECE"/>
            <w:vAlign w:val="center"/>
          </w:tcPr>
          <w:p w14:paraId="1C4D40CD"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6</w:t>
            </w:r>
          </w:p>
        </w:tc>
        <w:tc>
          <w:tcPr>
            <w:tcW w:w="2939" w:type="dxa"/>
            <w:tcBorders>
              <w:bottom w:val="single" w:sz="4" w:space="0" w:color="auto"/>
            </w:tcBorders>
            <w:shd w:val="clear" w:color="auto" w:fill="D0CECE"/>
            <w:vAlign w:val="center"/>
          </w:tcPr>
          <w:p w14:paraId="5ABBCBA4"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 xml:space="preserve">Andrea </w:t>
            </w:r>
            <w:proofErr w:type="spellStart"/>
            <w:r w:rsidRPr="00F32542">
              <w:rPr>
                <w:rFonts w:ascii="Arial" w:eastAsia="Calibri" w:hAnsi="Arial" w:cs="Arial"/>
                <w:sz w:val="20"/>
                <w:szCs w:val="20"/>
              </w:rPr>
              <w:t>Evelyne</w:t>
            </w:r>
            <w:proofErr w:type="spellEnd"/>
            <w:r w:rsidRPr="00F32542">
              <w:rPr>
                <w:rFonts w:ascii="Arial" w:eastAsia="Calibri" w:hAnsi="Arial" w:cs="Arial"/>
                <w:sz w:val="20"/>
                <w:szCs w:val="20"/>
              </w:rPr>
              <w:t xml:space="preserve"> </w:t>
            </w:r>
            <w:proofErr w:type="spellStart"/>
            <w:r w:rsidRPr="00F32542">
              <w:rPr>
                <w:rFonts w:ascii="Arial" w:eastAsia="Calibri" w:hAnsi="Arial" w:cs="Arial"/>
                <w:sz w:val="20"/>
                <w:szCs w:val="20"/>
              </w:rPr>
              <w:t>Vicenteño</w:t>
            </w:r>
            <w:proofErr w:type="spellEnd"/>
            <w:r w:rsidRPr="00F32542">
              <w:rPr>
                <w:rFonts w:ascii="Arial" w:eastAsia="Calibri" w:hAnsi="Arial" w:cs="Arial"/>
                <w:sz w:val="20"/>
                <w:szCs w:val="20"/>
              </w:rPr>
              <w:t xml:space="preserve"> Barrientos</w:t>
            </w:r>
          </w:p>
        </w:tc>
        <w:tc>
          <w:tcPr>
            <w:tcW w:w="763" w:type="dxa"/>
            <w:tcBorders>
              <w:bottom w:val="single" w:sz="4" w:space="0" w:color="auto"/>
            </w:tcBorders>
            <w:shd w:val="clear" w:color="auto" w:fill="D0CECE"/>
            <w:vAlign w:val="center"/>
          </w:tcPr>
          <w:p w14:paraId="7180443E"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M</w:t>
            </w:r>
          </w:p>
        </w:tc>
        <w:tc>
          <w:tcPr>
            <w:tcW w:w="2655" w:type="dxa"/>
            <w:tcBorders>
              <w:bottom w:val="single" w:sz="4" w:space="0" w:color="auto"/>
            </w:tcBorders>
            <w:shd w:val="clear" w:color="auto" w:fill="D0CECE"/>
            <w:vAlign w:val="center"/>
          </w:tcPr>
          <w:p w14:paraId="60C6ED6A"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3 B</w:t>
            </w:r>
          </w:p>
        </w:tc>
        <w:tc>
          <w:tcPr>
            <w:tcW w:w="1925" w:type="dxa"/>
            <w:tcBorders>
              <w:bottom w:val="single" w:sz="4" w:space="0" w:color="auto"/>
            </w:tcBorders>
            <w:shd w:val="clear" w:color="auto" w:fill="D0CECE"/>
            <w:vAlign w:val="center"/>
          </w:tcPr>
          <w:p w14:paraId="4A8EF51E"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22.19</w:t>
            </w:r>
          </w:p>
        </w:tc>
      </w:tr>
      <w:tr w:rsidR="00F94B48" w:rsidRPr="00F32542" w14:paraId="4AF48C1A" w14:textId="77777777" w:rsidTr="00F94B48">
        <w:trPr>
          <w:trHeight w:val="533"/>
        </w:trPr>
        <w:tc>
          <w:tcPr>
            <w:tcW w:w="546" w:type="dxa"/>
            <w:shd w:val="clear" w:color="auto" w:fill="FFFFFF"/>
            <w:vAlign w:val="center"/>
          </w:tcPr>
          <w:p w14:paraId="62832664"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lastRenderedPageBreak/>
              <w:t>7</w:t>
            </w:r>
          </w:p>
        </w:tc>
        <w:tc>
          <w:tcPr>
            <w:tcW w:w="2939" w:type="dxa"/>
            <w:shd w:val="clear" w:color="auto" w:fill="FFFFFF"/>
            <w:vAlign w:val="center"/>
          </w:tcPr>
          <w:p w14:paraId="5C64C44F"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Ana Jocelyn Villagrán Villasana</w:t>
            </w:r>
          </w:p>
        </w:tc>
        <w:tc>
          <w:tcPr>
            <w:tcW w:w="763" w:type="dxa"/>
            <w:shd w:val="clear" w:color="auto" w:fill="FFFFFF"/>
            <w:vAlign w:val="center"/>
          </w:tcPr>
          <w:p w14:paraId="20CBFFD0"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M</w:t>
            </w:r>
          </w:p>
        </w:tc>
        <w:tc>
          <w:tcPr>
            <w:tcW w:w="2655" w:type="dxa"/>
            <w:shd w:val="clear" w:color="auto" w:fill="FFFFFF"/>
            <w:vAlign w:val="center"/>
          </w:tcPr>
          <w:p w14:paraId="4D21A4BB"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 xml:space="preserve">4 </w:t>
            </w:r>
            <w:proofErr w:type="gramStart"/>
            <w:r w:rsidRPr="00F32542">
              <w:rPr>
                <w:rFonts w:ascii="Arial" w:eastAsia="Calibri" w:hAnsi="Arial" w:cs="Arial"/>
                <w:sz w:val="20"/>
                <w:szCs w:val="20"/>
              </w:rPr>
              <w:t>A</w:t>
            </w:r>
            <w:proofErr w:type="gramEnd"/>
          </w:p>
        </w:tc>
        <w:tc>
          <w:tcPr>
            <w:tcW w:w="1925" w:type="dxa"/>
            <w:shd w:val="clear" w:color="auto" w:fill="FFFFFF"/>
            <w:vAlign w:val="center"/>
          </w:tcPr>
          <w:p w14:paraId="1EB96F6E"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 xml:space="preserve">No aplica </w:t>
            </w:r>
          </w:p>
        </w:tc>
      </w:tr>
      <w:tr w:rsidR="00F94B48" w:rsidRPr="00F32542" w14:paraId="3153991C" w14:textId="77777777" w:rsidTr="00F94B48">
        <w:trPr>
          <w:trHeight w:val="533"/>
        </w:trPr>
        <w:tc>
          <w:tcPr>
            <w:tcW w:w="546" w:type="dxa"/>
            <w:shd w:val="clear" w:color="auto" w:fill="FFFFFF"/>
            <w:vAlign w:val="center"/>
          </w:tcPr>
          <w:p w14:paraId="22AFA3AE"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8</w:t>
            </w:r>
          </w:p>
        </w:tc>
        <w:tc>
          <w:tcPr>
            <w:tcW w:w="2939" w:type="dxa"/>
            <w:shd w:val="clear" w:color="auto" w:fill="FFFFFF"/>
            <w:vAlign w:val="center"/>
          </w:tcPr>
          <w:p w14:paraId="472702B5"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José Gonzalo Espina Miranda</w:t>
            </w:r>
          </w:p>
        </w:tc>
        <w:tc>
          <w:tcPr>
            <w:tcW w:w="763" w:type="dxa"/>
            <w:shd w:val="clear" w:color="auto" w:fill="FFFFFF"/>
            <w:vAlign w:val="center"/>
          </w:tcPr>
          <w:p w14:paraId="3E9FB1F2"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H</w:t>
            </w:r>
          </w:p>
        </w:tc>
        <w:tc>
          <w:tcPr>
            <w:tcW w:w="2655" w:type="dxa"/>
            <w:shd w:val="clear" w:color="auto" w:fill="FFFFFF"/>
            <w:vAlign w:val="center"/>
          </w:tcPr>
          <w:p w14:paraId="0F7A62BD"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4 B</w:t>
            </w:r>
          </w:p>
        </w:tc>
        <w:tc>
          <w:tcPr>
            <w:tcW w:w="1925" w:type="dxa"/>
            <w:shd w:val="clear" w:color="auto" w:fill="FFFFFF"/>
            <w:vAlign w:val="center"/>
          </w:tcPr>
          <w:p w14:paraId="652AAD9F"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27.57</w:t>
            </w:r>
          </w:p>
        </w:tc>
      </w:tr>
      <w:tr w:rsidR="00F94B48" w:rsidRPr="00F32542" w14:paraId="415FB383" w14:textId="77777777" w:rsidTr="00F94B48">
        <w:trPr>
          <w:trHeight w:val="533"/>
        </w:trPr>
        <w:tc>
          <w:tcPr>
            <w:tcW w:w="546" w:type="dxa"/>
            <w:shd w:val="clear" w:color="auto" w:fill="D0CECE"/>
            <w:vAlign w:val="center"/>
          </w:tcPr>
          <w:p w14:paraId="6F2593AC"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9</w:t>
            </w:r>
          </w:p>
        </w:tc>
        <w:tc>
          <w:tcPr>
            <w:tcW w:w="2939" w:type="dxa"/>
            <w:shd w:val="clear" w:color="auto" w:fill="D0CECE"/>
            <w:vAlign w:val="center"/>
          </w:tcPr>
          <w:p w14:paraId="0F9F18C9"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Rodrigo Miranda Berumen</w:t>
            </w:r>
          </w:p>
        </w:tc>
        <w:tc>
          <w:tcPr>
            <w:tcW w:w="763" w:type="dxa"/>
            <w:shd w:val="clear" w:color="auto" w:fill="D0CECE"/>
            <w:vAlign w:val="center"/>
          </w:tcPr>
          <w:p w14:paraId="65868EB0"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H</w:t>
            </w:r>
          </w:p>
        </w:tc>
        <w:tc>
          <w:tcPr>
            <w:tcW w:w="2655" w:type="dxa"/>
            <w:shd w:val="clear" w:color="auto" w:fill="D0CECE"/>
            <w:vAlign w:val="center"/>
          </w:tcPr>
          <w:p w14:paraId="761CF490"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 xml:space="preserve">5 </w:t>
            </w:r>
            <w:proofErr w:type="gramStart"/>
            <w:r w:rsidRPr="00F32542">
              <w:rPr>
                <w:rFonts w:ascii="Arial" w:eastAsia="Calibri" w:hAnsi="Arial" w:cs="Arial"/>
                <w:sz w:val="20"/>
                <w:szCs w:val="20"/>
              </w:rPr>
              <w:t>A</w:t>
            </w:r>
            <w:proofErr w:type="gramEnd"/>
          </w:p>
        </w:tc>
        <w:tc>
          <w:tcPr>
            <w:tcW w:w="1925" w:type="dxa"/>
            <w:shd w:val="clear" w:color="auto" w:fill="D0CECE"/>
            <w:vAlign w:val="center"/>
          </w:tcPr>
          <w:p w14:paraId="4FDF3777"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 xml:space="preserve">No aplica </w:t>
            </w:r>
          </w:p>
        </w:tc>
      </w:tr>
      <w:tr w:rsidR="00F94B48" w:rsidRPr="00F32542" w14:paraId="0FECB757" w14:textId="77777777" w:rsidTr="00F94B48">
        <w:trPr>
          <w:trHeight w:val="533"/>
        </w:trPr>
        <w:tc>
          <w:tcPr>
            <w:tcW w:w="546" w:type="dxa"/>
            <w:shd w:val="clear" w:color="auto" w:fill="D0CECE"/>
            <w:vAlign w:val="center"/>
          </w:tcPr>
          <w:p w14:paraId="0F7675EB"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10</w:t>
            </w:r>
          </w:p>
        </w:tc>
        <w:tc>
          <w:tcPr>
            <w:tcW w:w="2939" w:type="dxa"/>
            <w:shd w:val="clear" w:color="auto" w:fill="D0CECE"/>
            <w:vAlign w:val="center"/>
          </w:tcPr>
          <w:p w14:paraId="4E967D3B"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Mónica Jessica Menocal</w:t>
            </w:r>
            <w:r w:rsidRPr="00F32542">
              <w:rPr>
                <w:rFonts w:ascii="Arial" w:eastAsia="Calibri" w:hAnsi="Arial" w:cs="Arial"/>
                <w:sz w:val="28"/>
                <w:vertAlign w:val="superscript"/>
              </w:rPr>
              <w:footnoteReference w:id="51"/>
            </w:r>
            <w:r w:rsidRPr="00F32542">
              <w:rPr>
                <w:rFonts w:ascii="Arial" w:eastAsia="Calibri" w:hAnsi="Arial" w:cs="Arial"/>
                <w:sz w:val="20"/>
                <w:szCs w:val="20"/>
              </w:rPr>
              <w:t xml:space="preserve"> del Moral</w:t>
            </w:r>
          </w:p>
        </w:tc>
        <w:tc>
          <w:tcPr>
            <w:tcW w:w="763" w:type="dxa"/>
            <w:shd w:val="clear" w:color="auto" w:fill="D0CECE"/>
            <w:vAlign w:val="center"/>
          </w:tcPr>
          <w:p w14:paraId="7E4F177F"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M</w:t>
            </w:r>
          </w:p>
        </w:tc>
        <w:tc>
          <w:tcPr>
            <w:tcW w:w="2655" w:type="dxa"/>
            <w:shd w:val="clear" w:color="auto" w:fill="D0CECE"/>
            <w:vAlign w:val="center"/>
          </w:tcPr>
          <w:p w14:paraId="3B4565E3"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5 B</w:t>
            </w:r>
          </w:p>
        </w:tc>
        <w:tc>
          <w:tcPr>
            <w:tcW w:w="1925" w:type="dxa"/>
            <w:shd w:val="clear" w:color="auto" w:fill="D0CECE"/>
            <w:vAlign w:val="center"/>
          </w:tcPr>
          <w:p w14:paraId="70628DF4"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19.57</w:t>
            </w:r>
          </w:p>
        </w:tc>
      </w:tr>
    </w:tbl>
    <w:p w14:paraId="07423516"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Cabe señalar que, como se ha expuesto en esta ejecutoria, al PAN le correspondieron nueve diputaciones de representación proporcional, con independencia de la diputación migrante. </w:t>
      </w:r>
    </w:p>
    <w:p w14:paraId="11FB547A"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De tal modo, la pretensión de la actora, quien ocupó la posición diez </w:t>
      </w:r>
      <w:r w:rsidRPr="00F32542">
        <w:rPr>
          <w:rFonts w:ascii="Arial" w:eastAsia="Calibri" w:hAnsi="Arial" w:cs="Arial"/>
          <w:bCs/>
          <w:sz w:val="28"/>
          <w:szCs w:val="28"/>
          <w:u w:val="single"/>
        </w:rPr>
        <w:t>(10)</w:t>
      </w:r>
      <w:r w:rsidRPr="00F32542">
        <w:rPr>
          <w:rFonts w:ascii="Arial" w:eastAsia="Calibri" w:hAnsi="Arial" w:cs="Arial"/>
          <w:bCs/>
          <w:sz w:val="28"/>
          <w:szCs w:val="28"/>
        </w:rPr>
        <w:t xml:space="preserve"> de la lista definitiva, es sustituir a la posición nueve </w:t>
      </w:r>
      <w:r w:rsidR="00DC4161" w:rsidRPr="00F32542">
        <w:rPr>
          <w:rFonts w:ascii="Arial" w:eastAsia="Calibri" w:hAnsi="Arial" w:cs="Arial"/>
          <w:bCs/>
          <w:sz w:val="28"/>
          <w:szCs w:val="28"/>
        </w:rPr>
        <w:t xml:space="preserve">(9) </w:t>
      </w:r>
      <w:r w:rsidRPr="00F32542">
        <w:rPr>
          <w:rFonts w:ascii="Arial" w:eastAsia="Calibri" w:hAnsi="Arial" w:cs="Arial"/>
          <w:bCs/>
          <w:sz w:val="28"/>
          <w:szCs w:val="28"/>
        </w:rPr>
        <w:t xml:space="preserve">de la misma lista. </w:t>
      </w:r>
    </w:p>
    <w:p w14:paraId="71E48ABC"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Luego, lo infundado del agravio radica en que la posición nueve (9) le corresponde a una fórmula proveniente de la lista A, es decir, que es manifestación del principio de autodeterminación del PAN, sobre el cual, la autoridad electoral no pude pronunciarse sin motivo suficiente. </w:t>
      </w:r>
    </w:p>
    <w:p w14:paraId="67AB33E6"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En efecto, como se observa del cuadro, la primera fórmula de la lista definitiva proviene de la lista A, tal y como lo ordena el artículo 24, fracción V, del </w:t>
      </w:r>
      <w:r w:rsidRPr="00F32542">
        <w:rPr>
          <w:rFonts w:ascii="Arial" w:eastAsia="Calibri" w:hAnsi="Arial" w:cs="Arial"/>
          <w:bCs/>
          <w:i/>
          <w:sz w:val="28"/>
          <w:szCs w:val="28"/>
        </w:rPr>
        <w:t xml:space="preserve">Código local. </w:t>
      </w:r>
    </w:p>
    <w:p w14:paraId="2DF2E415"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De tal modo, la segunda fórmula corresponde al primer lugar de la lista B. Siguiendo esa secuencia, los lugares tres (3), cinco (5), siete (7) y nueve (9) de la lista definitiva corresponden a fórmulas de la lista </w:t>
      </w:r>
      <w:r w:rsidRPr="00F32542">
        <w:rPr>
          <w:rFonts w:ascii="Arial" w:eastAsia="Calibri" w:hAnsi="Arial" w:cs="Arial"/>
          <w:bCs/>
          <w:sz w:val="28"/>
          <w:szCs w:val="28"/>
        </w:rPr>
        <w:lastRenderedPageBreak/>
        <w:t xml:space="preserve">A. Mientras que los lugares cuatro (4), seis (6), ocho (8) y diez (10) le corresponden a la lista B, y así en lo sucesivo. </w:t>
      </w:r>
    </w:p>
    <w:p w14:paraId="5A24D830"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Esto muestra que los bloques de la lista </w:t>
      </w:r>
      <w:proofErr w:type="gramStart"/>
      <w:r w:rsidRPr="00F32542">
        <w:rPr>
          <w:rFonts w:ascii="Arial" w:eastAsia="Calibri" w:hAnsi="Arial" w:cs="Arial"/>
          <w:bCs/>
          <w:sz w:val="28"/>
          <w:szCs w:val="28"/>
        </w:rPr>
        <w:t>definitiva,</w:t>
      </w:r>
      <w:proofErr w:type="gramEnd"/>
      <w:r w:rsidRPr="00F32542">
        <w:rPr>
          <w:rFonts w:ascii="Arial" w:eastAsia="Calibri" w:hAnsi="Arial" w:cs="Arial"/>
          <w:bCs/>
          <w:sz w:val="28"/>
          <w:szCs w:val="28"/>
        </w:rPr>
        <w:t xml:space="preserve"> quedaron conformados de tal modo que inician con fórmulas de la letra A, a las que siguen fórmulas de la letra B; lo cual es acorde con lo previsto por el artículo 24, fracción V, del </w:t>
      </w:r>
      <w:r w:rsidRPr="00F32542">
        <w:rPr>
          <w:rFonts w:ascii="Arial" w:eastAsia="Calibri" w:hAnsi="Arial" w:cs="Arial"/>
          <w:bCs/>
          <w:i/>
          <w:sz w:val="28"/>
          <w:szCs w:val="28"/>
        </w:rPr>
        <w:t xml:space="preserve">Código local, </w:t>
      </w:r>
      <w:r w:rsidRPr="00F32542">
        <w:rPr>
          <w:rFonts w:ascii="Arial" w:eastAsia="Calibri" w:hAnsi="Arial" w:cs="Arial"/>
          <w:bCs/>
          <w:sz w:val="28"/>
          <w:szCs w:val="28"/>
        </w:rPr>
        <w:t xml:space="preserve">pues los bloques se realizaron alternando ambas listas. </w:t>
      </w:r>
    </w:p>
    <w:p w14:paraId="52868C1E"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Debe recordarse que las posiciones de la lista A constituyen una expresión de la autodeterminación del PAN, y por lo que sólo le atañe a éste definir las posiciones de esa lista.</w:t>
      </w:r>
    </w:p>
    <w:p w14:paraId="0EBA3D35"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Por ello, ordenar una modificación a la prelación de la propia lista, a fin de que en su posición nueve (9) se incorpore una fórmula proveniente de la lista B, implicaría una vulneración injustificada al ámbito de incumbencia exclusiva del partido en cuestión.</w:t>
      </w:r>
    </w:p>
    <w:p w14:paraId="19CAD9B9"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O sea, al principio de autodeterminación partidista, es rector, entre otros, del sistema de representación proporcional para el Congreso de la Ciudad de México. </w:t>
      </w:r>
    </w:p>
    <w:p w14:paraId="160F3BEB"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Por ello, se considera que es </w:t>
      </w:r>
      <w:r w:rsidRPr="00F32542">
        <w:rPr>
          <w:rFonts w:ascii="Arial" w:eastAsia="Calibri" w:hAnsi="Arial" w:cs="Arial"/>
          <w:b/>
          <w:bCs/>
          <w:sz w:val="28"/>
          <w:szCs w:val="28"/>
        </w:rPr>
        <w:t>infundado</w:t>
      </w:r>
      <w:r w:rsidRPr="00F32542">
        <w:rPr>
          <w:rFonts w:ascii="Arial" w:eastAsia="Calibri" w:hAnsi="Arial" w:cs="Arial"/>
          <w:bCs/>
          <w:sz w:val="28"/>
          <w:szCs w:val="28"/>
        </w:rPr>
        <w:t xml:space="preserve"> el agravio de </w:t>
      </w:r>
      <w:r w:rsidRPr="00F32542">
        <w:rPr>
          <w:rFonts w:ascii="Arial" w:eastAsia="Calibri" w:hAnsi="Arial" w:cs="Arial"/>
          <w:sz w:val="28"/>
          <w:szCs w:val="28"/>
        </w:rPr>
        <w:t>Mónica Jessica Menocal del Moral</w:t>
      </w:r>
      <w:r w:rsidRPr="00F32542">
        <w:rPr>
          <w:rFonts w:ascii="Arial" w:eastAsia="Calibri" w:hAnsi="Arial" w:cs="Arial"/>
          <w:bCs/>
          <w:sz w:val="28"/>
          <w:szCs w:val="28"/>
        </w:rPr>
        <w:t>, pues al provenir de la lista B, no puede prosperar su pretensión de sustituir a la posición nueve de la lista definitiva que le correspondió a una fórmula de la lista A.</w:t>
      </w:r>
    </w:p>
    <w:p w14:paraId="617A5234"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Cabe apuntar, que el PAN alcanzó un total de siete diputaciones femeninas —tres de mayoría relativa y cuatro plurinominales— y diez diputaciones masculinas —cuatro de mayoría relativa y seis de representación proporcional, incluyendo la diputación migrante—. </w:t>
      </w:r>
    </w:p>
    <w:p w14:paraId="2CB078B2"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lastRenderedPageBreak/>
        <w:t>Tomando en cuenta lo anterior, así como que el porcentaje de votación obtenido por la parte actora la ubicó en el quinto lugar de la lista B — décimo lugar de la lista definitiva—.</w:t>
      </w:r>
    </w:p>
    <w:p w14:paraId="09131C69"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Es decir, no supera al porcentaje de las otras candidaturas también provenientes de la lista B, que la preceden en la lista definitiva, por lo que no existe un desequilibrio evidente entre los principios de paridad, alternancia, democrático y autodeterminación en la lista definitiva del PAN. </w:t>
      </w:r>
    </w:p>
    <w:p w14:paraId="3D359028"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De ahí que no le asiste razón a la parte actora, </w:t>
      </w:r>
      <w:proofErr w:type="spellStart"/>
      <w:r w:rsidRPr="00F32542">
        <w:rPr>
          <w:rFonts w:ascii="Arial" w:eastAsia="Calibri" w:hAnsi="Arial" w:cs="Arial"/>
          <w:bCs/>
          <w:sz w:val="28"/>
          <w:szCs w:val="28"/>
        </w:rPr>
        <w:t>aún</w:t>
      </w:r>
      <w:proofErr w:type="spellEnd"/>
      <w:r w:rsidRPr="00F32542">
        <w:rPr>
          <w:rFonts w:ascii="Arial" w:eastAsia="Calibri" w:hAnsi="Arial" w:cs="Arial"/>
          <w:bCs/>
          <w:sz w:val="28"/>
          <w:szCs w:val="28"/>
        </w:rPr>
        <w:t xml:space="preserve"> entendiendo su pretensión como dirigida a subir posiciones en la lista B.</w:t>
      </w:r>
    </w:p>
    <w:p w14:paraId="4AE82838"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Como tampoco resulta eficaz lo que aduce la demandante en cuanto a que la autoridad responsable, al integrar la lista definitiva, asumió como regla la excepción relativa a permitir bloques de hasta dos fórmulas del mismo género consecutivas, dado que tales bloques —como se constató en esta sentencia al restituirse la prelación original de la lista A y ajustarse la lista definitiva del PAN— son resultado natural de intercalar las listas A y B, sin obedecer a ajuste alguno.</w:t>
      </w:r>
    </w:p>
    <w:p w14:paraId="475BD671"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En lo que concierne a Nayaret </w:t>
      </w:r>
      <w:proofErr w:type="spellStart"/>
      <w:r w:rsidRPr="00F32542">
        <w:rPr>
          <w:rFonts w:ascii="Arial" w:eastAsia="Calibri" w:hAnsi="Arial" w:cs="Arial"/>
          <w:bCs/>
          <w:sz w:val="28"/>
          <w:szCs w:val="28"/>
        </w:rPr>
        <w:t>Yazmin</w:t>
      </w:r>
      <w:proofErr w:type="spellEnd"/>
      <w:r w:rsidRPr="00F32542">
        <w:rPr>
          <w:rFonts w:ascii="Arial" w:eastAsia="Calibri" w:hAnsi="Arial" w:cs="Arial"/>
          <w:bCs/>
          <w:sz w:val="28"/>
          <w:szCs w:val="28"/>
        </w:rPr>
        <w:t xml:space="preserve"> Calderón Martínez, sostiene que al ser la mujer más votada de la lista B de Movimiento Ciudadano, se le debe asignar la única diputación de representación proporcional alcanzada por ese partido político. </w:t>
      </w:r>
    </w:p>
    <w:p w14:paraId="293E8EAF"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En efecto, en el caso del partido en comento, le correspondió una diputación de representación proporcional, la cual le fue asignada a la primera fórmula de la lista A, de género masculino.</w:t>
      </w:r>
    </w:p>
    <w:p w14:paraId="5FF49D0C"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A partir de ello, y </w:t>
      </w:r>
      <w:proofErr w:type="gramStart"/>
      <w:r w:rsidRPr="00F32542">
        <w:rPr>
          <w:rFonts w:ascii="Arial" w:eastAsia="Calibri" w:hAnsi="Arial" w:cs="Arial"/>
          <w:bCs/>
          <w:sz w:val="28"/>
          <w:szCs w:val="28"/>
        </w:rPr>
        <w:t>de acuerdo a</w:t>
      </w:r>
      <w:proofErr w:type="gramEnd"/>
      <w:r w:rsidRPr="00F32542">
        <w:rPr>
          <w:rFonts w:ascii="Arial" w:eastAsia="Calibri" w:hAnsi="Arial" w:cs="Arial"/>
          <w:bCs/>
          <w:sz w:val="28"/>
          <w:szCs w:val="28"/>
        </w:rPr>
        <w:t xml:space="preserve"> las razones que se han expuesto en relación al principio de autodeterminación partidista, no puede </w:t>
      </w:r>
      <w:r w:rsidRPr="00F32542">
        <w:rPr>
          <w:rFonts w:ascii="Arial" w:eastAsia="Calibri" w:hAnsi="Arial" w:cs="Arial"/>
          <w:bCs/>
          <w:sz w:val="28"/>
          <w:szCs w:val="28"/>
        </w:rPr>
        <w:lastRenderedPageBreak/>
        <w:t xml:space="preserve">sustituirse la primera posición de la lista definitiva de Movimiento Ciudadano, porque con ello se vulneraría el derecho de ese partido, para definir que candidatura lo representaría de mejor manera, conforme a su estrategia de actuación, en caso de que sólo accediera a la integración del Congreso por vía plurinominal. </w:t>
      </w:r>
    </w:p>
    <w:p w14:paraId="4639CE85"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Esto, porque como se vio, el artículo 24, fracción V, del </w:t>
      </w:r>
      <w:r w:rsidRPr="00F32542">
        <w:rPr>
          <w:rFonts w:ascii="Arial" w:eastAsia="Calibri" w:hAnsi="Arial" w:cs="Arial"/>
          <w:bCs/>
          <w:i/>
          <w:sz w:val="28"/>
          <w:szCs w:val="28"/>
        </w:rPr>
        <w:t xml:space="preserve">Código local </w:t>
      </w:r>
      <w:r w:rsidRPr="00F32542">
        <w:rPr>
          <w:rFonts w:ascii="Arial" w:eastAsia="Calibri" w:hAnsi="Arial" w:cs="Arial"/>
          <w:bCs/>
          <w:sz w:val="28"/>
          <w:szCs w:val="28"/>
        </w:rPr>
        <w:t>establece que el primer lugar de la lista definitiva le debe corresponder a la primera posición de la lista A, incumbiendo ello al ámbito de sus exclusivas decisiones internas; de manera que, ante el hecho no controvertido de que Movimiento Ciudadano alcanzó un nivel de votación que le fue suficiente sólo para lograr la asignación de una diputación plurinominal, es válido que el propio partido decidiera el perfil de la candidatura que desempeñaría el único escaño por éste logrado.</w:t>
      </w:r>
    </w:p>
    <w:p w14:paraId="32B49324"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Por ende, en el caso específico de Movimiento Ciudadano, la única diputación obtenida, hace que prevalezca el principio de autodeterminación partidista, sin que ello implique una afectación a algún otro principio.</w:t>
      </w:r>
    </w:p>
    <w:p w14:paraId="547DA937"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Por ende, también es </w:t>
      </w:r>
      <w:r w:rsidRPr="00F32542">
        <w:rPr>
          <w:rFonts w:ascii="Arial" w:eastAsia="Calibri" w:hAnsi="Arial" w:cs="Arial"/>
          <w:b/>
          <w:bCs/>
          <w:sz w:val="28"/>
          <w:szCs w:val="28"/>
        </w:rPr>
        <w:t>infundado</w:t>
      </w:r>
      <w:r w:rsidRPr="00F32542">
        <w:rPr>
          <w:rFonts w:ascii="Arial" w:eastAsia="Calibri" w:hAnsi="Arial" w:cs="Arial"/>
          <w:bCs/>
          <w:sz w:val="28"/>
          <w:szCs w:val="28"/>
        </w:rPr>
        <w:t xml:space="preserve"> el agravio de Nayaret </w:t>
      </w:r>
      <w:proofErr w:type="spellStart"/>
      <w:r w:rsidRPr="00F32542">
        <w:rPr>
          <w:rFonts w:ascii="Arial" w:eastAsia="Calibri" w:hAnsi="Arial" w:cs="Arial"/>
          <w:bCs/>
          <w:sz w:val="28"/>
          <w:szCs w:val="28"/>
        </w:rPr>
        <w:t>Yazmin</w:t>
      </w:r>
      <w:proofErr w:type="spellEnd"/>
      <w:r w:rsidRPr="00F32542">
        <w:rPr>
          <w:rFonts w:ascii="Arial" w:eastAsia="Calibri" w:hAnsi="Arial" w:cs="Arial"/>
          <w:bCs/>
          <w:sz w:val="28"/>
          <w:szCs w:val="28"/>
        </w:rPr>
        <w:t xml:space="preserve"> Calderón Martínez.</w:t>
      </w:r>
    </w:p>
    <w:p w14:paraId="73D1745A"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b/>
          <w:sz w:val="28"/>
          <w:szCs w:val="28"/>
        </w:rPr>
        <w:t>V</w:t>
      </w:r>
      <w:r w:rsidR="00DC4161" w:rsidRPr="00F32542">
        <w:rPr>
          <w:rFonts w:ascii="Arial" w:eastAsia="Calibri" w:hAnsi="Arial" w:cs="Arial"/>
          <w:b/>
          <w:sz w:val="28"/>
          <w:szCs w:val="28"/>
        </w:rPr>
        <w:t>III</w:t>
      </w:r>
      <w:r w:rsidRPr="00F32542">
        <w:rPr>
          <w:rFonts w:ascii="Arial" w:eastAsia="Calibri" w:hAnsi="Arial" w:cs="Arial"/>
          <w:b/>
          <w:sz w:val="28"/>
          <w:szCs w:val="28"/>
        </w:rPr>
        <w:t>. Integración de bloques de un mismo género</w:t>
      </w:r>
      <w:r w:rsidR="00DC4161" w:rsidRPr="00F32542">
        <w:rPr>
          <w:rFonts w:ascii="Arial" w:eastAsia="Calibri" w:hAnsi="Arial" w:cs="Arial"/>
          <w:b/>
          <w:sz w:val="28"/>
          <w:szCs w:val="28"/>
        </w:rPr>
        <w:t>.</w:t>
      </w:r>
      <w:r w:rsidRPr="00F32542">
        <w:rPr>
          <w:rFonts w:ascii="Arial" w:eastAsia="Calibri" w:hAnsi="Arial" w:cs="Arial"/>
          <w:b/>
          <w:sz w:val="28"/>
          <w:szCs w:val="28"/>
        </w:rPr>
        <w:t xml:space="preserve"> </w:t>
      </w:r>
    </w:p>
    <w:p w14:paraId="45698493"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A continuación, se analizarán los planteamientos que, respectivamente, se formularon en los siguientes juicios:</w:t>
      </w:r>
    </w:p>
    <w:p w14:paraId="7C0FDA2F"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b/>
          <w:bCs/>
          <w:sz w:val="28"/>
          <w:szCs w:val="28"/>
        </w:rPr>
        <w:t>TECDMX-JLDC-089/2021(</w:t>
      </w:r>
      <w:bookmarkStart w:id="47" w:name="_Hlk78266174"/>
      <w:proofErr w:type="spellStart"/>
      <w:r w:rsidRPr="00F32542">
        <w:rPr>
          <w:rFonts w:ascii="Arial" w:eastAsia="Calibri" w:hAnsi="Arial" w:cs="Arial"/>
          <w:b/>
          <w:bCs/>
          <w:sz w:val="28"/>
          <w:szCs w:val="28"/>
        </w:rPr>
        <w:t>Desiree</w:t>
      </w:r>
      <w:proofErr w:type="spellEnd"/>
      <w:r w:rsidRPr="00F32542">
        <w:rPr>
          <w:rFonts w:ascii="Arial" w:eastAsia="Calibri" w:hAnsi="Arial" w:cs="Arial"/>
          <w:b/>
          <w:bCs/>
          <w:sz w:val="28"/>
          <w:szCs w:val="28"/>
        </w:rPr>
        <w:t xml:space="preserve"> Guadalupe Navarro López</w:t>
      </w:r>
      <w:bookmarkEnd w:id="47"/>
      <w:r w:rsidRPr="00F32542">
        <w:rPr>
          <w:rFonts w:ascii="Arial" w:eastAsia="Calibri" w:hAnsi="Arial" w:cs="Arial"/>
          <w:b/>
          <w:bCs/>
          <w:sz w:val="28"/>
          <w:szCs w:val="28"/>
        </w:rPr>
        <w:t>)</w:t>
      </w:r>
    </w:p>
    <w:p w14:paraId="073234AA"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b/>
          <w:bCs/>
          <w:sz w:val="28"/>
          <w:szCs w:val="28"/>
        </w:rPr>
        <w:t>TECDMX-JLDC-091/2021 (</w:t>
      </w:r>
      <w:proofErr w:type="spellStart"/>
      <w:r w:rsidRPr="00F32542">
        <w:rPr>
          <w:rFonts w:ascii="Arial" w:eastAsia="Calibri" w:hAnsi="Arial" w:cs="Arial"/>
          <w:b/>
          <w:bCs/>
          <w:sz w:val="28"/>
          <w:szCs w:val="28"/>
        </w:rPr>
        <w:t>Nury</w:t>
      </w:r>
      <w:proofErr w:type="spellEnd"/>
      <w:r w:rsidRPr="00F32542">
        <w:rPr>
          <w:rFonts w:ascii="Arial" w:eastAsia="Calibri" w:hAnsi="Arial" w:cs="Arial"/>
          <w:b/>
          <w:bCs/>
          <w:sz w:val="28"/>
          <w:szCs w:val="28"/>
        </w:rPr>
        <w:t xml:space="preserve"> Delia Ruiz Ovando)</w:t>
      </w:r>
    </w:p>
    <w:p w14:paraId="2C1B0D57"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b/>
          <w:sz w:val="28"/>
          <w:szCs w:val="28"/>
        </w:rPr>
        <w:lastRenderedPageBreak/>
        <w:t xml:space="preserve">TECDMX-JLDC-103/2021 </w:t>
      </w:r>
      <w:r w:rsidRPr="00F32542">
        <w:rPr>
          <w:rFonts w:ascii="Arial" w:eastAsia="Calibri" w:hAnsi="Arial" w:cs="Arial"/>
          <w:b/>
          <w:bCs/>
          <w:sz w:val="28"/>
          <w:szCs w:val="28"/>
        </w:rPr>
        <w:t>(Mónica Jessica Menocal del Moral)</w:t>
      </w:r>
    </w:p>
    <w:p w14:paraId="24DB8332"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b/>
          <w:bCs/>
          <w:sz w:val="28"/>
          <w:szCs w:val="28"/>
        </w:rPr>
        <w:t>TECDMX-JLDC-104/2021</w:t>
      </w:r>
      <w:r w:rsidRPr="00F32542">
        <w:rPr>
          <w:rFonts w:ascii="Arial" w:eastAsia="Calibri" w:hAnsi="Arial" w:cs="Arial"/>
          <w:sz w:val="28"/>
          <w:szCs w:val="28"/>
        </w:rPr>
        <w:t xml:space="preserve"> </w:t>
      </w:r>
      <w:r w:rsidRPr="00F32542">
        <w:rPr>
          <w:rFonts w:ascii="Arial" w:eastAsia="Calibri" w:hAnsi="Arial" w:cs="Arial"/>
          <w:b/>
          <w:bCs/>
          <w:sz w:val="28"/>
          <w:szCs w:val="28"/>
        </w:rPr>
        <w:t>(</w:t>
      </w:r>
      <w:bookmarkStart w:id="48" w:name="_Hlk78266628"/>
      <w:r w:rsidRPr="00F32542">
        <w:rPr>
          <w:rFonts w:ascii="Arial" w:eastAsia="Calibri" w:hAnsi="Arial" w:cs="Arial"/>
          <w:b/>
          <w:bCs/>
          <w:sz w:val="28"/>
          <w:szCs w:val="28"/>
        </w:rPr>
        <w:t>Paula Andrea Castillo Mendieta</w:t>
      </w:r>
      <w:bookmarkEnd w:id="48"/>
      <w:r w:rsidRPr="00F32542">
        <w:rPr>
          <w:rFonts w:ascii="Arial" w:eastAsia="Calibri" w:hAnsi="Arial" w:cs="Arial"/>
          <w:b/>
          <w:bCs/>
          <w:sz w:val="28"/>
          <w:szCs w:val="28"/>
        </w:rPr>
        <w:t xml:space="preserve">) </w:t>
      </w:r>
    </w:p>
    <w:p w14:paraId="1444DEAC"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b/>
          <w:bCs/>
          <w:sz w:val="28"/>
          <w:szCs w:val="28"/>
        </w:rPr>
        <w:t>TECDMX-JLDC-108/2021</w:t>
      </w:r>
      <w:r w:rsidRPr="00F32542">
        <w:rPr>
          <w:rFonts w:ascii="Arial" w:eastAsia="Calibri" w:hAnsi="Arial" w:cs="Arial"/>
          <w:sz w:val="28"/>
          <w:szCs w:val="28"/>
        </w:rPr>
        <w:t xml:space="preserve"> </w:t>
      </w:r>
      <w:r w:rsidRPr="00F32542">
        <w:rPr>
          <w:rFonts w:ascii="Arial" w:eastAsia="Calibri" w:hAnsi="Arial" w:cs="Arial"/>
          <w:b/>
          <w:bCs/>
          <w:sz w:val="28"/>
          <w:szCs w:val="28"/>
        </w:rPr>
        <w:t>(</w:t>
      </w:r>
      <w:proofErr w:type="spellStart"/>
      <w:r w:rsidRPr="00F32542">
        <w:rPr>
          <w:rFonts w:ascii="Arial" w:eastAsia="Calibri" w:hAnsi="Arial" w:cs="Arial"/>
          <w:b/>
          <w:bCs/>
          <w:sz w:val="28"/>
          <w:szCs w:val="28"/>
        </w:rPr>
        <w:t>Kilauren</w:t>
      </w:r>
      <w:proofErr w:type="spellEnd"/>
      <w:r w:rsidRPr="00F32542">
        <w:rPr>
          <w:rFonts w:ascii="Arial" w:eastAsia="Calibri" w:hAnsi="Arial" w:cs="Arial"/>
          <w:b/>
          <w:bCs/>
          <w:sz w:val="28"/>
          <w:szCs w:val="28"/>
        </w:rPr>
        <w:t xml:space="preserve"> Paulina Cobos Lázaro)</w:t>
      </w:r>
    </w:p>
    <w:p w14:paraId="311F273B"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Planteamientos que, al ser coincidentes se agruparán, como a continuación se muestra:  </w:t>
      </w:r>
    </w:p>
    <w:p w14:paraId="1330C57F"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 La inconstitucionalidad de los </w:t>
      </w:r>
      <w:r w:rsidRPr="00F32542">
        <w:rPr>
          <w:rFonts w:ascii="Arial" w:eastAsia="Calibri" w:hAnsi="Arial" w:cs="Arial"/>
          <w:i/>
          <w:sz w:val="28"/>
          <w:szCs w:val="28"/>
        </w:rPr>
        <w:t>Lineamientos de asignación</w:t>
      </w:r>
      <w:r w:rsidRPr="00F32542">
        <w:rPr>
          <w:rFonts w:ascii="Arial" w:eastAsia="Calibri" w:hAnsi="Arial" w:cs="Arial"/>
          <w:sz w:val="28"/>
          <w:szCs w:val="28"/>
        </w:rPr>
        <w:t xml:space="preserve"> porque consistieron en una modificación sustancial dentro del proceso.</w:t>
      </w:r>
    </w:p>
    <w:p w14:paraId="5115626A"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 La inconstitucionalidad del artículo 24, fracción V, del </w:t>
      </w:r>
      <w:r w:rsidRPr="00F32542">
        <w:rPr>
          <w:rFonts w:ascii="Arial" w:eastAsia="Calibri" w:hAnsi="Arial" w:cs="Arial"/>
          <w:i/>
          <w:sz w:val="28"/>
          <w:szCs w:val="28"/>
        </w:rPr>
        <w:t xml:space="preserve">Código local, </w:t>
      </w:r>
      <w:r w:rsidRPr="00F32542">
        <w:rPr>
          <w:rFonts w:ascii="Arial" w:eastAsia="Calibri" w:hAnsi="Arial" w:cs="Arial"/>
          <w:sz w:val="28"/>
          <w:szCs w:val="28"/>
        </w:rPr>
        <w:t xml:space="preserve">así como del artículo 4 de los </w:t>
      </w:r>
      <w:r w:rsidRPr="00F32542">
        <w:rPr>
          <w:rFonts w:ascii="Arial" w:eastAsia="Calibri" w:hAnsi="Arial" w:cs="Arial"/>
          <w:i/>
          <w:sz w:val="28"/>
          <w:szCs w:val="28"/>
        </w:rPr>
        <w:t xml:space="preserve">Lineamientos de Asignación </w:t>
      </w:r>
      <w:r w:rsidRPr="00F32542">
        <w:rPr>
          <w:rFonts w:ascii="Arial" w:eastAsia="Calibri" w:hAnsi="Arial" w:cs="Arial"/>
          <w:sz w:val="28"/>
          <w:szCs w:val="28"/>
        </w:rPr>
        <w:t xml:space="preserve">por permitir bloques de dos candidaturas del mismo género, lo cual vulnera el principio de paridad.  </w:t>
      </w:r>
    </w:p>
    <w:p w14:paraId="3C6D6F13"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Lo anterior, porque las actoras sostienen que fue incorrecta la asignación de las únicas dos diputaciones de representación proporcional que le correspondieron al PRD, a personas del género masculino integrantes del primer bloque resultante de intercalar las listas A y B.</w:t>
      </w:r>
    </w:p>
    <w:p w14:paraId="4D4AFB53"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Es incorrecto que se estableciera un bloque de personas del mismo género si al PRD solo le correspondieron dos diputaciones de representación proporcional.</w:t>
      </w:r>
    </w:p>
    <w:p w14:paraId="50988DAC"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 La autoridad electoral debe considerar que la paridad no solo ha de cumplirse en la postulación, sino en la integración del órgano, para lo cual aquélla puede generar acciones complementarias dirigidas a lograrla, tal como lo establece la jurisprudencia </w:t>
      </w:r>
      <w:r w:rsidRPr="00F32542">
        <w:rPr>
          <w:rFonts w:ascii="Arial" w:eastAsia="Calibri" w:hAnsi="Arial" w:cs="Arial"/>
          <w:b/>
          <w:bCs/>
          <w:sz w:val="28"/>
          <w:szCs w:val="28"/>
        </w:rPr>
        <w:t xml:space="preserve">36/2015, </w:t>
      </w:r>
      <w:r w:rsidRPr="00F32542">
        <w:rPr>
          <w:rFonts w:ascii="Arial" w:eastAsia="Calibri" w:hAnsi="Arial" w:cs="Arial"/>
          <w:sz w:val="28"/>
          <w:szCs w:val="28"/>
        </w:rPr>
        <w:t>de rubro</w:t>
      </w:r>
      <w:r w:rsidRPr="00F32542">
        <w:rPr>
          <w:rFonts w:ascii="Arial" w:eastAsia="Calibri" w:hAnsi="Arial" w:cs="Arial"/>
          <w:b/>
          <w:bCs/>
          <w:sz w:val="28"/>
          <w:szCs w:val="28"/>
        </w:rPr>
        <w:t xml:space="preserve"> </w:t>
      </w:r>
      <w:r w:rsidRPr="00F32542">
        <w:rPr>
          <w:rFonts w:ascii="Arial" w:eastAsia="Calibri" w:hAnsi="Arial" w:cs="Arial"/>
          <w:b/>
          <w:sz w:val="28"/>
          <w:szCs w:val="28"/>
        </w:rPr>
        <w:t xml:space="preserve">“REPRESENTACIÓN PROPORCIONAL. PARIDAD DE GÉNERO COMO SUPUESTO DE MODIFICACIÓN DEL ORDEN DE </w:t>
      </w:r>
      <w:r w:rsidRPr="00F32542">
        <w:rPr>
          <w:rFonts w:ascii="Arial" w:eastAsia="Calibri" w:hAnsi="Arial" w:cs="Arial"/>
          <w:b/>
          <w:sz w:val="28"/>
          <w:szCs w:val="28"/>
        </w:rPr>
        <w:lastRenderedPageBreak/>
        <w:t>PRELACIÓN DE LA LISTA DE CANDIDATURAS REGISTRADA”,</w:t>
      </w:r>
      <w:r w:rsidRPr="00F32542">
        <w:rPr>
          <w:rFonts w:ascii="Arial" w:eastAsia="Calibri" w:hAnsi="Arial" w:cs="Arial"/>
          <w:b/>
          <w:bCs/>
          <w:sz w:val="28"/>
          <w:szCs w:val="28"/>
        </w:rPr>
        <w:t xml:space="preserve"> </w:t>
      </w:r>
      <w:r w:rsidRPr="00F32542">
        <w:rPr>
          <w:rFonts w:ascii="Arial" w:eastAsia="Calibri" w:hAnsi="Arial" w:cs="Arial"/>
          <w:sz w:val="28"/>
          <w:szCs w:val="28"/>
        </w:rPr>
        <w:t>y como sería modificar la prelación en la lista definitiva del PRD.</w:t>
      </w:r>
    </w:p>
    <w:p w14:paraId="077FD641"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 Cabe señalar que Mónica Jessica Menocal del Moral, quien es candidata del PAN, también plantea la inconstitucionalidad del artículo 24, fracción V, del </w:t>
      </w:r>
      <w:r w:rsidRPr="00F32542">
        <w:rPr>
          <w:rFonts w:ascii="Arial" w:eastAsia="Calibri" w:hAnsi="Arial" w:cs="Arial"/>
          <w:i/>
          <w:sz w:val="28"/>
          <w:szCs w:val="28"/>
        </w:rPr>
        <w:t xml:space="preserve">Código local, </w:t>
      </w:r>
      <w:r w:rsidRPr="00F32542">
        <w:rPr>
          <w:rFonts w:ascii="Arial" w:eastAsia="Calibri" w:hAnsi="Arial" w:cs="Arial"/>
          <w:sz w:val="28"/>
          <w:szCs w:val="28"/>
        </w:rPr>
        <w:t xml:space="preserve">respecto a la posibilidad de conformar bloques de hasta dos fórmulas. </w:t>
      </w:r>
    </w:p>
    <w:p w14:paraId="4E4B3C20"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A continuación de analizarán tales planteamientos de manera conjunta en la parte que sea conducente, iniciando por los correspondientes a la inaplicación e inconstitucionalidad de normas. </w:t>
      </w:r>
    </w:p>
    <w:p w14:paraId="374E8087"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sz w:val="28"/>
          <w:szCs w:val="28"/>
        </w:rPr>
        <w:t xml:space="preserve">Lo anterior, en el entendido de que las normas de los </w:t>
      </w:r>
      <w:r w:rsidRPr="00F32542">
        <w:rPr>
          <w:rFonts w:ascii="Arial" w:eastAsia="Calibri" w:hAnsi="Arial" w:cs="Arial"/>
          <w:i/>
          <w:sz w:val="28"/>
          <w:szCs w:val="28"/>
        </w:rPr>
        <w:t xml:space="preserve">Lineamientos de asignación </w:t>
      </w:r>
      <w:r w:rsidRPr="00F32542">
        <w:rPr>
          <w:rFonts w:ascii="Arial" w:eastAsia="Calibri" w:hAnsi="Arial" w:cs="Arial"/>
          <w:sz w:val="28"/>
          <w:szCs w:val="28"/>
        </w:rPr>
        <w:t xml:space="preserve">y del </w:t>
      </w:r>
      <w:r w:rsidRPr="00F32542">
        <w:rPr>
          <w:rFonts w:ascii="Arial" w:eastAsia="Calibri" w:hAnsi="Arial" w:cs="Arial"/>
          <w:i/>
          <w:sz w:val="28"/>
          <w:szCs w:val="28"/>
        </w:rPr>
        <w:t xml:space="preserve">Código local </w:t>
      </w:r>
      <w:r w:rsidRPr="00F32542">
        <w:rPr>
          <w:rFonts w:ascii="Arial" w:eastAsia="Calibri" w:hAnsi="Arial" w:cs="Arial"/>
          <w:sz w:val="28"/>
          <w:szCs w:val="28"/>
        </w:rPr>
        <w:t xml:space="preserve">que fueron cuestionadas, pueden ser sometidas a revisión, en atención a la jurisprudencia </w:t>
      </w:r>
      <w:r w:rsidRPr="00F32542">
        <w:rPr>
          <w:rFonts w:ascii="Arial" w:eastAsia="Calibri" w:hAnsi="Arial" w:cs="Arial"/>
          <w:b/>
          <w:sz w:val="28"/>
          <w:szCs w:val="28"/>
        </w:rPr>
        <w:t>35/2013</w:t>
      </w:r>
      <w:r w:rsidRPr="00F32542">
        <w:rPr>
          <w:rFonts w:ascii="Arial" w:eastAsia="Calibri" w:hAnsi="Arial" w:cs="Arial"/>
          <w:sz w:val="28"/>
          <w:szCs w:val="28"/>
        </w:rPr>
        <w:t xml:space="preserve">, de la </w:t>
      </w:r>
      <w:r w:rsidRPr="00F32542">
        <w:rPr>
          <w:rFonts w:ascii="Arial" w:eastAsia="Calibri" w:hAnsi="Arial" w:cs="Arial"/>
          <w:i/>
          <w:sz w:val="28"/>
          <w:szCs w:val="28"/>
        </w:rPr>
        <w:t>Sala Superior</w:t>
      </w:r>
      <w:r w:rsidRPr="00F32542">
        <w:rPr>
          <w:rFonts w:ascii="Arial" w:eastAsia="Calibri" w:hAnsi="Arial" w:cs="Arial"/>
          <w:sz w:val="28"/>
          <w:szCs w:val="28"/>
        </w:rPr>
        <w:t xml:space="preserve"> de rubro </w:t>
      </w:r>
      <w:r w:rsidRPr="00F32542">
        <w:rPr>
          <w:rFonts w:ascii="Arial" w:eastAsia="Calibri" w:hAnsi="Arial" w:cs="Arial"/>
          <w:b/>
          <w:sz w:val="28"/>
          <w:szCs w:val="28"/>
        </w:rPr>
        <w:t>“</w:t>
      </w:r>
      <w:r w:rsidRPr="00F32542">
        <w:rPr>
          <w:rFonts w:ascii="Arial" w:eastAsia="Calibri" w:hAnsi="Arial" w:cs="Arial"/>
          <w:b/>
          <w:bCs/>
          <w:sz w:val="28"/>
          <w:szCs w:val="28"/>
        </w:rPr>
        <w:t xml:space="preserve">INCONSTITUCIONALIDAD DE LEYES ELECTORALES. SE PUEDE PLANTEAR POR CADA ACTO DE APLICACIÓN”. </w:t>
      </w:r>
    </w:p>
    <w:p w14:paraId="59A579E8"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Pues en ella se sostiene que las normas electorales son susceptibles de ser sometidas a control constitucional cada vez que sean aplicadas.</w:t>
      </w:r>
    </w:p>
    <w:p w14:paraId="3C42A255"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Precisado lo anterior, se procederá al análisis de los agravios. </w:t>
      </w:r>
    </w:p>
    <w:p w14:paraId="635A63AE" w14:textId="77777777" w:rsidR="00F94B48" w:rsidRPr="00F32542" w:rsidRDefault="00DC4161"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b/>
          <w:sz w:val="28"/>
          <w:szCs w:val="28"/>
        </w:rPr>
        <w:t xml:space="preserve">1. </w:t>
      </w:r>
      <w:r w:rsidR="00F94B48" w:rsidRPr="00F32542">
        <w:rPr>
          <w:rFonts w:ascii="Arial" w:eastAsia="Calibri" w:hAnsi="Arial" w:cs="Arial"/>
          <w:b/>
          <w:sz w:val="28"/>
          <w:szCs w:val="28"/>
        </w:rPr>
        <w:t xml:space="preserve">Inconstitucionalidad de los </w:t>
      </w:r>
      <w:r w:rsidR="00F94B48" w:rsidRPr="00F32542">
        <w:rPr>
          <w:rFonts w:ascii="Arial" w:eastAsia="Calibri" w:hAnsi="Arial" w:cs="Arial"/>
          <w:b/>
          <w:i/>
          <w:sz w:val="28"/>
          <w:szCs w:val="28"/>
        </w:rPr>
        <w:t xml:space="preserve">Lineamientos </w:t>
      </w:r>
      <w:r w:rsidR="00F94B48" w:rsidRPr="00F32542">
        <w:rPr>
          <w:rFonts w:ascii="Arial" w:eastAsia="Calibri" w:hAnsi="Arial" w:cs="Arial"/>
          <w:b/>
          <w:sz w:val="28"/>
          <w:szCs w:val="28"/>
        </w:rPr>
        <w:t>por constituir modificaciones trascendentes</w:t>
      </w:r>
      <w:r w:rsidR="005F063B" w:rsidRPr="00F32542">
        <w:rPr>
          <w:rFonts w:ascii="Arial" w:eastAsia="Calibri" w:hAnsi="Arial" w:cs="Arial"/>
          <w:b/>
          <w:sz w:val="28"/>
          <w:szCs w:val="28"/>
        </w:rPr>
        <w:t>.</w:t>
      </w:r>
      <w:r w:rsidR="00F94B48" w:rsidRPr="00F32542">
        <w:rPr>
          <w:rFonts w:ascii="Arial" w:eastAsia="Calibri" w:hAnsi="Arial" w:cs="Arial"/>
          <w:b/>
          <w:sz w:val="28"/>
          <w:szCs w:val="28"/>
        </w:rPr>
        <w:t xml:space="preserve"> </w:t>
      </w:r>
    </w:p>
    <w:p w14:paraId="1DAEEB05"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A continuación, se analizará el planteamiento respecto a que la emisión de los </w:t>
      </w:r>
      <w:r w:rsidRPr="00F32542">
        <w:rPr>
          <w:rFonts w:ascii="Arial" w:eastAsia="Calibri" w:hAnsi="Arial" w:cs="Arial"/>
          <w:i/>
          <w:sz w:val="28"/>
          <w:szCs w:val="28"/>
        </w:rPr>
        <w:t xml:space="preserve">Lineamientos de asignación </w:t>
      </w:r>
      <w:r w:rsidRPr="00F32542">
        <w:rPr>
          <w:rFonts w:ascii="Arial" w:eastAsia="Calibri" w:hAnsi="Arial" w:cs="Arial"/>
          <w:sz w:val="28"/>
          <w:szCs w:val="28"/>
        </w:rPr>
        <w:t xml:space="preserve">constituye una modificación sustancial dentro del proceso electoral local. </w:t>
      </w:r>
    </w:p>
    <w:p w14:paraId="5A7AEC5E"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lastRenderedPageBreak/>
        <w:t xml:space="preserve">Al respecto, debe considerarse que el artículo 105, fracción II, de la </w:t>
      </w:r>
      <w:r w:rsidRPr="00F32542">
        <w:rPr>
          <w:rFonts w:ascii="Arial" w:eastAsia="Calibri" w:hAnsi="Arial" w:cs="Arial"/>
          <w:i/>
          <w:sz w:val="28"/>
          <w:szCs w:val="28"/>
        </w:rPr>
        <w:t>Constitución</w:t>
      </w:r>
      <w:r w:rsidRPr="00F32542">
        <w:rPr>
          <w:rFonts w:ascii="Arial" w:eastAsia="Calibri" w:hAnsi="Arial" w:cs="Arial"/>
          <w:sz w:val="28"/>
          <w:szCs w:val="28"/>
        </w:rPr>
        <w:t xml:space="preserve"> establece que las leyes electorales deben promulgarse y publicarse por lo menos noventa días antes de que comience el proceso electoral en que habrán de aplicarse.</w:t>
      </w:r>
    </w:p>
    <w:p w14:paraId="38CAABEA"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Asimismo, el artículo constitucional prevé que, durante el desarrollo </w:t>
      </w:r>
      <w:proofErr w:type="gramStart"/>
      <w:r w:rsidRPr="00F32542">
        <w:rPr>
          <w:rFonts w:ascii="Arial" w:eastAsia="Calibri" w:hAnsi="Arial" w:cs="Arial"/>
          <w:sz w:val="28"/>
          <w:szCs w:val="28"/>
        </w:rPr>
        <w:t>del mismo</w:t>
      </w:r>
      <w:proofErr w:type="gramEnd"/>
      <w:r w:rsidRPr="00F32542">
        <w:rPr>
          <w:rFonts w:ascii="Arial" w:eastAsia="Calibri" w:hAnsi="Arial" w:cs="Arial"/>
          <w:sz w:val="28"/>
          <w:szCs w:val="28"/>
        </w:rPr>
        <w:t xml:space="preserve">, </w:t>
      </w:r>
      <w:r w:rsidRPr="00F32542">
        <w:rPr>
          <w:rFonts w:ascii="Arial" w:eastAsia="Calibri" w:hAnsi="Arial" w:cs="Arial"/>
          <w:b/>
          <w:sz w:val="28"/>
          <w:szCs w:val="28"/>
        </w:rPr>
        <w:t>no puede haber modificaciones legales fundamentales</w:t>
      </w:r>
      <w:r w:rsidRPr="00F32542">
        <w:rPr>
          <w:rFonts w:ascii="Arial" w:eastAsia="Calibri" w:hAnsi="Arial" w:cs="Arial"/>
          <w:sz w:val="28"/>
          <w:szCs w:val="28"/>
        </w:rPr>
        <w:t xml:space="preserve">, garantizando así el principio de certeza que debe observarse en la materia. </w:t>
      </w:r>
    </w:p>
    <w:p w14:paraId="5231FAB6"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En ese tenor, debe considerarse que el principio de certeza consiste en que los sujetos participantes en un proceso electoral estén en posibilidad jurídica de conocer previamente, con claridad y seguridad, las reglas a las que se deben sujetar todos los actores que han de intervenir, ya sean autoridades o gobernados. </w:t>
      </w:r>
    </w:p>
    <w:p w14:paraId="626BF5A0"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Al respecto, la </w:t>
      </w:r>
      <w:r w:rsidRPr="00F32542">
        <w:rPr>
          <w:rFonts w:ascii="Arial" w:eastAsia="Calibri" w:hAnsi="Arial" w:cs="Arial"/>
          <w:i/>
          <w:sz w:val="28"/>
          <w:szCs w:val="28"/>
        </w:rPr>
        <w:t>Suprema Corte</w:t>
      </w:r>
      <w:r w:rsidRPr="00F32542">
        <w:rPr>
          <w:rFonts w:ascii="Arial" w:eastAsia="Calibri" w:hAnsi="Arial" w:cs="Arial"/>
          <w:sz w:val="28"/>
          <w:szCs w:val="28"/>
        </w:rPr>
        <w:t xml:space="preserve"> ha sostenido que la finalidad de esa disposición constitucional al establecer tal </w:t>
      </w:r>
      <w:proofErr w:type="gramStart"/>
      <w:r w:rsidRPr="00F32542">
        <w:rPr>
          <w:rFonts w:ascii="Arial" w:eastAsia="Calibri" w:hAnsi="Arial" w:cs="Arial"/>
          <w:sz w:val="28"/>
          <w:szCs w:val="28"/>
        </w:rPr>
        <w:t>prohibición,</w:t>
      </w:r>
      <w:proofErr w:type="gramEnd"/>
      <w:r w:rsidRPr="00F32542">
        <w:rPr>
          <w:rFonts w:ascii="Arial" w:eastAsia="Calibri" w:hAnsi="Arial" w:cs="Arial"/>
          <w:sz w:val="28"/>
          <w:szCs w:val="28"/>
        </w:rPr>
        <w:t xml:space="preserve"> fue que, en su caso, las normas en materia electoral pudieran impugnarse ante la Suprema Corte, y que esta resolvería las contiendas antes del inicio del proceso electoral correspondiente, garantizando así el principio de certeza. </w:t>
      </w:r>
    </w:p>
    <w:p w14:paraId="62BAEF56"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sz w:val="28"/>
          <w:szCs w:val="28"/>
        </w:rPr>
        <w:t xml:space="preserve">Lo anterior tiene sustento en la jurisprudencia </w:t>
      </w:r>
      <w:r w:rsidRPr="00F32542">
        <w:rPr>
          <w:rFonts w:ascii="Arial" w:eastAsia="Calibri" w:hAnsi="Arial" w:cs="Arial"/>
          <w:b/>
          <w:sz w:val="28"/>
          <w:szCs w:val="28"/>
          <w:u w:val="single"/>
        </w:rPr>
        <w:t>P./J. 87/2007</w:t>
      </w:r>
      <w:r w:rsidRPr="00F32542">
        <w:rPr>
          <w:rFonts w:ascii="Arial" w:eastAsia="Calibri" w:hAnsi="Arial" w:cs="Arial"/>
          <w:sz w:val="28"/>
          <w:szCs w:val="28"/>
        </w:rPr>
        <w:t xml:space="preserve"> de rubro </w:t>
      </w:r>
      <w:r w:rsidRPr="00F32542">
        <w:rPr>
          <w:rFonts w:ascii="Arial" w:eastAsia="Calibri" w:hAnsi="Arial" w:cs="Arial"/>
          <w:b/>
          <w:sz w:val="28"/>
          <w:szCs w:val="28"/>
        </w:rPr>
        <w:t>“ACCIÓN DE INCONSTITUCIONALIDAD. ALCANCE DE LA EXPRESIÓN MODIFICACIONES LEGALES FUNDAMENTALES, CONTENIDA EN LA FRACCIÓN II, PENÚLTIMO PÁRRAFO DEL ARTÍCULO 105 DE LA CONSTITUCIÓN POLÍTICA DE LOS ESTADOS UNIDOS MEXICANOS”.</w:t>
      </w:r>
    </w:p>
    <w:p w14:paraId="387CABE1"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lastRenderedPageBreak/>
        <w:t xml:space="preserve">Además, en la jurisprudencia </w:t>
      </w:r>
      <w:r w:rsidRPr="00F32542">
        <w:rPr>
          <w:rFonts w:ascii="Arial" w:eastAsia="Calibri" w:hAnsi="Arial" w:cs="Arial"/>
          <w:b/>
          <w:sz w:val="28"/>
          <w:szCs w:val="28"/>
          <w:u w:val="single"/>
        </w:rPr>
        <w:t>P./J. 98/2006</w:t>
      </w:r>
      <w:r w:rsidRPr="00F32542">
        <w:rPr>
          <w:rFonts w:ascii="Arial" w:eastAsia="Calibri" w:hAnsi="Arial" w:cs="Arial"/>
          <w:sz w:val="28"/>
          <w:szCs w:val="28"/>
        </w:rPr>
        <w:t xml:space="preserve"> de rubro </w:t>
      </w:r>
      <w:r w:rsidRPr="00F32542">
        <w:rPr>
          <w:rFonts w:ascii="Arial" w:eastAsia="Calibri" w:hAnsi="Arial" w:cs="Arial"/>
          <w:b/>
          <w:sz w:val="28"/>
          <w:szCs w:val="28"/>
        </w:rPr>
        <w:t>“CERTEZA EN MATERIA ELECTORAL. EXCEPCIÓN AL PRINCIPIO RELATIVO EN RELACIÓN CON LA MODIFICACIÓN DE LAS LEYES QUE RIGEN EL PROCESO UNA VEZ QUE HA INICIADO”</w:t>
      </w:r>
      <w:r w:rsidRPr="00F32542">
        <w:rPr>
          <w:rFonts w:ascii="Arial" w:eastAsia="Calibri" w:hAnsi="Arial" w:cs="Arial"/>
          <w:sz w:val="28"/>
          <w:szCs w:val="28"/>
        </w:rPr>
        <w:t xml:space="preserve">, la </w:t>
      </w:r>
      <w:r w:rsidRPr="00F32542">
        <w:rPr>
          <w:rFonts w:ascii="Arial" w:eastAsia="Calibri" w:hAnsi="Arial" w:cs="Arial"/>
          <w:i/>
          <w:sz w:val="28"/>
          <w:szCs w:val="28"/>
        </w:rPr>
        <w:t xml:space="preserve">Suprema Corte </w:t>
      </w:r>
      <w:r w:rsidRPr="00F32542">
        <w:rPr>
          <w:rFonts w:ascii="Arial" w:eastAsia="Calibri" w:hAnsi="Arial" w:cs="Arial"/>
          <w:sz w:val="28"/>
          <w:szCs w:val="28"/>
        </w:rPr>
        <w:t xml:space="preserve">determinó que la norma constitucional aceptaba las siguientes excepciones: </w:t>
      </w:r>
    </w:p>
    <w:p w14:paraId="21DAB753" w14:textId="77777777" w:rsidR="005F063B" w:rsidRPr="00F32542" w:rsidRDefault="00F94B48" w:rsidP="009B6ED0">
      <w:pPr>
        <w:pStyle w:val="Prrafodelista"/>
        <w:numPr>
          <w:ilvl w:val="0"/>
          <w:numId w:val="33"/>
        </w:numPr>
        <w:spacing w:line="360" w:lineRule="auto"/>
        <w:rPr>
          <w:rFonts w:ascii="Arial" w:eastAsia="Calibri" w:hAnsi="Arial" w:cs="Arial"/>
          <w:szCs w:val="28"/>
        </w:rPr>
      </w:pPr>
      <w:r w:rsidRPr="00F32542">
        <w:rPr>
          <w:rFonts w:ascii="Arial" w:eastAsia="Calibri" w:hAnsi="Arial" w:cs="Arial"/>
          <w:szCs w:val="28"/>
        </w:rPr>
        <w:t xml:space="preserve">Que las modificaciones legislativas no sean de naturaleza trascendental para el proceso electoral, pues si su carácter es accesorio o de aplicación contingente, la falta de cumplimiento del requisito formal de su promulgación y publicación sin mediar el plazo de 90 días a que alude el artículo 105, fracción II, penúltimo párrafo de la Constitución Federal no producirá su invalidez. </w:t>
      </w:r>
    </w:p>
    <w:p w14:paraId="5EB7A3CC" w14:textId="77777777" w:rsidR="005F063B" w:rsidRPr="00F32542" w:rsidRDefault="005F063B" w:rsidP="005F063B">
      <w:pPr>
        <w:pStyle w:val="Prrafodelista"/>
        <w:spacing w:line="360" w:lineRule="auto"/>
        <w:ind w:left="720"/>
        <w:rPr>
          <w:rFonts w:ascii="Arial" w:eastAsia="Calibri" w:hAnsi="Arial" w:cs="Arial"/>
          <w:szCs w:val="28"/>
        </w:rPr>
      </w:pPr>
    </w:p>
    <w:p w14:paraId="4613AF3D" w14:textId="77777777" w:rsidR="00F94B48" w:rsidRPr="00F32542" w:rsidRDefault="00F94B48" w:rsidP="009B6ED0">
      <w:pPr>
        <w:pStyle w:val="Prrafodelista"/>
        <w:numPr>
          <w:ilvl w:val="0"/>
          <w:numId w:val="33"/>
        </w:numPr>
        <w:spacing w:line="360" w:lineRule="auto"/>
        <w:rPr>
          <w:rFonts w:ascii="Arial" w:eastAsia="Calibri" w:hAnsi="Arial" w:cs="Arial"/>
          <w:szCs w:val="28"/>
        </w:rPr>
      </w:pPr>
      <w:r w:rsidRPr="00F32542">
        <w:rPr>
          <w:rFonts w:ascii="Arial" w:eastAsia="Calibri" w:hAnsi="Arial" w:cs="Arial"/>
          <w:szCs w:val="28"/>
        </w:rPr>
        <w:t>Si la modificación a las leyes electorales se hace indispensable por una declaración de invalidez que hubiese hecho la Suprema Corte de Justicia de la Nación, y ya haya iniciado el proceso electoral, pues en tal caso la creación de nuevas normas tiene como sustento posteriores circunstancias fácticas que demandan la generación de disposiciones jurídicas complementarias, o la reforma de las existentes, para garantizar el pleno ejercicio de los derechos políticos de los participantes.</w:t>
      </w:r>
    </w:p>
    <w:p w14:paraId="7C3680BD"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Esto, porque sería igualmente ilógico que, por la exigencia de un requisito formal, el trabajo parlamentario quedara inmovilizado cuando los propios acontecimientos exigen su intervención, siempre que se atiendan y preserven los principios rectores de la materia electoral.</w:t>
      </w:r>
    </w:p>
    <w:p w14:paraId="51F5BABC"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lastRenderedPageBreak/>
        <w:t>En ese sentido, no basta con afirmar que la emisión de una norma, emitida dentro del plazo de noventa días previos al inicio del proceso electoral, contraviene lo dispuesto en el artículo 105 constitucional, sino que debe demostrarse que modifica sustantivamente las situaciones o normas creadas con anterioridad a su vigencia.</w:t>
      </w:r>
    </w:p>
    <w:p w14:paraId="5B09A3AC"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Cabe señalar que en el juicio </w:t>
      </w:r>
      <w:r w:rsidRPr="00F32542">
        <w:rPr>
          <w:rFonts w:ascii="Arial" w:eastAsia="Calibri" w:hAnsi="Arial" w:cs="Arial"/>
          <w:b/>
          <w:bCs/>
          <w:sz w:val="28"/>
          <w:szCs w:val="28"/>
        </w:rPr>
        <w:t>SUP-JDC-10257/2020</w:t>
      </w:r>
      <w:r w:rsidRPr="00F32542">
        <w:rPr>
          <w:rFonts w:ascii="Arial" w:eastAsia="Calibri" w:hAnsi="Arial" w:cs="Arial"/>
          <w:sz w:val="28"/>
          <w:szCs w:val="28"/>
        </w:rPr>
        <w:t xml:space="preserve">, la </w:t>
      </w:r>
      <w:r w:rsidRPr="00F32542">
        <w:rPr>
          <w:rFonts w:ascii="Arial" w:eastAsia="Calibri" w:hAnsi="Arial" w:cs="Arial"/>
          <w:i/>
          <w:sz w:val="28"/>
          <w:szCs w:val="28"/>
        </w:rPr>
        <w:t xml:space="preserve">Sala Superior </w:t>
      </w:r>
      <w:r w:rsidRPr="00F32542">
        <w:rPr>
          <w:rFonts w:ascii="Arial" w:eastAsia="Calibri" w:hAnsi="Arial" w:cs="Arial"/>
          <w:sz w:val="28"/>
          <w:szCs w:val="28"/>
        </w:rPr>
        <w:t xml:space="preserve">razonó que los institutos electorales no están obligados a apegarse al plazo de noventa días previos al inicio del proceso electoral al emitir normativa. </w:t>
      </w:r>
    </w:p>
    <w:p w14:paraId="1BD8F479"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Esto, cuando la regulación que emitan se trate de aspectos instrumentales para permitir la operatividad de lo establecido en las leyes.  </w:t>
      </w:r>
    </w:p>
    <w:p w14:paraId="6D278A84"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b/>
          <w:sz w:val="28"/>
          <w:szCs w:val="28"/>
        </w:rPr>
        <w:t>Caso concreto</w:t>
      </w:r>
      <w:r w:rsidR="005F063B" w:rsidRPr="00F32542">
        <w:rPr>
          <w:rFonts w:ascii="Arial" w:eastAsia="Calibri" w:hAnsi="Arial" w:cs="Arial"/>
          <w:b/>
          <w:sz w:val="28"/>
          <w:szCs w:val="28"/>
        </w:rPr>
        <w:t>.</w:t>
      </w:r>
    </w:p>
    <w:p w14:paraId="20F9CB83"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Debe recordarse que las partes actoras plantean que el artículo 4, fracciones V a VIII de los </w:t>
      </w:r>
      <w:r w:rsidRPr="00F32542">
        <w:rPr>
          <w:rFonts w:ascii="Arial" w:eastAsia="Calibri" w:hAnsi="Arial" w:cs="Arial"/>
          <w:i/>
          <w:sz w:val="28"/>
          <w:szCs w:val="28"/>
        </w:rPr>
        <w:t>Lineamientos de asignación</w:t>
      </w:r>
      <w:r w:rsidRPr="00F32542">
        <w:rPr>
          <w:rFonts w:ascii="Arial" w:eastAsia="Calibri" w:hAnsi="Arial" w:cs="Arial"/>
          <w:iCs/>
          <w:sz w:val="28"/>
          <w:szCs w:val="28"/>
        </w:rPr>
        <w:t>, es</w:t>
      </w:r>
      <w:r w:rsidRPr="00F32542">
        <w:rPr>
          <w:rFonts w:ascii="Arial" w:eastAsia="Calibri" w:hAnsi="Arial" w:cs="Arial"/>
          <w:sz w:val="28"/>
          <w:szCs w:val="28"/>
        </w:rPr>
        <w:t xml:space="preserve"> inconstitucional porque constituye modificaciones sustanciales durante el proceso electoral. </w:t>
      </w:r>
    </w:p>
    <w:p w14:paraId="2A012740"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Al respecto, es un hecho notorio en términos del artículo 51 de la </w:t>
      </w:r>
      <w:r w:rsidRPr="00F32542">
        <w:rPr>
          <w:rFonts w:ascii="Arial" w:eastAsia="Calibri" w:hAnsi="Arial" w:cs="Arial"/>
          <w:i/>
          <w:sz w:val="28"/>
          <w:szCs w:val="28"/>
        </w:rPr>
        <w:t xml:space="preserve">Ley Procesal </w:t>
      </w:r>
      <w:r w:rsidRPr="00F32542">
        <w:rPr>
          <w:rFonts w:ascii="Arial" w:eastAsia="Calibri" w:hAnsi="Arial" w:cs="Arial"/>
          <w:sz w:val="28"/>
          <w:szCs w:val="28"/>
        </w:rPr>
        <w:t xml:space="preserve">que el nueve de diciembre de dos mil veinte se aprobó el acuerdo </w:t>
      </w:r>
      <w:r w:rsidRPr="00F32542">
        <w:rPr>
          <w:rFonts w:ascii="Arial" w:eastAsia="Calibri" w:hAnsi="Arial" w:cs="Arial"/>
          <w:b/>
          <w:bCs/>
          <w:sz w:val="28"/>
          <w:szCs w:val="28"/>
        </w:rPr>
        <w:t>IECM/ACU-CG-110/2020</w:t>
      </w:r>
      <w:r w:rsidRPr="00F32542">
        <w:rPr>
          <w:rFonts w:ascii="Arial" w:eastAsia="Calibri" w:hAnsi="Arial" w:cs="Arial"/>
          <w:sz w:val="28"/>
          <w:szCs w:val="28"/>
        </w:rPr>
        <w:t xml:space="preserve">, mediante el cual se aprobaron los </w:t>
      </w:r>
      <w:r w:rsidRPr="00F32542">
        <w:rPr>
          <w:rFonts w:ascii="Arial" w:eastAsia="Calibri" w:hAnsi="Arial" w:cs="Arial"/>
          <w:i/>
          <w:sz w:val="28"/>
          <w:szCs w:val="28"/>
        </w:rPr>
        <w:t>Lineamientos de asignación</w:t>
      </w:r>
      <w:r w:rsidRPr="00F32542">
        <w:rPr>
          <w:rFonts w:ascii="Arial" w:eastAsia="Calibri" w:hAnsi="Arial" w:cs="Arial"/>
          <w:sz w:val="28"/>
          <w:szCs w:val="28"/>
        </w:rPr>
        <w:t>.</w:t>
      </w:r>
    </w:p>
    <w:p w14:paraId="094B80BE"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Esto muestra que tales lineamientos se emitieron una vez que había iniciado el proceso electoral en esta Ciudad, lo que ocurrió desde el once de septiembre de dos mil veinte. </w:t>
      </w:r>
    </w:p>
    <w:p w14:paraId="3096BF3C"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lastRenderedPageBreak/>
        <w:t xml:space="preserve">No obstante, este Tribunal considera que el artículo cuestionado de los </w:t>
      </w:r>
      <w:r w:rsidRPr="00F32542">
        <w:rPr>
          <w:rFonts w:ascii="Arial" w:eastAsia="Calibri" w:hAnsi="Arial" w:cs="Arial"/>
          <w:i/>
          <w:sz w:val="28"/>
          <w:szCs w:val="28"/>
        </w:rPr>
        <w:t xml:space="preserve">Lineamientos </w:t>
      </w:r>
      <w:r w:rsidRPr="00F32542">
        <w:rPr>
          <w:rFonts w:ascii="Arial" w:eastAsia="Calibri" w:hAnsi="Arial" w:cs="Arial"/>
          <w:sz w:val="28"/>
          <w:szCs w:val="28"/>
        </w:rPr>
        <w:t>no constituye una modificación sustancial</w:t>
      </w:r>
    </w:p>
    <w:p w14:paraId="22331BD8"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En efecto, el artículo 4, fracciones V, VI, VII y VIII, de los </w:t>
      </w:r>
      <w:r w:rsidRPr="00F32542">
        <w:rPr>
          <w:rFonts w:ascii="Arial" w:eastAsia="Calibri" w:hAnsi="Arial" w:cs="Arial"/>
          <w:i/>
          <w:sz w:val="28"/>
          <w:szCs w:val="28"/>
        </w:rPr>
        <w:t>Lineamientos</w:t>
      </w:r>
      <w:r w:rsidRPr="00F32542">
        <w:rPr>
          <w:rFonts w:ascii="Arial" w:eastAsia="Calibri" w:hAnsi="Arial" w:cs="Arial"/>
          <w:sz w:val="28"/>
          <w:szCs w:val="28"/>
        </w:rPr>
        <w:t xml:space="preserve"> establecen lo siguiente:</w:t>
      </w:r>
    </w:p>
    <w:p w14:paraId="1DBFE60B" w14:textId="77777777" w:rsidR="00F94B48" w:rsidRPr="00F32542" w:rsidRDefault="00F94B48" w:rsidP="005F063B">
      <w:pPr>
        <w:tabs>
          <w:tab w:val="left" w:pos="6480"/>
        </w:tabs>
        <w:spacing w:after="0" w:line="240" w:lineRule="auto"/>
        <w:ind w:left="720" w:right="779"/>
        <w:jc w:val="both"/>
        <w:rPr>
          <w:rFonts w:ascii="Arial" w:eastAsia="Times New Roman" w:hAnsi="Arial" w:cs="Arial"/>
          <w:sz w:val="24"/>
          <w:szCs w:val="24"/>
          <w:lang w:val="x-none" w:eastAsia="es-ES"/>
        </w:rPr>
      </w:pPr>
      <w:r w:rsidRPr="00F32542">
        <w:rPr>
          <w:rFonts w:ascii="Arial" w:eastAsia="Times New Roman" w:hAnsi="Arial" w:cs="Arial"/>
          <w:b/>
          <w:sz w:val="24"/>
          <w:szCs w:val="24"/>
          <w:lang w:val="x-none" w:eastAsia="es-ES"/>
        </w:rPr>
        <w:t>Artículo 4</w:t>
      </w:r>
      <w:r w:rsidRPr="00F32542">
        <w:rPr>
          <w:rFonts w:ascii="Arial" w:eastAsia="Times New Roman" w:hAnsi="Arial" w:cs="Arial"/>
          <w:sz w:val="24"/>
          <w:szCs w:val="24"/>
          <w:lang w:val="x-none" w:eastAsia="es-ES"/>
        </w:rPr>
        <w:t>. Para efectos de los presentes Lineamientos se entenderá:</w:t>
      </w:r>
    </w:p>
    <w:p w14:paraId="65E8ECCA" w14:textId="77777777" w:rsidR="00F94B48" w:rsidRPr="00F32542" w:rsidRDefault="00F94B48" w:rsidP="005F063B">
      <w:pPr>
        <w:tabs>
          <w:tab w:val="left" w:pos="6480"/>
        </w:tabs>
        <w:spacing w:after="0" w:line="240" w:lineRule="auto"/>
        <w:ind w:left="720" w:right="779"/>
        <w:jc w:val="both"/>
        <w:rPr>
          <w:rFonts w:ascii="Arial" w:eastAsia="Times New Roman" w:hAnsi="Arial" w:cs="Arial"/>
          <w:sz w:val="24"/>
          <w:szCs w:val="24"/>
          <w:lang w:val="x-none" w:eastAsia="es-ES"/>
        </w:rPr>
      </w:pPr>
    </w:p>
    <w:p w14:paraId="33D0F573" w14:textId="77777777" w:rsidR="00F94B48" w:rsidRPr="00F32542" w:rsidRDefault="00F94B48" w:rsidP="005F063B">
      <w:pPr>
        <w:tabs>
          <w:tab w:val="left" w:pos="6480"/>
        </w:tabs>
        <w:spacing w:after="0" w:line="240" w:lineRule="auto"/>
        <w:ind w:left="720" w:right="779"/>
        <w:jc w:val="both"/>
        <w:rPr>
          <w:rFonts w:ascii="Arial" w:eastAsia="Times New Roman" w:hAnsi="Arial" w:cs="Arial"/>
          <w:sz w:val="24"/>
          <w:szCs w:val="24"/>
          <w:lang w:val="x-none" w:eastAsia="es-ES"/>
        </w:rPr>
      </w:pPr>
      <w:r w:rsidRPr="00F32542">
        <w:rPr>
          <w:rFonts w:ascii="Arial" w:eastAsia="Times New Roman" w:hAnsi="Arial" w:cs="Arial"/>
          <w:sz w:val="24"/>
          <w:szCs w:val="24"/>
          <w:lang w:val="x-none" w:eastAsia="es-ES"/>
        </w:rPr>
        <w:t>…</w:t>
      </w:r>
    </w:p>
    <w:p w14:paraId="7264FE1D" w14:textId="77777777" w:rsidR="00F94B48" w:rsidRPr="00F32542" w:rsidRDefault="00F94B48" w:rsidP="005F063B">
      <w:pPr>
        <w:tabs>
          <w:tab w:val="left" w:pos="6480"/>
        </w:tabs>
        <w:spacing w:after="0" w:line="240" w:lineRule="auto"/>
        <w:ind w:left="720" w:right="779"/>
        <w:jc w:val="both"/>
        <w:rPr>
          <w:rFonts w:ascii="Arial" w:eastAsia="Times New Roman" w:hAnsi="Arial" w:cs="Arial"/>
          <w:sz w:val="24"/>
          <w:szCs w:val="24"/>
          <w:lang w:val="x-none" w:eastAsia="es-ES"/>
        </w:rPr>
      </w:pPr>
    </w:p>
    <w:p w14:paraId="2775875D" w14:textId="77777777" w:rsidR="00F94B48" w:rsidRPr="00F32542" w:rsidRDefault="00F94B48" w:rsidP="005F063B">
      <w:pPr>
        <w:tabs>
          <w:tab w:val="left" w:pos="6480"/>
        </w:tabs>
        <w:spacing w:after="0" w:line="240" w:lineRule="auto"/>
        <w:ind w:left="720" w:right="779"/>
        <w:jc w:val="both"/>
        <w:rPr>
          <w:rFonts w:ascii="Arial" w:eastAsia="Times New Roman" w:hAnsi="Arial" w:cs="Arial"/>
          <w:sz w:val="24"/>
          <w:szCs w:val="24"/>
          <w:lang w:val="x-none" w:eastAsia="es-ES"/>
        </w:rPr>
      </w:pPr>
      <w:r w:rsidRPr="00F32542">
        <w:rPr>
          <w:rFonts w:ascii="Arial" w:eastAsia="Times New Roman" w:hAnsi="Arial" w:cs="Arial"/>
          <w:sz w:val="24"/>
          <w:szCs w:val="24"/>
          <w:lang w:val="x-none" w:eastAsia="es-ES"/>
        </w:rPr>
        <w:t>c) Para la asignación de Diputaciones electas por el principio de representación proporcional, se tendrán en cuenta los conceptos y principios siguientes:</w:t>
      </w:r>
    </w:p>
    <w:p w14:paraId="62D6B2C1" w14:textId="77777777" w:rsidR="00F94B48" w:rsidRPr="00F32542" w:rsidRDefault="00F94B48" w:rsidP="005F063B">
      <w:pPr>
        <w:tabs>
          <w:tab w:val="left" w:pos="6480"/>
        </w:tabs>
        <w:spacing w:after="0" w:line="240" w:lineRule="auto"/>
        <w:ind w:left="720" w:right="779"/>
        <w:jc w:val="both"/>
        <w:rPr>
          <w:rFonts w:ascii="Arial" w:eastAsia="Times New Roman" w:hAnsi="Arial" w:cs="Arial"/>
          <w:sz w:val="24"/>
          <w:szCs w:val="24"/>
          <w:lang w:val="x-none" w:eastAsia="es-ES"/>
        </w:rPr>
      </w:pPr>
    </w:p>
    <w:p w14:paraId="61948A40" w14:textId="77777777" w:rsidR="00F94B48" w:rsidRPr="00F32542" w:rsidRDefault="00F94B48" w:rsidP="005F063B">
      <w:pPr>
        <w:tabs>
          <w:tab w:val="left" w:pos="6480"/>
        </w:tabs>
        <w:spacing w:after="0" w:line="240" w:lineRule="auto"/>
        <w:ind w:left="720" w:right="779"/>
        <w:jc w:val="both"/>
        <w:rPr>
          <w:rFonts w:ascii="Arial" w:eastAsia="Times New Roman" w:hAnsi="Arial" w:cs="Arial"/>
          <w:sz w:val="24"/>
          <w:szCs w:val="24"/>
          <w:lang w:val="x-none" w:eastAsia="es-ES"/>
        </w:rPr>
      </w:pPr>
      <w:r w:rsidRPr="00F32542">
        <w:rPr>
          <w:rFonts w:ascii="Arial" w:eastAsia="Times New Roman" w:hAnsi="Arial" w:cs="Arial"/>
          <w:sz w:val="24"/>
          <w:szCs w:val="24"/>
          <w:lang w:val="x-none" w:eastAsia="es-ES"/>
        </w:rPr>
        <w:t>…</w:t>
      </w:r>
    </w:p>
    <w:p w14:paraId="1A88A7EC" w14:textId="77777777" w:rsidR="00F94B48" w:rsidRPr="00F32542" w:rsidRDefault="00F94B48" w:rsidP="005F063B">
      <w:pPr>
        <w:tabs>
          <w:tab w:val="left" w:pos="6480"/>
        </w:tabs>
        <w:spacing w:after="0" w:line="240" w:lineRule="auto"/>
        <w:ind w:left="720" w:right="779"/>
        <w:jc w:val="both"/>
        <w:rPr>
          <w:rFonts w:ascii="Arial" w:eastAsia="Times New Roman" w:hAnsi="Arial" w:cs="Arial"/>
          <w:sz w:val="24"/>
          <w:szCs w:val="24"/>
          <w:lang w:val="x-none" w:eastAsia="es-ES"/>
        </w:rPr>
      </w:pPr>
      <w:r w:rsidRPr="00F32542">
        <w:rPr>
          <w:rFonts w:ascii="Arial" w:eastAsia="Times New Roman" w:hAnsi="Arial" w:cs="Arial"/>
          <w:b/>
          <w:sz w:val="24"/>
          <w:szCs w:val="24"/>
          <w:lang w:val="x-none" w:eastAsia="es-ES"/>
        </w:rPr>
        <w:t>v. Lista "A":</w:t>
      </w:r>
      <w:r w:rsidRPr="00F32542">
        <w:rPr>
          <w:rFonts w:ascii="Arial" w:eastAsia="Times New Roman" w:hAnsi="Arial" w:cs="Arial"/>
          <w:sz w:val="24"/>
          <w:szCs w:val="24"/>
          <w:lang w:val="x-none" w:eastAsia="es-ES"/>
        </w:rPr>
        <w:t xml:space="preserve"> Relación de dieciséis fórmulas de candidaturas para la elección de Diputaciones plurinominales conformadas por persona propietaria y suplente del mismo género, listadas en orden de prelación alternando fórmulas de género distinto de manera sucesiva, a elegir por el principio de representación proporcional, de las cuales cuatro deberán estar integradas por jóvenes de 18 a 35 años y, al menos una por integrantes de pueblos y barrios originarios y comunidades indígenas, así como una formula integrada por personas con discapacidad.</w:t>
      </w:r>
    </w:p>
    <w:p w14:paraId="079EC714" w14:textId="77777777" w:rsidR="00F94B48" w:rsidRPr="00F32542" w:rsidRDefault="00F94B48" w:rsidP="005F063B">
      <w:pPr>
        <w:tabs>
          <w:tab w:val="left" w:pos="6480"/>
        </w:tabs>
        <w:spacing w:after="0" w:line="240" w:lineRule="auto"/>
        <w:ind w:left="720" w:right="779"/>
        <w:jc w:val="both"/>
        <w:rPr>
          <w:rFonts w:ascii="Arial" w:eastAsia="Times New Roman" w:hAnsi="Arial" w:cs="Arial"/>
          <w:sz w:val="24"/>
          <w:szCs w:val="24"/>
          <w:lang w:val="x-none" w:eastAsia="es-ES"/>
        </w:rPr>
      </w:pPr>
    </w:p>
    <w:p w14:paraId="71480289" w14:textId="77777777" w:rsidR="00F94B48" w:rsidRPr="00F32542" w:rsidRDefault="00F94B48" w:rsidP="005F063B">
      <w:pPr>
        <w:tabs>
          <w:tab w:val="left" w:pos="6480"/>
        </w:tabs>
        <w:spacing w:after="0" w:line="240" w:lineRule="auto"/>
        <w:ind w:left="720" w:right="779"/>
        <w:jc w:val="both"/>
        <w:rPr>
          <w:rFonts w:ascii="Arial" w:eastAsia="Times New Roman" w:hAnsi="Arial" w:cs="Arial"/>
          <w:sz w:val="24"/>
          <w:szCs w:val="24"/>
          <w:lang w:val="x-none" w:eastAsia="es-ES"/>
        </w:rPr>
      </w:pPr>
      <w:r w:rsidRPr="00F32542">
        <w:rPr>
          <w:rFonts w:ascii="Arial" w:eastAsia="Times New Roman" w:hAnsi="Arial" w:cs="Arial"/>
          <w:b/>
          <w:sz w:val="24"/>
          <w:szCs w:val="24"/>
          <w:lang w:val="x-none" w:eastAsia="es-ES"/>
        </w:rPr>
        <w:t xml:space="preserve">vi. Lista "A Prima": </w:t>
      </w:r>
      <w:r w:rsidRPr="00F32542">
        <w:rPr>
          <w:rFonts w:ascii="Arial" w:eastAsia="Times New Roman" w:hAnsi="Arial" w:cs="Arial"/>
          <w:sz w:val="24"/>
          <w:szCs w:val="24"/>
          <w:lang w:val="x-none" w:eastAsia="es-ES"/>
        </w:rPr>
        <w:t>Apartado de la Lista "A" que se integra con la candidatura a la Diputación Migrante postulada por cada partido político, siendo esta una persona residente en el extranjero con calidad de originaria de la Ciudad de México, que cumple con los requisitos dispuestos por la Constitución Federal y la Ley de Nacionalidad para ocupar el cargo de Diputada o Diputado por el principio de representación proporcional en el Congreso de la Ciudad de México, así como lo establecido en los demás ordenamientos legales que resulten aplicables.</w:t>
      </w:r>
    </w:p>
    <w:p w14:paraId="72962B6A" w14:textId="77777777" w:rsidR="00F94B48" w:rsidRPr="00F32542" w:rsidRDefault="00F94B48" w:rsidP="005F063B">
      <w:pPr>
        <w:tabs>
          <w:tab w:val="left" w:pos="6480"/>
        </w:tabs>
        <w:spacing w:after="0" w:line="240" w:lineRule="auto"/>
        <w:ind w:left="720" w:right="779"/>
        <w:jc w:val="both"/>
        <w:rPr>
          <w:rFonts w:ascii="Arial" w:eastAsia="Times New Roman" w:hAnsi="Arial" w:cs="Arial"/>
          <w:sz w:val="24"/>
          <w:szCs w:val="24"/>
          <w:lang w:val="x-none" w:eastAsia="es-ES"/>
        </w:rPr>
      </w:pPr>
    </w:p>
    <w:p w14:paraId="060C8636" w14:textId="77777777" w:rsidR="00F94B48" w:rsidRPr="00F32542" w:rsidRDefault="00F94B48" w:rsidP="005F063B">
      <w:pPr>
        <w:tabs>
          <w:tab w:val="left" w:pos="6480"/>
        </w:tabs>
        <w:spacing w:after="0" w:line="240" w:lineRule="auto"/>
        <w:ind w:left="720" w:right="779"/>
        <w:jc w:val="both"/>
        <w:rPr>
          <w:rFonts w:ascii="Arial" w:eastAsia="Times New Roman" w:hAnsi="Arial" w:cs="Arial"/>
          <w:sz w:val="24"/>
          <w:szCs w:val="24"/>
          <w:lang w:val="x-none" w:eastAsia="es-ES"/>
        </w:rPr>
      </w:pPr>
      <w:proofErr w:type="spellStart"/>
      <w:r w:rsidRPr="00F32542">
        <w:rPr>
          <w:rFonts w:ascii="Arial" w:eastAsia="Times New Roman" w:hAnsi="Arial" w:cs="Arial"/>
          <w:b/>
          <w:sz w:val="24"/>
          <w:szCs w:val="24"/>
          <w:lang w:val="x-none" w:eastAsia="es-ES"/>
        </w:rPr>
        <w:t>vii</w:t>
      </w:r>
      <w:proofErr w:type="spellEnd"/>
      <w:r w:rsidRPr="00F32542">
        <w:rPr>
          <w:rFonts w:ascii="Arial" w:eastAsia="Times New Roman" w:hAnsi="Arial" w:cs="Arial"/>
          <w:b/>
          <w:sz w:val="24"/>
          <w:szCs w:val="24"/>
          <w:lang w:val="x-none" w:eastAsia="es-ES"/>
        </w:rPr>
        <w:t>. Lista "B":</w:t>
      </w:r>
      <w:r w:rsidRPr="00F32542">
        <w:rPr>
          <w:rFonts w:ascii="Arial" w:eastAsia="Times New Roman" w:hAnsi="Arial" w:cs="Arial"/>
          <w:sz w:val="24"/>
          <w:szCs w:val="24"/>
          <w:lang w:val="x-none" w:eastAsia="es-ES"/>
        </w:rPr>
        <w:t xml:space="preserve"> Relación de diecisiete fórmulas de candidaturas conformadas por las Diputaciones que no lograron el triunfo en la elección por el principio de mayoría relativa del distrito en que participaron, pero que alcanzaron a nivel distrital los mayores porcentajes de la votación local emitida, comparados respecto de otras fórmulas de su propio partido en esa misma elección; con la finalidad de garantizar la paridad de género, una vez que se determinó el primer lugar de esta lista, el segundo lugar será ocupado por la fórmula del otro género con mayor porcentaje de la votación local emitida, e irán intercalando de esta manera hasta concluir la integración de la lista.</w:t>
      </w:r>
    </w:p>
    <w:p w14:paraId="29856D1B" w14:textId="77777777" w:rsidR="00F94B48" w:rsidRPr="00F32542" w:rsidRDefault="00F94B48" w:rsidP="005F063B">
      <w:pPr>
        <w:tabs>
          <w:tab w:val="left" w:pos="6480"/>
        </w:tabs>
        <w:spacing w:after="0" w:line="240" w:lineRule="auto"/>
        <w:ind w:left="720" w:right="779"/>
        <w:jc w:val="both"/>
        <w:rPr>
          <w:rFonts w:ascii="Arial" w:eastAsia="Times New Roman" w:hAnsi="Arial" w:cs="Arial"/>
          <w:sz w:val="24"/>
          <w:szCs w:val="24"/>
          <w:lang w:val="x-none" w:eastAsia="es-ES"/>
        </w:rPr>
      </w:pPr>
    </w:p>
    <w:p w14:paraId="7EB77414" w14:textId="77777777" w:rsidR="00F94B48" w:rsidRPr="00F32542" w:rsidRDefault="00F94B48" w:rsidP="005F063B">
      <w:pPr>
        <w:tabs>
          <w:tab w:val="left" w:pos="6480"/>
        </w:tabs>
        <w:spacing w:after="0" w:line="240" w:lineRule="auto"/>
        <w:ind w:left="720" w:right="779"/>
        <w:jc w:val="both"/>
        <w:rPr>
          <w:rFonts w:ascii="Arial" w:eastAsia="Times New Roman" w:hAnsi="Arial" w:cs="Arial"/>
          <w:sz w:val="24"/>
          <w:szCs w:val="24"/>
          <w:lang w:val="x-none" w:eastAsia="es-ES"/>
        </w:rPr>
      </w:pPr>
      <w:proofErr w:type="spellStart"/>
      <w:r w:rsidRPr="00F32542">
        <w:rPr>
          <w:rFonts w:ascii="Arial" w:eastAsia="Times New Roman" w:hAnsi="Arial" w:cs="Arial"/>
          <w:b/>
          <w:sz w:val="24"/>
          <w:szCs w:val="24"/>
          <w:lang w:val="x-none" w:eastAsia="es-ES"/>
        </w:rPr>
        <w:lastRenderedPageBreak/>
        <w:t>viii</w:t>
      </w:r>
      <w:proofErr w:type="spellEnd"/>
      <w:r w:rsidRPr="00F32542">
        <w:rPr>
          <w:rFonts w:ascii="Arial" w:eastAsia="Times New Roman" w:hAnsi="Arial" w:cs="Arial"/>
          <w:b/>
          <w:sz w:val="24"/>
          <w:szCs w:val="24"/>
          <w:lang w:val="x-none" w:eastAsia="es-ES"/>
        </w:rPr>
        <w:t>. Lista Definitiva:</w:t>
      </w:r>
      <w:r w:rsidRPr="00F32542">
        <w:rPr>
          <w:rFonts w:ascii="Arial" w:eastAsia="Times New Roman" w:hAnsi="Arial" w:cs="Arial"/>
          <w:sz w:val="24"/>
          <w:szCs w:val="24"/>
          <w:lang w:val="x-none" w:eastAsia="es-ES"/>
        </w:rPr>
        <w:t xml:space="preserve"> Es el resultado de intercalar las fórmulas de candidatos y candidatas de las Listas "A" y "B", que será encabezada siempre por la primera fórmula de la Lista "A", salvo en el caso del partido que obtenga la diputación migrante, ya que, en ese supuesto, la lista definitiva estará encabezada por la fórmula en la que se postuló a la referida diputación migrante. Tal intercalado podrá generar bloques de hasta dos fórmulas del mismo género, pero de diferente lista de origen.</w:t>
      </w:r>
    </w:p>
    <w:p w14:paraId="5EED2A36" w14:textId="77777777" w:rsidR="00F94B48" w:rsidRPr="00F32542" w:rsidRDefault="00F94B48" w:rsidP="00F94B48">
      <w:pPr>
        <w:spacing w:after="0" w:line="240" w:lineRule="auto"/>
        <w:rPr>
          <w:rFonts w:ascii="Courier New" w:eastAsia="Times New Roman" w:hAnsi="Courier New" w:cs="Times New Roman"/>
          <w:sz w:val="20"/>
          <w:szCs w:val="20"/>
          <w:lang w:val="x-none" w:eastAsia="es-ES"/>
        </w:rPr>
      </w:pPr>
    </w:p>
    <w:p w14:paraId="4B7938B3"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Como se observa, las normas citadas establecen la manera en cómo se conforman las listas A, A Prima, B, y cómo se deben intercalar para conformar la lista definitiva de cada partido político. </w:t>
      </w:r>
    </w:p>
    <w:p w14:paraId="04811820"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Según las disposiciones citadas, la Lista A se trata de aquélla que se conforma con dieciséis fórmulas, las cuales se intercalan sucesivamente por personas de un género distinto de manera alternada.</w:t>
      </w:r>
    </w:p>
    <w:p w14:paraId="67874915"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La lista A Prima se conforma por la persona candidata a la diputación migrante.</w:t>
      </w:r>
    </w:p>
    <w:p w14:paraId="4C0B9314"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Por su parte, la lista B es definida como aquella que se compone de diecisiete fórmulas de candidaturas a diputaciones que no obtuvieron el triunfo de mayoría relativa pero que cuentan con los mayores porcentajes de votación respecto a las demás fórmulas del mismo partido. Una vez que se determine el primer lugar de la lista el segundo será la persona del otro género con mejor votación y para concluir las listas así se deberá continuar el intercalado. </w:t>
      </w:r>
    </w:p>
    <w:p w14:paraId="7316480B"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Por último, la lista definitiva es el resultado de intercalar las fórmulas de candidaturas de las listas A y B, las cuales serán encabezadas siempre por la primer</w:t>
      </w:r>
      <w:r w:rsidR="000C0599" w:rsidRPr="00F32542">
        <w:rPr>
          <w:rFonts w:ascii="Arial" w:eastAsia="Calibri" w:hAnsi="Arial" w:cs="Arial"/>
          <w:sz w:val="28"/>
          <w:szCs w:val="28"/>
        </w:rPr>
        <w:t>a</w:t>
      </w:r>
      <w:r w:rsidRPr="00F32542">
        <w:rPr>
          <w:rFonts w:ascii="Arial" w:eastAsia="Calibri" w:hAnsi="Arial" w:cs="Arial"/>
          <w:sz w:val="28"/>
          <w:szCs w:val="28"/>
        </w:rPr>
        <w:t xml:space="preserve"> fórmula de la lista A. Esa intercalación podrá generar bloques de dos fórmulas del mismo </w:t>
      </w:r>
      <w:proofErr w:type="gramStart"/>
      <w:r w:rsidRPr="00F32542">
        <w:rPr>
          <w:rFonts w:ascii="Arial" w:eastAsia="Calibri" w:hAnsi="Arial" w:cs="Arial"/>
          <w:sz w:val="28"/>
          <w:szCs w:val="28"/>
        </w:rPr>
        <w:t>género</w:t>
      </w:r>
      <w:proofErr w:type="gramEnd"/>
      <w:r w:rsidRPr="00F32542">
        <w:rPr>
          <w:rFonts w:ascii="Arial" w:eastAsia="Calibri" w:hAnsi="Arial" w:cs="Arial"/>
          <w:sz w:val="28"/>
          <w:szCs w:val="28"/>
        </w:rPr>
        <w:t xml:space="preserve"> pero de diferente lista de origen. </w:t>
      </w:r>
    </w:p>
    <w:p w14:paraId="38D6CFC6" w14:textId="77777777" w:rsidR="00F94B48" w:rsidRPr="00F32542" w:rsidRDefault="00F94B48" w:rsidP="00F94B48">
      <w:pPr>
        <w:spacing w:before="100" w:beforeAutospacing="1" w:after="100" w:afterAutospacing="1" w:line="360" w:lineRule="auto"/>
        <w:jc w:val="both"/>
        <w:rPr>
          <w:rFonts w:ascii="Arial" w:eastAsia="Calibri" w:hAnsi="Arial" w:cs="Arial"/>
          <w:i/>
          <w:sz w:val="28"/>
          <w:szCs w:val="28"/>
        </w:rPr>
      </w:pPr>
      <w:r w:rsidRPr="00F32542">
        <w:rPr>
          <w:rFonts w:ascii="Arial" w:eastAsia="Calibri" w:hAnsi="Arial" w:cs="Arial"/>
          <w:sz w:val="28"/>
          <w:szCs w:val="28"/>
        </w:rPr>
        <w:lastRenderedPageBreak/>
        <w:t xml:space="preserve">Ahora bien, este Tribunal considera que tales disposiciones no constituyen modificaciones sustanciales porque son el reflejo de lo establecido en el </w:t>
      </w:r>
      <w:r w:rsidRPr="00F32542">
        <w:rPr>
          <w:rFonts w:ascii="Arial" w:eastAsia="Calibri" w:hAnsi="Arial" w:cs="Arial"/>
          <w:i/>
          <w:sz w:val="28"/>
          <w:szCs w:val="28"/>
        </w:rPr>
        <w:t xml:space="preserve">Código local. </w:t>
      </w:r>
    </w:p>
    <w:p w14:paraId="23EDA97C"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En efecto, en el artículo 24 del </w:t>
      </w:r>
      <w:r w:rsidRPr="00F32542">
        <w:rPr>
          <w:rFonts w:ascii="Arial" w:eastAsia="Calibri" w:hAnsi="Arial" w:cs="Arial"/>
          <w:i/>
          <w:sz w:val="28"/>
          <w:szCs w:val="28"/>
        </w:rPr>
        <w:t xml:space="preserve">Código local </w:t>
      </w:r>
      <w:r w:rsidRPr="00F32542">
        <w:rPr>
          <w:rFonts w:ascii="Arial" w:eastAsia="Calibri" w:hAnsi="Arial" w:cs="Arial"/>
          <w:sz w:val="28"/>
          <w:szCs w:val="28"/>
        </w:rPr>
        <w:t>se define en qué consisten las listas A, B y definitiva, como a continuación se muestra:</w:t>
      </w:r>
    </w:p>
    <w:p w14:paraId="6F8BC99E" w14:textId="77777777" w:rsidR="00F94B48" w:rsidRPr="00F32542" w:rsidRDefault="00F94B48" w:rsidP="00117502">
      <w:pPr>
        <w:tabs>
          <w:tab w:val="left" w:pos="7088"/>
        </w:tabs>
        <w:spacing w:after="0" w:line="240" w:lineRule="auto"/>
        <w:ind w:left="567" w:right="1467"/>
        <w:jc w:val="both"/>
        <w:rPr>
          <w:rFonts w:ascii="Arial" w:eastAsia="Times New Roman" w:hAnsi="Arial" w:cs="Arial"/>
          <w:sz w:val="24"/>
          <w:szCs w:val="24"/>
          <w:lang w:val="x-none" w:eastAsia="es-ES"/>
        </w:rPr>
      </w:pPr>
      <w:r w:rsidRPr="00F32542">
        <w:rPr>
          <w:rFonts w:ascii="Arial" w:eastAsia="Times New Roman" w:hAnsi="Arial" w:cs="Arial"/>
          <w:b/>
          <w:sz w:val="24"/>
          <w:szCs w:val="24"/>
          <w:lang w:val="x-none" w:eastAsia="es-ES"/>
        </w:rPr>
        <w:t>Artículo 24. </w:t>
      </w:r>
      <w:r w:rsidRPr="00F32542">
        <w:rPr>
          <w:rFonts w:ascii="Arial" w:eastAsia="Times New Roman" w:hAnsi="Arial" w:cs="Arial"/>
          <w:sz w:val="24"/>
          <w:szCs w:val="24"/>
          <w:lang w:val="x-none" w:eastAsia="es-ES"/>
        </w:rPr>
        <w:t>Para la asignación de Diputadas y Diputados electos por el principio de representación proporcional se tendrán en cuenta los conceptos y principios siguientes:</w:t>
      </w:r>
    </w:p>
    <w:p w14:paraId="60C2AEDA" w14:textId="77777777" w:rsidR="00F94B48" w:rsidRPr="00F32542" w:rsidRDefault="00F94B48" w:rsidP="00117502">
      <w:pPr>
        <w:tabs>
          <w:tab w:val="left" w:pos="7088"/>
        </w:tabs>
        <w:spacing w:after="0" w:line="240" w:lineRule="auto"/>
        <w:ind w:left="567" w:right="1467"/>
        <w:jc w:val="both"/>
        <w:rPr>
          <w:rFonts w:ascii="Arial" w:eastAsia="Times New Roman" w:hAnsi="Arial" w:cs="Arial"/>
          <w:b/>
          <w:sz w:val="24"/>
          <w:szCs w:val="24"/>
          <w:lang w:val="x-none" w:eastAsia="es-ES"/>
        </w:rPr>
      </w:pPr>
    </w:p>
    <w:p w14:paraId="27BAD629" w14:textId="77777777" w:rsidR="00F94B48" w:rsidRPr="00F32542" w:rsidRDefault="00F94B48" w:rsidP="00117502">
      <w:pPr>
        <w:tabs>
          <w:tab w:val="left" w:pos="7088"/>
        </w:tabs>
        <w:spacing w:after="0" w:line="240" w:lineRule="auto"/>
        <w:ind w:left="567" w:right="1467"/>
        <w:jc w:val="both"/>
        <w:rPr>
          <w:rFonts w:ascii="Arial" w:eastAsia="Times New Roman" w:hAnsi="Arial" w:cs="Arial"/>
          <w:sz w:val="24"/>
          <w:szCs w:val="24"/>
          <w:lang w:val="x-none" w:eastAsia="es-ES"/>
        </w:rPr>
      </w:pPr>
      <w:r w:rsidRPr="00F32542">
        <w:rPr>
          <w:rFonts w:ascii="Arial" w:eastAsia="Times New Roman" w:hAnsi="Arial" w:cs="Arial"/>
          <w:sz w:val="24"/>
          <w:szCs w:val="24"/>
          <w:lang w:val="x-none" w:eastAsia="es-ES"/>
        </w:rPr>
        <w:t>…</w:t>
      </w:r>
    </w:p>
    <w:p w14:paraId="45B6AB20" w14:textId="77777777" w:rsidR="00F94B48" w:rsidRPr="00F32542" w:rsidRDefault="00F94B48" w:rsidP="00117502">
      <w:pPr>
        <w:tabs>
          <w:tab w:val="left" w:pos="7088"/>
        </w:tabs>
        <w:spacing w:after="0" w:line="240" w:lineRule="auto"/>
        <w:ind w:left="567" w:right="1467"/>
        <w:jc w:val="both"/>
        <w:rPr>
          <w:rFonts w:ascii="Arial" w:eastAsia="Times New Roman" w:hAnsi="Arial" w:cs="Arial"/>
          <w:b/>
          <w:sz w:val="24"/>
          <w:szCs w:val="24"/>
          <w:lang w:val="x-none" w:eastAsia="es-ES"/>
        </w:rPr>
      </w:pPr>
    </w:p>
    <w:p w14:paraId="0BCFC85D" w14:textId="77777777" w:rsidR="00F94B48" w:rsidRPr="00F32542" w:rsidRDefault="00F94B48" w:rsidP="00117502">
      <w:pPr>
        <w:tabs>
          <w:tab w:val="left" w:pos="7088"/>
        </w:tabs>
        <w:spacing w:after="0" w:line="240" w:lineRule="auto"/>
        <w:ind w:left="567" w:right="1467"/>
        <w:jc w:val="both"/>
        <w:rPr>
          <w:rFonts w:ascii="Arial" w:eastAsia="Times New Roman" w:hAnsi="Arial" w:cs="Arial"/>
          <w:sz w:val="24"/>
          <w:szCs w:val="24"/>
          <w:lang w:val="x-none" w:eastAsia="es-ES"/>
        </w:rPr>
      </w:pPr>
      <w:r w:rsidRPr="00F32542">
        <w:rPr>
          <w:rFonts w:ascii="Arial" w:eastAsia="Times New Roman" w:hAnsi="Arial" w:cs="Arial"/>
          <w:b/>
          <w:sz w:val="24"/>
          <w:szCs w:val="24"/>
          <w:lang w:val="x-none" w:eastAsia="es-ES"/>
        </w:rPr>
        <w:t>III. Lista "A": </w:t>
      </w:r>
      <w:r w:rsidRPr="00F32542">
        <w:rPr>
          <w:rFonts w:ascii="Arial" w:eastAsia="Times New Roman" w:hAnsi="Arial" w:cs="Arial"/>
          <w:sz w:val="24"/>
          <w:szCs w:val="24"/>
          <w:lang w:val="x-none" w:eastAsia="es-ES"/>
        </w:rPr>
        <w:t>Relación de diecisiete fórmulas de candidaturas a las diputaciones: propietario y suplente del mismo género, listados en orden de prelación alternando fórmulas de género distinto de manera sucesiva, a elegir por el principio de representación proporcional, de las cuales 4 deberán estar integradas por jóvenes de 18 a 35 años.</w:t>
      </w:r>
    </w:p>
    <w:p w14:paraId="3D46542E" w14:textId="77777777" w:rsidR="00F94B48" w:rsidRPr="00F32542" w:rsidRDefault="00F94B48" w:rsidP="00117502">
      <w:pPr>
        <w:tabs>
          <w:tab w:val="left" w:pos="7088"/>
        </w:tabs>
        <w:spacing w:after="0" w:line="240" w:lineRule="auto"/>
        <w:ind w:left="567" w:right="1467"/>
        <w:jc w:val="both"/>
        <w:rPr>
          <w:rFonts w:ascii="Arial" w:eastAsia="Times New Roman" w:hAnsi="Arial" w:cs="Arial"/>
          <w:b/>
          <w:sz w:val="24"/>
          <w:szCs w:val="24"/>
          <w:lang w:val="x-none" w:eastAsia="es-ES"/>
        </w:rPr>
      </w:pPr>
    </w:p>
    <w:p w14:paraId="4E182B9F" w14:textId="77777777" w:rsidR="00F94B48" w:rsidRPr="00F32542" w:rsidRDefault="00F94B48" w:rsidP="00117502">
      <w:pPr>
        <w:tabs>
          <w:tab w:val="left" w:pos="7088"/>
        </w:tabs>
        <w:spacing w:after="0" w:line="240" w:lineRule="auto"/>
        <w:ind w:left="567" w:right="1467"/>
        <w:jc w:val="both"/>
        <w:rPr>
          <w:rFonts w:ascii="Arial" w:eastAsia="Times New Roman" w:hAnsi="Arial" w:cs="Arial"/>
          <w:sz w:val="24"/>
          <w:szCs w:val="24"/>
          <w:lang w:val="x-none" w:eastAsia="es-ES"/>
        </w:rPr>
      </w:pPr>
      <w:r w:rsidRPr="00F32542">
        <w:rPr>
          <w:rFonts w:ascii="Arial" w:eastAsia="Times New Roman" w:hAnsi="Arial" w:cs="Arial"/>
          <w:b/>
          <w:sz w:val="24"/>
          <w:szCs w:val="24"/>
          <w:lang w:val="x-none" w:eastAsia="es-ES"/>
        </w:rPr>
        <w:t>IV. Lista "B": </w:t>
      </w:r>
      <w:r w:rsidRPr="00F32542">
        <w:rPr>
          <w:rFonts w:ascii="Arial" w:eastAsia="Times New Roman" w:hAnsi="Arial" w:cs="Arial"/>
          <w:sz w:val="24"/>
          <w:szCs w:val="24"/>
          <w:lang w:val="x-none" w:eastAsia="es-ES"/>
        </w:rPr>
        <w:t>Relación de diecisiete fórmulas de candidaturas a las diputaciones que no lograron el triunfo en la elección por el principio de mayoría relativa del distrito en que participaron, pero que alcanzaron a nivel distrital los mayores porcentajes de la votación local emitida, comparados respecto de otras fórmulas de su propio partido en esa misma elección; con la finalidad de garantizar la paridad de género, una vez que se determinó el primer lugar de ésta lista, el segundo lugar será ocupado por la fórmula del otro género con mayor porcentaje de la votación local emitida, e irán intercalando de esta manera hasta concluir la integración de la lista.</w:t>
      </w:r>
    </w:p>
    <w:p w14:paraId="104E5479" w14:textId="77777777" w:rsidR="00F94B48" w:rsidRPr="00F32542" w:rsidRDefault="00F94B48" w:rsidP="00117502">
      <w:pPr>
        <w:tabs>
          <w:tab w:val="left" w:pos="7088"/>
        </w:tabs>
        <w:spacing w:after="0" w:line="240" w:lineRule="auto"/>
        <w:ind w:left="567" w:right="1467"/>
        <w:jc w:val="both"/>
        <w:rPr>
          <w:rFonts w:ascii="Arial" w:eastAsia="Times New Roman" w:hAnsi="Arial" w:cs="Arial"/>
          <w:b/>
          <w:sz w:val="24"/>
          <w:szCs w:val="24"/>
          <w:lang w:val="x-none" w:eastAsia="es-ES"/>
        </w:rPr>
      </w:pPr>
    </w:p>
    <w:p w14:paraId="280B540A" w14:textId="77777777" w:rsidR="00F94B48" w:rsidRPr="00F32542" w:rsidRDefault="00F94B48" w:rsidP="00117502">
      <w:pPr>
        <w:tabs>
          <w:tab w:val="left" w:pos="7088"/>
        </w:tabs>
        <w:spacing w:after="0" w:line="240" w:lineRule="auto"/>
        <w:ind w:left="567" w:right="1467"/>
        <w:jc w:val="both"/>
        <w:rPr>
          <w:rFonts w:ascii="Arial" w:eastAsia="Times New Roman" w:hAnsi="Arial" w:cs="Arial"/>
          <w:sz w:val="24"/>
          <w:szCs w:val="24"/>
          <w:lang w:val="x-none" w:eastAsia="es-ES"/>
        </w:rPr>
      </w:pPr>
      <w:r w:rsidRPr="00F32542">
        <w:rPr>
          <w:rFonts w:ascii="Arial" w:eastAsia="Times New Roman" w:hAnsi="Arial" w:cs="Arial"/>
          <w:b/>
          <w:sz w:val="24"/>
          <w:szCs w:val="24"/>
          <w:lang w:val="x-none" w:eastAsia="es-ES"/>
        </w:rPr>
        <w:t>V. Lista Definitiva: </w:t>
      </w:r>
      <w:r w:rsidRPr="00F32542">
        <w:rPr>
          <w:rFonts w:ascii="Arial" w:eastAsia="Times New Roman" w:hAnsi="Arial" w:cs="Arial"/>
          <w:sz w:val="24"/>
          <w:szCs w:val="24"/>
          <w:lang w:val="x-none" w:eastAsia="es-ES"/>
        </w:rPr>
        <w:t>es el resultado de intercalar las fórmulas de candidatos de las Listas "A" y "B", que será encabezada siempre por la primera fórmula de la Lista "A". Tal intercalado podrá generar bloques de hasta dos fórmulas del mismo género, pero de diferente lista de origen.</w:t>
      </w:r>
    </w:p>
    <w:p w14:paraId="55A3D24E"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Como se observa, el artículo 24 del </w:t>
      </w:r>
      <w:r w:rsidRPr="00F32542">
        <w:rPr>
          <w:rFonts w:ascii="Arial" w:eastAsia="Calibri" w:hAnsi="Arial" w:cs="Arial"/>
          <w:i/>
          <w:sz w:val="28"/>
          <w:szCs w:val="28"/>
        </w:rPr>
        <w:t xml:space="preserve">Código local </w:t>
      </w:r>
      <w:r w:rsidRPr="00F32542">
        <w:rPr>
          <w:rFonts w:ascii="Arial" w:eastAsia="Calibri" w:hAnsi="Arial" w:cs="Arial"/>
          <w:sz w:val="28"/>
          <w:szCs w:val="28"/>
        </w:rPr>
        <w:t xml:space="preserve">define de manera similar los mismos conceptos, por lo cual, si éstos ya están considerados en la ley, la regulación por parte del </w:t>
      </w:r>
      <w:r w:rsidRPr="00F32542">
        <w:rPr>
          <w:rFonts w:ascii="Arial" w:eastAsia="Calibri" w:hAnsi="Arial" w:cs="Arial"/>
          <w:i/>
          <w:sz w:val="28"/>
          <w:szCs w:val="28"/>
        </w:rPr>
        <w:t xml:space="preserve">Instituto </w:t>
      </w:r>
      <w:r w:rsidRPr="00F32542">
        <w:rPr>
          <w:rFonts w:ascii="Arial" w:eastAsia="Calibri" w:hAnsi="Arial" w:cs="Arial"/>
          <w:sz w:val="28"/>
          <w:szCs w:val="28"/>
        </w:rPr>
        <w:t xml:space="preserve">de </w:t>
      </w:r>
      <w:proofErr w:type="gramStart"/>
      <w:r w:rsidRPr="00F32542">
        <w:rPr>
          <w:rFonts w:ascii="Arial" w:eastAsia="Calibri" w:hAnsi="Arial" w:cs="Arial"/>
          <w:sz w:val="28"/>
          <w:szCs w:val="28"/>
        </w:rPr>
        <w:t>los mismos</w:t>
      </w:r>
      <w:proofErr w:type="gramEnd"/>
      <w:r w:rsidRPr="00F32542">
        <w:rPr>
          <w:rFonts w:ascii="Arial" w:eastAsia="Calibri" w:hAnsi="Arial" w:cs="Arial"/>
          <w:sz w:val="28"/>
          <w:szCs w:val="28"/>
        </w:rPr>
        <w:t xml:space="preserve">, en una forma semejante, al emitir los </w:t>
      </w:r>
      <w:r w:rsidRPr="00F32542">
        <w:rPr>
          <w:rFonts w:ascii="Arial" w:eastAsia="Calibri" w:hAnsi="Arial" w:cs="Arial"/>
          <w:i/>
          <w:sz w:val="28"/>
          <w:szCs w:val="28"/>
        </w:rPr>
        <w:t xml:space="preserve">Lineamientos de </w:t>
      </w:r>
      <w:r w:rsidRPr="00F32542">
        <w:rPr>
          <w:rFonts w:ascii="Arial" w:eastAsia="Calibri" w:hAnsi="Arial" w:cs="Arial"/>
          <w:i/>
          <w:sz w:val="28"/>
          <w:szCs w:val="28"/>
        </w:rPr>
        <w:lastRenderedPageBreak/>
        <w:t>asignación,</w:t>
      </w:r>
      <w:r w:rsidRPr="00F32542">
        <w:rPr>
          <w:rFonts w:ascii="Arial" w:eastAsia="Calibri" w:hAnsi="Arial" w:cs="Arial"/>
          <w:sz w:val="28"/>
          <w:szCs w:val="28"/>
        </w:rPr>
        <w:t xml:space="preserve"> no puede ser considerada como una modificación sustancial durante el proceso. </w:t>
      </w:r>
    </w:p>
    <w:p w14:paraId="08C7EFE7"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En el caso de la lista A Prima, se advierte que se reguló en tales Lineamientos para darle operatividad a la figura de la diputación migrante, figura que se encuentra prevista en el mismo artículo 4, apartado B, fracción III del </w:t>
      </w:r>
      <w:r w:rsidRPr="00F32542">
        <w:rPr>
          <w:rFonts w:ascii="Arial" w:eastAsia="Calibri" w:hAnsi="Arial" w:cs="Arial"/>
          <w:i/>
          <w:sz w:val="28"/>
          <w:szCs w:val="28"/>
        </w:rPr>
        <w:t>Código local.</w:t>
      </w:r>
    </w:p>
    <w:p w14:paraId="794B242A"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De tal modo, la emisión de los </w:t>
      </w:r>
      <w:r w:rsidRPr="00F32542">
        <w:rPr>
          <w:rFonts w:ascii="Arial" w:eastAsia="Calibri" w:hAnsi="Arial" w:cs="Arial"/>
          <w:i/>
          <w:sz w:val="28"/>
          <w:szCs w:val="28"/>
        </w:rPr>
        <w:t xml:space="preserve">Lineamientos </w:t>
      </w:r>
      <w:r w:rsidRPr="00F32542">
        <w:rPr>
          <w:rFonts w:ascii="Arial" w:eastAsia="Calibri" w:hAnsi="Arial" w:cs="Arial"/>
          <w:sz w:val="28"/>
          <w:szCs w:val="28"/>
        </w:rPr>
        <w:t>de asignación únicamente se traduce en establecer las reglas para hacer efectiva la asignación de diputaciones de representación proporcional mediante las listas previstas en la ley.</w:t>
      </w:r>
    </w:p>
    <w:p w14:paraId="52B768C0"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Situación que, por sí misma, no implica algún perjuicio para la ciudadanía, los partidos políticos o las autoridades locales; por el contrario, tienden a evitar la incertidumbre sobre la aplicación de las reglas establecidas en la propia ley. </w:t>
      </w:r>
    </w:p>
    <w:p w14:paraId="613A7393"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De este modo, el Instituto local, en su facultad reglamentaria, aprobó los </w:t>
      </w:r>
      <w:r w:rsidRPr="00F32542">
        <w:rPr>
          <w:rFonts w:ascii="Arial" w:eastAsia="Calibri" w:hAnsi="Arial" w:cs="Arial"/>
          <w:i/>
          <w:sz w:val="28"/>
          <w:szCs w:val="28"/>
        </w:rPr>
        <w:t>Lineamientos de asignación</w:t>
      </w:r>
      <w:r w:rsidRPr="00F32542">
        <w:rPr>
          <w:rFonts w:ascii="Arial" w:eastAsia="Calibri" w:hAnsi="Arial" w:cs="Arial"/>
          <w:sz w:val="28"/>
          <w:szCs w:val="28"/>
        </w:rPr>
        <w:t xml:space="preserve"> para regular, entre otras cuestiones, la manera de constituir las listas A, B y definitiva, así como la de la diputación migrante, para realizar las asignaciones correspondientes.</w:t>
      </w:r>
    </w:p>
    <w:p w14:paraId="1A70C8D6" w14:textId="77777777" w:rsidR="00F94B48" w:rsidRPr="00F32542" w:rsidRDefault="00F94B48" w:rsidP="00117502">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Al ser reglas para instrumentar lo que mandata el </w:t>
      </w:r>
      <w:r w:rsidRPr="00F32542">
        <w:rPr>
          <w:rFonts w:ascii="Arial" w:eastAsia="Calibri" w:hAnsi="Arial" w:cs="Arial"/>
          <w:i/>
          <w:sz w:val="28"/>
          <w:szCs w:val="28"/>
        </w:rPr>
        <w:t xml:space="preserve">Código </w:t>
      </w:r>
      <w:r w:rsidRPr="00F32542">
        <w:rPr>
          <w:rFonts w:ascii="Arial" w:eastAsia="Calibri" w:hAnsi="Arial" w:cs="Arial"/>
          <w:iCs/>
          <w:sz w:val="28"/>
          <w:szCs w:val="28"/>
        </w:rPr>
        <w:t>local, no</w:t>
      </w:r>
      <w:r w:rsidRPr="00F32542">
        <w:rPr>
          <w:rFonts w:ascii="Arial" w:eastAsia="Calibri" w:hAnsi="Arial" w:cs="Arial"/>
          <w:sz w:val="28"/>
          <w:szCs w:val="28"/>
        </w:rPr>
        <w:t xml:space="preserve"> constituyen una norma de carácter fundamental, sino operativa. Por ello, es </w:t>
      </w:r>
      <w:r w:rsidRPr="00F32542">
        <w:rPr>
          <w:rFonts w:ascii="Arial" w:eastAsia="Calibri" w:hAnsi="Arial" w:cs="Arial"/>
          <w:b/>
          <w:sz w:val="28"/>
          <w:szCs w:val="28"/>
        </w:rPr>
        <w:t xml:space="preserve">infundado </w:t>
      </w:r>
      <w:r w:rsidRPr="00F32542">
        <w:rPr>
          <w:rFonts w:ascii="Arial" w:eastAsia="Calibri" w:hAnsi="Arial" w:cs="Arial"/>
          <w:sz w:val="28"/>
          <w:szCs w:val="28"/>
        </w:rPr>
        <w:t xml:space="preserve">el planteamiento por el que se aduce que los </w:t>
      </w:r>
      <w:r w:rsidRPr="00F32542">
        <w:rPr>
          <w:rFonts w:ascii="Arial" w:eastAsia="Calibri" w:hAnsi="Arial" w:cs="Arial"/>
          <w:i/>
          <w:sz w:val="28"/>
          <w:szCs w:val="28"/>
        </w:rPr>
        <w:t xml:space="preserve">Lineamientos de asignación </w:t>
      </w:r>
      <w:r w:rsidRPr="00F32542">
        <w:rPr>
          <w:rFonts w:ascii="Arial" w:eastAsia="Calibri" w:hAnsi="Arial" w:cs="Arial"/>
          <w:sz w:val="28"/>
          <w:szCs w:val="28"/>
        </w:rPr>
        <w:t>son modificaciones fundamentales.</w:t>
      </w:r>
    </w:p>
    <w:p w14:paraId="73D58BF0" w14:textId="77777777" w:rsidR="00F94B48" w:rsidRPr="00F32542" w:rsidRDefault="005F063B"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b/>
          <w:sz w:val="28"/>
          <w:szCs w:val="28"/>
        </w:rPr>
        <w:t>2</w:t>
      </w:r>
      <w:r w:rsidR="00F94B48" w:rsidRPr="00F32542">
        <w:rPr>
          <w:rFonts w:ascii="Arial" w:eastAsia="Calibri" w:hAnsi="Arial" w:cs="Arial"/>
          <w:b/>
          <w:sz w:val="28"/>
          <w:szCs w:val="28"/>
        </w:rPr>
        <w:t>. Inconstitucionalidad de normas por permitir bloques de un mismo género</w:t>
      </w:r>
    </w:p>
    <w:p w14:paraId="626659FD"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lastRenderedPageBreak/>
        <w:t xml:space="preserve">En esta sección se analizará el planteamiento respecto a que los artículos 4, fracciones V a VIII de los </w:t>
      </w:r>
      <w:r w:rsidRPr="00F32542">
        <w:rPr>
          <w:rFonts w:ascii="Arial" w:eastAsia="Calibri" w:hAnsi="Arial" w:cs="Arial"/>
          <w:i/>
          <w:sz w:val="28"/>
          <w:szCs w:val="28"/>
        </w:rPr>
        <w:t xml:space="preserve">Lineamientos de asignación, </w:t>
      </w:r>
      <w:r w:rsidRPr="00F32542">
        <w:rPr>
          <w:rFonts w:ascii="Arial" w:eastAsia="Calibri" w:hAnsi="Arial" w:cs="Arial"/>
          <w:sz w:val="28"/>
          <w:szCs w:val="28"/>
        </w:rPr>
        <w:t xml:space="preserve">y el artículo 24, fracción V, deben </w:t>
      </w:r>
      <w:proofErr w:type="spellStart"/>
      <w:r w:rsidRPr="00F32542">
        <w:rPr>
          <w:rFonts w:ascii="Arial" w:eastAsia="Calibri" w:hAnsi="Arial" w:cs="Arial"/>
          <w:sz w:val="28"/>
          <w:szCs w:val="28"/>
        </w:rPr>
        <w:t>inaplicarse</w:t>
      </w:r>
      <w:proofErr w:type="spellEnd"/>
      <w:r w:rsidRPr="00F32542">
        <w:rPr>
          <w:rFonts w:ascii="Arial" w:eastAsia="Calibri" w:hAnsi="Arial" w:cs="Arial"/>
          <w:sz w:val="28"/>
          <w:szCs w:val="28"/>
        </w:rPr>
        <w:t xml:space="preserve"> porque son contrarios al principio de paridad, debido a que permiten que la lista definitiva para la asignación de diputaciones de representación </w:t>
      </w:r>
      <w:proofErr w:type="gramStart"/>
      <w:r w:rsidRPr="00F32542">
        <w:rPr>
          <w:rFonts w:ascii="Arial" w:eastAsia="Calibri" w:hAnsi="Arial" w:cs="Arial"/>
          <w:sz w:val="28"/>
          <w:szCs w:val="28"/>
        </w:rPr>
        <w:t>proporcional,</w:t>
      </w:r>
      <w:proofErr w:type="gramEnd"/>
      <w:r w:rsidRPr="00F32542">
        <w:rPr>
          <w:rFonts w:ascii="Arial" w:eastAsia="Calibri" w:hAnsi="Arial" w:cs="Arial"/>
          <w:sz w:val="28"/>
          <w:szCs w:val="28"/>
        </w:rPr>
        <w:t xml:space="preserve"> se conforme con bloques de dos personas de un mismo género. </w:t>
      </w:r>
    </w:p>
    <w:p w14:paraId="0B973D05"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b/>
          <w:sz w:val="28"/>
          <w:szCs w:val="28"/>
        </w:rPr>
        <w:t>a</w:t>
      </w:r>
      <w:r w:rsidR="005F063B" w:rsidRPr="00F32542">
        <w:rPr>
          <w:rFonts w:ascii="Arial" w:eastAsia="Calibri" w:hAnsi="Arial" w:cs="Arial"/>
          <w:b/>
          <w:sz w:val="28"/>
          <w:szCs w:val="28"/>
        </w:rPr>
        <w:t>)</w:t>
      </w:r>
      <w:r w:rsidRPr="00F32542">
        <w:rPr>
          <w:rFonts w:ascii="Arial" w:eastAsia="Calibri" w:hAnsi="Arial" w:cs="Arial"/>
          <w:b/>
          <w:sz w:val="28"/>
          <w:szCs w:val="28"/>
        </w:rPr>
        <w:t xml:space="preserve"> Principio de paridad</w:t>
      </w:r>
      <w:r w:rsidR="005F063B" w:rsidRPr="00F32542">
        <w:rPr>
          <w:rFonts w:ascii="Arial" w:eastAsia="Calibri" w:hAnsi="Arial" w:cs="Arial"/>
          <w:b/>
          <w:sz w:val="28"/>
          <w:szCs w:val="28"/>
        </w:rPr>
        <w:t xml:space="preserve">. </w:t>
      </w:r>
      <w:r w:rsidRPr="00F32542">
        <w:rPr>
          <w:rFonts w:ascii="Arial" w:eastAsia="Calibri" w:hAnsi="Arial" w:cs="Arial"/>
          <w:sz w:val="28"/>
          <w:szCs w:val="28"/>
        </w:rPr>
        <w:t xml:space="preserve">El artículo 35, fracción II, de la </w:t>
      </w:r>
      <w:r w:rsidRPr="00F32542">
        <w:rPr>
          <w:rFonts w:ascii="Arial" w:eastAsia="Calibri" w:hAnsi="Arial" w:cs="Arial"/>
          <w:i/>
          <w:sz w:val="28"/>
          <w:szCs w:val="28"/>
        </w:rPr>
        <w:t>Constitución</w:t>
      </w:r>
      <w:r w:rsidRPr="00F32542">
        <w:rPr>
          <w:rFonts w:ascii="Arial" w:eastAsia="Calibri" w:hAnsi="Arial" w:cs="Arial"/>
          <w:sz w:val="28"/>
          <w:szCs w:val="28"/>
        </w:rPr>
        <w:t xml:space="preserve"> establece que uno de los derechos de la ciudadanía es poder ser votada en condiciones de paridad en todos los cargos de elección popular. </w:t>
      </w:r>
    </w:p>
    <w:p w14:paraId="440C90D4"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Por su parte, el artículo 41, base I, de la Ley Fundamental también prevé que la postulación de candidaturas por parte de los partidos políticos se hará en paridad. </w:t>
      </w:r>
    </w:p>
    <w:p w14:paraId="311CEEB5"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Como se observa, el principio de paridad constituye un eje transversal en las normas que rigen la elección de los cargos de elección popular. </w:t>
      </w:r>
    </w:p>
    <w:p w14:paraId="3DFE597D"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Cabe señalar que la finalidad de ese </w:t>
      </w:r>
      <w:proofErr w:type="gramStart"/>
      <w:r w:rsidRPr="00F32542">
        <w:rPr>
          <w:rFonts w:ascii="Arial" w:eastAsia="Calibri" w:hAnsi="Arial" w:cs="Arial"/>
          <w:sz w:val="28"/>
          <w:szCs w:val="28"/>
        </w:rPr>
        <w:t>principio,</w:t>
      </w:r>
      <w:proofErr w:type="gramEnd"/>
      <w:r w:rsidRPr="00F32542">
        <w:rPr>
          <w:rFonts w:ascii="Arial" w:eastAsia="Calibri" w:hAnsi="Arial" w:cs="Arial"/>
          <w:sz w:val="28"/>
          <w:szCs w:val="28"/>
        </w:rPr>
        <w:t xml:space="preserve"> es contribuir a impulsar la participación de las mujeres en la vida pública mediante el reconocimiento de la obligación de los partidos políticos de implementar mecanismos para postular a las mujeres, al menos, en las mismas condiciones que los hombres. </w:t>
      </w:r>
    </w:p>
    <w:p w14:paraId="61BBF20A" w14:textId="77777777" w:rsidR="00F94B48" w:rsidRPr="00F32542" w:rsidRDefault="00F94B48" w:rsidP="00F94B48">
      <w:pPr>
        <w:spacing w:before="100" w:beforeAutospacing="1" w:after="100" w:afterAutospacing="1" w:line="360" w:lineRule="auto"/>
        <w:jc w:val="both"/>
        <w:rPr>
          <w:rFonts w:ascii="Arial" w:eastAsia="Times New Roman" w:hAnsi="Arial" w:cs="Arial"/>
          <w:color w:val="000000"/>
          <w:sz w:val="28"/>
          <w:szCs w:val="28"/>
          <w:lang w:eastAsia="es-MX"/>
        </w:rPr>
      </w:pPr>
      <w:r w:rsidRPr="00F32542">
        <w:rPr>
          <w:rFonts w:ascii="Arial" w:eastAsia="Times New Roman" w:hAnsi="Arial" w:cs="Arial"/>
          <w:color w:val="000000"/>
          <w:sz w:val="28"/>
          <w:szCs w:val="28"/>
          <w:lang w:eastAsia="es-MX"/>
        </w:rPr>
        <w:t>En ese sentido, las disposiciones en materia de paridad de género significan un punto toral de los principios electorales y democráticos que tienen como finalidad el reconocimiento de las capacidades de las mujeres en cuanto a su participación en la vida pública, y en el ejercicio pleno de sus derechos político-electorales, desde una perspectiva igualitaria en relación con los hombres. </w:t>
      </w:r>
      <w:bookmarkStart w:id="49" w:name="_ftnref17"/>
      <w:bookmarkEnd w:id="49"/>
      <w:r w:rsidRPr="00F32542">
        <w:rPr>
          <w:rFonts w:ascii="Arial" w:eastAsia="Times New Roman" w:hAnsi="Arial" w:cs="Arial"/>
          <w:color w:val="000000"/>
          <w:sz w:val="28"/>
          <w:szCs w:val="28"/>
          <w:lang w:eastAsia="es-MX"/>
        </w:rPr>
        <w:t xml:space="preserve"> </w:t>
      </w:r>
    </w:p>
    <w:p w14:paraId="02415D7A" w14:textId="77777777" w:rsidR="00F94B48" w:rsidRPr="00F32542" w:rsidRDefault="00F94B48" w:rsidP="00F94B48">
      <w:pPr>
        <w:spacing w:before="100" w:beforeAutospacing="1" w:after="100" w:afterAutospacing="1" w:line="360" w:lineRule="auto"/>
        <w:jc w:val="both"/>
        <w:rPr>
          <w:rFonts w:ascii="Arial" w:eastAsia="Times New Roman" w:hAnsi="Arial" w:cs="Arial"/>
          <w:color w:val="000000"/>
          <w:sz w:val="28"/>
          <w:szCs w:val="28"/>
          <w:lang w:eastAsia="es-MX"/>
        </w:rPr>
      </w:pPr>
      <w:r w:rsidRPr="00F32542">
        <w:rPr>
          <w:rFonts w:ascii="Arial" w:eastAsia="Times New Roman" w:hAnsi="Arial" w:cs="Arial"/>
          <w:color w:val="000000"/>
          <w:sz w:val="28"/>
          <w:szCs w:val="28"/>
          <w:lang w:eastAsia="es-MX"/>
        </w:rPr>
        <w:lastRenderedPageBreak/>
        <w:t xml:space="preserve">De tal modo, es fundamental que las medidas en materia de paridad de género sean interpretadas desde una perspectiva </w:t>
      </w:r>
      <w:proofErr w:type="spellStart"/>
      <w:r w:rsidRPr="00F32542">
        <w:rPr>
          <w:rFonts w:ascii="Arial" w:eastAsia="Times New Roman" w:hAnsi="Arial" w:cs="Arial"/>
          <w:color w:val="000000"/>
          <w:sz w:val="28"/>
          <w:szCs w:val="28"/>
          <w:lang w:eastAsia="es-MX"/>
        </w:rPr>
        <w:t>maximizadora</w:t>
      </w:r>
      <w:proofErr w:type="spellEnd"/>
      <w:r w:rsidRPr="00F32542">
        <w:rPr>
          <w:rFonts w:ascii="Arial" w:eastAsia="Times New Roman" w:hAnsi="Arial" w:cs="Arial"/>
          <w:color w:val="000000"/>
          <w:sz w:val="28"/>
          <w:szCs w:val="28"/>
          <w:lang w:eastAsia="es-MX"/>
        </w:rPr>
        <w:t>, que tienda a beneficiar al género femenino y que, incluso, no se traduzca en una limitación circunscrita exclusivamente al porcentaje establecido en la legislación atinente como base mínima de su presencia en los cargos electos.</w:t>
      </w:r>
    </w:p>
    <w:p w14:paraId="20ABBDC1" w14:textId="77777777" w:rsidR="00F94B48" w:rsidRPr="00F32542" w:rsidRDefault="00F94B48" w:rsidP="00F94B48">
      <w:pPr>
        <w:spacing w:before="100" w:beforeAutospacing="1" w:after="100" w:afterAutospacing="1" w:line="360" w:lineRule="auto"/>
        <w:jc w:val="both"/>
        <w:rPr>
          <w:rFonts w:ascii="Arial" w:eastAsia="Times New Roman" w:hAnsi="Arial" w:cs="Arial"/>
          <w:color w:val="000000"/>
          <w:sz w:val="28"/>
          <w:szCs w:val="28"/>
          <w:lang w:eastAsia="es-MX"/>
        </w:rPr>
      </w:pPr>
      <w:r w:rsidRPr="00F32542">
        <w:rPr>
          <w:rFonts w:ascii="Arial" w:eastAsia="Times New Roman" w:hAnsi="Arial" w:cs="Arial"/>
          <w:color w:val="000000"/>
          <w:sz w:val="28"/>
          <w:szCs w:val="28"/>
          <w:lang w:eastAsia="es-MX"/>
        </w:rPr>
        <w:t>Cabe señalar que, en el ámbito político electoral, la paridad reviste una de las vías que concretiza el principio de igualdad y no discriminación.</w:t>
      </w:r>
    </w:p>
    <w:p w14:paraId="779B63F0" w14:textId="77777777" w:rsidR="00F94B48" w:rsidRPr="00F32542" w:rsidRDefault="00F94B48" w:rsidP="00F94B48">
      <w:pPr>
        <w:spacing w:before="100" w:beforeAutospacing="1" w:after="100" w:afterAutospacing="1" w:line="360" w:lineRule="auto"/>
        <w:jc w:val="both"/>
        <w:rPr>
          <w:rFonts w:ascii="Arial" w:eastAsia="Times New Roman" w:hAnsi="Arial" w:cs="Arial"/>
          <w:color w:val="000000"/>
          <w:sz w:val="28"/>
          <w:szCs w:val="28"/>
          <w:lang w:eastAsia="es-MX"/>
        </w:rPr>
      </w:pPr>
      <w:r w:rsidRPr="00F32542">
        <w:rPr>
          <w:rFonts w:ascii="Arial" w:eastAsia="Times New Roman" w:hAnsi="Arial" w:cs="Arial"/>
          <w:color w:val="000000"/>
          <w:sz w:val="28"/>
          <w:szCs w:val="28"/>
          <w:lang w:eastAsia="es-MX"/>
        </w:rPr>
        <w:t xml:space="preserve">Al respecto, conviene tener presente que la Primera Sala de la </w:t>
      </w:r>
      <w:r w:rsidRPr="00F32542">
        <w:rPr>
          <w:rFonts w:ascii="Arial" w:eastAsia="Times New Roman" w:hAnsi="Arial" w:cs="Arial"/>
          <w:i/>
          <w:color w:val="000000"/>
          <w:sz w:val="28"/>
          <w:szCs w:val="28"/>
          <w:lang w:eastAsia="es-MX"/>
        </w:rPr>
        <w:t xml:space="preserve">Suprema Corte </w:t>
      </w:r>
      <w:r w:rsidRPr="00F32542">
        <w:rPr>
          <w:rFonts w:ascii="Arial" w:eastAsia="Times New Roman" w:hAnsi="Arial" w:cs="Arial"/>
          <w:color w:val="000000"/>
          <w:sz w:val="28"/>
          <w:szCs w:val="28"/>
          <w:lang w:eastAsia="es-MX"/>
        </w:rPr>
        <w:t>ha sostenido que la igualdad presenta dos modalidades:</w:t>
      </w:r>
    </w:p>
    <w:p w14:paraId="1F55E254" w14:textId="77777777" w:rsidR="00F94B48" w:rsidRPr="00F32542" w:rsidRDefault="00F94B48" w:rsidP="009B6ED0">
      <w:pPr>
        <w:numPr>
          <w:ilvl w:val="0"/>
          <w:numId w:val="15"/>
        </w:numPr>
        <w:spacing w:after="0" w:line="360" w:lineRule="auto"/>
        <w:ind w:hanging="357"/>
        <w:jc w:val="both"/>
        <w:rPr>
          <w:rFonts w:ascii="Arial" w:eastAsia="Times New Roman" w:hAnsi="Arial" w:cs="Arial"/>
          <w:color w:val="000000"/>
          <w:sz w:val="28"/>
          <w:szCs w:val="28"/>
          <w:lang w:eastAsia="es-MX"/>
        </w:rPr>
      </w:pPr>
      <w:r w:rsidRPr="00F32542">
        <w:rPr>
          <w:rFonts w:ascii="Arial" w:eastAsia="Times New Roman" w:hAnsi="Arial" w:cs="Arial"/>
          <w:b/>
          <w:sz w:val="28"/>
          <w:szCs w:val="28"/>
          <w:lang w:eastAsia="es-MX"/>
        </w:rPr>
        <w:t>La igualdad formal o de derecho</w:t>
      </w:r>
      <w:r w:rsidRPr="00F32542">
        <w:rPr>
          <w:rFonts w:ascii="Arial" w:eastAsia="Times New Roman" w:hAnsi="Arial" w:cs="Arial"/>
          <w:sz w:val="28"/>
          <w:szCs w:val="28"/>
          <w:lang w:eastAsia="es-MX"/>
        </w:rPr>
        <w:t xml:space="preserve">, que protege contra distinciones o tratos arbitrarios y se compone a su vez de la igualdad ante la ley, como uniformidad en la aplicación de la norma jurídica por parte de todas las autoridades, e igualdad en la norma jurídica, que se dirige a la autoridad materialmente legislativa y que consiste en el control del contenido de las normas a fin de evitar diferenciaciones legislativas sin justificación constitucional o violatorias del principio de proporcionalidad en sentido amplio. </w:t>
      </w:r>
    </w:p>
    <w:p w14:paraId="3CD878F9" w14:textId="77777777" w:rsidR="005F063B" w:rsidRPr="00F32542" w:rsidRDefault="005F063B" w:rsidP="005F063B">
      <w:pPr>
        <w:spacing w:after="0" w:line="360" w:lineRule="auto"/>
        <w:ind w:left="720"/>
        <w:jc w:val="both"/>
        <w:rPr>
          <w:rFonts w:ascii="Arial" w:eastAsia="Times New Roman" w:hAnsi="Arial" w:cs="Arial"/>
          <w:color w:val="000000"/>
          <w:sz w:val="28"/>
          <w:szCs w:val="28"/>
          <w:lang w:eastAsia="es-MX"/>
        </w:rPr>
      </w:pPr>
    </w:p>
    <w:p w14:paraId="57A5B4BC" w14:textId="77777777" w:rsidR="00F94B48" w:rsidRPr="00F32542" w:rsidRDefault="00F94B48" w:rsidP="009B6ED0">
      <w:pPr>
        <w:numPr>
          <w:ilvl w:val="0"/>
          <w:numId w:val="15"/>
        </w:numPr>
        <w:spacing w:after="0" w:line="360" w:lineRule="auto"/>
        <w:ind w:hanging="357"/>
        <w:jc w:val="both"/>
        <w:rPr>
          <w:rFonts w:ascii="Arial" w:eastAsia="Times New Roman" w:hAnsi="Arial" w:cs="Arial"/>
          <w:color w:val="000000"/>
          <w:sz w:val="28"/>
          <w:szCs w:val="28"/>
          <w:lang w:eastAsia="es-MX"/>
        </w:rPr>
      </w:pPr>
      <w:r w:rsidRPr="00F32542">
        <w:rPr>
          <w:rFonts w:ascii="Arial" w:eastAsia="Times New Roman" w:hAnsi="Arial" w:cs="Arial"/>
          <w:b/>
          <w:sz w:val="28"/>
          <w:szCs w:val="28"/>
          <w:lang w:eastAsia="es-MX"/>
        </w:rPr>
        <w:t xml:space="preserve">La igualdad sustantiva </w:t>
      </w:r>
      <w:proofErr w:type="gramStart"/>
      <w:r w:rsidRPr="00F32542">
        <w:rPr>
          <w:rFonts w:ascii="Arial" w:eastAsia="Times New Roman" w:hAnsi="Arial" w:cs="Arial"/>
          <w:b/>
          <w:sz w:val="28"/>
          <w:szCs w:val="28"/>
          <w:lang w:eastAsia="es-MX"/>
        </w:rPr>
        <w:t>o</w:t>
      </w:r>
      <w:proofErr w:type="gramEnd"/>
      <w:r w:rsidRPr="00F32542">
        <w:rPr>
          <w:rFonts w:ascii="Arial" w:eastAsia="Times New Roman" w:hAnsi="Arial" w:cs="Arial"/>
          <w:b/>
          <w:sz w:val="28"/>
          <w:szCs w:val="28"/>
          <w:lang w:eastAsia="es-MX"/>
        </w:rPr>
        <w:t xml:space="preserve"> de hecho</w:t>
      </w:r>
      <w:r w:rsidRPr="00F32542">
        <w:rPr>
          <w:rFonts w:ascii="Arial" w:eastAsia="Times New Roman" w:hAnsi="Arial" w:cs="Arial"/>
          <w:sz w:val="28"/>
          <w:szCs w:val="28"/>
          <w:lang w:eastAsia="es-MX"/>
        </w:rPr>
        <w:t xml:space="preserve">, que radica en alcanzar una paridad de oportunidades en el goce y ejercicio real y efectivo de los derechos humanos de todas las personas, lo que conlleva que en algunos casos sea necesario remover y/o disminuir los obstáculos sociales, políticos, culturales, </w:t>
      </w:r>
      <w:r w:rsidRPr="00F32542">
        <w:rPr>
          <w:rFonts w:ascii="Arial" w:eastAsia="Times New Roman" w:hAnsi="Arial" w:cs="Arial"/>
          <w:sz w:val="28"/>
          <w:szCs w:val="28"/>
          <w:lang w:eastAsia="es-MX"/>
        </w:rPr>
        <w:lastRenderedPageBreak/>
        <w:t>económicos o de cualquier otra índole que impidan a los integrantes de ciertos grupos sociales vulnerables gozar y ejercer tales derechos. Por ello, su violación surge cuando existe una discriminación estructural contra un grupo social o sus integrantes.</w:t>
      </w:r>
    </w:p>
    <w:p w14:paraId="0B1366B1"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szCs w:val="28"/>
          <w:lang w:eastAsia="es-MX"/>
        </w:rPr>
      </w:pPr>
      <w:r w:rsidRPr="00F32542">
        <w:rPr>
          <w:rFonts w:ascii="Arial" w:eastAsia="Times New Roman" w:hAnsi="Arial" w:cs="Arial"/>
          <w:sz w:val="28"/>
          <w:szCs w:val="28"/>
          <w:lang w:eastAsia="es-MX"/>
        </w:rPr>
        <w:t xml:space="preserve">Lo anterior, puede ser consultado en la jurisprudencia 1a./J. 126/2017 (10a.), de rubro: </w:t>
      </w:r>
      <w:r w:rsidRPr="00F32542">
        <w:rPr>
          <w:rFonts w:ascii="Arial" w:eastAsia="Times New Roman" w:hAnsi="Arial" w:cs="Arial"/>
          <w:b/>
          <w:sz w:val="28"/>
          <w:szCs w:val="28"/>
          <w:lang w:eastAsia="es-MX"/>
        </w:rPr>
        <w:t>“DERECHO HUMANO A LA IGUALDAD JURÍDICA. DIFERENCIAS ENTRE SUS MODALIDADES CONCEPTUALES”</w:t>
      </w:r>
      <w:r w:rsidRPr="00F32542">
        <w:rPr>
          <w:rFonts w:ascii="Times New Roman" w:eastAsia="Times New Roman" w:hAnsi="Times New Roman" w:cs="Arial"/>
          <w:b/>
          <w:sz w:val="28"/>
          <w:szCs w:val="28"/>
          <w:vertAlign w:val="superscript"/>
          <w:lang w:eastAsia="es-MX"/>
        </w:rPr>
        <w:footnoteReference w:id="52"/>
      </w:r>
      <w:r w:rsidRPr="00F32542">
        <w:rPr>
          <w:rFonts w:ascii="Arial" w:eastAsia="Times New Roman" w:hAnsi="Arial" w:cs="Arial"/>
          <w:b/>
          <w:sz w:val="28"/>
          <w:szCs w:val="28"/>
          <w:lang w:eastAsia="es-MX"/>
        </w:rPr>
        <w:t>.</w:t>
      </w:r>
    </w:p>
    <w:p w14:paraId="02575857"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szCs w:val="28"/>
          <w:lang w:eastAsia="es-MX"/>
        </w:rPr>
      </w:pPr>
      <w:r w:rsidRPr="00F32542">
        <w:rPr>
          <w:rFonts w:ascii="Arial" w:eastAsia="Times New Roman" w:hAnsi="Arial" w:cs="Arial"/>
          <w:sz w:val="28"/>
          <w:szCs w:val="28"/>
          <w:lang w:eastAsia="es-MX"/>
        </w:rPr>
        <w:t xml:space="preserve">Cabe señalar que lo anterior, también encuentra sustento en diversos ordenamientos internacionales: </w:t>
      </w:r>
    </w:p>
    <w:p w14:paraId="6BE4B262" w14:textId="77777777" w:rsidR="00F94B48" w:rsidRPr="00F32542" w:rsidRDefault="00F94B48" w:rsidP="009B6ED0">
      <w:pPr>
        <w:numPr>
          <w:ilvl w:val="0"/>
          <w:numId w:val="15"/>
        </w:numPr>
        <w:spacing w:before="100" w:beforeAutospacing="1" w:after="100" w:afterAutospacing="1" w:line="360" w:lineRule="auto"/>
        <w:ind w:left="714" w:hanging="357"/>
        <w:jc w:val="both"/>
        <w:rPr>
          <w:rFonts w:ascii="Arial" w:eastAsia="Times New Roman" w:hAnsi="Arial" w:cs="Arial"/>
          <w:sz w:val="28"/>
          <w:szCs w:val="28"/>
          <w:lang w:eastAsia="es-MX"/>
        </w:rPr>
      </w:pPr>
      <w:r w:rsidRPr="00F32542">
        <w:rPr>
          <w:rFonts w:ascii="Arial" w:eastAsia="Times New Roman" w:hAnsi="Arial" w:cs="Arial"/>
          <w:sz w:val="28"/>
          <w:szCs w:val="28"/>
          <w:lang w:eastAsia="es-MX"/>
        </w:rPr>
        <w:t xml:space="preserve">El artículo 3 del Pacto Internacional de Derechos Civiles y Políticos, dispone que los </w:t>
      </w:r>
      <w:proofErr w:type="gramStart"/>
      <w:r w:rsidRPr="00F32542">
        <w:rPr>
          <w:rFonts w:ascii="Arial" w:eastAsia="Times New Roman" w:hAnsi="Arial" w:cs="Arial"/>
          <w:sz w:val="28"/>
          <w:szCs w:val="28"/>
          <w:lang w:eastAsia="es-MX"/>
        </w:rPr>
        <w:t>Estados partes</w:t>
      </w:r>
      <w:proofErr w:type="gramEnd"/>
      <w:r w:rsidRPr="00F32542">
        <w:rPr>
          <w:rFonts w:ascii="Arial" w:eastAsia="Times New Roman" w:hAnsi="Arial" w:cs="Arial"/>
          <w:sz w:val="28"/>
          <w:szCs w:val="28"/>
          <w:lang w:eastAsia="es-MX"/>
        </w:rPr>
        <w:t xml:space="preserve"> se comprometen a garantizar a hombres y mujeres la igualdad en el goce de todos los derechos civiles y políticos reconocidos en el propio pacto. </w:t>
      </w:r>
    </w:p>
    <w:p w14:paraId="3F9C3CF6" w14:textId="77777777" w:rsidR="00F94B48" w:rsidRPr="00F32542" w:rsidRDefault="00F94B48" w:rsidP="009B6ED0">
      <w:pPr>
        <w:numPr>
          <w:ilvl w:val="0"/>
          <w:numId w:val="15"/>
        </w:numPr>
        <w:spacing w:before="100" w:beforeAutospacing="1" w:after="100" w:afterAutospacing="1" w:line="360" w:lineRule="auto"/>
        <w:ind w:left="714" w:hanging="357"/>
        <w:jc w:val="both"/>
        <w:rPr>
          <w:rFonts w:ascii="Arial" w:eastAsia="Times New Roman" w:hAnsi="Arial" w:cs="Arial"/>
          <w:sz w:val="28"/>
          <w:szCs w:val="28"/>
          <w:lang w:eastAsia="es-MX"/>
        </w:rPr>
      </w:pPr>
      <w:r w:rsidRPr="00F32542">
        <w:rPr>
          <w:rFonts w:ascii="Arial" w:eastAsia="Times New Roman" w:hAnsi="Arial" w:cs="Arial"/>
          <w:sz w:val="28"/>
          <w:szCs w:val="28"/>
          <w:lang w:eastAsia="es-MX"/>
        </w:rPr>
        <w:t xml:space="preserve">El artículo 24 de la Convención Americana Sobre Derechos Humanos, dispone que todas las personas son iguales ante la ley, por lo que tienen derecho, sin discriminación, a igual protección. </w:t>
      </w:r>
    </w:p>
    <w:p w14:paraId="67DB6E60" w14:textId="77777777" w:rsidR="00F94B48" w:rsidRPr="00F32542" w:rsidRDefault="00F94B48" w:rsidP="009B6ED0">
      <w:pPr>
        <w:numPr>
          <w:ilvl w:val="0"/>
          <w:numId w:val="15"/>
        </w:numPr>
        <w:spacing w:before="100" w:beforeAutospacing="1" w:after="100" w:afterAutospacing="1" w:line="360" w:lineRule="auto"/>
        <w:ind w:left="714" w:hanging="357"/>
        <w:jc w:val="both"/>
        <w:rPr>
          <w:rFonts w:ascii="Arial" w:eastAsia="Times New Roman" w:hAnsi="Arial" w:cs="Arial"/>
          <w:sz w:val="28"/>
          <w:szCs w:val="28"/>
          <w:lang w:eastAsia="es-MX"/>
        </w:rPr>
      </w:pPr>
      <w:r w:rsidRPr="00F32542">
        <w:rPr>
          <w:rFonts w:ascii="Arial" w:eastAsia="Times New Roman" w:hAnsi="Arial" w:cs="Arial"/>
          <w:sz w:val="28"/>
          <w:szCs w:val="28"/>
          <w:lang w:eastAsia="es-MX"/>
        </w:rPr>
        <w:t>El artículo III de la Convención sobre los Derechos Políticos de la Mujer, dispone que las mujeres tendrán derecho a ocupar cargos públicos y a ejercer todas las funciones públicas establecidas por la legislación nacional, en igualdad de condiciones con los hombres, sin discriminación alguna.</w:t>
      </w:r>
    </w:p>
    <w:p w14:paraId="68263DE0" w14:textId="77777777" w:rsidR="00F94B48" w:rsidRPr="00F32542" w:rsidRDefault="00F94B48" w:rsidP="009B6ED0">
      <w:pPr>
        <w:numPr>
          <w:ilvl w:val="0"/>
          <w:numId w:val="15"/>
        </w:numPr>
        <w:spacing w:before="100" w:beforeAutospacing="1" w:after="100" w:afterAutospacing="1" w:line="360" w:lineRule="auto"/>
        <w:ind w:left="714" w:hanging="357"/>
        <w:jc w:val="both"/>
        <w:rPr>
          <w:rFonts w:ascii="Arial" w:eastAsia="Times New Roman" w:hAnsi="Arial" w:cs="Arial"/>
          <w:sz w:val="28"/>
          <w:szCs w:val="28"/>
          <w:lang w:eastAsia="es-MX"/>
        </w:rPr>
      </w:pPr>
      <w:r w:rsidRPr="00F32542">
        <w:rPr>
          <w:rFonts w:ascii="Arial" w:eastAsia="Times New Roman" w:hAnsi="Arial" w:cs="Arial"/>
          <w:sz w:val="28"/>
          <w:szCs w:val="28"/>
          <w:lang w:eastAsia="es-MX"/>
        </w:rPr>
        <w:lastRenderedPageBreak/>
        <w:t xml:space="preserve">El artículo 4, incisos f) y j), de la Convención Interamericana para Prevenir, Sancionar y Erradicar la Violencia contra la Mujer (“Convención de Belém Do Pará”), dispone que todas las mujeres tienen derecho al reconocimiento, goce, ejercicio y protección de todos los derechos humanos y a las libertades consagradas por los instrumentos regionales e internacionales sobre derechos humanos. Estos derechos comprenden, entre otros: la igual protección ante la ley y de la ley, así como a tener igualdad de acceso a las funciones públicas de su país y a participar en los asuntos públicos. </w:t>
      </w:r>
    </w:p>
    <w:p w14:paraId="1E20B4E3" w14:textId="77777777" w:rsidR="00F94B48" w:rsidRPr="00F32542" w:rsidRDefault="00F94B48" w:rsidP="009B6ED0">
      <w:pPr>
        <w:numPr>
          <w:ilvl w:val="0"/>
          <w:numId w:val="15"/>
        </w:numPr>
        <w:spacing w:before="100" w:beforeAutospacing="1" w:after="100" w:afterAutospacing="1" w:line="360" w:lineRule="auto"/>
        <w:ind w:left="714" w:hanging="357"/>
        <w:jc w:val="both"/>
        <w:rPr>
          <w:rFonts w:ascii="Times New Roman" w:eastAsia="Times New Roman" w:hAnsi="Times New Roman" w:cs="Times New Roman"/>
          <w:sz w:val="24"/>
          <w:szCs w:val="24"/>
          <w:lang w:eastAsia="es-MX"/>
        </w:rPr>
      </w:pPr>
      <w:r w:rsidRPr="00F32542">
        <w:rPr>
          <w:rFonts w:ascii="Arial" w:eastAsia="Times New Roman" w:hAnsi="Arial" w:cs="Arial"/>
          <w:sz w:val="28"/>
          <w:szCs w:val="28"/>
          <w:lang w:eastAsia="es-MX"/>
        </w:rPr>
        <w:t xml:space="preserve">El artículo 3 de la Convención para la Eliminación de Todas las Formas de Discriminación contra la Mujer (CEDAW, por sus siglas en inglés), dispone que los Estados parte tomarán, en todas las esferas y, en particular, en la política, social, económica y cultural, todas las medidas apropiadas para asegurar el pleno desarrollo y adelanto de las mujeres, con el objeto de garantizar el ejercicio y el goce de los derechos humanos y las libertades fundamentales en igualdad de condiciones con los hombres. </w:t>
      </w:r>
    </w:p>
    <w:p w14:paraId="67C81B44"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szCs w:val="28"/>
          <w:lang w:eastAsia="es-MX"/>
        </w:rPr>
      </w:pPr>
      <w:r w:rsidRPr="00F32542">
        <w:rPr>
          <w:rFonts w:ascii="Arial" w:eastAsia="Times New Roman" w:hAnsi="Arial" w:cs="Arial"/>
          <w:sz w:val="28"/>
          <w:szCs w:val="28"/>
          <w:lang w:eastAsia="es-MX"/>
        </w:rPr>
        <w:t xml:space="preserve">Específicamente, sobre la paridad, conviene tener en cuenta que la Comisión Interamericana de Derechos Humanos, en su informe </w:t>
      </w:r>
      <w:r w:rsidRPr="00F32542">
        <w:rPr>
          <w:rFonts w:ascii="Arial" w:eastAsia="Times New Roman" w:hAnsi="Arial" w:cs="Arial"/>
          <w:i/>
          <w:sz w:val="28"/>
          <w:szCs w:val="28"/>
          <w:lang w:eastAsia="es-MX"/>
        </w:rPr>
        <w:t>“El camino hacia una democracia sustantiva: la participación política de las mujeres en las Américas”</w:t>
      </w:r>
      <w:r w:rsidRPr="00F32542">
        <w:rPr>
          <w:rFonts w:ascii="Arial" w:eastAsia="Times New Roman" w:hAnsi="Arial" w:cs="Arial"/>
          <w:sz w:val="28"/>
          <w:szCs w:val="28"/>
          <w:lang w:eastAsia="es-MX"/>
        </w:rPr>
        <w:t>, concluyó que los Estados deben asegurar que las mujeres tengan una representación apropiada en todos los niveles de gobierno, en el orden local, provincial o estatal y nacional.</w:t>
      </w:r>
      <w:r w:rsidRPr="00F32542">
        <w:rPr>
          <w:rFonts w:ascii="Times New Roman" w:eastAsia="Times New Roman" w:hAnsi="Times New Roman" w:cs="Arial"/>
          <w:sz w:val="28"/>
          <w:szCs w:val="28"/>
          <w:vertAlign w:val="superscript"/>
          <w:lang w:eastAsia="es-MX"/>
        </w:rPr>
        <w:footnoteReference w:id="53"/>
      </w:r>
    </w:p>
    <w:p w14:paraId="02CADF64"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szCs w:val="28"/>
          <w:lang w:eastAsia="es-MX"/>
        </w:rPr>
      </w:pPr>
      <w:proofErr w:type="gramStart"/>
      <w:r w:rsidRPr="00F32542">
        <w:rPr>
          <w:rFonts w:ascii="Arial" w:eastAsia="Times New Roman" w:hAnsi="Arial" w:cs="Arial"/>
          <w:sz w:val="28"/>
          <w:szCs w:val="28"/>
          <w:lang w:eastAsia="es-MX"/>
        </w:rPr>
        <w:lastRenderedPageBreak/>
        <w:t>De acuerdo a</w:t>
      </w:r>
      <w:proofErr w:type="gramEnd"/>
      <w:r w:rsidRPr="00F32542">
        <w:rPr>
          <w:rFonts w:ascii="Arial" w:eastAsia="Times New Roman" w:hAnsi="Arial" w:cs="Arial"/>
          <w:sz w:val="28"/>
          <w:szCs w:val="28"/>
          <w:lang w:eastAsia="es-MX"/>
        </w:rPr>
        <w:t xml:space="preserve"> lo expuesto, es evidente que la paridad, como principio de base constitucional y convencional, repercute en la integración de órganos o cuerpos colegiados, la cual se consigue mediante la postulación de candidaturas durante los procesos electorales.</w:t>
      </w:r>
    </w:p>
    <w:p w14:paraId="3BE8B115"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b/>
          <w:sz w:val="28"/>
          <w:szCs w:val="28"/>
        </w:rPr>
        <w:t>b</w:t>
      </w:r>
      <w:r w:rsidR="005F063B" w:rsidRPr="00F32542">
        <w:rPr>
          <w:rFonts w:ascii="Arial" w:eastAsia="Calibri" w:hAnsi="Arial" w:cs="Arial"/>
          <w:b/>
          <w:sz w:val="28"/>
          <w:szCs w:val="28"/>
        </w:rPr>
        <w:t>)</w:t>
      </w:r>
      <w:r w:rsidRPr="00F32542">
        <w:rPr>
          <w:rFonts w:ascii="Arial" w:eastAsia="Calibri" w:hAnsi="Arial" w:cs="Arial"/>
          <w:b/>
          <w:sz w:val="28"/>
          <w:szCs w:val="28"/>
        </w:rPr>
        <w:t xml:space="preserve"> Normas cuestionadas</w:t>
      </w:r>
      <w:r w:rsidR="005F063B" w:rsidRPr="00F32542">
        <w:rPr>
          <w:rFonts w:ascii="Arial" w:eastAsia="Calibri" w:hAnsi="Arial" w:cs="Arial"/>
          <w:b/>
          <w:sz w:val="28"/>
          <w:szCs w:val="28"/>
        </w:rPr>
        <w:t xml:space="preserve">. </w:t>
      </w:r>
      <w:r w:rsidRPr="00F32542">
        <w:rPr>
          <w:rFonts w:ascii="Arial" w:eastAsia="Calibri" w:hAnsi="Arial" w:cs="Arial"/>
          <w:sz w:val="28"/>
          <w:szCs w:val="28"/>
        </w:rPr>
        <w:t>Las normas cuestionadas son las siguientes:</w:t>
      </w:r>
    </w:p>
    <w:p w14:paraId="68DE3D7C" w14:textId="77777777" w:rsidR="00F94B48" w:rsidRPr="00F32542" w:rsidRDefault="00F94B48" w:rsidP="00117502">
      <w:pPr>
        <w:tabs>
          <w:tab w:val="left" w:pos="6480"/>
        </w:tabs>
        <w:spacing w:after="0" w:line="240" w:lineRule="auto"/>
        <w:ind w:left="567" w:right="779"/>
        <w:jc w:val="both"/>
        <w:rPr>
          <w:rFonts w:ascii="Arial" w:eastAsia="Times New Roman" w:hAnsi="Arial" w:cs="Arial"/>
          <w:b/>
          <w:sz w:val="20"/>
          <w:lang w:val="x-none" w:eastAsia="es-ES"/>
        </w:rPr>
      </w:pPr>
      <w:r w:rsidRPr="00F32542">
        <w:rPr>
          <w:rFonts w:ascii="Arial" w:eastAsia="Times New Roman" w:hAnsi="Arial" w:cs="Arial"/>
          <w:b/>
          <w:sz w:val="20"/>
          <w:lang w:val="x-none" w:eastAsia="es-ES"/>
        </w:rPr>
        <w:t>LINEAMIENTOS PARA LA ASIGNACIÓN DE DIPUTACIONES Y CONCEJALÍAS POR EL PRINCIPIO DE REPRESENTACIÓN PROPORCIONAL, ASÍ COMO DE ASIGNACIÓN DE VOTOS TRATÁNDOSE DE COALICIONES, CANDIDATURAS COMUNES Y ASIGNACIÓN DE DIPUTACIÓN MIGRANTE EN EL PROCESO ELECTORAL LOCAL 2020-2021</w:t>
      </w:r>
    </w:p>
    <w:p w14:paraId="30E99A23" w14:textId="77777777" w:rsidR="00F94B48" w:rsidRPr="00F32542" w:rsidRDefault="00F94B48" w:rsidP="00117502">
      <w:pPr>
        <w:tabs>
          <w:tab w:val="left" w:pos="6480"/>
        </w:tabs>
        <w:spacing w:after="0" w:line="240" w:lineRule="auto"/>
        <w:ind w:left="567" w:right="779"/>
        <w:jc w:val="both"/>
        <w:rPr>
          <w:rFonts w:ascii="Arial" w:eastAsia="Times New Roman" w:hAnsi="Arial" w:cs="Arial"/>
          <w:b/>
          <w:sz w:val="20"/>
          <w:lang w:val="x-none" w:eastAsia="es-ES"/>
        </w:rPr>
      </w:pPr>
    </w:p>
    <w:p w14:paraId="0CCAED43" w14:textId="77777777" w:rsidR="00F94B48" w:rsidRPr="00F32542" w:rsidRDefault="00F94B48" w:rsidP="00117502">
      <w:pPr>
        <w:tabs>
          <w:tab w:val="left" w:pos="6480"/>
        </w:tabs>
        <w:spacing w:after="0" w:line="240" w:lineRule="auto"/>
        <w:ind w:left="567" w:right="779"/>
        <w:jc w:val="both"/>
        <w:rPr>
          <w:rFonts w:ascii="Arial" w:eastAsia="Times New Roman" w:hAnsi="Arial" w:cs="Arial"/>
          <w:sz w:val="20"/>
          <w:lang w:val="x-none" w:eastAsia="es-ES"/>
        </w:rPr>
      </w:pPr>
      <w:r w:rsidRPr="00F32542">
        <w:rPr>
          <w:rFonts w:ascii="Arial" w:eastAsia="Times New Roman" w:hAnsi="Arial" w:cs="Arial"/>
          <w:b/>
          <w:sz w:val="20"/>
          <w:lang w:val="x-none" w:eastAsia="es-ES"/>
        </w:rPr>
        <w:t>Artículo 4</w:t>
      </w:r>
      <w:r w:rsidRPr="00F32542">
        <w:rPr>
          <w:rFonts w:ascii="Arial" w:eastAsia="Times New Roman" w:hAnsi="Arial" w:cs="Arial"/>
          <w:sz w:val="20"/>
          <w:lang w:val="x-none" w:eastAsia="es-ES"/>
        </w:rPr>
        <w:t>. Para efectos de los presentes Lineamientos se entenderá:</w:t>
      </w:r>
    </w:p>
    <w:p w14:paraId="5FFCCDD3" w14:textId="77777777" w:rsidR="00F94B48" w:rsidRPr="00F32542" w:rsidRDefault="00F94B48" w:rsidP="00117502">
      <w:pPr>
        <w:tabs>
          <w:tab w:val="left" w:pos="6480"/>
        </w:tabs>
        <w:spacing w:after="0" w:line="240" w:lineRule="auto"/>
        <w:ind w:left="567" w:right="779"/>
        <w:jc w:val="both"/>
        <w:rPr>
          <w:rFonts w:ascii="Arial" w:eastAsia="Times New Roman" w:hAnsi="Arial" w:cs="Arial"/>
          <w:sz w:val="20"/>
          <w:lang w:val="x-none" w:eastAsia="es-ES"/>
        </w:rPr>
      </w:pPr>
    </w:p>
    <w:p w14:paraId="0070F11F" w14:textId="77777777" w:rsidR="00F94B48" w:rsidRPr="00F32542" w:rsidRDefault="00F94B48" w:rsidP="00117502">
      <w:pPr>
        <w:tabs>
          <w:tab w:val="left" w:pos="6480"/>
        </w:tabs>
        <w:spacing w:after="0" w:line="240" w:lineRule="auto"/>
        <w:ind w:left="567" w:right="779"/>
        <w:jc w:val="both"/>
        <w:rPr>
          <w:rFonts w:ascii="Arial" w:eastAsia="Times New Roman" w:hAnsi="Arial" w:cs="Arial"/>
          <w:sz w:val="20"/>
          <w:lang w:val="x-none" w:eastAsia="es-ES"/>
        </w:rPr>
      </w:pPr>
      <w:r w:rsidRPr="00F32542">
        <w:rPr>
          <w:rFonts w:ascii="Arial" w:eastAsia="Times New Roman" w:hAnsi="Arial" w:cs="Arial"/>
          <w:sz w:val="20"/>
          <w:lang w:val="x-none" w:eastAsia="es-ES"/>
        </w:rPr>
        <w:t>…</w:t>
      </w:r>
    </w:p>
    <w:p w14:paraId="07DEE118" w14:textId="77777777" w:rsidR="00F94B48" w:rsidRPr="00F32542" w:rsidRDefault="00F94B48" w:rsidP="00117502">
      <w:pPr>
        <w:tabs>
          <w:tab w:val="left" w:pos="6480"/>
        </w:tabs>
        <w:spacing w:after="0" w:line="240" w:lineRule="auto"/>
        <w:ind w:left="567" w:right="779"/>
        <w:jc w:val="both"/>
        <w:rPr>
          <w:rFonts w:ascii="Arial" w:eastAsia="Times New Roman" w:hAnsi="Arial" w:cs="Arial"/>
          <w:sz w:val="20"/>
          <w:lang w:val="x-none" w:eastAsia="es-ES"/>
        </w:rPr>
      </w:pPr>
    </w:p>
    <w:p w14:paraId="0C6E1D5B" w14:textId="77777777" w:rsidR="00F94B48" w:rsidRPr="00F32542" w:rsidRDefault="00F94B48" w:rsidP="00117502">
      <w:pPr>
        <w:tabs>
          <w:tab w:val="left" w:pos="6480"/>
        </w:tabs>
        <w:spacing w:after="0" w:line="240" w:lineRule="auto"/>
        <w:ind w:left="567" w:right="779"/>
        <w:jc w:val="both"/>
        <w:rPr>
          <w:rFonts w:ascii="Arial" w:eastAsia="Times New Roman" w:hAnsi="Arial" w:cs="Arial"/>
          <w:sz w:val="20"/>
          <w:lang w:val="x-none" w:eastAsia="es-ES"/>
        </w:rPr>
      </w:pPr>
      <w:r w:rsidRPr="00F32542">
        <w:rPr>
          <w:rFonts w:ascii="Arial" w:eastAsia="Times New Roman" w:hAnsi="Arial" w:cs="Arial"/>
          <w:sz w:val="20"/>
          <w:lang w:val="x-none" w:eastAsia="es-ES"/>
        </w:rPr>
        <w:t>c) Para la asignación de Diputaciones electas por el principio de representación proporcional, se tendrán en cuenta los conceptos y principios siguientes:</w:t>
      </w:r>
    </w:p>
    <w:p w14:paraId="7768DD8C" w14:textId="77777777" w:rsidR="00F94B48" w:rsidRPr="00F32542" w:rsidRDefault="00F94B48" w:rsidP="00117502">
      <w:pPr>
        <w:tabs>
          <w:tab w:val="left" w:pos="6480"/>
        </w:tabs>
        <w:spacing w:after="0" w:line="240" w:lineRule="auto"/>
        <w:ind w:left="567" w:right="779"/>
        <w:jc w:val="both"/>
        <w:rPr>
          <w:rFonts w:ascii="Arial" w:eastAsia="Times New Roman" w:hAnsi="Arial" w:cs="Arial"/>
          <w:sz w:val="20"/>
          <w:lang w:val="x-none" w:eastAsia="es-ES"/>
        </w:rPr>
      </w:pPr>
    </w:p>
    <w:p w14:paraId="0D082FDF" w14:textId="77777777" w:rsidR="00F94B48" w:rsidRPr="00F32542" w:rsidRDefault="00F94B48" w:rsidP="00117502">
      <w:pPr>
        <w:tabs>
          <w:tab w:val="left" w:pos="6480"/>
        </w:tabs>
        <w:spacing w:after="0" w:line="240" w:lineRule="auto"/>
        <w:ind w:left="567" w:right="779"/>
        <w:jc w:val="both"/>
        <w:rPr>
          <w:rFonts w:ascii="Arial" w:eastAsia="Times New Roman" w:hAnsi="Arial" w:cs="Arial"/>
          <w:sz w:val="20"/>
          <w:lang w:val="x-none" w:eastAsia="es-ES"/>
        </w:rPr>
      </w:pPr>
      <w:r w:rsidRPr="00F32542">
        <w:rPr>
          <w:rFonts w:ascii="Arial" w:eastAsia="Times New Roman" w:hAnsi="Arial" w:cs="Arial"/>
          <w:sz w:val="20"/>
          <w:lang w:val="x-none" w:eastAsia="es-ES"/>
        </w:rPr>
        <w:t>…</w:t>
      </w:r>
    </w:p>
    <w:p w14:paraId="0E213E61" w14:textId="77777777" w:rsidR="00F94B48" w:rsidRPr="00F32542" w:rsidRDefault="00F94B48" w:rsidP="00117502">
      <w:pPr>
        <w:tabs>
          <w:tab w:val="left" w:pos="6480"/>
        </w:tabs>
        <w:spacing w:after="0" w:line="240" w:lineRule="auto"/>
        <w:ind w:left="567" w:right="779"/>
        <w:jc w:val="both"/>
        <w:rPr>
          <w:rFonts w:ascii="Arial" w:eastAsia="Times New Roman" w:hAnsi="Arial" w:cs="Arial"/>
          <w:sz w:val="20"/>
          <w:lang w:val="x-none" w:eastAsia="es-ES"/>
        </w:rPr>
      </w:pPr>
      <w:r w:rsidRPr="00F32542">
        <w:rPr>
          <w:rFonts w:ascii="Arial" w:eastAsia="Times New Roman" w:hAnsi="Arial" w:cs="Arial"/>
          <w:b/>
          <w:sz w:val="20"/>
          <w:lang w:val="x-none" w:eastAsia="es-ES"/>
        </w:rPr>
        <w:t>v. Lista "A":</w:t>
      </w:r>
      <w:r w:rsidRPr="00F32542">
        <w:rPr>
          <w:rFonts w:ascii="Arial" w:eastAsia="Times New Roman" w:hAnsi="Arial" w:cs="Arial"/>
          <w:sz w:val="20"/>
          <w:lang w:val="x-none" w:eastAsia="es-ES"/>
        </w:rPr>
        <w:t xml:space="preserve"> Relación de dieciséis fórmulas de candidaturas para la elección de Diputaciones plurinominales conformadas por persona propietaria y suplente del mismo género, listadas en orden de prelación alternando fórmulas de género distinto de manera sucesiva, a elegir por el principio de representación proporcional, de las cuales cuatro deberán estar integradas por jóvenes de 18 a 35 años y, al menos una por integrantes de pueblos y barrios originarios y comunidades indígenas, así como una formula integrada por personas con discapacidad.</w:t>
      </w:r>
    </w:p>
    <w:p w14:paraId="2C62C3D7" w14:textId="77777777" w:rsidR="00F94B48" w:rsidRPr="00F32542" w:rsidRDefault="00F94B48" w:rsidP="00117502">
      <w:pPr>
        <w:tabs>
          <w:tab w:val="left" w:pos="6480"/>
        </w:tabs>
        <w:spacing w:after="0" w:line="240" w:lineRule="auto"/>
        <w:ind w:left="567" w:right="779"/>
        <w:jc w:val="both"/>
        <w:rPr>
          <w:rFonts w:ascii="Arial" w:eastAsia="Times New Roman" w:hAnsi="Arial" w:cs="Arial"/>
          <w:sz w:val="20"/>
          <w:lang w:val="x-none" w:eastAsia="es-ES"/>
        </w:rPr>
      </w:pPr>
    </w:p>
    <w:p w14:paraId="63FFD636" w14:textId="77777777" w:rsidR="00F94B48" w:rsidRPr="00F32542" w:rsidRDefault="00F94B48" w:rsidP="00117502">
      <w:pPr>
        <w:tabs>
          <w:tab w:val="left" w:pos="6480"/>
        </w:tabs>
        <w:spacing w:after="0" w:line="240" w:lineRule="auto"/>
        <w:ind w:left="567" w:right="779"/>
        <w:jc w:val="both"/>
        <w:rPr>
          <w:rFonts w:ascii="Arial" w:eastAsia="Times New Roman" w:hAnsi="Arial" w:cs="Arial"/>
          <w:sz w:val="20"/>
          <w:lang w:val="x-none" w:eastAsia="es-ES"/>
        </w:rPr>
      </w:pPr>
      <w:r w:rsidRPr="00F32542">
        <w:rPr>
          <w:rFonts w:ascii="Arial" w:eastAsia="Times New Roman" w:hAnsi="Arial" w:cs="Arial"/>
          <w:b/>
          <w:sz w:val="20"/>
          <w:lang w:val="x-none" w:eastAsia="es-ES"/>
        </w:rPr>
        <w:t xml:space="preserve">vi. Lista "A Prima": </w:t>
      </w:r>
      <w:r w:rsidRPr="00F32542">
        <w:rPr>
          <w:rFonts w:ascii="Arial" w:eastAsia="Times New Roman" w:hAnsi="Arial" w:cs="Arial"/>
          <w:sz w:val="20"/>
          <w:lang w:val="x-none" w:eastAsia="es-ES"/>
        </w:rPr>
        <w:t>Apartado de la Lista "A" que se integra con la candidatura a la Diputación Migrante postulada por cada partido político, siendo esta una persona residente en el extranjero con calidad de originaria de la Ciudad de México, que cumple con los requisitos dispuestos por la Constitución Federal y la Ley de Nacionalidad para ocupar el cargo de Diputada o Diputado por el principio de representación proporcional en el Congreso de la Ciudad de México, así como lo establecido en los demás ordenamientos legales que resulten aplicables.</w:t>
      </w:r>
    </w:p>
    <w:p w14:paraId="68C9BDEA" w14:textId="77777777" w:rsidR="00F94B48" w:rsidRPr="00F32542" w:rsidRDefault="00F94B48" w:rsidP="00117502">
      <w:pPr>
        <w:tabs>
          <w:tab w:val="left" w:pos="6480"/>
        </w:tabs>
        <w:spacing w:after="0" w:line="240" w:lineRule="auto"/>
        <w:ind w:left="567" w:right="779"/>
        <w:jc w:val="both"/>
        <w:rPr>
          <w:rFonts w:ascii="Arial" w:eastAsia="Times New Roman" w:hAnsi="Arial" w:cs="Arial"/>
          <w:sz w:val="20"/>
          <w:lang w:val="x-none" w:eastAsia="es-ES"/>
        </w:rPr>
      </w:pPr>
    </w:p>
    <w:p w14:paraId="1E87B438" w14:textId="77777777" w:rsidR="00F94B48" w:rsidRPr="00F32542" w:rsidRDefault="00F94B48" w:rsidP="00117502">
      <w:pPr>
        <w:tabs>
          <w:tab w:val="left" w:pos="6480"/>
        </w:tabs>
        <w:spacing w:after="0" w:line="240" w:lineRule="auto"/>
        <w:ind w:left="567" w:right="779"/>
        <w:jc w:val="both"/>
        <w:rPr>
          <w:rFonts w:ascii="Arial" w:eastAsia="Times New Roman" w:hAnsi="Arial" w:cs="Arial"/>
          <w:sz w:val="20"/>
          <w:lang w:val="x-none" w:eastAsia="es-ES"/>
        </w:rPr>
      </w:pPr>
      <w:proofErr w:type="spellStart"/>
      <w:r w:rsidRPr="00F32542">
        <w:rPr>
          <w:rFonts w:ascii="Arial" w:eastAsia="Times New Roman" w:hAnsi="Arial" w:cs="Arial"/>
          <w:b/>
          <w:sz w:val="20"/>
          <w:lang w:val="x-none" w:eastAsia="es-ES"/>
        </w:rPr>
        <w:t>vii</w:t>
      </w:r>
      <w:proofErr w:type="spellEnd"/>
      <w:r w:rsidRPr="00F32542">
        <w:rPr>
          <w:rFonts w:ascii="Arial" w:eastAsia="Times New Roman" w:hAnsi="Arial" w:cs="Arial"/>
          <w:b/>
          <w:sz w:val="20"/>
          <w:lang w:val="x-none" w:eastAsia="es-ES"/>
        </w:rPr>
        <w:t>. Lista "B":</w:t>
      </w:r>
      <w:r w:rsidRPr="00F32542">
        <w:rPr>
          <w:rFonts w:ascii="Arial" w:eastAsia="Times New Roman" w:hAnsi="Arial" w:cs="Arial"/>
          <w:sz w:val="20"/>
          <w:lang w:val="x-none" w:eastAsia="es-ES"/>
        </w:rPr>
        <w:t xml:space="preserve"> Relación de diecisiete fórmulas de candidaturas conformadas por las Diputaciones que no lograron el triunfo en la elección por el principio de mayoría relativa del distrito en que participaron, pero que alcanzaron a nivel distrital los mayores porcentajes de la votación local emitida, comparados respecto de otras fórmulas de su propio partido en esa misma elección; con la finalidad de garantizar la paridad de género, una vez que se determinó el primer lugar de esta lista, el segundo lugar será ocupado por la fórmula del otro género con mayor porcentaje de la votación local emitida, e irán intercalando de esta manera hasta concluir la integración de la lista.</w:t>
      </w:r>
    </w:p>
    <w:p w14:paraId="571985A2" w14:textId="77777777" w:rsidR="00F94B48" w:rsidRPr="00F32542" w:rsidRDefault="00F94B48" w:rsidP="00117502">
      <w:pPr>
        <w:tabs>
          <w:tab w:val="left" w:pos="6480"/>
        </w:tabs>
        <w:spacing w:after="0" w:line="240" w:lineRule="auto"/>
        <w:ind w:left="567" w:right="779"/>
        <w:jc w:val="both"/>
        <w:rPr>
          <w:rFonts w:ascii="Arial" w:eastAsia="Times New Roman" w:hAnsi="Arial" w:cs="Arial"/>
          <w:sz w:val="20"/>
          <w:lang w:val="x-none" w:eastAsia="es-ES"/>
        </w:rPr>
      </w:pPr>
    </w:p>
    <w:p w14:paraId="09288806" w14:textId="77777777" w:rsidR="00F94B48" w:rsidRPr="00F32542" w:rsidRDefault="00F94B48" w:rsidP="00117502">
      <w:pPr>
        <w:tabs>
          <w:tab w:val="left" w:pos="6480"/>
        </w:tabs>
        <w:spacing w:after="0" w:line="240" w:lineRule="auto"/>
        <w:ind w:left="567" w:right="779"/>
        <w:jc w:val="both"/>
        <w:rPr>
          <w:rFonts w:ascii="Arial" w:eastAsia="Times New Roman" w:hAnsi="Arial" w:cs="Arial"/>
          <w:b/>
          <w:sz w:val="20"/>
          <w:lang w:val="x-none" w:eastAsia="es-ES"/>
        </w:rPr>
      </w:pPr>
      <w:proofErr w:type="spellStart"/>
      <w:r w:rsidRPr="00F32542">
        <w:rPr>
          <w:rFonts w:ascii="Arial" w:eastAsia="Times New Roman" w:hAnsi="Arial" w:cs="Arial"/>
          <w:b/>
          <w:sz w:val="20"/>
          <w:lang w:val="x-none" w:eastAsia="es-ES"/>
        </w:rPr>
        <w:t>viii</w:t>
      </w:r>
      <w:proofErr w:type="spellEnd"/>
      <w:r w:rsidRPr="00F32542">
        <w:rPr>
          <w:rFonts w:ascii="Arial" w:eastAsia="Times New Roman" w:hAnsi="Arial" w:cs="Arial"/>
          <w:b/>
          <w:sz w:val="20"/>
          <w:lang w:val="x-none" w:eastAsia="es-ES"/>
        </w:rPr>
        <w:t>. Lista Definitiva:</w:t>
      </w:r>
      <w:r w:rsidRPr="00F32542">
        <w:rPr>
          <w:rFonts w:ascii="Arial" w:eastAsia="Times New Roman" w:hAnsi="Arial" w:cs="Arial"/>
          <w:sz w:val="20"/>
          <w:lang w:val="x-none" w:eastAsia="es-ES"/>
        </w:rPr>
        <w:t xml:space="preserve"> Es el resultado de intercalar las fórmulas de candidatos y candidatas de las Listas "A" y "B", que será encabezada siempre por la primera fórmula de la Lista "A", salvo en el caso del partido que obtenga la diputación migrante, ya que, en ese supuesto, la lista definitiva estará encabezada por la fórmula en la que se postuló a la referida diputación migrante. </w:t>
      </w:r>
      <w:r w:rsidRPr="00F32542">
        <w:rPr>
          <w:rFonts w:ascii="Arial" w:eastAsia="Times New Roman" w:hAnsi="Arial" w:cs="Arial"/>
          <w:b/>
          <w:sz w:val="20"/>
          <w:lang w:val="x-none" w:eastAsia="es-ES"/>
        </w:rPr>
        <w:t xml:space="preserve">Tal intercalado </w:t>
      </w:r>
      <w:r w:rsidRPr="00F32542">
        <w:rPr>
          <w:rFonts w:ascii="Arial" w:eastAsia="Times New Roman" w:hAnsi="Arial" w:cs="Arial"/>
          <w:b/>
          <w:sz w:val="20"/>
          <w:lang w:val="x-none" w:eastAsia="es-ES"/>
        </w:rPr>
        <w:lastRenderedPageBreak/>
        <w:t>podrá generar bloques de hasta dos fórmulas del mismo género, pero de diferente lista de origen.</w:t>
      </w:r>
    </w:p>
    <w:p w14:paraId="72F6FE6E" w14:textId="77777777" w:rsidR="00F94B48" w:rsidRPr="00F32542" w:rsidRDefault="00F94B48" w:rsidP="00117502">
      <w:pPr>
        <w:tabs>
          <w:tab w:val="left" w:pos="6480"/>
        </w:tabs>
        <w:spacing w:after="0" w:line="240" w:lineRule="auto"/>
        <w:ind w:left="567" w:right="779"/>
        <w:jc w:val="both"/>
        <w:rPr>
          <w:rFonts w:ascii="Arial" w:eastAsia="Times New Roman" w:hAnsi="Arial" w:cs="Arial"/>
          <w:b/>
          <w:sz w:val="20"/>
          <w:lang w:val="x-none" w:eastAsia="es-ES"/>
        </w:rPr>
      </w:pPr>
    </w:p>
    <w:p w14:paraId="088BC145" w14:textId="77777777" w:rsidR="00F94B48" w:rsidRPr="00F32542" w:rsidRDefault="00F94B48" w:rsidP="00117502">
      <w:pPr>
        <w:tabs>
          <w:tab w:val="left" w:pos="6480"/>
        </w:tabs>
        <w:spacing w:after="0" w:line="240" w:lineRule="auto"/>
        <w:ind w:left="567" w:right="779"/>
        <w:jc w:val="both"/>
        <w:rPr>
          <w:rFonts w:ascii="Arial" w:eastAsia="Times New Roman" w:hAnsi="Arial" w:cs="Arial"/>
          <w:b/>
          <w:sz w:val="20"/>
          <w:lang w:val="x-none" w:eastAsia="es-ES"/>
        </w:rPr>
      </w:pPr>
    </w:p>
    <w:p w14:paraId="7482188E" w14:textId="77777777" w:rsidR="00F94B48" w:rsidRPr="00F32542" w:rsidRDefault="00F94B48" w:rsidP="00117502">
      <w:pPr>
        <w:tabs>
          <w:tab w:val="left" w:pos="6480"/>
        </w:tabs>
        <w:spacing w:after="0" w:line="240" w:lineRule="auto"/>
        <w:ind w:left="567" w:right="779"/>
        <w:jc w:val="center"/>
        <w:rPr>
          <w:rFonts w:ascii="Arial" w:eastAsia="Times New Roman" w:hAnsi="Arial" w:cs="Arial"/>
          <w:b/>
          <w:sz w:val="20"/>
          <w:lang w:val="x-none" w:eastAsia="es-ES"/>
        </w:rPr>
      </w:pPr>
      <w:r w:rsidRPr="00F32542">
        <w:rPr>
          <w:rFonts w:ascii="Arial" w:eastAsia="Times New Roman" w:hAnsi="Arial" w:cs="Arial"/>
          <w:b/>
          <w:sz w:val="20"/>
          <w:lang w:val="x-none" w:eastAsia="es-ES"/>
        </w:rPr>
        <w:t>CÓDIGO DE INSTITUCIONES Y PROCEDIMIENTOS ELECTORALES DE LA CIUDAD DE MÉXICO</w:t>
      </w:r>
    </w:p>
    <w:p w14:paraId="3DF4EB09" w14:textId="77777777" w:rsidR="00F94B48" w:rsidRPr="00F32542" w:rsidRDefault="00F94B48" w:rsidP="00117502">
      <w:pPr>
        <w:tabs>
          <w:tab w:val="left" w:pos="6480"/>
        </w:tabs>
        <w:spacing w:after="0" w:line="240" w:lineRule="auto"/>
        <w:ind w:left="567" w:right="779"/>
        <w:rPr>
          <w:rFonts w:ascii="Courier New" w:eastAsia="Times New Roman" w:hAnsi="Courier New" w:cs="Times New Roman"/>
          <w:sz w:val="20"/>
          <w:szCs w:val="20"/>
          <w:lang w:val="x-none" w:eastAsia="es-ES"/>
        </w:rPr>
      </w:pPr>
    </w:p>
    <w:p w14:paraId="77E97E06" w14:textId="77777777" w:rsidR="00F94B48" w:rsidRPr="00F32542" w:rsidRDefault="00F94B48" w:rsidP="00117502">
      <w:pPr>
        <w:tabs>
          <w:tab w:val="left" w:pos="6480"/>
        </w:tabs>
        <w:spacing w:after="0" w:line="240" w:lineRule="auto"/>
        <w:ind w:left="567" w:right="779"/>
        <w:jc w:val="both"/>
        <w:rPr>
          <w:rFonts w:ascii="Arial" w:eastAsia="Times New Roman" w:hAnsi="Arial" w:cs="Arial"/>
          <w:sz w:val="20"/>
          <w:lang w:val="x-none" w:eastAsia="es-ES"/>
        </w:rPr>
      </w:pPr>
      <w:r w:rsidRPr="00F32542">
        <w:rPr>
          <w:rFonts w:ascii="Arial" w:eastAsia="Times New Roman" w:hAnsi="Arial" w:cs="Arial"/>
          <w:b/>
          <w:sz w:val="20"/>
          <w:lang w:val="x-none" w:eastAsia="es-ES"/>
        </w:rPr>
        <w:t>Artículo 24.</w:t>
      </w:r>
      <w:r w:rsidRPr="00F32542">
        <w:rPr>
          <w:rFonts w:ascii="Arial" w:eastAsia="Times New Roman" w:hAnsi="Arial" w:cs="Arial"/>
          <w:sz w:val="20"/>
          <w:lang w:val="x-none" w:eastAsia="es-ES"/>
        </w:rPr>
        <w:t xml:space="preserve"> Para la asignación de Diputadas y Diputados electos por el principio de representación proporcional se tendrán en cuenta los conceptos y principios siguientes:</w:t>
      </w:r>
    </w:p>
    <w:p w14:paraId="5394B081" w14:textId="77777777" w:rsidR="00F94B48" w:rsidRPr="00F32542" w:rsidRDefault="00F94B48" w:rsidP="00117502">
      <w:pPr>
        <w:tabs>
          <w:tab w:val="left" w:pos="6480"/>
        </w:tabs>
        <w:spacing w:after="0" w:line="240" w:lineRule="auto"/>
        <w:ind w:left="567" w:right="779"/>
        <w:jc w:val="both"/>
        <w:rPr>
          <w:rFonts w:ascii="Arial" w:eastAsia="Times New Roman" w:hAnsi="Arial" w:cs="Arial"/>
          <w:sz w:val="20"/>
          <w:lang w:val="x-none" w:eastAsia="es-ES"/>
        </w:rPr>
      </w:pPr>
    </w:p>
    <w:p w14:paraId="0A441650" w14:textId="77777777" w:rsidR="00F94B48" w:rsidRPr="00F32542" w:rsidRDefault="00F94B48" w:rsidP="00117502">
      <w:pPr>
        <w:tabs>
          <w:tab w:val="left" w:pos="6480"/>
        </w:tabs>
        <w:spacing w:after="0" w:line="240" w:lineRule="auto"/>
        <w:ind w:left="567" w:right="779"/>
        <w:jc w:val="both"/>
        <w:rPr>
          <w:rFonts w:ascii="Arial" w:eastAsia="Times New Roman" w:hAnsi="Arial" w:cs="Arial"/>
          <w:sz w:val="20"/>
          <w:lang w:val="x-none" w:eastAsia="es-ES"/>
        </w:rPr>
      </w:pPr>
      <w:r w:rsidRPr="00F32542">
        <w:rPr>
          <w:rFonts w:ascii="Arial" w:eastAsia="Times New Roman" w:hAnsi="Arial" w:cs="Arial"/>
          <w:b/>
          <w:bCs/>
          <w:sz w:val="20"/>
          <w:lang w:val="x-none" w:eastAsia="es-ES"/>
        </w:rPr>
        <w:t>V. Lista Definitiva,</w:t>
      </w:r>
      <w:r w:rsidRPr="00F32542">
        <w:rPr>
          <w:rFonts w:ascii="Arial" w:eastAsia="Times New Roman" w:hAnsi="Arial" w:cs="Arial"/>
          <w:sz w:val="20"/>
          <w:lang w:val="x-none" w:eastAsia="es-ES"/>
        </w:rPr>
        <w:t xml:space="preserve"> es el resultado de intercalar las fórmulas de candidatos de las Listas "A" y "B", que será encabezada siempre por la primera fórmula de la Lista "A". Tal intercalado </w:t>
      </w:r>
      <w:r w:rsidRPr="00F32542">
        <w:rPr>
          <w:rFonts w:ascii="Arial" w:eastAsia="Times New Roman" w:hAnsi="Arial" w:cs="Arial"/>
          <w:b/>
          <w:sz w:val="20"/>
          <w:lang w:val="x-none" w:eastAsia="es-ES"/>
        </w:rPr>
        <w:t>podrá generar bloques de hasta dos fórmulas del mismo género</w:t>
      </w:r>
      <w:r w:rsidRPr="00F32542">
        <w:rPr>
          <w:rFonts w:ascii="Arial" w:eastAsia="Times New Roman" w:hAnsi="Arial" w:cs="Arial"/>
          <w:sz w:val="20"/>
          <w:lang w:val="x-none" w:eastAsia="es-ES"/>
        </w:rPr>
        <w:t>, pero de diferente lista de origen.</w:t>
      </w:r>
    </w:p>
    <w:p w14:paraId="7118BF8B" w14:textId="77777777" w:rsidR="00F94B48" w:rsidRPr="00F32542" w:rsidRDefault="00F94B48" w:rsidP="00117502">
      <w:pPr>
        <w:spacing w:after="0" w:line="240" w:lineRule="auto"/>
        <w:ind w:left="567" w:right="1467"/>
        <w:jc w:val="both"/>
        <w:rPr>
          <w:rFonts w:ascii="Arial" w:eastAsia="Times New Roman" w:hAnsi="Arial" w:cs="Arial"/>
          <w:sz w:val="20"/>
          <w:lang w:val="x-none" w:eastAsia="es-ES"/>
        </w:rPr>
      </w:pPr>
    </w:p>
    <w:p w14:paraId="5D793872"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lang w:eastAsia="es-MX"/>
        </w:rPr>
      </w:pPr>
      <w:r w:rsidRPr="00F32542">
        <w:rPr>
          <w:rFonts w:ascii="Arial" w:eastAsia="Times New Roman" w:hAnsi="Arial" w:cs="Arial"/>
          <w:sz w:val="28"/>
          <w:lang w:eastAsia="es-MX"/>
        </w:rPr>
        <w:t xml:space="preserve">Las citadas disposiciones fueron controvertidas porque las respectivas partes promoventes consideran que la posibilidad de generar bloques de dos fórmulas del mismo género vulnera el principio de paridad. </w:t>
      </w:r>
    </w:p>
    <w:p w14:paraId="0E775E7C" w14:textId="77777777" w:rsidR="00F94B48" w:rsidRPr="00F32542" w:rsidRDefault="00F94B48" w:rsidP="00F94B48">
      <w:pPr>
        <w:spacing w:before="100" w:beforeAutospacing="1" w:after="100" w:afterAutospacing="1" w:line="360" w:lineRule="auto"/>
        <w:jc w:val="both"/>
        <w:rPr>
          <w:rFonts w:ascii="Arial" w:eastAsia="Times New Roman" w:hAnsi="Arial" w:cs="Arial"/>
          <w:b/>
          <w:sz w:val="28"/>
          <w:lang w:eastAsia="es-MX"/>
        </w:rPr>
      </w:pPr>
      <w:r w:rsidRPr="00F32542">
        <w:rPr>
          <w:rFonts w:ascii="Arial" w:eastAsia="Times New Roman" w:hAnsi="Arial" w:cs="Arial"/>
          <w:b/>
          <w:sz w:val="28"/>
          <w:lang w:eastAsia="es-MX"/>
        </w:rPr>
        <w:t>Caso concreto</w:t>
      </w:r>
      <w:r w:rsidR="005F063B" w:rsidRPr="00F32542">
        <w:rPr>
          <w:rFonts w:ascii="Arial" w:eastAsia="Times New Roman" w:hAnsi="Arial" w:cs="Arial"/>
          <w:b/>
          <w:sz w:val="28"/>
          <w:lang w:eastAsia="es-MX"/>
        </w:rPr>
        <w:t>.</w:t>
      </w:r>
    </w:p>
    <w:p w14:paraId="14707232" w14:textId="77777777" w:rsidR="00F94B48" w:rsidRPr="00F32542" w:rsidRDefault="00F94B48" w:rsidP="00117502">
      <w:pPr>
        <w:spacing w:before="100" w:beforeAutospacing="1" w:after="100" w:afterAutospacing="1" w:line="360" w:lineRule="auto"/>
        <w:jc w:val="both"/>
        <w:rPr>
          <w:rFonts w:ascii="Arial" w:eastAsia="Times New Roman" w:hAnsi="Arial" w:cs="Arial"/>
          <w:sz w:val="28"/>
          <w:lang w:eastAsia="es-MX"/>
        </w:rPr>
      </w:pPr>
      <w:r w:rsidRPr="00F32542">
        <w:rPr>
          <w:rFonts w:ascii="Arial" w:eastAsia="Times New Roman" w:hAnsi="Arial" w:cs="Arial"/>
          <w:sz w:val="28"/>
          <w:lang w:eastAsia="es-MX"/>
        </w:rPr>
        <w:t xml:space="preserve">Este Tribunal considera que el planteamiento es </w:t>
      </w:r>
      <w:r w:rsidRPr="00F32542">
        <w:rPr>
          <w:rFonts w:ascii="Arial" w:eastAsia="Times New Roman" w:hAnsi="Arial" w:cs="Arial"/>
          <w:b/>
          <w:sz w:val="28"/>
          <w:lang w:eastAsia="es-MX"/>
        </w:rPr>
        <w:t xml:space="preserve">infundado, </w:t>
      </w:r>
      <w:r w:rsidRPr="00F32542">
        <w:rPr>
          <w:rFonts w:ascii="Arial" w:eastAsia="Times New Roman" w:hAnsi="Arial" w:cs="Arial"/>
          <w:sz w:val="28"/>
          <w:lang w:eastAsia="es-MX"/>
        </w:rPr>
        <w:t>pues la existencia de bloques constituidos por fórmulas de un mismo género no vulnera la paridad y, por ende, resultan acordes al marco constitucional.</w:t>
      </w:r>
    </w:p>
    <w:p w14:paraId="38D9B604"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lang w:eastAsia="es-MX"/>
        </w:rPr>
      </w:pPr>
      <w:r w:rsidRPr="00F32542">
        <w:rPr>
          <w:rFonts w:ascii="Arial" w:eastAsia="Times New Roman" w:hAnsi="Arial" w:cs="Arial"/>
          <w:sz w:val="28"/>
          <w:lang w:eastAsia="es-MX"/>
        </w:rPr>
        <w:t xml:space="preserve">En efecto, de acuerdo a la normativa expuesta —la cual ya fue transcrita— la lista definitiva conforme a la cual se realizará la </w:t>
      </w:r>
      <w:proofErr w:type="gramStart"/>
      <w:r w:rsidRPr="00F32542">
        <w:rPr>
          <w:rFonts w:ascii="Arial" w:eastAsia="Times New Roman" w:hAnsi="Arial" w:cs="Arial"/>
          <w:sz w:val="28"/>
          <w:lang w:eastAsia="es-MX"/>
        </w:rPr>
        <w:t>asignación,</w:t>
      </w:r>
      <w:proofErr w:type="gramEnd"/>
      <w:r w:rsidRPr="00F32542">
        <w:rPr>
          <w:rFonts w:ascii="Arial" w:eastAsia="Times New Roman" w:hAnsi="Arial" w:cs="Arial"/>
          <w:sz w:val="28"/>
          <w:lang w:eastAsia="es-MX"/>
        </w:rPr>
        <w:t xml:space="preserve"> surge de entrelazar las listas A y B. </w:t>
      </w:r>
    </w:p>
    <w:p w14:paraId="132886BB"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lang w:eastAsia="es-MX"/>
        </w:rPr>
      </w:pPr>
      <w:r w:rsidRPr="00F32542">
        <w:rPr>
          <w:rFonts w:ascii="Arial" w:eastAsia="Times New Roman" w:hAnsi="Arial" w:cs="Arial"/>
          <w:sz w:val="28"/>
          <w:lang w:eastAsia="es-MX"/>
        </w:rPr>
        <w:t>En efecto, la lista A se conforma por dieciséis fórmulas de candidaturas a diputaciones de representación proporcional, cuyo propietario y suplente será del mismo género.</w:t>
      </w:r>
    </w:p>
    <w:p w14:paraId="14C56E28"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lang w:eastAsia="es-MX"/>
        </w:rPr>
      </w:pPr>
      <w:r w:rsidRPr="00F32542">
        <w:rPr>
          <w:rFonts w:ascii="Arial" w:eastAsia="Times New Roman" w:hAnsi="Arial" w:cs="Arial"/>
          <w:sz w:val="28"/>
          <w:lang w:eastAsia="es-MX"/>
        </w:rPr>
        <w:t xml:space="preserve">Dichas fórmulas se alternarán, es decir, si la primera fórmula es de un género la siguiente corresponderá al otro, lo cual ser hará de manera sucesiva. </w:t>
      </w:r>
    </w:p>
    <w:p w14:paraId="751FAD2D"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lang w:eastAsia="es-MX"/>
        </w:rPr>
      </w:pPr>
      <w:r w:rsidRPr="00F32542">
        <w:rPr>
          <w:rFonts w:ascii="Arial" w:eastAsia="Times New Roman" w:hAnsi="Arial" w:cs="Arial"/>
          <w:sz w:val="28"/>
          <w:lang w:eastAsia="es-MX"/>
        </w:rPr>
        <w:lastRenderedPageBreak/>
        <w:t xml:space="preserve">Por su parte, la lista B se conforma por las candidaturas a diputaciones de mayoría relativa de un mismo partido político, que no obtuvieron el triunfo. </w:t>
      </w:r>
    </w:p>
    <w:p w14:paraId="5B437D79"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lang w:eastAsia="es-MX"/>
        </w:rPr>
      </w:pPr>
      <w:r w:rsidRPr="00F32542">
        <w:rPr>
          <w:rFonts w:ascii="Arial" w:eastAsia="Times New Roman" w:hAnsi="Arial" w:cs="Arial"/>
          <w:sz w:val="28"/>
          <w:lang w:eastAsia="es-MX"/>
        </w:rPr>
        <w:t xml:space="preserve">La primera fórmula de la lista B, será aquella que tuvo el mejor porcentaje de votación respecto a las demás candidaturas del mismo partido que no resultaron electas. La segunda, será la que alcanzó el mejor porcentaje de votación del género distinto al de la primera fórmula. De tal modo que en la lista B las fórmulas se acomodan de manera alternada por género. </w:t>
      </w:r>
    </w:p>
    <w:p w14:paraId="47317AFA"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lang w:eastAsia="es-MX"/>
        </w:rPr>
      </w:pPr>
      <w:r w:rsidRPr="00F32542">
        <w:rPr>
          <w:rFonts w:ascii="Arial" w:eastAsia="Times New Roman" w:hAnsi="Arial" w:cs="Arial"/>
          <w:sz w:val="28"/>
          <w:lang w:eastAsia="es-MX"/>
        </w:rPr>
        <w:t xml:space="preserve">Por último, como se indicó, la lista final se integra al intercalar las fórmulas que corresponden a las listas A y B. La lista inicia con la primera fórmula de la lista A, seguida por la fórmula más votada de la lista B. </w:t>
      </w:r>
    </w:p>
    <w:p w14:paraId="50479180"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lang w:eastAsia="es-MX"/>
        </w:rPr>
      </w:pPr>
      <w:r w:rsidRPr="00F32542">
        <w:rPr>
          <w:rFonts w:ascii="Arial" w:eastAsia="Times New Roman" w:hAnsi="Arial" w:cs="Arial"/>
          <w:sz w:val="28"/>
          <w:lang w:eastAsia="es-MX"/>
        </w:rPr>
        <w:t xml:space="preserve">Ciertamente, puede ocurrir que las primeras fórmulas de las listas A y B, sean de igual género, por tanto, el primer bloque será del mismo género; sin embargo, lo ordinario es que el siguiente bloque se conforme por la segunda fórmula de la lista A y la segunda fórmula de la lista B, ambas de género distinto a las primeras fórmulas. </w:t>
      </w:r>
    </w:p>
    <w:p w14:paraId="64A5BCAE"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lang w:eastAsia="es-MX"/>
        </w:rPr>
      </w:pPr>
      <w:r w:rsidRPr="00F32542">
        <w:rPr>
          <w:rFonts w:ascii="Arial" w:eastAsia="Times New Roman" w:hAnsi="Arial" w:cs="Arial"/>
          <w:sz w:val="28"/>
          <w:lang w:eastAsia="es-MX"/>
        </w:rPr>
        <w:t>Cabe señalar que la norma no limita la existencia de bloques del mismo género al primero de ellos, sino que esto puede ocurrir en los bloques subsecuentes.</w:t>
      </w:r>
    </w:p>
    <w:p w14:paraId="45444F9A"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lang w:eastAsia="es-MX"/>
        </w:rPr>
      </w:pPr>
      <w:r w:rsidRPr="00F32542">
        <w:rPr>
          <w:rFonts w:ascii="Arial" w:eastAsia="Times New Roman" w:hAnsi="Arial" w:cs="Arial"/>
          <w:sz w:val="28"/>
          <w:lang w:eastAsia="es-MX"/>
        </w:rPr>
        <w:t xml:space="preserve">Sin embargo, este Tribunal considera que, por sí misma, la norma cuestionada no es inconstitucional. </w:t>
      </w:r>
    </w:p>
    <w:p w14:paraId="68AEB277"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lang w:eastAsia="es-MX"/>
        </w:rPr>
      </w:pPr>
      <w:r w:rsidRPr="00F32542">
        <w:rPr>
          <w:rFonts w:ascii="Arial" w:eastAsia="Times New Roman" w:hAnsi="Arial" w:cs="Arial"/>
          <w:sz w:val="28"/>
          <w:lang w:eastAsia="es-MX"/>
        </w:rPr>
        <w:t xml:space="preserve">Esto, porque, en primer lugar, la conformación de bloques de un mismo género no ocurre necesaria e indefectiblemente, sino que sólo sucederá cuando coincida que la fórmula no ganadora de un </w:t>
      </w:r>
      <w:proofErr w:type="gramStart"/>
      <w:r w:rsidRPr="00F32542">
        <w:rPr>
          <w:rFonts w:ascii="Arial" w:eastAsia="Times New Roman" w:hAnsi="Arial" w:cs="Arial"/>
          <w:sz w:val="28"/>
          <w:lang w:eastAsia="es-MX"/>
        </w:rPr>
        <w:t>partido</w:t>
      </w:r>
      <w:proofErr w:type="gramEnd"/>
      <w:r w:rsidRPr="00F32542">
        <w:rPr>
          <w:rFonts w:ascii="Arial" w:eastAsia="Times New Roman" w:hAnsi="Arial" w:cs="Arial"/>
          <w:sz w:val="28"/>
          <w:lang w:eastAsia="es-MX"/>
        </w:rPr>
        <w:t xml:space="preserve"> </w:t>
      </w:r>
      <w:r w:rsidRPr="00F32542">
        <w:rPr>
          <w:rFonts w:ascii="Arial" w:eastAsia="Times New Roman" w:hAnsi="Arial" w:cs="Arial"/>
          <w:sz w:val="28"/>
          <w:lang w:eastAsia="es-MX"/>
        </w:rPr>
        <w:lastRenderedPageBreak/>
        <w:t xml:space="preserve">pero con el mejor porcentaje de votación, sea del mismo género que la primera fórmula de la lista A. Sin embargo, también puede ocurrir que sean de géneros distintos. </w:t>
      </w:r>
    </w:p>
    <w:p w14:paraId="1101722C"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lang w:eastAsia="es-MX"/>
        </w:rPr>
      </w:pPr>
      <w:r w:rsidRPr="00F32542">
        <w:rPr>
          <w:rFonts w:ascii="Arial" w:eastAsia="Times New Roman" w:hAnsi="Arial" w:cs="Arial"/>
          <w:sz w:val="28"/>
          <w:lang w:eastAsia="es-MX"/>
        </w:rPr>
        <w:t xml:space="preserve">Por otro lado, también puede ocurrir, que el primer bloque corresponda exclusivamente al género de las mujeres, cuestión que sería evidentemente válida. </w:t>
      </w:r>
    </w:p>
    <w:p w14:paraId="7F85CDE2"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lang w:eastAsia="es-MX"/>
        </w:rPr>
      </w:pPr>
      <w:r w:rsidRPr="00F32542">
        <w:rPr>
          <w:rFonts w:ascii="Arial" w:eastAsia="Times New Roman" w:hAnsi="Arial" w:cs="Arial"/>
          <w:sz w:val="28"/>
          <w:lang w:eastAsia="es-MX"/>
        </w:rPr>
        <w:t xml:space="preserve">Además, la intercalación de los bloques subsecuentes, en los que se deben incluir fórmulas de las listas A y B, las </w:t>
      </w:r>
      <w:proofErr w:type="spellStart"/>
      <w:r w:rsidRPr="00F32542">
        <w:rPr>
          <w:rFonts w:ascii="Arial" w:eastAsia="Times New Roman" w:hAnsi="Arial" w:cs="Arial"/>
          <w:sz w:val="28"/>
          <w:lang w:eastAsia="es-MX"/>
        </w:rPr>
        <w:t>cuáles</w:t>
      </w:r>
      <w:proofErr w:type="spellEnd"/>
      <w:r w:rsidRPr="00F32542">
        <w:rPr>
          <w:rFonts w:ascii="Arial" w:eastAsia="Times New Roman" w:hAnsi="Arial" w:cs="Arial"/>
          <w:sz w:val="28"/>
          <w:lang w:eastAsia="es-MX"/>
        </w:rPr>
        <w:t xml:space="preserve"> están integradas paritariamente, permiten que ambos géneros se integren a la lista definitiva.</w:t>
      </w:r>
    </w:p>
    <w:p w14:paraId="4B385761"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lang w:eastAsia="es-MX"/>
        </w:rPr>
      </w:pPr>
      <w:r w:rsidRPr="00F32542">
        <w:rPr>
          <w:rFonts w:ascii="Arial" w:eastAsia="Times New Roman" w:hAnsi="Arial" w:cs="Arial"/>
          <w:sz w:val="28"/>
          <w:lang w:eastAsia="es-MX"/>
        </w:rPr>
        <w:t xml:space="preserve">Incluso, no podría considerarse que tales bloques vulneran la paridad, porque en el caso de que al final de la asignación de diputaciones plurinominales el Congreso de la Ciudad no se integre paritariamente, el </w:t>
      </w:r>
      <w:r w:rsidRPr="00F32542">
        <w:rPr>
          <w:rFonts w:ascii="Arial" w:eastAsia="Times New Roman" w:hAnsi="Arial" w:cs="Arial"/>
          <w:i/>
          <w:sz w:val="28"/>
          <w:lang w:eastAsia="es-MX"/>
        </w:rPr>
        <w:t xml:space="preserve">Código local </w:t>
      </w:r>
      <w:r w:rsidRPr="00F32542">
        <w:rPr>
          <w:rFonts w:ascii="Arial" w:eastAsia="Times New Roman" w:hAnsi="Arial" w:cs="Arial"/>
          <w:sz w:val="28"/>
          <w:lang w:eastAsia="es-MX"/>
        </w:rPr>
        <w:t xml:space="preserve">prevé un mecanismo de ajuste. </w:t>
      </w:r>
    </w:p>
    <w:p w14:paraId="4B7CFCE1"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lang w:eastAsia="es-MX"/>
        </w:rPr>
      </w:pPr>
      <w:r w:rsidRPr="00F32542">
        <w:rPr>
          <w:rFonts w:ascii="Arial" w:eastAsia="Times New Roman" w:hAnsi="Arial" w:cs="Arial"/>
          <w:sz w:val="28"/>
          <w:lang w:eastAsia="es-MX"/>
        </w:rPr>
        <w:t xml:space="preserve">En efecto, el artículo 27, fracción VI, inciso h), del citado Código prevé </w:t>
      </w:r>
      <w:proofErr w:type="gramStart"/>
      <w:r w:rsidRPr="00F32542">
        <w:rPr>
          <w:rFonts w:ascii="Arial" w:eastAsia="Times New Roman" w:hAnsi="Arial" w:cs="Arial"/>
          <w:sz w:val="28"/>
          <w:lang w:eastAsia="es-MX"/>
        </w:rPr>
        <w:t>que</w:t>
      </w:r>
      <w:proofErr w:type="gramEnd"/>
      <w:r w:rsidRPr="00F32542">
        <w:rPr>
          <w:rFonts w:ascii="Arial" w:eastAsia="Times New Roman" w:hAnsi="Arial" w:cs="Arial"/>
          <w:sz w:val="28"/>
          <w:lang w:eastAsia="es-MX"/>
        </w:rPr>
        <w:t xml:space="preserve"> en caso de existir una integración de diputaciones no paritaria, se deducirán tantos diputados como sean necesarios del género sobrerrepresentado y se sustituirán por el género subrepresentado. </w:t>
      </w:r>
    </w:p>
    <w:p w14:paraId="14FE1902"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lang w:eastAsia="es-MX"/>
        </w:rPr>
      </w:pPr>
      <w:r w:rsidRPr="00F32542">
        <w:rPr>
          <w:rFonts w:ascii="Arial" w:eastAsia="Times New Roman" w:hAnsi="Arial" w:cs="Arial"/>
          <w:sz w:val="28"/>
          <w:lang w:eastAsia="es-MX"/>
        </w:rPr>
        <w:t xml:space="preserve">Como se observa, en caso de que la asignación de diputaciones de representación proporcional, conforme a los bloques de las listas finales de los partidos políticos, tenga como resultado la existencia de un género subrepresentado, la propia ley establece un mecanismo para que se alcance la paridad en el Congreso. </w:t>
      </w:r>
    </w:p>
    <w:p w14:paraId="73123053"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lang w:eastAsia="es-MX"/>
        </w:rPr>
      </w:pPr>
      <w:r w:rsidRPr="00F32542">
        <w:rPr>
          <w:rFonts w:ascii="Arial" w:eastAsia="Times New Roman" w:hAnsi="Arial" w:cs="Arial"/>
          <w:sz w:val="28"/>
          <w:lang w:eastAsia="es-MX"/>
        </w:rPr>
        <w:t xml:space="preserve">Por tanto, la permisión de que la lista definitiva llegue a presentar bloques de hasta dos fórmulas consecutivas del mismo género, es una medida eficaz para conseguir la subsistencia armónica de los </w:t>
      </w:r>
      <w:r w:rsidRPr="00F32542">
        <w:rPr>
          <w:rFonts w:ascii="Arial" w:eastAsia="Times New Roman" w:hAnsi="Arial" w:cs="Arial"/>
          <w:sz w:val="28"/>
          <w:lang w:eastAsia="es-MX"/>
        </w:rPr>
        <w:lastRenderedPageBreak/>
        <w:t>principios de paridad, alternancia, democrático y de autodeterminación partidista, sin propiciar afectaciones innecesarias o desproporcionadas entre ellos.</w:t>
      </w:r>
    </w:p>
    <w:p w14:paraId="1BD4CEC0"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lang w:eastAsia="es-MX"/>
        </w:rPr>
      </w:pPr>
      <w:r w:rsidRPr="00F32542">
        <w:rPr>
          <w:rFonts w:ascii="Arial" w:eastAsia="Times New Roman" w:hAnsi="Arial" w:cs="Arial"/>
          <w:sz w:val="28"/>
          <w:lang w:eastAsia="es-MX"/>
        </w:rPr>
        <w:t xml:space="preserve">Por las razones expuestas se considera que las disposiciones que prevén la integración de bloques de un mismo género, por sí mismas, no son inconstitucionales. </w:t>
      </w:r>
    </w:p>
    <w:p w14:paraId="4E0C531F" w14:textId="77777777" w:rsidR="00F94B48" w:rsidRPr="00F32542" w:rsidRDefault="00973E97" w:rsidP="00117502">
      <w:pPr>
        <w:spacing w:before="100" w:beforeAutospacing="1" w:after="100" w:afterAutospacing="1" w:line="360" w:lineRule="auto"/>
        <w:jc w:val="both"/>
        <w:rPr>
          <w:rFonts w:ascii="Arial" w:eastAsia="Times New Roman" w:hAnsi="Arial" w:cs="Arial"/>
          <w:b/>
          <w:sz w:val="28"/>
          <w:lang w:eastAsia="es-MX"/>
        </w:rPr>
      </w:pPr>
      <w:r w:rsidRPr="00F32542">
        <w:rPr>
          <w:rFonts w:ascii="Arial" w:eastAsia="Times New Roman" w:hAnsi="Arial" w:cs="Arial"/>
          <w:b/>
          <w:sz w:val="28"/>
          <w:lang w:eastAsia="es-MX"/>
        </w:rPr>
        <w:t xml:space="preserve">3. </w:t>
      </w:r>
      <w:r w:rsidR="00F94B48" w:rsidRPr="00F32542">
        <w:rPr>
          <w:rFonts w:ascii="Arial" w:eastAsia="Times New Roman" w:hAnsi="Arial" w:cs="Arial"/>
          <w:b/>
          <w:sz w:val="28"/>
          <w:lang w:eastAsia="es-MX"/>
        </w:rPr>
        <w:t>Integración del bloque en el PRD</w:t>
      </w:r>
      <w:r w:rsidR="005F063B" w:rsidRPr="00F32542">
        <w:rPr>
          <w:rFonts w:ascii="Arial" w:eastAsia="Times New Roman" w:hAnsi="Arial" w:cs="Arial"/>
          <w:b/>
          <w:sz w:val="28"/>
          <w:lang w:eastAsia="es-MX"/>
        </w:rPr>
        <w:t>.</w:t>
      </w:r>
    </w:p>
    <w:p w14:paraId="49DDAF04"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lang w:eastAsia="es-MX"/>
        </w:rPr>
      </w:pPr>
      <w:r w:rsidRPr="00F32542">
        <w:rPr>
          <w:rFonts w:ascii="Arial" w:eastAsia="Times New Roman" w:hAnsi="Arial" w:cs="Arial"/>
          <w:sz w:val="28"/>
          <w:lang w:eastAsia="es-MX"/>
        </w:rPr>
        <w:t>Las partes promoventes sostienen que, en el acuerdo impugnado, fue incorrecto asignar a dos fórmulas masculinas, las dos diputaciones de representación proporcional que le correspondieron al PRD.</w:t>
      </w:r>
    </w:p>
    <w:p w14:paraId="589015BA"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lang w:eastAsia="es-MX"/>
        </w:rPr>
      </w:pPr>
      <w:r w:rsidRPr="00F32542">
        <w:rPr>
          <w:rFonts w:ascii="Arial" w:eastAsia="Times New Roman" w:hAnsi="Arial" w:cs="Arial"/>
          <w:sz w:val="28"/>
          <w:lang w:eastAsia="es-MX"/>
        </w:rPr>
        <w:t xml:space="preserve">Consideran que el primer bloque de la lista definitiva de dicho partido debió integrarse por un hombre y una mujer, y no por dos personas </w:t>
      </w:r>
      <w:proofErr w:type="gramStart"/>
      <w:r w:rsidRPr="00F32542">
        <w:rPr>
          <w:rFonts w:ascii="Arial" w:eastAsia="Times New Roman" w:hAnsi="Arial" w:cs="Arial"/>
          <w:sz w:val="28"/>
          <w:lang w:eastAsia="es-MX"/>
        </w:rPr>
        <w:t>del  mismo</w:t>
      </w:r>
      <w:proofErr w:type="gramEnd"/>
      <w:r w:rsidRPr="00F32542">
        <w:rPr>
          <w:rFonts w:ascii="Arial" w:eastAsia="Times New Roman" w:hAnsi="Arial" w:cs="Arial"/>
          <w:sz w:val="28"/>
          <w:lang w:eastAsia="es-MX"/>
        </w:rPr>
        <w:t xml:space="preserve"> género. </w:t>
      </w:r>
    </w:p>
    <w:p w14:paraId="2A9E6247" w14:textId="77777777" w:rsidR="00145FFB" w:rsidRPr="00F32542" w:rsidRDefault="00F94B48" w:rsidP="00F94B48">
      <w:pPr>
        <w:spacing w:before="100" w:beforeAutospacing="1" w:after="100" w:afterAutospacing="1" w:line="360" w:lineRule="auto"/>
        <w:jc w:val="both"/>
        <w:rPr>
          <w:rFonts w:ascii="Arial" w:eastAsia="Times New Roman" w:hAnsi="Arial" w:cs="Arial"/>
          <w:b/>
          <w:sz w:val="28"/>
          <w:lang w:eastAsia="es-MX"/>
        </w:rPr>
      </w:pPr>
      <w:r w:rsidRPr="00F32542">
        <w:rPr>
          <w:rFonts w:ascii="Arial" w:eastAsia="Times New Roman" w:hAnsi="Arial" w:cs="Arial"/>
          <w:b/>
          <w:sz w:val="28"/>
          <w:lang w:eastAsia="es-MX"/>
        </w:rPr>
        <w:t>Marco de interpretación</w:t>
      </w:r>
      <w:r w:rsidR="00973E97" w:rsidRPr="00F32542">
        <w:rPr>
          <w:rFonts w:ascii="Arial" w:eastAsia="Times New Roman" w:hAnsi="Arial" w:cs="Arial"/>
          <w:b/>
          <w:sz w:val="28"/>
          <w:lang w:eastAsia="es-MX"/>
        </w:rPr>
        <w:t xml:space="preserve">. </w:t>
      </w:r>
    </w:p>
    <w:p w14:paraId="192D123D" w14:textId="77777777" w:rsidR="00F94B48" w:rsidRPr="00F32542" w:rsidRDefault="00F94B48" w:rsidP="00F94B48">
      <w:pPr>
        <w:spacing w:before="100" w:beforeAutospacing="1" w:after="100" w:afterAutospacing="1" w:line="360" w:lineRule="auto"/>
        <w:jc w:val="both"/>
        <w:rPr>
          <w:rFonts w:ascii="Arial" w:eastAsia="Times New Roman" w:hAnsi="Arial" w:cs="Arial"/>
          <w:b/>
          <w:sz w:val="28"/>
          <w:lang w:eastAsia="es-MX"/>
        </w:rPr>
      </w:pPr>
      <w:r w:rsidRPr="00F32542">
        <w:rPr>
          <w:rFonts w:ascii="Arial" w:eastAsia="Times New Roman" w:hAnsi="Arial" w:cs="Arial"/>
          <w:sz w:val="28"/>
          <w:lang w:eastAsia="es-MX"/>
        </w:rPr>
        <w:t>Como se ha expuesto a lo largo de esta sentencia, la integración de la lista final, a partir de las listas A y B, implica el respeto y equilibrio entre los principios: democrático, de autodeterminación, paridad y alternancia.</w:t>
      </w:r>
    </w:p>
    <w:p w14:paraId="71217CD5"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lang w:eastAsia="es-MX"/>
        </w:rPr>
      </w:pPr>
      <w:r w:rsidRPr="00F32542">
        <w:rPr>
          <w:rFonts w:ascii="Arial" w:eastAsia="Times New Roman" w:hAnsi="Arial" w:cs="Arial"/>
          <w:sz w:val="28"/>
          <w:lang w:eastAsia="es-MX"/>
        </w:rPr>
        <w:t>Conviene recordar, brevemente, en qué consisten tales principios</w:t>
      </w:r>
    </w:p>
    <w:p w14:paraId="2CBEECF1"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El </w:t>
      </w:r>
      <w:r w:rsidRPr="00F32542">
        <w:rPr>
          <w:rFonts w:ascii="Arial" w:eastAsia="Calibri" w:hAnsi="Arial" w:cs="Arial"/>
          <w:b/>
          <w:sz w:val="28"/>
          <w:szCs w:val="28"/>
        </w:rPr>
        <w:t>principio democrático</w:t>
      </w:r>
      <w:r w:rsidRPr="00F32542">
        <w:rPr>
          <w:rFonts w:ascii="Arial" w:eastAsia="Calibri" w:hAnsi="Arial" w:cs="Arial"/>
          <w:sz w:val="28"/>
          <w:szCs w:val="28"/>
        </w:rPr>
        <w:t xml:space="preserve"> se refiere a la voluntad ciudadana expresada en las urnas, lo que se refleja en la </w:t>
      </w:r>
      <w:r w:rsidRPr="00F32542">
        <w:rPr>
          <w:rFonts w:ascii="Arial" w:eastAsia="Calibri" w:hAnsi="Arial" w:cs="Arial"/>
          <w:b/>
          <w:sz w:val="28"/>
          <w:szCs w:val="28"/>
        </w:rPr>
        <w:t>lista B</w:t>
      </w:r>
      <w:r w:rsidRPr="00F32542">
        <w:rPr>
          <w:rFonts w:ascii="Arial" w:eastAsia="Calibri" w:hAnsi="Arial" w:cs="Arial"/>
          <w:sz w:val="28"/>
          <w:szCs w:val="28"/>
        </w:rPr>
        <w:t>, pues como se vio, se conforma con las fórmulas de candidaturas con mejores porcentajes votación que no ganaron la elección de mayoría relativa.</w:t>
      </w:r>
    </w:p>
    <w:p w14:paraId="3394B33E"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lastRenderedPageBreak/>
        <w:t xml:space="preserve">El principio de </w:t>
      </w:r>
      <w:r w:rsidRPr="00F32542">
        <w:rPr>
          <w:rFonts w:ascii="Arial" w:eastAsia="Calibri" w:hAnsi="Arial" w:cs="Arial"/>
          <w:b/>
          <w:sz w:val="28"/>
          <w:szCs w:val="28"/>
        </w:rPr>
        <w:t xml:space="preserve">paridad de género, </w:t>
      </w:r>
      <w:r w:rsidRPr="00F32542">
        <w:rPr>
          <w:rFonts w:ascii="Arial" w:eastAsia="Calibri" w:hAnsi="Arial" w:cs="Arial"/>
          <w:sz w:val="28"/>
          <w:szCs w:val="28"/>
        </w:rPr>
        <w:t>el cual es una medida permanente que garantiza colocar a hombre y mujeres en igualdad de circunstancias fácticas y jurídicas.</w:t>
      </w:r>
    </w:p>
    <w:p w14:paraId="6AAD1542"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El </w:t>
      </w:r>
      <w:r w:rsidRPr="00F32542">
        <w:rPr>
          <w:rFonts w:ascii="Arial" w:eastAsia="Calibri" w:hAnsi="Arial" w:cs="Arial"/>
          <w:b/>
          <w:sz w:val="28"/>
          <w:szCs w:val="28"/>
        </w:rPr>
        <w:t>principio de autodeterminación</w:t>
      </w:r>
      <w:r w:rsidRPr="00F32542">
        <w:rPr>
          <w:rFonts w:ascii="Arial" w:eastAsia="Calibri" w:hAnsi="Arial" w:cs="Arial"/>
          <w:sz w:val="28"/>
          <w:szCs w:val="28"/>
        </w:rPr>
        <w:t xml:space="preserve"> se refiere a respetar las decisiones adoptadas por los partidos políticos, derivadas de su organización interna, con relación a los derechos de sus </w:t>
      </w:r>
      <w:proofErr w:type="gramStart"/>
      <w:r w:rsidRPr="00F32542">
        <w:rPr>
          <w:rFonts w:ascii="Arial" w:eastAsia="Calibri" w:hAnsi="Arial" w:cs="Arial"/>
          <w:sz w:val="28"/>
          <w:szCs w:val="28"/>
        </w:rPr>
        <w:t>candidatas y candidatos</w:t>
      </w:r>
      <w:proofErr w:type="gramEnd"/>
      <w:r w:rsidRPr="00F32542">
        <w:rPr>
          <w:rFonts w:ascii="Arial" w:eastAsia="Calibri" w:hAnsi="Arial" w:cs="Arial"/>
          <w:sz w:val="28"/>
          <w:szCs w:val="28"/>
        </w:rPr>
        <w:t>.</w:t>
      </w:r>
    </w:p>
    <w:p w14:paraId="0D15669D"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sz w:val="28"/>
          <w:szCs w:val="28"/>
        </w:rPr>
        <w:t xml:space="preserve">Este principio se ve reflejado en la integración de la </w:t>
      </w:r>
      <w:r w:rsidRPr="00F32542">
        <w:rPr>
          <w:rFonts w:ascii="Arial" w:eastAsia="Calibri" w:hAnsi="Arial" w:cs="Arial"/>
          <w:b/>
          <w:sz w:val="28"/>
          <w:szCs w:val="28"/>
        </w:rPr>
        <w:t xml:space="preserve">lista A </w:t>
      </w:r>
      <w:r w:rsidRPr="00F32542">
        <w:rPr>
          <w:rFonts w:ascii="Arial" w:eastAsia="Calibri" w:hAnsi="Arial" w:cs="Arial"/>
          <w:sz w:val="28"/>
          <w:szCs w:val="28"/>
        </w:rPr>
        <w:t xml:space="preserve">la cual se conforma por las fórmulas de candidaturas que se designen al interior de los partidos políticos, siempre que se garantice la paridad. Este principio también se observa debido a que por regla general la </w:t>
      </w:r>
      <w:r w:rsidRPr="00F32542">
        <w:rPr>
          <w:rFonts w:ascii="Arial" w:eastAsia="Calibri" w:hAnsi="Arial" w:cs="Arial"/>
          <w:b/>
          <w:sz w:val="28"/>
          <w:szCs w:val="28"/>
        </w:rPr>
        <w:t>lista definitiva</w:t>
      </w:r>
      <w:r w:rsidRPr="00F32542">
        <w:rPr>
          <w:rFonts w:ascii="Arial" w:eastAsia="Calibri" w:hAnsi="Arial" w:cs="Arial"/>
          <w:sz w:val="28"/>
          <w:szCs w:val="28"/>
        </w:rPr>
        <w:t xml:space="preserve"> inicia con la primera fórmula de la </w:t>
      </w:r>
      <w:r w:rsidRPr="00F32542">
        <w:rPr>
          <w:rFonts w:ascii="Arial" w:eastAsia="Calibri" w:hAnsi="Arial" w:cs="Arial"/>
          <w:b/>
          <w:sz w:val="28"/>
          <w:szCs w:val="28"/>
        </w:rPr>
        <w:t xml:space="preserve">lista A. </w:t>
      </w:r>
    </w:p>
    <w:p w14:paraId="090E3C27"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El </w:t>
      </w:r>
      <w:r w:rsidRPr="00F32542">
        <w:rPr>
          <w:rFonts w:ascii="Arial" w:eastAsia="Calibri" w:hAnsi="Arial" w:cs="Arial"/>
          <w:b/>
          <w:sz w:val="28"/>
          <w:szCs w:val="28"/>
        </w:rPr>
        <w:t xml:space="preserve">principio de alternancia </w:t>
      </w:r>
      <w:r w:rsidRPr="00F32542">
        <w:rPr>
          <w:rFonts w:ascii="Arial" w:eastAsia="Calibri" w:hAnsi="Arial" w:cs="Arial"/>
          <w:sz w:val="28"/>
          <w:szCs w:val="28"/>
        </w:rPr>
        <w:t>consiste en colocar de forma sucesiva, a un género seguido de otro distinto, de modo tal que el mismo género no se encuentre en dos lugares consecutivos del segmento respectivo.</w:t>
      </w:r>
    </w:p>
    <w:p w14:paraId="0226509B"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La finalidad de este principio es el equilibrio de género entre las candidaturas a fin de lograr la participación política efectiva de hombres y mujeres, en un plano de igualdad sustancial, real y efectiva.</w:t>
      </w:r>
    </w:p>
    <w:p w14:paraId="12EEF2C6"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Como se ha explicado, en los asuntos de los asuntos </w:t>
      </w:r>
      <w:r w:rsidRPr="00F32542">
        <w:rPr>
          <w:rFonts w:ascii="Arial" w:eastAsia="Calibri" w:hAnsi="Arial" w:cs="Arial"/>
          <w:b/>
          <w:sz w:val="28"/>
          <w:szCs w:val="28"/>
        </w:rPr>
        <w:t xml:space="preserve">SUP-REC-675/2015, </w:t>
      </w:r>
      <w:r w:rsidRPr="00F32542">
        <w:rPr>
          <w:rFonts w:ascii="Arial" w:eastAsia="Calibri" w:hAnsi="Arial" w:cs="Arial"/>
          <w:sz w:val="28"/>
          <w:szCs w:val="28"/>
        </w:rPr>
        <w:t xml:space="preserve">así como </w:t>
      </w:r>
      <w:r w:rsidRPr="00F32542">
        <w:rPr>
          <w:rFonts w:ascii="Arial" w:eastAsia="Calibri" w:hAnsi="Arial" w:cs="Arial"/>
          <w:b/>
          <w:sz w:val="28"/>
          <w:szCs w:val="28"/>
        </w:rPr>
        <w:t xml:space="preserve">SUP-REC-1176/2018 </w:t>
      </w:r>
      <w:r w:rsidRPr="00F32542">
        <w:rPr>
          <w:rFonts w:ascii="Arial" w:eastAsia="Calibri" w:hAnsi="Arial" w:cs="Arial"/>
          <w:sz w:val="28"/>
          <w:szCs w:val="28"/>
        </w:rPr>
        <w:t xml:space="preserve">y acumulados, la </w:t>
      </w:r>
      <w:r w:rsidRPr="00F32542">
        <w:rPr>
          <w:rFonts w:ascii="Arial" w:eastAsia="Calibri" w:hAnsi="Arial" w:cs="Arial"/>
          <w:i/>
          <w:sz w:val="28"/>
          <w:szCs w:val="28"/>
        </w:rPr>
        <w:t xml:space="preserve">Sala Superior, </w:t>
      </w:r>
      <w:r w:rsidRPr="00F32542">
        <w:rPr>
          <w:rFonts w:ascii="Arial" w:eastAsia="Calibri" w:hAnsi="Arial" w:cs="Arial"/>
          <w:sz w:val="28"/>
          <w:szCs w:val="28"/>
        </w:rPr>
        <w:t xml:space="preserve">sostuvo que los principios derivados de la normativa de la Ciudad de </w:t>
      </w:r>
      <w:proofErr w:type="gramStart"/>
      <w:r w:rsidRPr="00F32542">
        <w:rPr>
          <w:rFonts w:ascii="Arial" w:eastAsia="Calibri" w:hAnsi="Arial" w:cs="Arial"/>
          <w:sz w:val="28"/>
          <w:szCs w:val="28"/>
        </w:rPr>
        <w:t>México,</w:t>
      </w:r>
      <w:proofErr w:type="gramEnd"/>
      <w:r w:rsidRPr="00F32542">
        <w:rPr>
          <w:rFonts w:ascii="Arial" w:eastAsia="Calibri" w:hAnsi="Arial" w:cs="Arial"/>
          <w:sz w:val="28"/>
          <w:szCs w:val="28"/>
        </w:rPr>
        <w:t xml:space="preserve"> deben ser ponderados y equilibrados de acuerdo al contexto de cada caso, lo que permite verificar la manera como coexisten en cuanto a la lista definitiva de un partido político. </w:t>
      </w:r>
    </w:p>
    <w:p w14:paraId="73E44CB4" w14:textId="77777777" w:rsidR="00F94B48" w:rsidRPr="00F32542" w:rsidRDefault="00F94B48" w:rsidP="00F94B48">
      <w:pPr>
        <w:spacing w:before="100" w:beforeAutospacing="1" w:after="100" w:afterAutospacing="1" w:line="360" w:lineRule="auto"/>
        <w:jc w:val="both"/>
        <w:rPr>
          <w:rFonts w:ascii="Arial" w:eastAsia="Times New Roman" w:hAnsi="Arial" w:cs="Arial"/>
          <w:b/>
          <w:sz w:val="28"/>
          <w:lang w:eastAsia="es-MX"/>
        </w:rPr>
      </w:pPr>
      <w:r w:rsidRPr="00F32542">
        <w:rPr>
          <w:rFonts w:ascii="Arial" w:eastAsia="Times New Roman" w:hAnsi="Arial" w:cs="Arial"/>
          <w:b/>
          <w:sz w:val="28"/>
          <w:lang w:eastAsia="es-MX"/>
        </w:rPr>
        <w:lastRenderedPageBreak/>
        <w:t>Caso concreto</w:t>
      </w:r>
      <w:r w:rsidR="00973E97" w:rsidRPr="00F32542">
        <w:rPr>
          <w:rFonts w:ascii="Arial" w:eastAsia="Times New Roman" w:hAnsi="Arial" w:cs="Arial"/>
          <w:b/>
          <w:sz w:val="28"/>
          <w:lang w:eastAsia="es-MX"/>
        </w:rPr>
        <w:t>.</w:t>
      </w:r>
    </w:p>
    <w:p w14:paraId="185F7DC5" w14:textId="77777777" w:rsidR="00F94B48" w:rsidRPr="00F32542" w:rsidRDefault="00F94B48" w:rsidP="00F94B48">
      <w:pPr>
        <w:spacing w:before="100" w:beforeAutospacing="1" w:after="100" w:afterAutospacing="1" w:line="360" w:lineRule="auto"/>
        <w:jc w:val="both"/>
        <w:rPr>
          <w:rFonts w:ascii="Arial" w:eastAsia="Times New Roman" w:hAnsi="Arial" w:cs="Arial"/>
          <w:bCs/>
          <w:sz w:val="28"/>
          <w:szCs w:val="28"/>
          <w:lang w:eastAsia="es-MX"/>
        </w:rPr>
      </w:pPr>
      <w:r w:rsidRPr="00F32542">
        <w:rPr>
          <w:rFonts w:ascii="Arial" w:eastAsia="Times New Roman" w:hAnsi="Arial" w:cs="Arial"/>
          <w:sz w:val="28"/>
          <w:lang w:eastAsia="es-MX"/>
        </w:rPr>
        <w:t xml:space="preserve">Como consta en el acuerdo </w:t>
      </w:r>
      <w:r w:rsidRPr="00F32542">
        <w:rPr>
          <w:rFonts w:ascii="Arial" w:eastAsia="Times New Roman" w:hAnsi="Arial" w:cs="Arial"/>
          <w:b/>
          <w:bCs/>
          <w:sz w:val="28"/>
          <w:szCs w:val="28"/>
          <w:lang w:eastAsia="es-MX"/>
        </w:rPr>
        <w:t xml:space="preserve">IECM/ACU-CG-324/2021 </w:t>
      </w:r>
      <w:r w:rsidRPr="00F32542">
        <w:rPr>
          <w:rFonts w:ascii="Arial" w:eastAsia="Times New Roman" w:hAnsi="Arial" w:cs="Arial"/>
          <w:bCs/>
          <w:sz w:val="28"/>
          <w:szCs w:val="28"/>
          <w:lang w:eastAsia="es-MX"/>
        </w:rPr>
        <w:t xml:space="preserve">del </w:t>
      </w:r>
      <w:r w:rsidRPr="00F32542">
        <w:rPr>
          <w:rFonts w:ascii="Arial" w:eastAsia="Times New Roman" w:hAnsi="Arial" w:cs="Arial"/>
          <w:bCs/>
          <w:i/>
          <w:sz w:val="28"/>
          <w:szCs w:val="28"/>
          <w:lang w:eastAsia="es-MX"/>
        </w:rPr>
        <w:t xml:space="preserve">Instituto local, </w:t>
      </w:r>
      <w:r w:rsidRPr="00F32542">
        <w:rPr>
          <w:rFonts w:ascii="Arial" w:eastAsia="Times New Roman" w:hAnsi="Arial" w:cs="Arial"/>
          <w:bCs/>
          <w:sz w:val="28"/>
          <w:szCs w:val="28"/>
          <w:lang w:eastAsia="es-MX"/>
        </w:rPr>
        <w:t xml:space="preserve">al PRD le correspondieron dos diputaciones de representación proporcional. </w:t>
      </w:r>
    </w:p>
    <w:p w14:paraId="2268A318" w14:textId="77777777" w:rsidR="00F94B48" w:rsidRPr="00F32542" w:rsidRDefault="00F94B48" w:rsidP="00F94B48">
      <w:pPr>
        <w:spacing w:before="100" w:beforeAutospacing="1" w:after="100" w:afterAutospacing="1" w:line="360" w:lineRule="auto"/>
        <w:jc w:val="both"/>
        <w:rPr>
          <w:rFonts w:ascii="Arial" w:eastAsia="Times New Roman" w:hAnsi="Arial" w:cs="Arial"/>
          <w:bCs/>
          <w:sz w:val="28"/>
          <w:szCs w:val="28"/>
          <w:lang w:eastAsia="es-MX"/>
        </w:rPr>
      </w:pPr>
      <w:r w:rsidRPr="00F32542">
        <w:rPr>
          <w:rFonts w:ascii="Arial" w:eastAsia="Times New Roman" w:hAnsi="Arial" w:cs="Arial"/>
          <w:bCs/>
          <w:sz w:val="28"/>
          <w:szCs w:val="28"/>
          <w:lang w:eastAsia="es-MX"/>
        </w:rPr>
        <w:t>Conforme a la lista definitiva del PRD, tales cargos se asignaron a:</w:t>
      </w:r>
    </w:p>
    <w:tbl>
      <w:tblPr>
        <w:tblStyle w:val="Tablaconcuadrcula25"/>
        <w:tblW w:w="0" w:type="auto"/>
        <w:tblLook w:val="04A0" w:firstRow="1" w:lastRow="0" w:firstColumn="1" w:lastColumn="0" w:noHBand="0" w:noVBand="1"/>
      </w:tblPr>
      <w:tblGrid>
        <w:gridCol w:w="542"/>
        <w:gridCol w:w="2829"/>
        <w:gridCol w:w="758"/>
        <w:gridCol w:w="2541"/>
        <w:gridCol w:w="1876"/>
      </w:tblGrid>
      <w:tr w:rsidR="00F94B48" w:rsidRPr="00F32542" w14:paraId="3A8D6490" w14:textId="77777777" w:rsidTr="00973E97">
        <w:trPr>
          <w:tblHeader/>
        </w:trPr>
        <w:tc>
          <w:tcPr>
            <w:tcW w:w="546" w:type="dxa"/>
            <w:tcBorders>
              <w:bottom w:val="single" w:sz="4" w:space="0" w:color="auto"/>
            </w:tcBorders>
            <w:shd w:val="clear" w:color="auto" w:fill="BFBFBF" w:themeFill="background1" w:themeFillShade="BF"/>
          </w:tcPr>
          <w:p w14:paraId="23458FDC" w14:textId="77777777" w:rsidR="00F94B48" w:rsidRPr="00F32542" w:rsidRDefault="00F94B48" w:rsidP="00F94B48">
            <w:pPr>
              <w:spacing w:after="0" w:line="360" w:lineRule="auto"/>
              <w:jc w:val="both"/>
              <w:rPr>
                <w:rFonts w:ascii="Arial" w:eastAsia="Calibri" w:hAnsi="Arial" w:cs="Arial"/>
                <w:b/>
                <w:sz w:val="20"/>
                <w:szCs w:val="20"/>
              </w:rPr>
            </w:pPr>
            <w:r w:rsidRPr="00F32542">
              <w:rPr>
                <w:rFonts w:ascii="Arial" w:eastAsia="Calibri" w:hAnsi="Arial" w:cs="Arial"/>
                <w:b/>
                <w:sz w:val="20"/>
                <w:szCs w:val="20"/>
              </w:rPr>
              <w:t>No</w:t>
            </w:r>
          </w:p>
        </w:tc>
        <w:tc>
          <w:tcPr>
            <w:tcW w:w="2939" w:type="dxa"/>
            <w:tcBorders>
              <w:bottom w:val="single" w:sz="4" w:space="0" w:color="auto"/>
            </w:tcBorders>
            <w:shd w:val="clear" w:color="auto" w:fill="BFBFBF" w:themeFill="background1" w:themeFillShade="BF"/>
          </w:tcPr>
          <w:p w14:paraId="3EACB0FB" w14:textId="77777777" w:rsidR="00F94B48" w:rsidRPr="00F32542" w:rsidRDefault="00F94B48" w:rsidP="00F94B48">
            <w:pPr>
              <w:spacing w:after="0" w:line="360" w:lineRule="auto"/>
              <w:jc w:val="center"/>
              <w:rPr>
                <w:rFonts w:ascii="Arial" w:eastAsia="Calibri" w:hAnsi="Arial" w:cs="Arial"/>
                <w:b/>
                <w:sz w:val="20"/>
                <w:szCs w:val="20"/>
              </w:rPr>
            </w:pPr>
            <w:r w:rsidRPr="00F32542">
              <w:rPr>
                <w:rFonts w:ascii="Arial" w:eastAsia="Calibri" w:hAnsi="Arial" w:cs="Arial"/>
                <w:b/>
                <w:sz w:val="20"/>
                <w:szCs w:val="20"/>
              </w:rPr>
              <w:t>Nombre (propietario)</w:t>
            </w:r>
          </w:p>
        </w:tc>
        <w:tc>
          <w:tcPr>
            <w:tcW w:w="763" w:type="dxa"/>
            <w:tcBorders>
              <w:bottom w:val="single" w:sz="4" w:space="0" w:color="auto"/>
            </w:tcBorders>
            <w:shd w:val="clear" w:color="auto" w:fill="BFBFBF" w:themeFill="background1" w:themeFillShade="BF"/>
          </w:tcPr>
          <w:p w14:paraId="020E60A8" w14:textId="77777777" w:rsidR="00F94B48" w:rsidRPr="00F32542" w:rsidRDefault="00F94B48" w:rsidP="00F94B48">
            <w:pPr>
              <w:spacing w:after="0" w:line="360" w:lineRule="auto"/>
              <w:jc w:val="center"/>
              <w:rPr>
                <w:rFonts w:ascii="Arial" w:eastAsia="Calibri" w:hAnsi="Arial" w:cs="Arial"/>
                <w:b/>
                <w:sz w:val="20"/>
                <w:szCs w:val="20"/>
              </w:rPr>
            </w:pPr>
            <w:r w:rsidRPr="00F32542">
              <w:rPr>
                <w:rFonts w:ascii="Arial" w:eastAsia="Calibri" w:hAnsi="Arial" w:cs="Arial"/>
                <w:b/>
                <w:sz w:val="20"/>
                <w:szCs w:val="20"/>
              </w:rPr>
              <w:t xml:space="preserve">Sexo </w:t>
            </w:r>
          </w:p>
        </w:tc>
        <w:tc>
          <w:tcPr>
            <w:tcW w:w="2655" w:type="dxa"/>
            <w:tcBorders>
              <w:bottom w:val="single" w:sz="4" w:space="0" w:color="auto"/>
            </w:tcBorders>
            <w:shd w:val="clear" w:color="auto" w:fill="BFBFBF" w:themeFill="background1" w:themeFillShade="BF"/>
          </w:tcPr>
          <w:p w14:paraId="7C9ECDD7" w14:textId="77777777" w:rsidR="00F94B48" w:rsidRPr="00F32542" w:rsidRDefault="00F94B48" w:rsidP="00F94B48">
            <w:pPr>
              <w:spacing w:after="0" w:line="360" w:lineRule="auto"/>
              <w:jc w:val="center"/>
              <w:rPr>
                <w:rFonts w:ascii="Arial" w:eastAsia="Calibri" w:hAnsi="Arial" w:cs="Arial"/>
                <w:b/>
                <w:sz w:val="20"/>
                <w:szCs w:val="20"/>
              </w:rPr>
            </w:pPr>
            <w:r w:rsidRPr="00F32542">
              <w:rPr>
                <w:rFonts w:ascii="Arial" w:eastAsia="Calibri" w:hAnsi="Arial" w:cs="Arial"/>
                <w:b/>
                <w:sz w:val="20"/>
                <w:szCs w:val="20"/>
              </w:rPr>
              <w:t>Lugar y lista de la que proviene</w:t>
            </w:r>
          </w:p>
        </w:tc>
        <w:tc>
          <w:tcPr>
            <w:tcW w:w="1925" w:type="dxa"/>
            <w:tcBorders>
              <w:bottom w:val="single" w:sz="4" w:space="0" w:color="auto"/>
            </w:tcBorders>
            <w:shd w:val="clear" w:color="auto" w:fill="BFBFBF" w:themeFill="background1" w:themeFillShade="BF"/>
          </w:tcPr>
          <w:p w14:paraId="734BB5E1" w14:textId="77777777" w:rsidR="00F94B48" w:rsidRPr="00F32542" w:rsidRDefault="00F94B48" w:rsidP="00F94B48">
            <w:pPr>
              <w:spacing w:after="0" w:line="360" w:lineRule="auto"/>
              <w:jc w:val="center"/>
              <w:rPr>
                <w:rFonts w:ascii="Arial" w:eastAsia="Calibri" w:hAnsi="Arial" w:cs="Arial"/>
                <w:b/>
                <w:sz w:val="20"/>
                <w:szCs w:val="20"/>
              </w:rPr>
            </w:pPr>
            <w:r w:rsidRPr="00F32542">
              <w:rPr>
                <w:rFonts w:ascii="Arial" w:eastAsia="Calibri" w:hAnsi="Arial" w:cs="Arial"/>
                <w:b/>
                <w:sz w:val="20"/>
                <w:szCs w:val="20"/>
              </w:rPr>
              <w:t>Porcentaje de votación</w:t>
            </w:r>
          </w:p>
        </w:tc>
      </w:tr>
      <w:tr w:rsidR="00F94B48" w:rsidRPr="00F32542" w14:paraId="43EE5BFD" w14:textId="77777777" w:rsidTr="00F94B48">
        <w:trPr>
          <w:trHeight w:val="533"/>
        </w:trPr>
        <w:tc>
          <w:tcPr>
            <w:tcW w:w="546" w:type="dxa"/>
            <w:shd w:val="clear" w:color="auto" w:fill="D0CECE"/>
            <w:vAlign w:val="center"/>
          </w:tcPr>
          <w:p w14:paraId="5D57AA79"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w:t>
            </w:r>
          </w:p>
        </w:tc>
        <w:tc>
          <w:tcPr>
            <w:tcW w:w="2939" w:type="dxa"/>
            <w:shd w:val="clear" w:color="auto" w:fill="D0CECE"/>
            <w:vAlign w:val="center"/>
          </w:tcPr>
          <w:tbl>
            <w:tblPr>
              <w:tblW w:w="0" w:type="auto"/>
              <w:tblBorders>
                <w:top w:val="nil"/>
                <w:left w:val="nil"/>
                <w:bottom w:val="nil"/>
                <w:right w:val="nil"/>
              </w:tblBorders>
              <w:tblLook w:val="0000" w:firstRow="0" w:lastRow="0" w:firstColumn="0" w:lastColumn="0" w:noHBand="0" w:noVBand="0"/>
            </w:tblPr>
            <w:tblGrid>
              <w:gridCol w:w="2473"/>
            </w:tblGrid>
            <w:tr w:rsidR="00F94B48" w:rsidRPr="00F32542" w14:paraId="6941130B" w14:textId="77777777" w:rsidTr="00B65D24">
              <w:trPr>
                <w:trHeight w:val="75"/>
              </w:trPr>
              <w:tc>
                <w:tcPr>
                  <w:tcW w:w="0" w:type="auto"/>
                </w:tcPr>
                <w:p w14:paraId="0733CCB6"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Víctor Hugo Lobo Román </w:t>
                  </w:r>
                </w:p>
              </w:tc>
            </w:tr>
          </w:tbl>
          <w:p w14:paraId="00847E4B" w14:textId="77777777" w:rsidR="00F94B48" w:rsidRPr="00F32542" w:rsidRDefault="00F94B48" w:rsidP="00F94B48">
            <w:pPr>
              <w:spacing w:after="0" w:line="360" w:lineRule="auto"/>
              <w:jc w:val="center"/>
              <w:rPr>
                <w:rFonts w:ascii="Arial" w:eastAsia="Calibri" w:hAnsi="Arial" w:cs="Arial"/>
                <w:sz w:val="20"/>
                <w:szCs w:val="20"/>
              </w:rPr>
            </w:pPr>
          </w:p>
        </w:tc>
        <w:tc>
          <w:tcPr>
            <w:tcW w:w="763" w:type="dxa"/>
            <w:shd w:val="clear" w:color="auto" w:fill="D0CECE"/>
            <w:vAlign w:val="center"/>
          </w:tcPr>
          <w:p w14:paraId="75EDA8EF"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H</w:t>
            </w:r>
          </w:p>
        </w:tc>
        <w:tc>
          <w:tcPr>
            <w:tcW w:w="2655" w:type="dxa"/>
            <w:shd w:val="clear" w:color="auto" w:fill="D0CECE"/>
            <w:vAlign w:val="center"/>
          </w:tcPr>
          <w:p w14:paraId="3976C0AD"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 xml:space="preserve">1 </w:t>
            </w:r>
            <w:proofErr w:type="gramStart"/>
            <w:r w:rsidRPr="00F32542">
              <w:rPr>
                <w:rFonts w:ascii="Arial" w:eastAsia="Calibri" w:hAnsi="Arial" w:cs="Arial"/>
                <w:sz w:val="20"/>
                <w:szCs w:val="20"/>
              </w:rPr>
              <w:t>A</w:t>
            </w:r>
            <w:proofErr w:type="gramEnd"/>
          </w:p>
        </w:tc>
        <w:tc>
          <w:tcPr>
            <w:tcW w:w="1925" w:type="dxa"/>
            <w:shd w:val="clear" w:color="auto" w:fill="D0CECE"/>
            <w:vAlign w:val="center"/>
          </w:tcPr>
          <w:p w14:paraId="1BCA88CA"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No aplica</w:t>
            </w:r>
          </w:p>
        </w:tc>
      </w:tr>
      <w:tr w:rsidR="00F94B48" w:rsidRPr="00F32542" w14:paraId="5ED473C3" w14:textId="77777777" w:rsidTr="00F94B48">
        <w:trPr>
          <w:trHeight w:val="533"/>
        </w:trPr>
        <w:tc>
          <w:tcPr>
            <w:tcW w:w="546" w:type="dxa"/>
            <w:shd w:val="clear" w:color="auto" w:fill="D0CECE"/>
            <w:vAlign w:val="center"/>
          </w:tcPr>
          <w:p w14:paraId="2A4BD200"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2</w:t>
            </w:r>
          </w:p>
        </w:tc>
        <w:tc>
          <w:tcPr>
            <w:tcW w:w="2939" w:type="dxa"/>
            <w:shd w:val="clear" w:color="auto" w:fill="D0CECE"/>
            <w:vAlign w:val="center"/>
          </w:tcPr>
          <w:p w14:paraId="39C422B7"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 xml:space="preserve">Ricardo </w:t>
            </w:r>
            <w:proofErr w:type="spellStart"/>
            <w:r w:rsidRPr="00F32542">
              <w:rPr>
                <w:rFonts w:ascii="Arial" w:eastAsia="Calibri" w:hAnsi="Arial" w:cs="Arial"/>
                <w:sz w:val="20"/>
                <w:szCs w:val="20"/>
              </w:rPr>
              <w:t>Janecarlo</w:t>
            </w:r>
            <w:proofErr w:type="spellEnd"/>
            <w:r w:rsidRPr="00F32542">
              <w:rPr>
                <w:rFonts w:ascii="Arial" w:eastAsia="Calibri" w:hAnsi="Arial" w:cs="Arial"/>
                <w:sz w:val="20"/>
                <w:szCs w:val="20"/>
              </w:rPr>
              <w:t xml:space="preserve"> Lozano Reynoso</w:t>
            </w:r>
          </w:p>
        </w:tc>
        <w:tc>
          <w:tcPr>
            <w:tcW w:w="763" w:type="dxa"/>
            <w:shd w:val="clear" w:color="auto" w:fill="D0CECE"/>
            <w:vAlign w:val="center"/>
          </w:tcPr>
          <w:p w14:paraId="3474A2B8"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H</w:t>
            </w:r>
          </w:p>
        </w:tc>
        <w:tc>
          <w:tcPr>
            <w:tcW w:w="2655" w:type="dxa"/>
            <w:shd w:val="clear" w:color="auto" w:fill="D0CECE"/>
            <w:vAlign w:val="center"/>
          </w:tcPr>
          <w:p w14:paraId="79933752"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 B</w:t>
            </w:r>
          </w:p>
        </w:tc>
        <w:tc>
          <w:tcPr>
            <w:tcW w:w="1925" w:type="dxa"/>
            <w:shd w:val="clear" w:color="auto" w:fill="D0CECE"/>
            <w:vAlign w:val="center"/>
          </w:tcPr>
          <w:p w14:paraId="1FBE33C3"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17.01</w:t>
            </w:r>
          </w:p>
        </w:tc>
      </w:tr>
    </w:tbl>
    <w:p w14:paraId="1769FB53"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lang w:eastAsia="es-MX"/>
        </w:rPr>
      </w:pPr>
      <w:r w:rsidRPr="00F32542">
        <w:rPr>
          <w:rFonts w:ascii="Arial" w:eastAsia="Times New Roman" w:hAnsi="Arial" w:cs="Arial"/>
          <w:sz w:val="28"/>
          <w:lang w:eastAsia="es-MX"/>
        </w:rPr>
        <w:t xml:space="preserve">Como se </w:t>
      </w:r>
      <w:r w:rsidR="00114630" w:rsidRPr="00F32542">
        <w:rPr>
          <w:rFonts w:ascii="Arial" w:eastAsia="Times New Roman" w:hAnsi="Arial" w:cs="Arial"/>
          <w:sz w:val="28"/>
          <w:lang w:eastAsia="es-MX"/>
        </w:rPr>
        <w:t>ve</w:t>
      </w:r>
      <w:r w:rsidRPr="00F32542">
        <w:rPr>
          <w:rFonts w:ascii="Arial" w:eastAsia="Times New Roman" w:hAnsi="Arial" w:cs="Arial"/>
          <w:sz w:val="28"/>
          <w:lang w:eastAsia="es-MX"/>
        </w:rPr>
        <w:t xml:space="preserve">, la asignación de las dos diputaciones de representación proporcional del PRD </w:t>
      </w:r>
      <w:proofErr w:type="gramStart"/>
      <w:r w:rsidRPr="00F32542">
        <w:rPr>
          <w:rFonts w:ascii="Arial" w:eastAsia="Times New Roman" w:hAnsi="Arial" w:cs="Arial"/>
          <w:sz w:val="28"/>
          <w:lang w:eastAsia="es-MX"/>
        </w:rPr>
        <w:t>le</w:t>
      </w:r>
      <w:proofErr w:type="gramEnd"/>
      <w:r w:rsidRPr="00F32542">
        <w:rPr>
          <w:rFonts w:ascii="Arial" w:eastAsia="Times New Roman" w:hAnsi="Arial" w:cs="Arial"/>
          <w:sz w:val="28"/>
          <w:lang w:eastAsia="es-MX"/>
        </w:rPr>
        <w:t xml:space="preserve"> correspondieron a hombres. </w:t>
      </w:r>
    </w:p>
    <w:p w14:paraId="57DB5FD0" w14:textId="77777777" w:rsidR="00114630" w:rsidRPr="00F32542" w:rsidRDefault="00114630" w:rsidP="00114630">
      <w:pPr>
        <w:pStyle w:val="NormalWeb"/>
        <w:spacing w:line="360" w:lineRule="auto"/>
        <w:jc w:val="both"/>
        <w:rPr>
          <w:rFonts w:ascii="Arial" w:hAnsi="Arial" w:cs="Arial"/>
          <w:sz w:val="28"/>
          <w:szCs w:val="22"/>
        </w:rPr>
      </w:pPr>
      <w:r w:rsidRPr="00F32542">
        <w:rPr>
          <w:rFonts w:ascii="Arial" w:hAnsi="Arial" w:cs="Arial"/>
          <w:sz w:val="28"/>
          <w:szCs w:val="22"/>
        </w:rPr>
        <w:t xml:space="preserve">A partir de ello, este Tribunal considera que no tienen razón las partes actoras, como se explicará. </w:t>
      </w:r>
    </w:p>
    <w:p w14:paraId="15F7A567" w14:textId="77777777" w:rsidR="00114630" w:rsidRPr="00F32542" w:rsidRDefault="00114630" w:rsidP="00114630">
      <w:pPr>
        <w:pStyle w:val="NormalWeb"/>
        <w:spacing w:line="360" w:lineRule="auto"/>
        <w:jc w:val="both"/>
        <w:rPr>
          <w:rFonts w:ascii="Arial" w:hAnsi="Arial" w:cs="Arial"/>
          <w:sz w:val="28"/>
          <w:szCs w:val="22"/>
        </w:rPr>
      </w:pPr>
      <w:r w:rsidRPr="00F32542">
        <w:rPr>
          <w:rFonts w:ascii="Arial" w:hAnsi="Arial" w:cs="Arial"/>
          <w:sz w:val="28"/>
          <w:szCs w:val="22"/>
        </w:rPr>
        <w:t xml:space="preserve">Lo anterior, porque como se vio, el artículo 24 del </w:t>
      </w:r>
      <w:r w:rsidRPr="00F32542">
        <w:rPr>
          <w:rFonts w:ascii="Arial" w:hAnsi="Arial" w:cs="Arial"/>
          <w:i/>
          <w:sz w:val="28"/>
          <w:szCs w:val="22"/>
        </w:rPr>
        <w:t xml:space="preserve">Código local </w:t>
      </w:r>
      <w:r w:rsidRPr="00F32542">
        <w:rPr>
          <w:rFonts w:ascii="Arial" w:hAnsi="Arial" w:cs="Arial"/>
          <w:sz w:val="28"/>
          <w:szCs w:val="22"/>
        </w:rPr>
        <w:t xml:space="preserve">prevé la integración de la lista definitiva a partir de la intercalación de las listas A y B, iniciando siempre con la primera fórmula de la lista A. </w:t>
      </w:r>
    </w:p>
    <w:p w14:paraId="5891170A" w14:textId="77777777" w:rsidR="00114630" w:rsidRPr="00F32542" w:rsidRDefault="00114630" w:rsidP="00114630">
      <w:pPr>
        <w:pStyle w:val="NormalWeb"/>
        <w:spacing w:line="360" w:lineRule="auto"/>
        <w:jc w:val="both"/>
        <w:rPr>
          <w:rFonts w:ascii="Arial" w:hAnsi="Arial" w:cs="Arial"/>
          <w:sz w:val="28"/>
          <w:szCs w:val="22"/>
        </w:rPr>
      </w:pPr>
      <w:r w:rsidRPr="00F32542">
        <w:rPr>
          <w:rFonts w:ascii="Arial" w:hAnsi="Arial" w:cs="Arial"/>
          <w:sz w:val="28"/>
          <w:szCs w:val="22"/>
        </w:rPr>
        <w:t xml:space="preserve">De tal modo </w:t>
      </w:r>
      <w:proofErr w:type="gramStart"/>
      <w:r w:rsidRPr="00F32542">
        <w:rPr>
          <w:rFonts w:ascii="Arial" w:hAnsi="Arial" w:cs="Arial"/>
          <w:sz w:val="28"/>
          <w:szCs w:val="22"/>
        </w:rPr>
        <w:t>que</w:t>
      </w:r>
      <w:proofErr w:type="gramEnd"/>
      <w:r w:rsidRPr="00F32542">
        <w:rPr>
          <w:rFonts w:ascii="Arial" w:hAnsi="Arial" w:cs="Arial"/>
          <w:sz w:val="28"/>
          <w:szCs w:val="22"/>
        </w:rPr>
        <w:t xml:space="preserve"> si al PRD le correspondieron dos diputaciones de representación proporcional, la primera, le corresponde a la primer fórmula de la lista A (Víctor Hugo Lobo Román). </w:t>
      </w:r>
    </w:p>
    <w:p w14:paraId="512DC46E" w14:textId="77777777" w:rsidR="00114630" w:rsidRPr="00F32542" w:rsidRDefault="00114630" w:rsidP="00114630">
      <w:pPr>
        <w:pStyle w:val="NormalWeb"/>
        <w:spacing w:line="360" w:lineRule="auto"/>
        <w:jc w:val="both"/>
        <w:rPr>
          <w:rFonts w:ascii="Arial" w:hAnsi="Arial" w:cs="Arial"/>
          <w:sz w:val="28"/>
          <w:szCs w:val="22"/>
        </w:rPr>
      </w:pPr>
      <w:r w:rsidRPr="00F32542">
        <w:rPr>
          <w:rFonts w:ascii="Arial" w:hAnsi="Arial" w:cs="Arial"/>
          <w:sz w:val="28"/>
          <w:szCs w:val="22"/>
        </w:rPr>
        <w:t>Mientras que la segunda curul le corresponde a la primer</w:t>
      </w:r>
      <w:r w:rsidR="00287873" w:rsidRPr="00F32542">
        <w:rPr>
          <w:rFonts w:ascii="Arial" w:hAnsi="Arial" w:cs="Arial"/>
          <w:sz w:val="28"/>
          <w:szCs w:val="22"/>
        </w:rPr>
        <w:t>a</w:t>
      </w:r>
      <w:r w:rsidRPr="00F32542">
        <w:rPr>
          <w:rFonts w:ascii="Arial" w:hAnsi="Arial" w:cs="Arial"/>
          <w:sz w:val="28"/>
          <w:szCs w:val="22"/>
        </w:rPr>
        <w:t xml:space="preserve"> fórmula de la lista B, encabezada por Ricardo </w:t>
      </w:r>
      <w:proofErr w:type="spellStart"/>
      <w:r w:rsidRPr="00F32542">
        <w:rPr>
          <w:rFonts w:ascii="Arial" w:hAnsi="Arial" w:cs="Arial"/>
          <w:sz w:val="28"/>
          <w:szCs w:val="22"/>
        </w:rPr>
        <w:t>Janecarlo</w:t>
      </w:r>
      <w:proofErr w:type="spellEnd"/>
      <w:r w:rsidRPr="00F32542">
        <w:rPr>
          <w:rFonts w:ascii="Arial" w:hAnsi="Arial" w:cs="Arial"/>
          <w:sz w:val="28"/>
          <w:szCs w:val="22"/>
        </w:rPr>
        <w:t xml:space="preserve"> Lozano Reynoso. Cabe señalar que encabeza tal lista debido a que se trata de la fórmula que obtuvo el mejor porcentaje de votación del PRD, como se muestra:</w:t>
      </w:r>
    </w:p>
    <w:tbl>
      <w:tblPr>
        <w:tblStyle w:val="Tablaconcuadrcula"/>
        <w:tblW w:w="0" w:type="auto"/>
        <w:jc w:val="center"/>
        <w:tblLook w:val="04A0" w:firstRow="1" w:lastRow="0" w:firstColumn="1" w:lastColumn="0" w:noHBand="0" w:noVBand="1"/>
      </w:tblPr>
      <w:tblGrid>
        <w:gridCol w:w="510"/>
        <w:gridCol w:w="986"/>
        <w:gridCol w:w="850"/>
        <w:gridCol w:w="3038"/>
        <w:gridCol w:w="1341"/>
      </w:tblGrid>
      <w:tr w:rsidR="00114630" w:rsidRPr="00F32542" w14:paraId="14D1AF98" w14:textId="77777777" w:rsidTr="00114630">
        <w:trPr>
          <w:tblHeader/>
          <w:jc w:val="center"/>
        </w:trPr>
        <w:tc>
          <w:tcPr>
            <w:tcW w:w="672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3D59C15" w14:textId="77777777" w:rsidR="00114630" w:rsidRPr="00F32542" w:rsidRDefault="00114630" w:rsidP="00114630">
            <w:pPr>
              <w:spacing w:after="0" w:line="240" w:lineRule="auto"/>
              <w:jc w:val="center"/>
              <w:rPr>
                <w:rFonts w:ascii="Arial" w:hAnsi="Arial" w:cs="Arial"/>
                <w:b/>
              </w:rPr>
            </w:pPr>
            <w:r w:rsidRPr="00F32542">
              <w:rPr>
                <w:rFonts w:cs="Arial"/>
                <w:b/>
              </w:rPr>
              <w:lastRenderedPageBreak/>
              <w:t>Lista B de</w:t>
            </w:r>
          </w:p>
        </w:tc>
      </w:tr>
      <w:tr w:rsidR="00114630" w:rsidRPr="00F32542" w14:paraId="24B1F95A" w14:textId="77777777" w:rsidTr="00114630">
        <w:trPr>
          <w:tblHeader/>
          <w:jc w:val="center"/>
        </w:trPr>
        <w:tc>
          <w:tcPr>
            <w:tcW w:w="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B4A0527" w14:textId="77777777" w:rsidR="00114630" w:rsidRPr="00F32542" w:rsidRDefault="00114630">
            <w:pPr>
              <w:spacing w:line="240" w:lineRule="auto"/>
              <w:jc w:val="center"/>
              <w:rPr>
                <w:rFonts w:cs="Arial"/>
                <w:b/>
              </w:rPr>
            </w:pPr>
            <w:r w:rsidRPr="00F32542">
              <w:rPr>
                <w:rFonts w:cs="Arial"/>
                <w:b/>
              </w:rPr>
              <w:t>No</w:t>
            </w:r>
          </w:p>
        </w:tc>
        <w:tc>
          <w:tcPr>
            <w:tcW w:w="9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B48614" w14:textId="77777777" w:rsidR="00114630" w:rsidRPr="00F32542" w:rsidRDefault="00114630">
            <w:pPr>
              <w:spacing w:line="240" w:lineRule="auto"/>
              <w:jc w:val="center"/>
              <w:rPr>
                <w:rFonts w:cs="Arial"/>
                <w:b/>
              </w:rPr>
            </w:pPr>
            <w:r w:rsidRPr="00F32542">
              <w:rPr>
                <w:rFonts w:cs="Arial"/>
                <w:b/>
              </w:rPr>
              <w:t>Distrito</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5889019" w14:textId="77777777" w:rsidR="00114630" w:rsidRPr="00F32542" w:rsidRDefault="00114630">
            <w:pPr>
              <w:spacing w:line="240" w:lineRule="auto"/>
              <w:jc w:val="center"/>
              <w:rPr>
                <w:rFonts w:cs="Arial"/>
                <w:b/>
              </w:rPr>
            </w:pPr>
            <w:r w:rsidRPr="00F32542">
              <w:rPr>
                <w:rFonts w:cs="Arial"/>
                <w:b/>
              </w:rPr>
              <w:t>Sexo</w:t>
            </w:r>
          </w:p>
        </w:tc>
        <w:tc>
          <w:tcPr>
            <w:tcW w:w="30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0CD909" w14:textId="77777777" w:rsidR="00114630" w:rsidRPr="00F32542" w:rsidRDefault="00114630" w:rsidP="00114630">
            <w:pPr>
              <w:spacing w:after="0" w:line="240" w:lineRule="auto"/>
              <w:jc w:val="center"/>
              <w:rPr>
                <w:rFonts w:cs="Arial"/>
                <w:b/>
              </w:rPr>
            </w:pPr>
            <w:r w:rsidRPr="00F32542">
              <w:rPr>
                <w:rFonts w:cs="Arial"/>
                <w:b/>
              </w:rPr>
              <w:t>Candidatura</w:t>
            </w:r>
          </w:p>
        </w:tc>
        <w:tc>
          <w:tcPr>
            <w:tcW w:w="134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EEF12D3" w14:textId="77777777" w:rsidR="00114630" w:rsidRPr="00F32542" w:rsidRDefault="00114630" w:rsidP="00114630">
            <w:pPr>
              <w:spacing w:after="0" w:line="240" w:lineRule="auto"/>
              <w:jc w:val="center"/>
              <w:rPr>
                <w:rFonts w:cs="Arial"/>
                <w:b/>
              </w:rPr>
            </w:pPr>
            <w:r w:rsidRPr="00F32542">
              <w:rPr>
                <w:rFonts w:cs="Arial"/>
                <w:b/>
              </w:rPr>
              <w:t xml:space="preserve">Porcentaje de votación </w:t>
            </w:r>
          </w:p>
        </w:tc>
      </w:tr>
      <w:tr w:rsidR="00114630" w:rsidRPr="00F32542" w14:paraId="7649536B" w14:textId="77777777" w:rsidTr="00114630">
        <w:trPr>
          <w:tblHeade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5AB7BD39" w14:textId="77777777" w:rsidR="00114630" w:rsidRPr="00F32542" w:rsidRDefault="00114630" w:rsidP="00114630">
            <w:pPr>
              <w:spacing w:line="240" w:lineRule="auto"/>
              <w:jc w:val="center"/>
              <w:rPr>
                <w:rFonts w:cs="Arial"/>
              </w:rPr>
            </w:pPr>
            <w:r w:rsidRPr="00F32542">
              <w:rPr>
                <w:rFonts w:cs="Arial"/>
              </w:rPr>
              <w:t>1</w:t>
            </w:r>
          </w:p>
        </w:tc>
        <w:tc>
          <w:tcPr>
            <w:tcW w:w="986" w:type="dxa"/>
            <w:tcBorders>
              <w:top w:val="single" w:sz="4" w:space="0" w:color="auto"/>
              <w:left w:val="single" w:sz="4" w:space="0" w:color="auto"/>
              <w:bottom w:val="single" w:sz="4" w:space="0" w:color="auto"/>
              <w:right w:val="single" w:sz="4" w:space="0" w:color="auto"/>
            </w:tcBorders>
            <w:vAlign w:val="center"/>
            <w:hideMark/>
          </w:tcPr>
          <w:p w14:paraId="55E31124" w14:textId="77777777" w:rsidR="00114630" w:rsidRPr="00F32542" w:rsidRDefault="00114630" w:rsidP="00114630">
            <w:pPr>
              <w:spacing w:line="240" w:lineRule="auto"/>
              <w:jc w:val="center"/>
              <w:rPr>
                <w:rFonts w:cs="Arial"/>
                <w:color w:val="000000"/>
              </w:rPr>
            </w:pPr>
            <w:r w:rsidRPr="00F32542">
              <w:rPr>
                <w:rFonts w:cs="Arial"/>
                <w:color w:val="000000"/>
              </w:rPr>
              <w:t>4</w:t>
            </w:r>
          </w:p>
        </w:tc>
        <w:tc>
          <w:tcPr>
            <w:tcW w:w="850" w:type="dxa"/>
            <w:tcBorders>
              <w:top w:val="single" w:sz="4" w:space="0" w:color="auto"/>
              <w:left w:val="single" w:sz="4" w:space="0" w:color="auto"/>
              <w:bottom w:val="single" w:sz="4" w:space="0" w:color="auto"/>
              <w:right w:val="single" w:sz="4" w:space="0" w:color="auto"/>
            </w:tcBorders>
            <w:vAlign w:val="center"/>
          </w:tcPr>
          <w:p w14:paraId="03157F54" w14:textId="77777777" w:rsidR="00114630" w:rsidRPr="00F32542" w:rsidRDefault="00114630" w:rsidP="00114630">
            <w:pPr>
              <w:spacing w:line="240" w:lineRule="auto"/>
              <w:jc w:val="center"/>
              <w:rPr>
                <w:rFonts w:cs="Arial"/>
                <w:color w:val="000000"/>
              </w:rPr>
            </w:pPr>
          </w:p>
        </w:tc>
        <w:tc>
          <w:tcPr>
            <w:tcW w:w="3038" w:type="dxa"/>
            <w:tcBorders>
              <w:top w:val="single" w:sz="4" w:space="0" w:color="auto"/>
              <w:left w:val="single" w:sz="4" w:space="0" w:color="auto"/>
              <w:bottom w:val="single" w:sz="4" w:space="0" w:color="auto"/>
              <w:right w:val="single" w:sz="4" w:space="0" w:color="auto"/>
            </w:tcBorders>
            <w:vAlign w:val="center"/>
            <w:hideMark/>
          </w:tcPr>
          <w:p w14:paraId="6AC2668C" w14:textId="77777777" w:rsidR="00114630" w:rsidRPr="00F32542" w:rsidRDefault="00114630" w:rsidP="00114630">
            <w:pPr>
              <w:pStyle w:val="Default"/>
              <w:jc w:val="center"/>
            </w:pPr>
            <w:r w:rsidRPr="00F32542">
              <w:t xml:space="preserve">Ricardo </w:t>
            </w:r>
            <w:proofErr w:type="spellStart"/>
            <w:r w:rsidRPr="00F32542">
              <w:t>Janecarlo</w:t>
            </w:r>
            <w:proofErr w:type="spellEnd"/>
            <w:r w:rsidRPr="00F32542">
              <w:t xml:space="preserve"> Lozano</w:t>
            </w:r>
          </w:p>
          <w:p w14:paraId="3EE4E912" w14:textId="77777777" w:rsidR="00114630" w:rsidRPr="00F32542" w:rsidRDefault="00114630" w:rsidP="00114630">
            <w:pPr>
              <w:spacing w:after="0" w:line="240" w:lineRule="auto"/>
              <w:jc w:val="center"/>
              <w:rPr>
                <w:rFonts w:cs="Arial"/>
                <w:color w:val="000000"/>
              </w:rPr>
            </w:pPr>
            <w:r w:rsidRPr="00F32542">
              <w:rPr>
                <w:rFonts w:cs="Arial"/>
              </w:rPr>
              <w:t>Reynoso</w:t>
            </w:r>
          </w:p>
        </w:tc>
        <w:tc>
          <w:tcPr>
            <w:tcW w:w="1341" w:type="dxa"/>
            <w:tcBorders>
              <w:top w:val="single" w:sz="4" w:space="0" w:color="auto"/>
              <w:left w:val="single" w:sz="4" w:space="0" w:color="auto"/>
              <w:bottom w:val="single" w:sz="4" w:space="0" w:color="auto"/>
              <w:right w:val="single" w:sz="4" w:space="0" w:color="auto"/>
            </w:tcBorders>
            <w:vAlign w:val="center"/>
            <w:hideMark/>
          </w:tcPr>
          <w:p w14:paraId="6ECE2AB5" w14:textId="77777777" w:rsidR="00114630" w:rsidRPr="00F32542" w:rsidRDefault="00114630" w:rsidP="00114630">
            <w:pPr>
              <w:spacing w:after="0" w:line="240" w:lineRule="auto"/>
              <w:jc w:val="center"/>
              <w:rPr>
                <w:rFonts w:cs="Arial"/>
                <w:color w:val="000000"/>
              </w:rPr>
            </w:pPr>
            <w:r w:rsidRPr="00F32542">
              <w:rPr>
                <w:rFonts w:cs="Arial"/>
                <w:color w:val="000000"/>
              </w:rPr>
              <w:t>17.01</w:t>
            </w:r>
          </w:p>
        </w:tc>
      </w:tr>
      <w:tr w:rsidR="00114630" w:rsidRPr="00F32542" w14:paraId="52EAA0DA" w14:textId="77777777" w:rsidTr="00114630">
        <w:trPr>
          <w:trHeight w:val="75"/>
          <w:tblHeade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76121ED6" w14:textId="77777777" w:rsidR="00114630" w:rsidRPr="00F32542" w:rsidRDefault="00114630" w:rsidP="00114630">
            <w:pPr>
              <w:spacing w:line="240" w:lineRule="auto"/>
              <w:jc w:val="center"/>
              <w:rPr>
                <w:rFonts w:cs="Arial"/>
              </w:rPr>
            </w:pPr>
            <w:r w:rsidRPr="00F32542">
              <w:rPr>
                <w:rFonts w:cs="Arial"/>
              </w:rPr>
              <w:t>2</w:t>
            </w:r>
          </w:p>
        </w:tc>
        <w:tc>
          <w:tcPr>
            <w:tcW w:w="986" w:type="dxa"/>
            <w:tcBorders>
              <w:top w:val="single" w:sz="4" w:space="0" w:color="auto"/>
              <w:left w:val="single" w:sz="4" w:space="0" w:color="auto"/>
              <w:bottom w:val="single" w:sz="4" w:space="0" w:color="auto"/>
              <w:right w:val="single" w:sz="4" w:space="0" w:color="auto"/>
            </w:tcBorders>
            <w:vAlign w:val="center"/>
            <w:hideMark/>
          </w:tcPr>
          <w:p w14:paraId="3035F865" w14:textId="77777777" w:rsidR="00114630" w:rsidRPr="00F32542" w:rsidRDefault="00114630" w:rsidP="00114630">
            <w:pPr>
              <w:spacing w:line="240" w:lineRule="auto"/>
              <w:jc w:val="center"/>
              <w:rPr>
                <w:rFonts w:cs="Arial"/>
                <w:color w:val="000000"/>
              </w:rPr>
            </w:pPr>
            <w:r w:rsidRPr="00F32542">
              <w:rPr>
                <w:rFonts w:cs="Arial"/>
                <w:color w:val="000000"/>
              </w:rPr>
              <w:t>32</w:t>
            </w:r>
          </w:p>
        </w:tc>
        <w:tc>
          <w:tcPr>
            <w:tcW w:w="850" w:type="dxa"/>
            <w:tcBorders>
              <w:top w:val="single" w:sz="4" w:space="0" w:color="auto"/>
              <w:left w:val="single" w:sz="4" w:space="0" w:color="auto"/>
              <w:bottom w:val="single" w:sz="4" w:space="0" w:color="auto"/>
              <w:right w:val="single" w:sz="4" w:space="0" w:color="auto"/>
            </w:tcBorders>
            <w:vAlign w:val="center"/>
          </w:tcPr>
          <w:p w14:paraId="21870FE3" w14:textId="77777777" w:rsidR="00114630" w:rsidRPr="00F32542" w:rsidRDefault="00114630" w:rsidP="00114630">
            <w:pPr>
              <w:spacing w:line="240" w:lineRule="auto"/>
              <w:jc w:val="center"/>
              <w:rPr>
                <w:rFonts w:cs="Arial"/>
                <w:color w:val="000000"/>
              </w:rPr>
            </w:pPr>
          </w:p>
        </w:tc>
        <w:tc>
          <w:tcPr>
            <w:tcW w:w="3038" w:type="dxa"/>
            <w:tcBorders>
              <w:top w:val="single" w:sz="4" w:space="0" w:color="auto"/>
              <w:left w:val="single" w:sz="4" w:space="0" w:color="auto"/>
              <w:bottom w:val="single" w:sz="4" w:space="0" w:color="auto"/>
              <w:right w:val="single" w:sz="4" w:space="0" w:color="auto"/>
            </w:tcBorders>
            <w:vAlign w:val="center"/>
            <w:hideMark/>
          </w:tcPr>
          <w:p w14:paraId="55793F18" w14:textId="77777777" w:rsidR="00114630" w:rsidRPr="00F32542" w:rsidRDefault="00114630" w:rsidP="00114630">
            <w:pPr>
              <w:pStyle w:val="Default"/>
              <w:jc w:val="center"/>
            </w:pPr>
            <w:proofErr w:type="spellStart"/>
            <w:r w:rsidRPr="00F32542">
              <w:t>Desiree</w:t>
            </w:r>
            <w:proofErr w:type="spellEnd"/>
            <w:r w:rsidRPr="00F32542">
              <w:t xml:space="preserve"> Guadalupe Navarro</w:t>
            </w:r>
          </w:p>
          <w:p w14:paraId="27766E70" w14:textId="77777777" w:rsidR="00114630" w:rsidRPr="00F32542" w:rsidRDefault="00114630" w:rsidP="00114630">
            <w:pPr>
              <w:pStyle w:val="Default"/>
              <w:jc w:val="center"/>
            </w:pPr>
            <w:r w:rsidRPr="00F32542">
              <w:t>López</w:t>
            </w:r>
          </w:p>
        </w:tc>
        <w:tc>
          <w:tcPr>
            <w:tcW w:w="1341" w:type="dxa"/>
            <w:tcBorders>
              <w:top w:val="single" w:sz="4" w:space="0" w:color="auto"/>
              <w:left w:val="single" w:sz="4" w:space="0" w:color="auto"/>
              <w:bottom w:val="single" w:sz="4" w:space="0" w:color="auto"/>
              <w:right w:val="single" w:sz="4" w:space="0" w:color="auto"/>
            </w:tcBorders>
            <w:vAlign w:val="center"/>
            <w:hideMark/>
          </w:tcPr>
          <w:p w14:paraId="057775B0" w14:textId="77777777" w:rsidR="00114630" w:rsidRPr="00F32542" w:rsidRDefault="00114630" w:rsidP="00114630">
            <w:pPr>
              <w:spacing w:after="0" w:line="240" w:lineRule="auto"/>
              <w:jc w:val="center"/>
              <w:rPr>
                <w:rFonts w:cs="Arial"/>
                <w:color w:val="000000"/>
              </w:rPr>
            </w:pPr>
            <w:r w:rsidRPr="00F32542">
              <w:rPr>
                <w:rFonts w:cs="Arial"/>
                <w:color w:val="000000"/>
              </w:rPr>
              <w:t>10.85</w:t>
            </w:r>
          </w:p>
        </w:tc>
      </w:tr>
      <w:tr w:rsidR="00114630" w:rsidRPr="00F32542" w14:paraId="1C651405" w14:textId="77777777" w:rsidTr="00114630">
        <w:trPr>
          <w:tblHeade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0E29A2B7" w14:textId="77777777" w:rsidR="00114630" w:rsidRPr="00F32542" w:rsidRDefault="00114630" w:rsidP="00114630">
            <w:pPr>
              <w:spacing w:line="240" w:lineRule="auto"/>
              <w:jc w:val="center"/>
              <w:rPr>
                <w:rFonts w:cs="Arial"/>
              </w:rPr>
            </w:pPr>
            <w:r w:rsidRPr="00F32542">
              <w:rPr>
                <w:rFonts w:cs="Arial"/>
              </w:rPr>
              <w:t>3</w:t>
            </w:r>
          </w:p>
        </w:tc>
        <w:tc>
          <w:tcPr>
            <w:tcW w:w="986" w:type="dxa"/>
            <w:tcBorders>
              <w:top w:val="single" w:sz="4" w:space="0" w:color="auto"/>
              <w:left w:val="single" w:sz="4" w:space="0" w:color="auto"/>
              <w:bottom w:val="single" w:sz="4" w:space="0" w:color="auto"/>
              <w:right w:val="single" w:sz="4" w:space="0" w:color="auto"/>
            </w:tcBorders>
            <w:vAlign w:val="center"/>
            <w:hideMark/>
          </w:tcPr>
          <w:p w14:paraId="6E53FFF3" w14:textId="77777777" w:rsidR="00114630" w:rsidRPr="00F32542" w:rsidRDefault="00114630" w:rsidP="00114630">
            <w:pPr>
              <w:spacing w:line="240" w:lineRule="auto"/>
              <w:jc w:val="center"/>
              <w:rPr>
                <w:rFonts w:cs="Arial"/>
                <w:color w:val="000000"/>
              </w:rPr>
            </w:pPr>
            <w:r w:rsidRPr="00F32542">
              <w:rPr>
                <w:rFonts w:cs="Arial"/>
                <w:color w:val="000000"/>
              </w:rPr>
              <w:t>21</w:t>
            </w:r>
          </w:p>
        </w:tc>
        <w:tc>
          <w:tcPr>
            <w:tcW w:w="850" w:type="dxa"/>
            <w:tcBorders>
              <w:top w:val="single" w:sz="4" w:space="0" w:color="auto"/>
              <w:left w:val="single" w:sz="4" w:space="0" w:color="auto"/>
              <w:bottom w:val="single" w:sz="4" w:space="0" w:color="auto"/>
              <w:right w:val="single" w:sz="4" w:space="0" w:color="auto"/>
            </w:tcBorders>
            <w:vAlign w:val="center"/>
          </w:tcPr>
          <w:p w14:paraId="278EF355" w14:textId="77777777" w:rsidR="00114630" w:rsidRPr="00F32542" w:rsidRDefault="00114630" w:rsidP="00114630">
            <w:pPr>
              <w:spacing w:line="240" w:lineRule="auto"/>
              <w:jc w:val="center"/>
              <w:rPr>
                <w:rFonts w:cs="Arial"/>
                <w:color w:val="000000"/>
              </w:rPr>
            </w:pPr>
          </w:p>
        </w:tc>
        <w:tc>
          <w:tcPr>
            <w:tcW w:w="3038" w:type="dxa"/>
            <w:tcBorders>
              <w:top w:val="single" w:sz="4" w:space="0" w:color="auto"/>
              <w:left w:val="single" w:sz="4" w:space="0" w:color="auto"/>
              <w:bottom w:val="single" w:sz="4" w:space="0" w:color="auto"/>
              <w:right w:val="single" w:sz="4" w:space="0" w:color="auto"/>
            </w:tcBorders>
            <w:vAlign w:val="center"/>
            <w:hideMark/>
          </w:tcPr>
          <w:p w14:paraId="3219C6A4" w14:textId="77777777" w:rsidR="00114630" w:rsidRPr="00F32542" w:rsidRDefault="00114630" w:rsidP="00114630">
            <w:pPr>
              <w:spacing w:after="0" w:line="240" w:lineRule="auto"/>
              <w:jc w:val="center"/>
              <w:rPr>
                <w:rFonts w:cs="Arial"/>
                <w:color w:val="000000"/>
              </w:rPr>
            </w:pPr>
            <w:r w:rsidRPr="00F32542">
              <w:rPr>
                <w:rFonts w:cs="Arial"/>
                <w:color w:val="000000"/>
              </w:rPr>
              <w:t>David Eleazar Quiroga Anguiano</w:t>
            </w:r>
          </w:p>
        </w:tc>
        <w:tc>
          <w:tcPr>
            <w:tcW w:w="1341" w:type="dxa"/>
            <w:tcBorders>
              <w:top w:val="single" w:sz="4" w:space="0" w:color="auto"/>
              <w:left w:val="single" w:sz="4" w:space="0" w:color="auto"/>
              <w:bottom w:val="single" w:sz="4" w:space="0" w:color="auto"/>
              <w:right w:val="single" w:sz="4" w:space="0" w:color="auto"/>
            </w:tcBorders>
            <w:vAlign w:val="center"/>
            <w:hideMark/>
          </w:tcPr>
          <w:p w14:paraId="21E6555A" w14:textId="77777777" w:rsidR="00114630" w:rsidRPr="00F32542" w:rsidRDefault="00114630" w:rsidP="00114630">
            <w:pPr>
              <w:spacing w:after="0" w:line="240" w:lineRule="auto"/>
              <w:jc w:val="center"/>
              <w:rPr>
                <w:rFonts w:cs="Arial"/>
                <w:color w:val="000000"/>
              </w:rPr>
            </w:pPr>
            <w:r w:rsidRPr="00F32542">
              <w:rPr>
                <w:rFonts w:cs="Arial"/>
                <w:color w:val="000000"/>
              </w:rPr>
              <w:t>9.87</w:t>
            </w:r>
          </w:p>
        </w:tc>
      </w:tr>
      <w:tr w:rsidR="00114630" w:rsidRPr="00F32542" w14:paraId="53E24B9D" w14:textId="77777777" w:rsidTr="00114630">
        <w:trPr>
          <w:tblHeade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6CBDD1BD" w14:textId="77777777" w:rsidR="00114630" w:rsidRPr="00F32542" w:rsidRDefault="00114630" w:rsidP="00114630">
            <w:pPr>
              <w:spacing w:line="240" w:lineRule="auto"/>
              <w:jc w:val="center"/>
              <w:rPr>
                <w:rFonts w:cs="Arial"/>
              </w:rPr>
            </w:pPr>
            <w:r w:rsidRPr="00F32542">
              <w:rPr>
                <w:rFonts w:cs="Arial"/>
              </w:rPr>
              <w:t>4</w:t>
            </w:r>
          </w:p>
        </w:tc>
        <w:tc>
          <w:tcPr>
            <w:tcW w:w="986" w:type="dxa"/>
            <w:tcBorders>
              <w:top w:val="single" w:sz="4" w:space="0" w:color="auto"/>
              <w:left w:val="single" w:sz="4" w:space="0" w:color="auto"/>
              <w:bottom w:val="single" w:sz="4" w:space="0" w:color="auto"/>
              <w:right w:val="single" w:sz="4" w:space="0" w:color="auto"/>
            </w:tcBorders>
            <w:vAlign w:val="center"/>
            <w:hideMark/>
          </w:tcPr>
          <w:p w14:paraId="49243C44" w14:textId="77777777" w:rsidR="00114630" w:rsidRPr="00F32542" w:rsidRDefault="00114630" w:rsidP="00114630">
            <w:pPr>
              <w:spacing w:line="240" w:lineRule="auto"/>
              <w:jc w:val="center"/>
              <w:rPr>
                <w:rFonts w:cs="Arial"/>
                <w:color w:val="000000"/>
              </w:rPr>
            </w:pPr>
            <w:r w:rsidRPr="00F32542">
              <w:rPr>
                <w:rFonts w:cs="Arial"/>
                <w:color w:val="000000"/>
              </w:rPr>
              <w:t>27</w:t>
            </w:r>
          </w:p>
        </w:tc>
        <w:tc>
          <w:tcPr>
            <w:tcW w:w="850" w:type="dxa"/>
            <w:tcBorders>
              <w:top w:val="single" w:sz="4" w:space="0" w:color="auto"/>
              <w:left w:val="single" w:sz="4" w:space="0" w:color="auto"/>
              <w:bottom w:val="single" w:sz="4" w:space="0" w:color="auto"/>
              <w:right w:val="single" w:sz="4" w:space="0" w:color="auto"/>
            </w:tcBorders>
            <w:vAlign w:val="center"/>
          </w:tcPr>
          <w:p w14:paraId="0E28D93E" w14:textId="77777777" w:rsidR="00114630" w:rsidRPr="00F32542" w:rsidRDefault="00114630" w:rsidP="00114630">
            <w:pPr>
              <w:spacing w:line="240" w:lineRule="auto"/>
              <w:jc w:val="center"/>
              <w:rPr>
                <w:rFonts w:cs="Arial"/>
                <w:color w:val="000000"/>
              </w:rPr>
            </w:pPr>
          </w:p>
        </w:tc>
        <w:tc>
          <w:tcPr>
            <w:tcW w:w="3038" w:type="dxa"/>
            <w:tcBorders>
              <w:top w:val="single" w:sz="4" w:space="0" w:color="auto"/>
              <w:left w:val="single" w:sz="4" w:space="0" w:color="auto"/>
              <w:bottom w:val="single" w:sz="4" w:space="0" w:color="auto"/>
              <w:right w:val="single" w:sz="4" w:space="0" w:color="auto"/>
            </w:tcBorders>
            <w:vAlign w:val="center"/>
            <w:hideMark/>
          </w:tcPr>
          <w:p w14:paraId="5022DF83" w14:textId="77777777" w:rsidR="00114630" w:rsidRPr="00F32542" w:rsidRDefault="00114630" w:rsidP="00114630">
            <w:pPr>
              <w:spacing w:after="0" w:line="240" w:lineRule="auto"/>
              <w:jc w:val="center"/>
              <w:rPr>
                <w:rFonts w:cs="Arial"/>
                <w:color w:val="000000"/>
              </w:rPr>
            </w:pPr>
            <w:proofErr w:type="spellStart"/>
            <w:r w:rsidRPr="00F32542">
              <w:rPr>
                <w:rFonts w:cs="Arial"/>
                <w:color w:val="000000"/>
              </w:rPr>
              <w:t>Nury</w:t>
            </w:r>
            <w:proofErr w:type="spellEnd"/>
            <w:r w:rsidRPr="00F32542">
              <w:rPr>
                <w:rFonts w:cs="Arial"/>
                <w:color w:val="000000"/>
              </w:rPr>
              <w:t xml:space="preserve"> Delia Ruiz Ovando</w:t>
            </w:r>
          </w:p>
        </w:tc>
        <w:tc>
          <w:tcPr>
            <w:tcW w:w="1341" w:type="dxa"/>
            <w:tcBorders>
              <w:top w:val="single" w:sz="4" w:space="0" w:color="auto"/>
              <w:left w:val="single" w:sz="4" w:space="0" w:color="auto"/>
              <w:bottom w:val="single" w:sz="4" w:space="0" w:color="auto"/>
              <w:right w:val="single" w:sz="4" w:space="0" w:color="auto"/>
            </w:tcBorders>
            <w:vAlign w:val="center"/>
            <w:hideMark/>
          </w:tcPr>
          <w:p w14:paraId="64E58313" w14:textId="77777777" w:rsidR="00114630" w:rsidRPr="00F32542" w:rsidRDefault="00114630" w:rsidP="00114630">
            <w:pPr>
              <w:spacing w:after="0" w:line="240" w:lineRule="auto"/>
              <w:jc w:val="center"/>
              <w:rPr>
                <w:rFonts w:cs="Arial"/>
                <w:color w:val="000000"/>
              </w:rPr>
            </w:pPr>
            <w:r w:rsidRPr="00F32542">
              <w:rPr>
                <w:rFonts w:cs="Arial"/>
                <w:color w:val="000000"/>
              </w:rPr>
              <w:t>9.16</w:t>
            </w:r>
          </w:p>
        </w:tc>
      </w:tr>
      <w:tr w:rsidR="00114630" w:rsidRPr="00F32542" w14:paraId="75935FA9" w14:textId="77777777" w:rsidTr="00114630">
        <w:trPr>
          <w:tblHeade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2B7BAC77" w14:textId="77777777" w:rsidR="00114630" w:rsidRPr="00F32542" w:rsidRDefault="00114630" w:rsidP="00114630">
            <w:pPr>
              <w:spacing w:line="240" w:lineRule="auto"/>
              <w:jc w:val="center"/>
              <w:rPr>
                <w:rFonts w:cs="Arial"/>
              </w:rPr>
            </w:pPr>
            <w:r w:rsidRPr="00F32542">
              <w:rPr>
                <w:rFonts w:cs="Arial"/>
              </w:rPr>
              <w:t>5</w:t>
            </w:r>
          </w:p>
        </w:tc>
        <w:tc>
          <w:tcPr>
            <w:tcW w:w="986" w:type="dxa"/>
            <w:tcBorders>
              <w:top w:val="single" w:sz="4" w:space="0" w:color="auto"/>
              <w:left w:val="single" w:sz="4" w:space="0" w:color="auto"/>
              <w:bottom w:val="single" w:sz="4" w:space="0" w:color="auto"/>
              <w:right w:val="single" w:sz="4" w:space="0" w:color="auto"/>
            </w:tcBorders>
            <w:vAlign w:val="center"/>
            <w:hideMark/>
          </w:tcPr>
          <w:p w14:paraId="42941052" w14:textId="77777777" w:rsidR="00114630" w:rsidRPr="00F32542" w:rsidRDefault="00114630" w:rsidP="00114630">
            <w:pPr>
              <w:spacing w:line="240" w:lineRule="auto"/>
              <w:jc w:val="center"/>
              <w:rPr>
                <w:rFonts w:cs="Arial"/>
                <w:color w:val="000000"/>
              </w:rPr>
            </w:pPr>
            <w:r w:rsidRPr="00F32542">
              <w:rPr>
                <w:rFonts w:cs="Arial"/>
                <w:color w:val="000000"/>
              </w:rPr>
              <w:t>1</w:t>
            </w:r>
          </w:p>
        </w:tc>
        <w:tc>
          <w:tcPr>
            <w:tcW w:w="850" w:type="dxa"/>
            <w:tcBorders>
              <w:top w:val="single" w:sz="4" w:space="0" w:color="auto"/>
              <w:left w:val="single" w:sz="4" w:space="0" w:color="auto"/>
              <w:bottom w:val="single" w:sz="4" w:space="0" w:color="auto"/>
              <w:right w:val="single" w:sz="4" w:space="0" w:color="auto"/>
            </w:tcBorders>
            <w:vAlign w:val="center"/>
          </w:tcPr>
          <w:p w14:paraId="4542F161" w14:textId="77777777" w:rsidR="00114630" w:rsidRPr="00F32542" w:rsidRDefault="00114630" w:rsidP="00114630">
            <w:pPr>
              <w:spacing w:line="240" w:lineRule="auto"/>
              <w:jc w:val="center"/>
              <w:rPr>
                <w:rFonts w:cs="Arial"/>
                <w:color w:val="000000"/>
              </w:rPr>
            </w:pPr>
          </w:p>
        </w:tc>
        <w:tc>
          <w:tcPr>
            <w:tcW w:w="3038" w:type="dxa"/>
            <w:tcBorders>
              <w:top w:val="single" w:sz="4" w:space="0" w:color="auto"/>
              <w:left w:val="single" w:sz="4" w:space="0" w:color="auto"/>
              <w:bottom w:val="single" w:sz="4" w:space="0" w:color="auto"/>
              <w:right w:val="single" w:sz="4" w:space="0" w:color="auto"/>
            </w:tcBorders>
            <w:vAlign w:val="center"/>
            <w:hideMark/>
          </w:tcPr>
          <w:p w14:paraId="3432FD0A" w14:textId="77777777" w:rsidR="00114630" w:rsidRPr="00F32542" w:rsidRDefault="00114630" w:rsidP="00114630">
            <w:pPr>
              <w:spacing w:after="0" w:line="240" w:lineRule="auto"/>
              <w:jc w:val="center"/>
              <w:rPr>
                <w:rFonts w:cs="Arial"/>
                <w:color w:val="000000"/>
              </w:rPr>
            </w:pPr>
            <w:r w:rsidRPr="00F32542">
              <w:rPr>
                <w:rFonts w:cs="Arial"/>
                <w:color w:val="000000"/>
              </w:rPr>
              <w:t>Facundo Domingo Fuentes López</w:t>
            </w:r>
          </w:p>
        </w:tc>
        <w:tc>
          <w:tcPr>
            <w:tcW w:w="1341" w:type="dxa"/>
            <w:tcBorders>
              <w:top w:val="single" w:sz="4" w:space="0" w:color="auto"/>
              <w:left w:val="single" w:sz="4" w:space="0" w:color="auto"/>
              <w:bottom w:val="single" w:sz="4" w:space="0" w:color="auto"/>
              <w:right w:val="single" w:sz="4" w:space="0" w:color="auto"/>
            </w:tcBorders>
            <w:vAlign w:val="center"/>
            <w:hideMark/>
          </w:tcPr>
          <w:p w14:paraId="23224A91" w14:textId="77777777" w:rsidR="00114630" w:rsidRPr="00F32542" w:rsidRDefault="00114630" w:rsidP="00114630">
            <w:pPr>
              <w:spacing w:after="0" w:line="240" w:lineRule="auto"/>
              <w:jc w:val="center"/>
              <w:rPr>
                <w:rFonts w:cs="Arial"/>
                <w:color w:val="000000"/>
              </w:rPr>
            </w:pPr>
            <w:r w:rsidRPr="00F32542">
              <w:rPr>
                <w:rFonts w:cs="Arial"/>
                <w:color w:val="000000"/>
              </w:rPr>
              <w:t>7.91</w:t>
            </w:r>
          </w:p>
        </w:tc>
      </w:tr>
      <w:tr w:rsidR="00114630" w:rsidRPr="00F32542" w14:paraId="415A9F56" w14:textId="77777777" w:rsidTr="00114630">
        <w:trPr>
          <w:tblHeade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31C9BF12" w14:textId="77777777" w:rsidR="00114630" w:rsidRPr="00F32542" w:rsidRDefault="00114630" w:rsidP="00114630">
            <w:pPr>
              <w:spacing w:line="240" w:lineRule="auto"/>
              <w:jc w:val="center"/>
              <w:rPr>
                <w:rFonts w:cs="Arial"/>
              </w:rPr>
            </w:pPr>
            <w:r w:rsidRPr="00F32542">
              <w:rPr>
                <w:rFonts w:cs="Arial"/>
              </w:rPr>
              <w:t>6</w:t>
            </w:r>
          </w:p>
        </w:tc>
        <w:tc>
          <w:tcPr>
            <w:tcW w:w="986" w:type="dxa"/>
            <w:tcBorders>
              <w:top w:val="single" w:sz="4" w:space="0" w:color="auto"/>
              <w:left w:val="single" w:sz="4" w:space="0" w:color="auto"/>
              <w:bottom w:val="single" w:sz="4" w:space="0" w:color="auto"/>
              <w:right w:val="single" w:sz="4" w:space="0" w:color="auto"/>
            </w:tcBorders>
            <w:vAlign w:val="center"/>
            <w:hideMark/>
          </w:tcPr>
          <w:p w14:paraId="23B3E5F0" w14:textId="77777777" w:rsidR="00114630" w:rsidRPr="00F32542" w:rsidRDefault="00114630" w:rsidP="00114630">
            <w:pPr>
              <w:spacing w:line="240" w:lineRule="auto"/>
              <w:jc w:val="center"/>
              <w:rPr>
                <w:rFonts w:cs="Arial"/>
                <w:color w:val="000000"/>
              </w:rPr>
            </w:pPr>
            <w:r w:rsidRPr="00F32542">
              <w:rPr>
                <w:rFonts w:cs="Arial"/>
                <w:color w:val="000000"/>
              </w:rPr>
              <w:t>22</w:t>
            </w:r>
          </w:p>
        </w:tc>
        <w:tc>
          <w:tcPr>
            <w:tcW w:w="850" w:type="dxa"/>
            <w:tcBorders>
              <w:top w:val="single" w:sz="4" w:space="0" w:color="auto"/>
              <w:left w:val="single" w:sz="4" w:space="0" w:color="auto"/>
              <w:bottom w:val="single" w:sz="4" w:space="0" w:color="auto"/>
              <w:right w:val="single" w:sz="4" w:space="0" w:color="auto"/>
            </w:tcBorders>
            <w:vAlign w:val="center"/>
          </w:tcPr>
          <w:p w14:paraId="4788FE34" w14:textId="77777777" w:rsidR="00114630" w:rsidRPr="00F32542" w:rsidRDefault="00114630" w:rsidP="00114630">
            <w:pPr>
              <w:spacing w:line="240" w:lineRule="auto"/>
              <w:jc w:val="center"/>
              <w:rPr>
                <w:rFonts w:cs="Arial"/>
                <w:color w:val="000000"/>
              </w:rPr>
            </w:pPr>
          </w:p>
        </w:tc>
        <w:tc>
          <w:tcPr>
            <w:tcW w:w="3038" w:type="dxa"/>
            <w:tcBorders>
              <w:top w:val="single" w:sz="4" w:space="0" w:color="auto"/>
              <w:left w:val="single" w:sz="4" w:space="0" w:color="auto"/>
              <w:bottom w:val="single" w:sz="4" w:space="0" w:color="auto"/>
              <w:right w:val="single" w:sz="4" w:space="0" w:color="auto"/>
            </w:tcBorders>
            <w:vAlign w:val="center"/>
            <w:hideMark/>
          </w:tcPr>
          <w:p w14:paraId="6D8CFECF" w14:textId="77777777" w:rsidR="00114630" w:rsidRPr="00F32542" w:rsidRDefault="00114630" w:rsidP="00114630">
            <w:pPr>
              <w:pStyle w:val="Default"/>
              <w:jc w:val="center"/>
            </w:pPr>
            <w:r w:rsidRPr="00F32542">
              <w:t>Paula Andrea Castillo</w:t>
            </w:r>
          </w:p>
          <w:p w14:paraId="551836F2" w14:textId="77777777" w:rsidR="00114630" w:rsidRPr="00F32542" w:rsidRDefault="00114630" w:rsidP="00114630">
            <w:pPr>
              <w:spacing w:after="0" w:line="240" w:lineRule="auto"/>
              <w:jc w:val="center"/>
              <w:rPr>
                <w:rFonts w:cs="Arial"/>
                <w:color w:val="000000"/>
              </w:rPr>
            </w:pPr>
            <w:r w:rsidRPr="00F32542">
              <w:rPr>
                <w:rFonts w:cs="Arial"/>
              </w:rPr>
              <w:t>Mendieta</w:t>
            </w:r>
          </w:p>
        </w:tc>
        <w:tc>
          <w:tcPr>
            <w:tcW w:w="1341" w:type="dxa"/>
            <w:tcBorders>
              <w:top w:val="single" w:sz="4" w:space="0" w:color="auto"/>
              <w:left w:val="single" w:sz="4" w:space="0" w:color="auto"/>
              <w:bottom w:val="single" w:sz="4" w:space="0" w:color="auto"/>
              <w:right w:val="single" w:sz="4" w:space="0" w:color="auto"/>
            </w:tcBorders>
            <w:vAlign w:val="center"/>
            <w:hideMark/>
          </w:tcPr>
          <w:p w14:paraId="1D00C38C" w14:textId="77777777" w:rsidR="00114630" w:rsidRPr="00F32542" w:rsidRDefault="00114630" w:rsidP="00114630">
            <w:pPr>
              <w:spacing w:after="0" w:line="240" w:lineRule="auto"/>
              <w:jc w:val="center"/>
              <w:rPr>
                <w:rFonts w:cs="Arial"/>
                <w:color w:val="000000"/>
              </w:rPr>
            </w:pPr>
            <w:r w:rsidRPr="00F32542">
              <w:rPr>
                <w:rFonts w:cs="Arial"/>
                <w:color w:val="000000"/>
              </w:rPr>
              <w:t>9.16</w:t>
            </w:r>
          </w:p>
        </w:tc>
      </w:tr>
      <w:tr w:rsidR="00114630" w:rsidRPr="00F32542" w14:paraId="3CCE633E" w14:textId="77777777" w:rsidTr="00114630">
        <w:trPr>
          <w:tblHeade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4C9F790A" w14:textId="77777777" w:rsidR="00114630" w:rsidRPr="00F32542" w:rsidRDefault="00114630" w:rsidP="00114630">
            <w:pPr>
              <w:spacing w:line="240" w:lineRule="auto"/>
              <w:jc w:val="center"/>
              <w:rPr>
                <w:rFonts w:cs="Arial"/>
              </w:rPr>
            </w:pPr>
            <w:r w:rsidRPr="00F32542">
              <w:rPr>
                <w:rFonts w:cs="Arial"/>
              </w:rPr>
              <w:t>7</w:t>
            </w:r>
          </w:p>
        </w:tc>
        <w:tc>
          <w:tcPr>
            <w:tcW w:w="986" w:type="dxa"/>
            <w:tcBorders>
              <w:top w:val="single" w:sz="4" w:space="0" w:color="auto"/>
              <w:left w:val="single" w:sz="4" w:space="0" w:color="auto"/>
              <w:bottom w:val="single" w:sz="4" w:space="0" w:color="auto"/>
              <w:right w:val="single" w:sz="4" w:space="0" w:color="auto"/>
            </w:tcBorders>
            <w:vAlign w:val="center"/>
            <w:hideMark/>
          </w:tcPr>
          <w:p w14:paraId="1CF34376" w14:textId="77777777" w:rsidR="00114630" w:rsidRPr="00F32542" w:rsidRDefault="00114630" w:rsidP="00114630">
            <w:pPr>
              <w:spacing w:line="240" w:lineRule="auto"/>
              <w:jc w:val="center"/>
              <w:rPr>
                <w:rFonts w:cs="Arial"/>
                <w:color w:val="000000"/>
              </w:rPr>
            </w:pPr>
            <w:r w:rsidRPr="00F32542">
              <w:rPr>
                <w:rFonts w:cs="Arial"/>
                <w:color w:val="000000"/>
              </w:rPr>
              <w:t>15</w:t>
            </w:r>
          </w:p>
        </w:tc>
        <w:tc>
          <w:tcPr>
            <w:tcW w:w="850" w:type="dxa"/>
            <w:tcBorders>
              <w:top w:val="single" w:sz="4" w:space="0" w:color="auto"/>
              <w:left w:val="single" w:sz="4" w:space="0" w:color="auto"/>
              <w:bottom w:val="single" w:sz="4" w:space="0" w:color="auto"/>
              <w:right w:val="single" w:sz="4" w:space="0" w:color="auto"/>
            </w:tcBorders>
            <w:vAlign w:val="center"/>
          </w:tcPr>
          <w:p w14:paraId="3B6FBCA4" w14:textId="77777777" w:rsidR="00114630" w:rsidRPr="00F32542" w:rsidRDefault="00114630" w:rsidP="00114630">
            <w:pPr>
              <w:spacing w:line="240" w:lineRule="auto"/>
              <w:jc w:val="center"/>
              <w:rPr>
                <w:rFonts w:cs="Arial"/>
                <w:color w:val="000000"/>
              </w:rPr>
            </w:pPr>
          </w:p>
        </w:tc>
        <w:tc>
          <w:tcPr>
            <w:tcW w:w="3038" w:type="dxa"/>
            <w:tcBorders>
              <w:top w:val="single" w:sz="4" w:space="0" w:color="auto"/>
              <w:left w:val="single" w:sz="4" w:space="0" w:color="auto"/>
              <w:bottom w:val="single" w:sz="4" w:space="0" w:color="auto"/>
              <w:right w:val="single" w:sz="4" w:space="0" w:color="auto"/>
            </w:tcBorders>
            <w:vAlign w:val="center"/>
            <w:hideMark/>
          </w:tcPr>
          <w:p w14:paraId="48A4B0F3" w14:textId="77777777" w:rsidR="00114630" w:rsidRPr="00F32542" w:rsidRDefault="00114630" w:rsidP="00114630">
            <w:pPr>
              <w:pStyle w:val="Default"/>
              <w:jc w:val="center"/>
            </w:pPr>
            <w:r w:rsidRPr="00F32542">
              <w:t>David Ricardo Nava Martínez</w:t>
            </w:r>
          </w:p>
        </w:tc>
        <w:tc>
          <w:tcPr>
            <w:tcW w:w="1341" w:type="dxa"/>
            <w:tcBorders>
              <w:top w:val="single" w:sz="4" w:space="0" w:color="auto"/>
              <w:left w:val="single" w:sz="4" w:space="0" w:color="auto"/>
              <w:bottom w:val="single" w:sz="4" w:space="0" w:color="auto"/>
              <w:right w:val="single" w:sz="4" w:space="0" w:color="auto"/>
            </w:tcBorders>
            <w:vAlign w:val="center"/>
            <w:hideMark/>
          </w:tcPr>
          <w:p w14:paraId="71253E27" w14:textId="77777777" w:rsidR="00114630" w:rsidRPr="00F32542" w:rsidRDefault="00114630" w:rsidP="00114630">
            <w:pPr>
              <w:spacing w:after="0" w:line="240" w:lineRule="auto"/>
              <w:jc w:val="center"/>
              <w:rPr>
                <w:rFonts w:cs="Arial"/>
                <w:color w:val="000000"/>
              </w:rPr>
            </w:pPr>
            <w:r w:rsidRPr="00F32542">
              <w:rPr>
                <w:rFonts w:cs="Arial"/>
                <w:color w:val="000000"/>
              </w:rPr>
              <w:t>6.66</w:t>
            </w:r>
          </w:p>
        </w:tc>
      </w:tr>
      <w:tr w:rsidR="00114630" w:rsidRPr="00F32542" w14:paraId="44473990" w14:textId="77777777" w:rsidTr="00114630">
        <w:trPr>
          <w:tblHeade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54C20BC7" w14:textId="77777777" w:rsidR="00114630" w:rsidRPr="00F32542" w:rsidRDefault="00114630" w:rsidP="00114630">
            <w:pPr>
              <w:spacing w:line="240" w:lineRule="auto"/>
              <w:jc w:val="center"/>
              <w:rPr>
                <w:rFonts w:cs="Arial"/>
              </w:rPr>
            </w:pPr>
            <w:r w:rsidRPr="00F32542">
              <w:rPr>
                <w:rFonts w:cs="Arial"/>
              </w:rPr>
              <w:t>8</w:t>
            </w:r>
          </w:p>
        </w:tc>
        <w:tc>
          <w:tcPr>
            <w:tcW w:w="986" w:type="dxa"/>
            <w:tcBorders>
              <w:top w:val="single" w:sz="4" w:space="0" w:color="auto"/>
              <w:left w:val="single" w:sz="4" w:space="0" w:color="auto"/>
              <w:bottom w:val="single" w:sz="4" w:space="0" w:color="auto"/>
              <w:right w:val="single" w:sz="4" w:space="0" w:color="auto"/>
            </w:tcBorders>
            <w:vAlign w:val="center"/>
            <w:hideMark/>
          </w:tcPr>
          <w:p w14:paraId="334AAB5C" w14:textId="77777777" w:rsidR="00114630" w:rsidRPr="00F32542" w:rsidRDefault="00114630" w:rsidP="00114630">
            <w:pPr>
              <w:spacing w:line="240" w:lineRule="auto"/>
              <w:jc w:val="center"/>
              <w:rPr>
                <w:rFonts w:cs="Arial"/>
                <w:color w:val="000000"/>
              </w:rPr>
            </w:pPr>
            <w:r w:rsidRPr="00F32542">
              <w:rPr>
                <w:rFonts w:cs="Arial"/>
                <w:color w:val="000000"/>
              </w:rPr>
              <w:t>29</w:t>
            </w:r>
          </w:p>
        </w:tc>
        <w:tc>
          <w:tcPr>
            <w:tcW w:w="850" w:type="dxa"/>
            <w:tcBorders>
              <w:top w:val="single" w:sz="4" w:space="0" w:color="auto"/>
              <w:left w:val="single" w:sz="4" w:space="0" w:color="auto"/>
              <w:bottom w:val="single" w:sz="4" w:space="0" w:color="auto"/>
              <w:right w:val="single" w:sz="4" w:space="0" w:color="auto"/>
            </w:tcBorders>
            <w:vAlign w:val="center"/>
          </w:tcPr>
          <w:p w14:paraId="529CA8A2" w14:textId="77777777" w:rsidR="00114630" w:rsidRPr="00F32542" w:rsidRDefault="00114630" w:rsidP="00114630">
            <w:pPr>
              <w:spacing w:line="240" w:lineRule="auto"/>
              <w:jc w:val="center"/>
              <w:rPr>
                <w:rFonts w:cs="Arial"/>
                <w:color w:val="000000"/>
              </w:rPr>
            </w:pPr>
          </w:p>
        </w:tc>
        <w:tc>
          <w:tcPr>
            <w:tcW w:w="3038" w:type="dxa"/>
            <w:tcBorders>
              <w:top w:val="single" w:sz="4" w:space="0" w:color="auto"/>
              <w:left w:val="single" w:sz="4" w:space="0" w:color="auto"/>
              <w:bottom w:val="single" w:sz="4" w:space="0" w:color="auto"/>
              <w:right w:val="single" w:sz="4" w:space="0" w:color="auto"/>
            </w:tcBorders>
            <w:vAlign w:val="center"/>
            <w:hideMark/>
          </w:tcPr>
          <w:p w14:paraId="5EFE423D" w14:textId="77777777" w:rsidR="00114630" w:rsidRPr="00F32542" w:rsidRDefault="00114630" w:rsidP="00114630">
            <w:pPr>
              <w:spacing w:after="0" w:line="240" w:lineRule="auto"/>
              <w:jc w:val="center"/>
              <w:rPr>
                <w:rFonts w:cs="Arial"/>
                <w:color w:val="000000"/>
              </w:rPr>
            </w:pPr>
            <w:r w:rsidRPr="00F32542">
              <w:rPr>
                <w:rFonts w:cs="Arial"/>
                <w:color w:val="000000"/>
              </w:rPr>
              <w:t>Rosa Nelly De la Vega Urrutia</w:t>
            </w:r>
          </w:p>
        </w:tc>
        <w:tc>
          <w:tcPr>
            <w:tcW w:w="1341" w:type="dxa"/>
            <w:tcBorders>
              <w:top w:val="single" w:sz="4" w:space="0" w:color="auto"/>
              <w:left w:val="single" w:sz="4" w:space="0" w:color="auto"/>
              <w:bottom w:val="single" w:sz="4" w:space="0" w:color="auto"/>
              <w:right w:val="single" w:sz="4" w:space="0" w:color="auto"/>
            </w:tcBorders>
            <w:vAlign w:val="center"/>
            <w:hideMark/>
          </w:tcPr>
          <w:p w14:paraId="5B4013DF" w14:textId="77777777" w:rsidR="00114630" w:rsidRPr="00F32542" w:rsidRDefault="00114630" w:rsidP="00114630">
            <w:pPr>
              <w:spacing w:after="0" w:line="240" w:lineRule="auto"/>
              <w:jc w:val="center"/>
              <w:rPr>
                <w:rFonts w:cs="Arial"/>
                <w:color w:val="000000"/>
              </w:rPr>
            </w:pPr>
            <w:r w:rsidRPr="00F32542">
              <w:rPr>
                <w:rFonts w:cs="Arial"/>
                <w:color w:val="000000"/>
              </w:rPr>
              <w:t>6.90</w:t>
            </w:r>
          </w:p>
        </w:tc>
      </w:tr>
      <w:tr w:rsidR="00114630" w:rsidRPr="00F32542" w14:paraId="26848C8B" w14:textId="77777777" w:rsidTr="00114630">
        <w:trPr>
          <w:tblHeade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7B782432" w14:textId="77777777" w:rsidR="00114630" w:rsidRPr="00F32542" w:rsidRDefault="00114630" w:rsidP="00114630">
            <w:pPr>
              <w:spacing w:line="240" w:lineRule="auto"/>
              <w:jc w:val="center"/>
              <w:rPr>
                <w:rFonts w:cs="Arial"/>
              </w:rPr>
            </w:pPr>
            <w:r w:rsidRPr="00F32542">
              <w:rPr>
                <w:rFonts w:cs="Arial"/>
              </w:rPr>
              <w:t>9</w:t>
            </w:r>
          </w:p>
        </w:tc>
        <w:tc>
          <w:tcPr>
            <w:tcW w:w="986" w:type="dxa"/>
            <w:tcBorders>
              <w:top w:val="single" w:sz="4" w:space="0" w:color="auto"/>
              <w:left w:val="single" w:sz="4" w:space="0" w:color="auto"/>
              <w:bottom w:val="single" w:sz="4" w:space="0" w:color="auto"/>
              <w:right w:val="single" w:sz="4" w:space="0" w:color="auto"/>
            </w:tcBorders>
            <w:vAlign w:val="center"/>
            <w:hideMark/>
          </w:tcPr>
          <w:p w14:paraId="4B119F07" w14:textId="77777777" w:rsidR="00114630" w:rsidRPr="00F32542" w:rsidRDefault="00114630" w:rsidP="00114630">
            <w:pPr>
              <w:spacing w:line="240" w:lineRule="auto"/>
              <w:jc w:val="center"/>
              <w:rPr>
                <w:rFonts w:cs="Arial"/>
                <w:color w:val="000000"/>
              </w:rPr>
            </w:pPr>
            <w:r w:rsidRPr="00F32542">
              <w:rPr>
                <w:rFonts w:cs="Arial"/>
                <w:color w:val="000000"/>
              </w:rPr>
              <w:t>14</w:t>
            </w:r>
          </w:p>
        </w:tc>
        <w:tc>
          <w:tcPr>
            <w:tcW w:w="850" w:type="dxa"/>
            <w:tcBorders>
              <w:top w:val="single" w:sz="4" w:space="0" w:color="auto"/>
              <w:left w:val="single" w:sz="4" w:space="0" w:color="auto"/>
              <w:bottom w:val="single" w:sz="4" w:space="0" w:color="auto"/>
              <w:right w:val="single" w:sz="4" w:space="0" w:color="auto"/>
            </w:tcBorders>
            <w:vAlign w:val="center"/>
          </w:tcPr>
          <w:p w14:paraId="7E0EBBF6" w14:textId="77777777" w:rsidR="00114630" w:rsidRPr="00F32542" w:rsidRDefault="00114630" w:rsidP="00114630">
            <w:pPr>
              <w:spacing w:line="240" w:lineRule="auto"/>
              <w:jc w:val="center"/>
              <w:rPr>
                <w:rFonts w:cs="Arial"/>
                <w:color w:val="000000"/>
              </w:rPr>
            </w:pPr>
          </w:p>
        </w:tc>
        <w:tc>
          <w:tcPr>
            <w:tcW w:w="3038" w:type="dxa"/>
            <w:tcBorders>
              <w:top w:val="single" w:sz="4" w:space="0" w:color="auto"/>
              <w:left w:val="single" w:sz="4" w:space="0" w:color="auto"/>
              <w:bottom w:val="single" w:sz="4" w:space="0" w:color="auto"/>
              <w:right w:val="single" w:sz="4" w:space="0" w:color="auto"/>
            </w:tcBorders>
            <w:vAlign w:val="center"/>
            <w:hideMark/>
          </w:tcPr>
          <w:p w14:paraId="164DC634" w14:textId="77777777" w:rsidR="00114630" w:rsidRPr="00F32542" w:rsidRDefault="00114630" w:rsidP="00114630">
            <w:pPr>
              <w:spacing w:after="0" w:line="240" w:lineRule="auto"/>
              <w:jc w:val="center"/>
              <w:rPr>
                <w:rFonts w:cs="Arial"/>
                <w:color w:val="000000"/>
              </w:rPr>
            </w:pPr>
            <w:r w:rsidRPr="00F32542">
              <w:rPr>
                <w:rFonts w:cs="Arial"/>
                <w:color w:val="000000"/>
              </w:rPr>
              <w:t>Alberto Caballero Palacios</w:t>
            </w:r>
          </w:p>
        </w:tc>
        <w:tc>
          <w:tcPr>
            <w:tcW w:w="1341" w:type="dxa"/>
            <w:tcBorders>
              <w:top w:val="single" w:sz="4" w:space="0" w:color="auto"/>
              <w:left w:val="single" w:sz="4" w:space="0" w:color="auto"/>
              <w:bottom w:val="single" w:sz="4" w:space="0" w:color="auto"/>
              <w:right w:val="single" w:sz="4" w:space="0" w:color="auto"/>
            </w:tcBorders>
            <w:vAlign w:val="center"/>
            <w:hideMark/>
          </w:tcPr>
          <w:p w14:paraId="40B979DB" w14:textId="77777777" w:rsidR="00114630" w:rsidRPr="00F32542" w:rsidRDefault="00114630" w:rsidP="00114630">
            <w:pPr>
              <w:spacing w:after="0" w:line="240" w:lineRule="auto"/>
              <w:jc w:val="center"/>
              <w:rPr>
                <w:rFonts w:cs="Arial"/>
                <w:color w:val="000000"/>
              </w:rPr>
            </w:pPr>
            <w:r w:rsidRPr="00F32542">
              <w:rPr>
                <w:rFonts w:cs="Arial"/>
                <w:color w:val="000000"/>
              </w:rPr>
              <w:t>2.65</w:t>
            </w:r>
          </w:p>
        </w:tc>
      </w:tr>
      <w:tr w:rsidR="00114630" w:rsidRPr="00F32542" w14:paraId="2E2C186C" w14:textId="77777777" w:rsidTr="00114630">
        <w:trPr>
          <w:tblHeade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46107CFF" w14:textId="77777777" w:rsidR="00114630" w:rsidRPr="00F32542" w:rsidRDefault="00114630" w:rsidP="00114630">
            <w:pPr>
              <w:spacing w:line="240" w:lineRule="auto"/>
              <w:jc w:val="center"/>
              <w:rPr>
                <w:rFonts w:cs="Arial"/>
              </w:rPr>
            </w:pPr>
            <w:r w:rsidRPr="00F32542">
              <w:rPr>
                <w:rFonts w:cs="Arial"/>
              </w:rPr>
              <w:t>10</w:t>
            </w:r>
          </w:p>
        </w:tc>
        <w:tc>
          <w:tcPr>
            <w:tcW w:w="986" w:type="dxa"/>
            <w:tcBorders>
              <w:top w:val="single" w:sz="4" w:space="0" w:color="auto"/>
              <w:left w:val="single" w:sz="4" w:space="0" w:color="auto"/>
              <w:bottom w:val="single" w:sz="4" w:space="0" w:color="auto"/>
              <w:right w:val="single" w:sz="4" w:space="0" w:color="auto"/>
            </w:tcBorders>
            <w:vAlign w:val="center"/>
            <w:hideMark/>
          </w:tcPr>
          <w:p w14:paraId="01982DF0" w14:textId="77777777" w:rsidR="00114630" w:rsidRPr="00F32542" w:rsidRDefault="00114630" w:rsidP="00114630">
            <w:pPr>
              <w:spacing w:line="240" w:lineRule="auto"/>
              <w:jc w:val="center"/>
              <w:rPr>
                <w:rFonts w:cs="Arial"/>
                <w:color w:val="000000"/>
              </w:rPr>
            </w:pPr>
            <w:r w:rsidRPr="00F32542">
              <w:rPr>
                <w:rFonts w:cs="Arial"/>
                <w:color w:val="000000"/>
              </w:rPr>
              <w:t>23</w:t>
            </w:r>
          </w:p>
        </w:tc>
        <w:tc>
          <w:tcPr>
            <w:tcW w:w="850" w:type="dxa"/>
            <w:tcBorders>
              <w:top w:val="single" w:sz="4" w:space="0" w:color="auto"/>
              <w:left w:val="single" w:sz="4" w:space="0" w:color="auto"/>
              <w:bottom w:val="single" w:sz="4" w:space="0" w:color="auto"/>
              <w:right w:val="single" w:sz="4" w:space="0" w:color="auto"/>
            </w:tcBorders>
            <w:vAlign w:val="center"/>
          </w:tcPr>
          <w:p w14:paraId="462707DC" w14:textId="77777777" w:rsidR="00114630" w:rsidRPr="00F32542" w:rsidRDefault="00114630" w:rsidP="00114630">
            <w:pPr>
              <w:spacing w:line="240" w:lineRule="auto"/>
              <w:jc w:val="center"/>
              <w:rPr>
                <w:rFonts w:cs="Arial"/>
                <w:color w:val="000000"/>
              </w:rPr>
            </w:pPr>
          </w:p>
        </w:tc>
        <w:tc>
          <w:tcPr>
            <w:tcW w:w="3038" w:type="dxa"/>
            <w:tcBorders>
              <w:top w:val="single" w:sz="4" w:space="0" w:color="auto"/>
              <w:left w:val="single" w:sz="4" w:space="0" w:color="auto"/>
              <w:bottom w:val="single" w:sz="4" w:space="0" w:color="auto"/>
              <w:right w:val="single" w:sz="4" w:space="0" w:color="auto"/>
            </w:tcBorders>
            <w:vAlign w:val="center"/>
            <w:hideMark/>
          </w:tcPr>
          <w:p w14:paraId="62655B30" w14:textId="77777777" w:rsidR="00114630" w:rsidRPr="00F32542" w:rsidRDefault="00114630" w:rsidP="00114630">
            <w:pPr>
              <w:spacing w:after="0" w:line="240" w:lineRule="auto"/>
              <w:jc w:val="center"/>
              <w:rPr>
                <w:rFonts w:cs="Arial"/>
                <w:color w:val="000000"/>
              </w:rPr>
            </w:pPr>
            <w:r w:rsidRPr="00F32542">
              <w:rPr>
                <w:rFonts w:cs="Arial"/>
                <w:color w:val="000000"/>
              </w:rPr>
              <w:t>Giovanna Esperanza Alvarado</w:t>
            </w:r>
          </w:p>
          <w:p w14:paraId="656824B1" w14:textId="77777777" w:rsidR="00114630" w:rsidRPr="00F32542" w:rsidRDefault="00114630" w:rsidP="00114630">
            <w:pPr>
              <w:spacing w:after="0" w:line="240" w:lineRule="auto"/>
              <w:jc w:val="center"/>
              <w:rPr>
                <w:rFonts w:cs="Arial"/>
                <w:color w:val="000000"/>
              </w:rPr>
            </w:pPr>
            <w:r w:rsidRPr="00F32542">
              <w:rPr>
                <w:rFonts w:cs="Arial"/>
                <w:color w:val="000000"/>
              </w:rPr>
              <w:t>Carrillo</w:t>
            </w:r>
          </w:p>
        </w:tc>
        <w:tc>
          <w:tcPr>
            <w:tcW w:w="1341" w:type="dxa"/>
            <w:tcBorders>
              <w:top w:val="single" w:sz="4" w:space="0" w:color="auto"/>
              <w:left w:val="single" w:sz="4" w:space="0" w:color="auto"/>
              <w:bottom w:val="single" w:sz="4" w:space="0" w:color="auto"/>
              <w:right w:val="single" w:sz="4" w:space="0" w:color="auto"/>
            </w:tcBorders>
            <w:vAlign w:val="center"/>
            <w:hideMark/>
          </w:tcPr>
          <w:p w14:paraId="6754757D" w14:textId="77777777" w:rsidR="00114630" w:rsidRPr="00F32542" w:rsidRDefault="00114630" w:rsidP="00114630">
            <w:pPr>
              <w:spacing w:after="0" w:line="240" w:lineRule="auto"/>
              <w:jc w:val="center"/>
              <w:rPr>
                <w:rFonts w:cs="Arial"/>
                <w:color w:val="000000"/>
              </w:rPr>
            </w:pPr>
            <w:r w:rsidRPr="00F32542">
              <w:rPr>
                <w:rFonts w:cs="Arial"/>
                <w:color w:val="000000"/>
              </w:rPr>
              <w:t>5.71</w:t>
            </w:r>
          </w:p>
        </w:tc>
      </w:tr>
      <w:tr w:rsidR="00114630" w:rsidRPr="00F32542" w14:paraId="2FC05671" w14:textId="77777777" w:rsidTr="00114630">
        <w:trPr>
          <w:tblHeade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6CB1C32B" w14:textId="77777777" w:rsidR="00114630" w:rsidRPr="00F32542" w:rsidRDefault="00114630" w:rsidP="00114630">
            <w:pPr>
              <w:spacing w:line="240" w:lineRule="auto"/>
              <w:jc w:val="center"/>
              <w:rPr>
                <w:rFonts w:cs="Arial"/>
              </w:rPr>
            </w:pPr>
            <w:r w:rsidRPr="00F32542">
              <w:rPr>
                <w:rFonts w:cs="Arial"/>
              </w:rPr>
              <w:t>11</w:t>
            </w:r>
          </w:p>
        </w:tc>
        <w:tc>
          <w:tcPr>
            <w:tcW w:w="986" w:type="dxa"/>
            <w:tcBorders>
              <w:top w:val="single" w:sz="4" w:space="0" w:color="auto"/>
              <w:left w:val="single" w:sz="4" w:space="0" w:color="auto"/>
              <w:bottom w:val="single" w:sz="4" w:space="0" w:color="auto"/>
              <w:right w:val="single" w:sz="4" w:space="0" w:color="auto"/>
            </w:tcBorders>
            <w:vAlign w:val="center"/>
            <w:hideMark/>
          </w:tcPr>
          <w:p w14:paraId="7A9943F3" w14:textId="77777777" w:rsidR="00114630" w:rsidRPr="00F32542" w:rsidRDefault="00114630" w:rsidP="00114630">
            <w:pPr>
              <w:spacing w:line="240" w:lineRule="auto"/>
              <w:jc w:val="center"/>
              <w:rPr>
                <w:rFonts w:cs="Arial"/>
                <w:color w:val="000000"/>
              </w:rPr>
            </w:pPr>
            <w:r w:rsidRPr="00F32542">
              <w:rPr>
                <w:rFonts w:cs="Arial"/>
                <w:color w:val="000000"/>
              </w:rPr>
              <w:t>3</w:t>
            </w:r>
          </w:p>
        </w:tc>
        <w:tc>
          <w:tcPr>
            <w:tcW w:w="850" w:type="dxa"/>
            <w:tcBorders>
              <w:top w:val="single" w:sz="4" w:space="0" w:color="auto"/>
              <w:left w:val="single" w:sz="4" w:space="0" w:color="auto"/>
              <w:bottom w:val="single" w:sz="4" w:space="0" w:color="auto"/>
              <w:right w:val="single" w:sz="4" w:space="0" w:color="auto"/>
            </w:tcBorders>
            <w:vAlign w:val="center"/>
          </w:tcPr>
          <w:p w14:paraId="64D0C0E1" w14:textId="77777777" w:rsidR="00114630" w:rsidRPr="00F32542" w:rsidRDefault="00114630" w:rsidP="00114630">
            <w:pPr>
              <w:spacing w:line="240" w:lineRule="auto"/>
              <w:jc w:val="center"/>
              <w:rPr>
                <w:rFonts w:cs="Arial"/>
                <w:color w:val="000000"/>
              </w:rPr>
            </w:pPr>
          </w:p>
        </w:tc>
        <w:tc>
          <w:tcPr>
            <w:tcW w:w="3038" w:type="dxa"/>
            <w:tcBorders>
              <w:top w:val="single" w:sz="4" w:space="0" w:color="auto"/>
              <w:left w:val="single" w:sz="4" w:space="0" w:color="auto"/>
              <w:bottom w:val="single" w:sz="4" w:space="0" w:color="auto"/>
              <w:right w:val="single" w:sz="4" w:space="0" w:color="auto"/>
            </w:tcBorders>
            <w:vAlign w:val="center"/>
            <w:hideMark/>
          </w:tcPr>
          <w:p w14:paraId="37845E77" w14:textId="77777777" w:rsidR="00114630" w:rsidRPr="00F32542" w:rsidRDefault="00114630" w:rsidP="00114630">
            <w:pPr>
              <w:spacing w:after="0" w:line="240" w:lineRule="auto"/>
              <w:jc w:val="center"/>
              <w:rPr>
                <w:rFonts w:cs="Arial"/>
                <w:color w:val="000000"/>
              </w:rPr>
            </w:pPr>
            <w:r w:rsidRPr="00F32542">
              <w:rPr>
                <w:rFonts w:cs="Arial"/>
                <w:color w:val="000000"/>
              </w:rPr>
              <w:t>María de los Ángeles Palafox</w:t>
            </w:r>
          </w:p>
          <w:p w14:paraId="6C28D631" w14:textId="77777777" w:rsidR="00114630" w:rsidRPr="00F32542" w:rsidRDefault="00114630" w:rsidP="00114630">
            <w:pPr>
              <w:spacing w:after="0" w:line="240" w:lineRule="auto"/>
              <w:jc w:val="center"/>
              <w:rPr>
                <w:rFonts w:cs="Arial"/>
                <w:color w:val="000000"/>
              </w:rPr>
            </w:pPr>
            <w:r w:rsidRPr="00F32542">
              <w:rPr>
                <w:rFonts w:cs="Arial"/>
                <w:color w:val="000000"/>
              </w:rPr>
              <w:t>Morales</w:t>
            </w:r>
          </w:p>
        </w:tc>
        <w:tc>
          <w:tcPr>
            <w:tcW w:w="1341" w:type="dxa"/>
            <w:tcBorders>
              <w:top w:val="single" w:sz="4" w:space="0" w:color="auto"/>
              <w:left w:val="single" w:sz="4" w:space="0" w:color="auto"/>
              <w:bottom w:val="single" w:sz="4" w:space="0" w:color="auto"/>
              <w:right w:val="single" w:sz="4" w:space="0" w:color="auto"/>
            </w:tcBorders>
            <w:vAlign w:val="center"/>
            <w:hideMark/>
          </w:tcPr>
          <w:p w14:paraId="75AE0345" w14:textId="77777777" w:rsidR="00114630" w:rsidRPr="00F32542" w:rsidRDefault="00114630" w:rsidP="00114630">
            <w:pPr>
              <w:spacing w:after="0" w:line="240" w:lineRule="auto"/>
              <w:jc w:val="center"/>
              <w:rPr>
                <w:rFonts w:cs="Arial"/>
                <w:color w:val="000000"/>
              </w:rPr>
            </w:pPr>
            <w:r w:rsidRPr="00F32542">
              <w:rPr>
                <w:rFonts w:cs="Arial"/>
                <w:color w:val="000000"/>
              </w:rPr>
              <w:t>3.16</w:t>
            </w:r>
          </w:p>
        </w:tc>
      </w:tr>
      <w:tr w:rsidR="00114630" w:rsidRPr="00F32542" w14:paraId="4E1E8DD6" w14:textId="77777777" w:rsidTr="00114630">
        <w:trPr>
          <w:tblHeade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00C107F1" w14:textId="77777777" w:rsidR="00114630" w:rsidRPr="00F32542" w:rsidRDefault="00114630" w:rsidP="00114630">
            <w:pPr>
              <w:spacing w:line="240" w:lineRule="auto"/>
              <w:jc w:val="center"/>
              <w:rPr>
                <w:rFonts w:cs="Arial"/>
              </w:rPr>
            </w:pPr>
            <w:r w:rsidRPr="00F32542">
              <w:rPr>
                <w:rFonts w:cs="Arial"/>
              </w:rPr>
              <w:t>12</w:t>
            </w:r>
          </w:p>
        </w:tc>
        <w:tc>
          <w:tcPr>
            <w:tcW w:w="986" w:type="dxa"/>
            <w:tcBorders>
              <w:top w:val="single" w:sz="4" w:space="0" w:color="auto"/>
              <w:left w:val="single" w:sz="4" w:space="0" w:color="auto"/>
              <w:bottom w:val="single" w:sz="4" w:space="0" w:color="auto"/>
              <w:right w:val="single" w:sz="4" w:space="0" w:color="auto"/>
            </w:tcBorders>
            <w:vAlign w:val="center"/>
            <w:hideMark/>
          </w:tcPr>
          <w:p w14:paraId="085A68B1" w14:textId="77777777" w:rsidR="00114630" w:rsidRPr="00F32542" w:rsidRDefault="00114630" w:rsidP="00114630">
            <w:pPr>
              <w:spacing w:line="240" w:lineRule="auto"/>
              <w:jc w:val="center"/>
              <w:rPr>
                <w:rFonts w:cs="Arial"/>
                <w:color w:val="000000"/>
              </w:rPr>
            </w:pPr>
            <w:r w:rsidRPr="00F32542">
              <w:rPr>
                <w:rFonts w:cs="Arial"/>
                <w:color w:val="000000"/>
              </w:rPr>
              <w:t>17</w:t>
            </w:r>
          </w:p>
        </w:tc>
        <w:tc>
          <w:tcPr>
            <w:tcW w:w="850" w:type="dxa"/>
            <w:tcBorders>
              <w:top w:val="single" w:sz="4" w:space="0" w:color="auto"/>
              <w:left w:val="single" w:sz="4" w:space="0" w:color="auto"/>
              <w:bottom w:val="single" w:sz="4" w:space="0" w:color="auto"/>
              <w:right w:val="single" w:sz="4" w:space="0" w:color="auto"/>
            </w:tcBorders>
            <w:vAlign w:val="center"/>
          </w:tcPr>
          <w:p w14:paraId="0F6F145D" w14:textId="77777777" w:rsidR="00114630" w:rsidRPr="00F32542" w:rsidRDefault="00114630" w:rsidP="00114630">
            <w:pPr>
              <w:spacing w:line="240" w:lineRule="auto"/>
              <w:jc w:val="center"/>
              <w:rPr>
                <w:rFonts w:cs="Arial"/>
                <w:color w:val="000000"/>
              </w:rPr>
            </w:pPr>
          </w:p>
        </w:tc>
        <w:tc>
          <w:tcPr>
            <w:tcW w:w="3038" w:type="dxa"/>
            <w:tcBorders>
              <w:top w:val="single" w:sz="4" w:space="0" w:color="auto"/>
              <w:left w:val="single" w:sz="4" w:space="0" w:color="auto"/>
              <w:bottom w:val="single" w:sz="4" w:space="0" w:color="auto"/>
              <w:right w:val="single" w:sz="4" w:space="0" w:color="auto"/>
            </w:tcBorders>
            <w:vAlign w:val="center"/>
            <w:hideMark/>
          </w:tcPr>
          <w:p w14:paraId="336CEC65" w14:textId="77777777" w:rsidR="00114630" w:rsidRPr="00F32542" w:rsidRDefault="00114630" w:rsidP="00114630">
            <w:pPr>
              <w:spacing w:after="0" w:line="240" w:lineRule="auto"/>
              <w:jc w:val="center"/>
              <w:rPr>
                <w:rFonts w:cs="Arial"/>
                <w:color w:val="000000"/>
              </w:rPr>
            </w:pPr>
            <w:proofErr w:type="spellStart"/>
            <w:r w:rsidRPr="00F32542">
              <w:rPr>
                <w:rFonts w:cs="Arial"/>
                <w:color w:val="000000"/>
              </w:rPr>
              <w:t>Kilauren</w:t>
            </w:r>
            <w:proofErr w:type="spellEnd"/>
            <w:r w:rsidRPr="00F32542">
              <w:rPr>
                <w:rFonts w:cs="Arial"/>
                <w:color w:val="000000"/>
              </w:rPr>
              <w:t xml:space="preserve"> Paulina Cobos</w:t>
            </w:r>
          </w:p>
          <w:p w14:paraId="74B5AE26" w14:textId="77777777" w:rsidR="00114630" w:rsidRPr="00F32542" w:rsidRDefault="00114630" w:rsidP="00114630">
            <w:pPr>
              <w:spacing w:after="0" w:line="240" w:lineRule="auto"/>
              <w:jc w:val="center"/>
              <w:rPr>
                <w:rFonts w:cs="Arial"/>
                <w:color w:val="000000"/>
              </w:rPr>
            </w:pPr>
            <w:r w:rsidRPr="00F32542">
              <w:rPr>
                <w:rFonts w:cs="Arial"/>
                <w:color w:val="000000"/>
              </w:rPr>
              <w:t>Lázaro</w:t>
            </w:r>
          </w:p>
        </w:tc>
        <w:tc>
          <w:tcPr>
            <w:tcW w:w="1341" w:type="dxa"/>
            <w:tcBorders>
              <w:top w:val="single" w:sz="4" w:space="0" w:color="auto"/>
              <w:left w:val="single" w:sz="4" w:space="0" w:color="auto"/>
              <w:bottom w:val="single" w:sz="4" w:space="0" w:color="auto"/>
              <w:right w:val="single" w:sz="4" w:space="0" w:color="auto"/>
            </w:tcBorders>
            <w:vAlign w:val="center"/>
            <w:hideMark/>
          </w:tcPr>
          <w:p w14:paraId="78E6ECFD" w14:textId="77777777" w:rsidR="00114630" w:rsidRPr="00F32542" w:rsidRDefault="00114630" w:rsidP="00114630">
            <w:pPr>
              <w:spacing w:after="0" w:line="240" w:lineRule="auto"/>
              <w:jc w:val="center"/>
              <w:rPr>
                <w:rFonts w:cs="Arial"/>
                <w:color w:val="000000"/>
              </w:rPr>
            </w:pPr>
            <w:r w:rsidRPr="00F32542">
              <w:rPr>
                <w:rFonts w:cs="Arial"/>
                <w:color w:val="000000"/>
              </w:rPr>
              <w:t>1.78</w:t>
            </w:r>
          </w:p>
        </w:tc>
      </w:tr>
    </w:tbl>
    <w:p w14:paraId="05342230" w14:textId="77777777" w:rsidR="00114630" w:rsidRPr="00F32542" w:rsidRDefault="00114630" w:rsidP="00114630">
      <w:pPr>
        <w:pStyle w:val="NormalWeb"/>
        <w:spacing w:line="360" w:lineRule="auto"/>
        <w:jc w:val="both"/>
        <w:rPr>
          <w:rFonts w:ascii="Arial" w:hAnsi="Arial" w:cs="Arial"/>
          <w:sz w:val="28"/>
          <w:szCs w:val="22"/>
          <w:lang w:val="es-MX"/>
        </w:rPr>
      </w:pPr>
      <w:r w:rsidRPr="00F32542">
        <w:rPr>
          <w:rFonts w:ascii="Arial" w:hAnsi="Arial" w:cs="Arial"/>
          <w:sz w:val="28"/>
          <w:szCs w:val="22"/>
        </w:rPr>
        <w:t xml:space="preserve">Como se observa, Ricardo </w:t>
      </w:r>
      <w:proofErr w:type="spellStart"/>
      <w:r w:rsidRPr="00F32542">
        <w:rPr>
          <w:rFonts w:ascii="Arial" w:hAnsi="Arial" w:cs="Arial"/>
          <w:sz w:val="28"/>
          <w:szCs w:val="22"/>
        </w:rPr>
        <w:t>Janecarlo</w:t>
      </w:r>
      <w:proofErr w:type="spellEnd"/>
      <w:r w:rsidRPr="00F32542">
        <w:rPr>
          <w:rFonts w:ascii="Arial" w:hAnsi="Arial" w:cs="Arial"/>
          <w:sz w:val="28"/>
          <w:szCs w:val="22"/>
        </w:rPr>
        <w:t xml:space="preserve"> Lozano Reynoso obtuvo el mejor porcentaje de votación, por lo cual, de conformidad con el artículo 24 del </w:t>
      </w:r>
      <w:r w:rsidRPr="00F32542">
        <w:rPr>
          <w:rFonts w:ascii="Arial" w:hAnsi="Arial" w:cs="Arial"/>
          <w:i/>
          <w:sz w:val="28"/>
          <w:szCs w:val="22"/>
        </w:rPr>
        <w:t xml:space="preserve">Código local, </w:t>
      </w:r>
      <w:r w:rsidRPr="00F32542">
        <w:rPr>
          <w:rFonts w:ascii="Arial" w:hAnsi="Arial" w:cs="Arial"/>
          <w:sz w:val="28"/>
          <w:szCs w:val="22"/>
        </w:rPr>
        <w:t>le corresponde encabezar la lista B.</w:t>
      </w:r>
    </w:p>
    <w:p w14:paraId="3C103DF1" w14:textId="77777777" w:rsidR="00114630" w:rsidRPr="00F32542" w:rsidRDefault="00114630" w:rsidP="00114630">
      <w:pPr>
        <w:pStyle w:val="NormalWeb"/>
        <w:spacing w:line="360" w:lineRule="auto"/>
        <w:jc w:val="both"/>
        <w:rPr>
          <w:rFonts w:ascii="Arial" w:hAnsi="Arial" w:cs="Arial"/>
          <w:sz w:val="28"/>
          <w:szCs w:val="22"/>
        </w:rPr>
      </w:pPr>
      <w:r w:rsidRPr="00F32542">
        <w:rPr>
          <w:rFonts w:ascii="Arial" w:hAnsi="Arial" w:cs="Arial"/>
          <w:sz w:val="28"/>
          <w:szCs w:val="22"/>
        </w:rPr>
        <w:t>De ahí que, si al PRD le correspondieron dos diputaciones de representación proporcional, la primera, como se vio debe ser asignada a la primer</w:t>
      </w:r>
      <w:r w:rsidR="007F14BE" w:rsidRPr="00F32542">
        <w:rPr>
          <w:rFonts w:ascii="Arial" w:hAnsi="Arial" w:cs="Arial"/>
          <w:sz w:val="28"/>
          <w:szCs w:val="22"/>
        </w:rPr>
        <w:t>a</w:t>
      </w:r>
      <w:r w:rsidRPr="00F32542">
        <w:rPr>
          <w:rFonts w:ascii="Arial" w:hAnsi="Arial" w:cs="Arial"/>
          <w:sz w:val="28"/>
          <w:szCs w:val="22"/>
        </w:rPr>
        <w:t xml:space="preserve"> fórmula de la lista A (Víctor Hugo Lobo Román) y la segunda diputación a la primer</w:t>
      </w:r>
      <w:r w:rsidR="00287873" w:rsidRPr="00F32542">
        <w:rPr>
          <w:rFonts w:ascii="Arial" w:hAnsi="Arial" w:cs="Arial"/>
          <w:sz w:val="28"/>
          <w:szCs w:val="22"/>
        </w:rPr>
        <w:t>a</w:t>
      </w:r>
      <w:r w:rsidRPr="00F32542">
        <w:rPr>
          <w:rFonts w:ascii="Arial" w:hAnsi="Arial" w:cs="Arial"/>
          <w:sz w:val="28"/>
          <w:szCs w:val="22"/>
        </w:rPr>
        <w:t xml:space="preserve"> fórmula de la lista B (Ricardo </w:t>
      </w:r>
      <w:proofErr w:type="spellStart"/>
      <w:r w:rsidRPr="00F32542">
        <w:rPr>
          <w:rFonts w:ascii="Arial" w:hAnsi="Arial" w:cs="Arial"/>
          <w:sz w:val="28"/>
          <w:szCs w:val="22"/>
        </w:rPr>
        <w:t>Janecarlo</w:t>
      </w:r>
      <w:proofErr w:type="spellEnd"/>
      <w:r w:rsidRPr="00F32542">
        <w:rPr>
          <w:rFonts w:ascii="Arial" w:hAnsi="Arial" w:cs="Arial"/>
          <w:sz w:val="28"/>
          <w:szCs w:val="22"/>
        </w:rPr>
        <w:t xml:space="preserve"> Lozano Reynoso). </w:t>
      </w:r>
    </w:p>
    <w:p w14:paraId="56250A5C" w14:textId="77777777" w:rsidR="00114630" w:rsidRPr="00F32542" w:rsidRDefault="00114630" w:rsidP="00114630">
      <w:pPr>
        <w:pStyle w:val="NormalWeb"/>
        <w:spacing w:line="360" w:lineRule="auto"/>
        <w:jc w:val="both"/>
        <w:rPr>
          <w:rFonts w:ascii="Arial" w:hAnsi="Arial" w:cs="Arial"/>
          <w:sz w:val="28"/>
          <w:szCs w:val="22"/>
        </w:rPr>
      </w:pPr>
      <w:r w:rsidRPr="00F32542">
        <w:rPr>
          <w:rFonts w:ascii="Arial" w:hAnsi="Arial" w:cs="Arial"/>
          <w:sz w:val="28"/>
          <w:szCs w:val="22"/>
        </w:rPr>
        <w:t xml:space="preserve">Máxime que el artículo 24, fracción V, del </w:t>
      </w:r>
      <w:r w:rsidRPr="00F32542">
        <w:rPr>
          <w:rFonts w:ascii="Arial" w:hAnsi="Arial" w:cs="Arial"/>
          <w:i/>
          <w:sz w:val="28"/>
          <w:szCs w:val="22"/>
        </w:rPr>
        <w:t xml:space="preserve">Código local, </w:t>
      </w:r>
      <w:r w:rsidRPr="00F32542">
        <w:rPr>
          <w:rFonts w:ascii="Arial" w:hAnsi="Arial" w:cs="Arial"/>
          <w:sz w:val="28"/>
          <w:szCs w:val="22"/>
        </w:rPr>
        <w:t xml:space="preserve">autoriza que la lista definitiva se conforme por dos fórmulas del mismo género. </w:t>
      </w:r>
    </w:p>
    <w:p w14:paraId="660B5405" w14:textId="77777777" w:rsidR="00114630" w:rsidRPr="00F32542" w:rsidRDefault="00114630" w:rsidP="00114630">
      <w:pPr>
        <w:pStyle w:val="NormalWeb"/>
        <w:spacing w:line="360" w:lineRule="auto"/>
        <w:jc w:val="both"/>
        <w:rPr>
          <w:rFonts w:ascii="Arial" w:hAnsi="Arial" w:cs="Arial"/>
          <w:sz w:val="28"/>
          <w:szCs w:val="22"/>
        </w:rPr>
      </w:pPr>
      <w:r w:rsidRPr="00F32542">
        <w:rPr>
          <w:rFonts w:ascii="Arial" w:hAnsi="Arial" w:cs="Arial"/>
          <w:sz w:val="28"/>
          <w:szCs w:val="22"/>
        </w:rPr>
        <w:t xml:space="preserve">Sin que, en este caso, sea posible que la segunda diputación sea asignada por paridad a una fórmula de mujeres, porque esto afectaría </w:t>
      </w:r>
      <w:r w:rsidRPr="00F32542">
        <w:rPr>
          <w:rFonts w:ascii="Arial" w:hAnsi="Arial" w:cs="Arial"/>
          <w:sz w:val="28"/>
          <w:szCs w:val="22"/>
        </w:rPr>
        <w:lastRenderedPageBreak/>
        <w:t xml:space="preserve">el </w:t>
      </w:r>
      <w:r w:rsidRPr="00F32542">
        <w:rPr>
          <w:rFonts w:ascii="Arial" w:hAnsi="Arial" w:cs="Arial"/>
          <w:b/>
          <w:sz w:val="28"/>
          <w:szCs w:val="22"/>
        </w:rPr>
        <w:t xml:space="preserve">principio democrático </w:t>
      </w:r>
      <w:r w:rsidRPr="00F32542">
        <w:rPr>
          <w:rFonts w:ascii="Arial" w:hAnsi="Arial" w:cs="Arial"/>
          <w:sz w:val="28"/>
          <w:szCs w:val="22"/>
        </w:rPr>
        <w:t xml:space="preserve">que rige la integración de la lista definitiva de representación proporcional en la Ciudad. </w:t>
      </w:r>
    </w:p>
    <w:p w14:paraId="5BA33388" w14:textId="77777777" w:rsidR="00114630" w:rsidRPr="00F32542" w:rsidRDefault="00114630" w:rsidP="00114630">
      <w:pPr>
        <w:pStyle w:val="NormalWeb"/>
        <w:spacing w:line="360" w:lineRule="auto"/>
        <w:jc w:val="both"/>
        <w:rPr>
          <w:rFonts w:ascii="Arial" w:hAnsi="Arial" w:cs="Arial"/>
          <w:sz w:val="28"/>
          <w:szCs w:val="22"/>
        </w:rPr>
      </w:pPr>
      <w:r w:rsidRPr="00F32542">
        <w:rPr>
          <w:rFonts w:ascii="Arial" w:hAnsi="Arial" w:cs="Arial"/>
          <w:sz w:val="28"/>
          <w:szCs w:val="22"/>
        </w:rPr>
        <w:t xml:space="preserve">Pues, como se explicó, la lista definitiva, al momento de integrarse con la lista B debe respetar tal principio, cuestión que se refleja en incluir a las fórmulas que obtuvieron una mejor votación. </w:t>
      </w:r>
    </w:p>
    <w:p w14:paraId="1EFCE1F1" w14:textId="77777777" w:rsidR="00114630" w:rsidRPr="00F32542" w:rsidRDefault="00114630" w:rsidP="00114630">
      <w:pPr>
        <w:pStyle w:val="NormalWeb"/>
        <w:spacing w:line="360" w:lineRule="auto"/>
        <w:jc w:val="both"/>
        <w:rPr>
          <w:rFonts w:ascii="Arial" w:hAnsi="Arial" w:cs="Arial"/>
          <w:sz w:val="28"/>
          <w:szCs w:val="22"/>
        </w:rPr>
      </w:pPr>
      <w:r w:rsidRPr="00F32542">
        <w:rPr>
          <w:rFonts w:ascii="Arial" w:hAnsi="Arial" w:cs="Arial"/>
          <w:sz w:val="28"/>
          <w:szCs w:val="22"/>
        </w:rPr>
        <w:t xml:space="preserve">Es decir, al garantizar que la integración de la lista B sea con las personas que obtuvieron un mejor porcentaje de votación se tutela la decisión ciudadana manifestada en las urnas, elemento que, por disposición de la normativa de la Ciudad, debe ser considerada para la integración de tal lista y, a la postre, la definitiva.  </w:t>
      </w:r>
    </w:p>
    <w:p w14:paraId="6674A5DA" w14:textId="77777777" w:rsidR="00114630" w:rsidRPr="00F32542" w:rsidRDefault="00114630" w:rsidP="00114630">
      <w:pPr>
        <w:pStyle w:val="NormalWeb"/>
        <w:spacing w:line="360" w:lineRule="auto"/>
        <w:jc w:val="both"/>
        <w:rPr>
          <w:rFonts w:ascii="Arial" w:hAnsi="Arial" w:cs="Arial"/>
          <w:sz w:val="28"/>
          <w:szCs w:val="22"/>
        </w:rPr>
      </w:pPr>
      <w:r w:rsidRPr="00F32542">
        <w:rPr>
          <w:rFonts w:ascii="Arial" w:hAnsi="Arial" w:cs="Arial"/>
          <w:sz w:val="28"/>
          <w:szCs w:val="22"/>
        </w:rPr>
        <w:t xml:space="preserve">Sin que se vea afectado el principio de paridad de género porque, precisamente, la lista B se integra de manera paritaria a partir del principio de alternancia, pues ésta es encabezada por la persona con mejor votación, por lo cual, la siguiente posición de la lista deberá ser para la persona del género distinto con mejor votación y así sucesivamente. </w:t>
      </w:r>
    </w:p>
    <w:p w14:paraId="240B8B17" w14:textId="77777777" w:rsidR="00114630" w:rsidRPr="00F32542" w:rsidRDefault="00114630" w:rsidP="00114630">
      <w:pPr>
        <w:pStyle w:val="NormalWeb"/>
        <w:spacing w:line="360" w:lineRule="auto"/>
        <w:jc w:val="both"/>
        <w:rPr>
          <w:rFonts w:ascii="Arial" w:hAnsi="Arial" w:cs="Arial"/>
          <w:sz w:val="28"/>
          <w:szCs w:val="22"/>
        </w:rPr>
      </w:pPr>
      <w:r w:rsidRPr="00F32542">
        <w:rPr>
          <w:rFonts w:ascii="Arial" w:hAnsi="Arial" w:cs="Arial"/>
          <w:sz w:val="28"/>
          <w:szCs w:val="22"/>
        </w:rPr>
        <w:t xml:space="preserve">Además, tampoco se ve afectado el principio de paridad porque la legislación local prevé el control de la sobre y </w:t>
      </w:r>
      <w:proofErr w:type="gramStart"/>
      <w:r w:rsidRPr="00F32542">
        <w:rPr>
          <w:rFonts w:ascii="Arial" w:hAnsi="Arial" w:cs="Arial"/>
          <w:sz w:val="28"/>
          <w:szCs w:val="22"/>
        </w:rPr>
        <w:t>sub representación</w:t>
      </w:r>
      <w:proofErr w:type="gramEnd"/>
      <w:r w:rsidRPr="00F32542">
        <w:rPr>
          <w:rFonts w:ascii="Arial" w:hAnsi="Arial" w:cs="Arial"/>
          <w:sz w:val="28"/>
          <w:szCs w:val="22"/>
        </w:rPr>
        <w:t xml:space="preserve"> de géneros en el Congreso de la Ciudad, de modo que forzosamente éste debe quedar integrado por la mitad de mujeres y la mitad de hombres. </w:t>
      </w:r>
    </w:p>
    <w:p w14:paraId="69E3C499" w14:textId="77777777" w:rsidR="00114630" w:rsidRPr="00F32542" w:rsidRDefault="00114630" w:rsidP="00114630">
      <w:pPr>
        <w:pStyle w:val="NormalWeb"/>
        <w:spacing w:line="360" w:lineRule="auto"/>
        <w:jc w:val="both"/>
        <w:rPr>
          <w:rFonts w:ascii="Arial" w:hAnsi="Arial" w:cs="Arial"/>
          <w:sz w:val="28"/>
          <w:szCs w:val="22"/>
        </w:rPr>
      </w:pPr>
      <w:r w:rsidRPr="00F32542">
        <w:rPr>
          <w:rFonts w:ascii="Arial" w:hAnsi="Arial" w:cs="Arial"/>
          <w:sz w:val="28"/>
          <w:szCs w:val="22"/>
        </w:rPr>
        <w:t xml:space="preserve">En efecto, el artículo 27, fracción VI, inciso h), del </w:t>
      </w:r>
      <w:r w:rsidRPr="00F32542">
        <w:rPr>
          <w:rFonts w:ascii="Arial" w:hAnsi="Arial" w:cs="Arial"/>
          <w:i/>
          <w:sz w:val="28"/>
          <w:szCs w:val="22"/>
        </w:rPr>
        <w:t>Código local</w:t>
      </w:r>
      <w:r w:rsidRPr="00F32542">
        <w:rPr>
          <w:rFonts w:ascii="Arial" w:hAnsi="Arial" w:cs="Arial"/>
          <w:sz w:val="28"/>
          <w:szCs w:val="22"/>
        </w:rPr>
        <w:t xml:space="preserve">, prevé </w:t>
      </w:r>
      <w:proofErr w:type="gramStart"/>
      <w:r w:rsidRPr="00F32542">
        <w:rPr>
          <w:rFonts w:ascii="Arial" w:hAnsi="Arial" w:cs="Arial"/>
          <w:sz w:val="28"/>
          <w:szCs w:val="22"/>
        </w:rPr>
        <w:t>que</w:t>
      </w:r>
      <w:proofErr w:type="gramEnd"/>
      <w:r w:rsidRPr="00F32542">
        <w:rPr>
          <w:rFonts w:ascii="Arial" w:hAnsi="Arial" w:cs="Arial"/>
          <w:sz w:val="28"/>
          <w:szCs w:val="22"/>
        </w:rPr>
        <w:t xml:space="preserve"> en caso de existir una integración de las diputaciones electas por ambos principios no paritaria, se deducirán tantos diputados como sean necesarios del género sobrerrepresentado, y se sustituirán por las fórmulas del género subrepresentado.</w:t>
      </w:r>
    </w:p>
    <w:p w14:paraId="61FA1A37" w14:textId="77777777" w:rsidR="00114630" w:rsidRPr="00F32542" w:rsidRDefault="00114630" w:rsidP="00114630">
      <w:pPr>
        <w:pStyle w:val="NormalWeb"/>
        <w:spacing w:line="360" w:lineRule="auto"/>
        <w:jc w:val="both"/>
        <w:rPr>
          <w:rFonts w:ascii="Arial" w:hAnsi="Arial" w:cs="Arial"/>
          <w:sz w:val="28"/>
          <w:szCs w:val="22"/>
        </w:rPr>
      </w:pPr>
      <w:r w:rsidRPr="00F32542">
        <w:rPr>
          <w:rFonts w:ascii="Arial" w:hAnsi="Arial" w:cs="Arial"/>
          <w:sz w:val="28"/>
          <w:szCs w:val="22"/>
        </w:rPr>
        <w:lastRenderedPageBreak/>
        <w:t xml:space="preserve">Precepto con el que se garantiza la conformación paritaria del Congreso de la Ciudad y, por lo cual, la integración del primer bloque de la lista definitiva del PRD por dos fórmulas </w:t>
      </w:r>
      <w:proofErr w:type="gramStart"/>
      <w:r w:rsidRPr="00F32542">
        <w:rPr>
          <w:rFonts w:ascii="Arial" w:hAnsi="Arial" w:cs="Arial"/>
          <w:sz w:val="28"/>
          <w:szCs w:val="22"/>
        </w:rPr>
        <w:t>del mismo</w:t>
      </w:r>
      <w:proofErr w:type="gramEnd"/>
      <w:r w:rsidRPr="00F32542">
        <w:rPr>
          <w:rFonts w:ascii="Arial" w:hAnsi="Arial" w:cs="Arial"/>
          <w:sz w:val="28"/>
          <w:szCs w:val="22"/>
        </w:rPr>
        <w:t xml:space="preserve"> masculino, por sí misma, no afecta el principio de paridad.</w:t>
      </w:r>
    </w:p>
    <w:p w14:paraId="52CC9AC1" w14:textId="77777777" w:rsidR="00114630" w:rsidRPr="00F32542" w:rsidRDefault="00114630" w:rsidP="00114630">
      <w:pPr>
        <w:pStyle w:val="NormalWeb"/>
        <w:spacing w:line="360" w:lineRule="auto"/>
        <w:jc w:val="both"/>
        <w:rPr>
          <w:rFonts w:ascii="Arial" w:hAnsi="Arial" w:cs="Arial"/>
          <w:sz w:val="28"/>
          <w:szCs w:val="22"/>
        </w:rPr>
      </w:pPr>
      <w:r w:rsidRPr="00F32542">
        <w:rPr>
          <w:rFonts w:ascii="Arial" w:hAnsi="Arial" w:cs="Arial"/>
          <w:sz w:val="28"/>
          <w:szCs w:val="22"/>
        </w:rPr>
        <w:t>Esto, porque en caso de que al final de la asignación de diputaciones de representación proporcional a los partidos se advierta que el género de las mujeres está subrepresentado, deberá hacerse la compensación correspondiente.</w:t>
      </w:r>
    </w:p>
    <w:p w14:paraId="0E59B1BD" w14:textId="77777777" w:rsidR="00114630" w:rsidRPr="00F32542" w:rsidRDefault="00114630" w:rsidP="00114630">
      <w:pPr>
        <w:pStyle w:val="NormalWeb"/>
        <w:spacing w:line="360" w:lineRule="auto"/>
        <w:jc w:val="both"/>
        <w:rPr>
          <w:rFonts w:ascii="Arial" w:hAnsi="Arial" w:cs="Arial"/>
          <w:sz w:val="28"/>
          <w:szCs w:val="22"/>
        </w:rPr>
      </w:pPr>
      <w:r w:rsidRPr="00F32542">
        <w:rPr>
          <w:rFonts w:ascii="Arial" w:hAnsi="Arial" w:cs="Arial"/>
          <w:sz w:val="28"/>
          <w:szCs w:val="22"/>
        </w:rPr>
        <w:t xml:space="preserve">Cabe señalar que, para ello, el artículo 27, fracción VI, inciso i), del citado Código, la compensación o equilibrio de géneros iniciará con el partido que obtuvo el menor porcentaje de votación local emitida. </w:t>
      </w:r>
    </w:p>
    <w:p w14:paraId="2204480C" w14:textId="77777777" w:rsidR="00114630" w:rsidRPr="00F32542" w:rsidRDefault="00114630" w:rsidP="00114630">
      <w:pPr>
        <w:pStyle w:val="NormalWeb"/>
        <w:spacing w:line="360" w:lineRule="auto"/>
        <w:jc w:val="both"/>
        <w:rPr>
          <w:rFonts w:ascii="Arial" w:hAnsi="Arial" w:cs="Arial"/>
          <w:sz w:val="28"/>
          <w:szCs w:val="22"/>
        </w:rPr>
      </w:pPr>
      <w:r w:rsidRPr="00F32542">
        <w:rPr>
          <w:rFonts w:ascii="Arial" w:hAnsi="Arial" w:cs="Arial"/>
          <w:sz w:val="28"/>
          <w:szCs w:val="22"/>
        </w:rPr>
        <w:t>De ahí que, es hasta ese momento del proceso de asignación de diputaciones de representación proporcional, cuando se puede hacer el control de sub y sobre</w:t>
      </w:r>
      <w:r w:rsidR="007F14BE" w:rsidRPr="00F32542">
        <w:rPr>
          <w:rFonts w:ascii="Arial" w:hAnsi="Arial" w:cs="Arial"/>
          <w:sz w:val="28"/>
          <w:szCs w:val="22"/>
        </w:rPr>
        <w:t>r</w:t>
      </w:r>
      <w:r w:rsidRPr="00F32542">
        <w:rPr>
          <w:rFonts w:ascii="Arial" w:hAnsi="Arial" w:cs="Arial"/>
          <w:sz w:val="28"/>
          <w:szCs w:val="22"/>
        </w:rPr>
        <w:t xml:space="preserve">representación de género, y no al momento de integrar las listas, como lo solicitan las actoras.   </w:t>
      </w:r>
    </w:p>
    <w:p w14:paraId="194CCA88" w14:textId="77777777" w:rsidR="00114630" w:rsidRPr="00F32542" w:rsidRDefault="00114630" w:rsidP="00114630">
      <w:pPr>
        <w:pStyle w:val="NormalWeb"/>
        <w:spacing w:line="360" w:lineRule="auto"/>
        <w:jc w:val="both"/>
        <w:rPr>
          <w:rFonts w:ascii="Arial" w:hAnsi="Arial" w:cs="Arial"/>
          <w:sz w:val="28"/>
          <w:szCs w:val="28"/>
        </w:rPr>
      </w:pPr>
      <w:r w:rsidRPr="00F32542">
        <w:rPr>
          <w:rFonts w:ascii="Arial" w:hAnsi="Arial" w:cs="Arial"/>
          <w:sz w:val="28"/>
          <w:szCs w:val="28"/>
        </w:rPr>
        <w:t xml:space="preserve">Bajo tales condiciones, el segundo lugar de la lista definitiva del PRD no puede ser ocupado por </w:t>
      </w:r>
      <w:proofErr w:type="spellStart"/>
      <w:r w:rsidRPr="00F32542">
        <w:rPr>
          <w:rFonts w:ascii="Arial" w:hAnsi="Arial" w:cs="Arial"/>
          <w:bCs/>
          <w:sz w:val="28"/>
          <w:szCs w:val="28"/>
        </w:rPr>
        <w:t>Desiree</w:t>
      </w:r>
      <w:proofErr w:type="spellEnd"/>
      <w:r w:rsidRPr="00F32542">
        <w:rPr>
          <w:rFonts w:ascii="Arial" w:hAnsi="Arial" w:cs="Arial"/>
          <w:bCs/>
          <w:sz w:val="28"/>
          <w:szCs w:val="28"/>
        </w:rPr>
        <w:t xml:space="preserve"> Guadalupe Navarro López,</w:t>
      </w:r>
      <w:r w:rsidRPr="00F32542">
        <w:rPr>
          <w:rFonts w:ascii="Arial" w:hAnsi="Arial" w:cs="Arial"/>
          <w:sz w:val="28"/>
          <w:szCs w:val="28"/>
        </w:rPr>
        <w:t xml:space="preserve"> </w:t>
      </w:r>
      <w:proofErr w:type="spellStart"/>
      <w:r w:rsidRPr="00F32542">
        <w:rPr>
          <w:rFonts w:ascii="Arial" w:hAnsi="Arial" w:cs="Arial"/>
          <w:sz w:val="28"/>
          <w:szCs w:val="28"/>
        </w:rPr>
        <w:t>Nury</w:t>
      </w:r>
      <w:proofErr w:type="spellEnd"/>
      <w:r w:rsidRPr="00F32542">
        <w:rPr>
          <w:rFonts w:ascii="Arial" w:hAnsi="Arial" w:cs="Arial"/>
          <w:sz w:val="28"/>
          <w:szCs w:val="28"/>
        </w:rPr>
        <w:t xml:space="preserve"> Delia Ruiz Ovando o </w:t>
      </w:r>
      <w:proofErr w:type="spellStart"/>
      <w:r w:rsidRPr="00F32542">
        <w:rPr>
          <w:rFonts w:ascii="Arial" w:hAnsi="Arial" w:cs="Arial"/>
          <w:sz w:val="28"/>
          <w:szCs w:val="28"/>
        </w:rPr>
        <w:t>Kilauren</w:t>
      </w:r>
      <w:proofErr w:type="spellEnd"/>
      <w:r w:rsidRPr="00F32542">
        <w:rPr>
          <w:rFonts w:ascii="Arial" w:hAnsi="Arial" w:cs="Arial"/>
          <w:sz w:val="28"/>
          <w:szCs w:val="28"/>
        </w:rPr>
        <w:t xml:space="preserve"> Paulina Cobos Lázaro porque, a pesar de que pertenecen a la lista B, obtuvieron un porcentaje de votación menor al de Ricardo </w:t>
      </w:r>
      <w:proofErr w:type="spellStart"/>
      <w:r w:rsidRPr="00F32542">
        <w:rPr>
          <w:rFonts w:ascii="Arial" w:hAnsi="Arial" w:cs="Arial"/>
          <w:sz w:val="28"/>
          <w:szCs w:val="28"/>
        </w:rPr>
        <w:t>Janecarlo</w:t>
      </w:r>
      <w:proofErr w:type="spellEnd"/>
      <w:r w:rsidRPr="00F32542">
        <w:rPr>
          <w:rFonts w:ascii="Arial" w:hAnsi="Arial" w:cs="Arial"/>
          <w:sz w:val="28"/>
          <w:szCs w:val="28"/>
        </w:rPr>
        <w:t xml:space="preserve"> Lozano Reynoso, como se mostró en el cuadro que se insertó líneas atrás. </w:t>
      </w:r>
    </w:p>
    <w:p w14:paraId="3202728A" w14:textId="77777777" w:rsidR="007F14BE" w:rsidRPr="00F32542" w:rsidRDefault="007F14BE" w:rsidP="007F14BE">
      <w:pPr>
        <w:pStyle w:val="NormalWeb"/>
        <w:spacing w:line="360" w:lineRule="auto"/>
        <w:jc w:val="both"/>
        <w:rPr>
          <w:rFonts w:ascii="Arial" w:hAnsi="Arial" w:cs="Arial"/>
          <w:sz w:val="28"/>
          <w:szCs w:val="28"/>
        </w:rPr>
      </w:pPr>
      <w:r w:rsidRPr="00F32542">
        <w:rPr>
          <w:rFonts w:ascii="Arial" w:hAnsi="Arial" w:cs="Arial"/>
          <w:sz w:val="28"/>
          <w:szCs w:val="28"/>
        </w:rPr>
        <w:t xml:space="preserve">Máxime que Ricardo </w:t>
      </w:r>
      <w:proofErr w:type="spellStart"/>
      <w:r w:rsidRPr="00F32542">
        <w:rPr>
          <w:rFonts w:ascii="Arial" w:hAnsi="Arial" w:cs="Arial"/>
          <w:sz w:val="28"/>
          <w:szCs w:val="28"/>
        </w:rPr>
        <w:t>Janecarlo</w:t>
      </w:r>
      <w:proofErr w:type="spellEnd"/>
      <w:r w:rsidRPr="00F32542">
        <w:rPr>
          <w:rFonts w:ascii="Arial" w:hAnsi="Arial" w:cs="Arial"/>
          <w:sz w:val="28"/>
          <w:szCs w:val="28"/>
        </w:rPr>
        <w:t xml:space="preserve"> Lozano Reynoso participó postulado por el PRD, sin la existencia de algún tipo de alianza electoral, mientras que, en el caso de </w:t>
      </w:r>
      <w:proofErr w:type="spellStart"/>
      <w:r w:rsidRPr="00F32542">
        <w:rPr>
          <w:rFonts w:ascii="Arial" w:hAnsi="Arial" w:cs="Arial"/>
          <w:bCs/>
          <w:sz w:val="28"/>
          <w:szCs w:val="28"/>
        </w:rPr>
        <w:t>Desiree</w:t>
      </w:r>
      <w:proofErr w:type="spellEnd"/>
      <w:r w:rsidRPr="00F32542">
        <w:rPr>
          <w:rFonts w:ascii="Arial" w:hAnsi="Arial" w:cs="Arial"/>
          <w:bCs/>
          <w:sz w:val="28"/>
          <w:szCs w:val="28"/>
        </w:rPr>
        <w:t xml:space="preserve"> Guadalupe Navarro López, fue postulada en candidatura común por el PRD, PAN y PRI.  Aun así, si se considera la votación exclusivamente del PRD, sin considerar los </w:t>
      </w:r>
      <w:r w:rsidRPr="00F32542">
        <w:rPr>
          <w:rFonts w:ascii="Arial" w:hAnsi="Arial" w:cs="Arial"/>
          <w:bCs/>
          <w:sz w:val="28"/>
          <w:szCs w:val="28"/>
        </w:rPr>
        <w:lastRenderedPageBreak/>
        <w:t xml:space="preserve">votos de los otros partidos postulantes, como lo establece el artículo 10 de los </w:t>
      </w:r>
      <w:r w:rsidRPr="00F32542">
        <w:rPr>
          <w:rFonts w:ascii="Arial" w:hAnsi="Arial" w:cs="Arial"/>
          <w:bCs/>
          <w:i/>
          <w:sz w:val="28"/>
          <w:szCs w:val="28"/>
        </w:rPr>
        <w:t>Lineamientos de Asignación</w:t>
      </w:r>
      <w:r w:rsidR="007A0F6A" w:rsidRPr="00F32542">
        <w:rPr>
          <w:rFonts w:ascii="Arial" w:hAnsi="Arial" w:cs="Arial"/>
          <w:bCs/>
          <w:i/>
          <w:sz w:val="28"/>
          <w:szCs w:val="28"/>
        </w:rPr>
        <w:t>,</w:t>
      </w:r>
      <w:r w:rsidRPr="00F32542">
        <w:rPr>
          <w:rFonts w:ascii="Arial" w:hAnsi="Arial" w:cs="Arial"/>
          <w:bCs/>
          <w:i/>
          <w:sz w:val="28"/>
          <w:szCs w:val="28"/>
        </w:rPr>
        <w:t xml:space="preserve"> </w:t>
      </w:r>
      <w:proofErr w:type="spellStart"/>
      <w:r w:rsidRPr="00F32542">
        <w:rPr>
          <w:rFonts w:ascii="Arial" w:hAnsi="Arial" w:cs="Arial"/>
          <w:sz w:val="28"/>
          <w:szCs w:val="28"/>
        </w:rPr>
        <w:t>Janecarlo</w:t>
      </w:r>
      <w:proofErr w:type="spellEnd"/>
      <w:r w:rsidRPr="00F32542">
        <w:rPr>
          <w:rFonts w:ascii="Arial" w:hAnsi="Arial" w:cs="Arial"/>
          <w:sz w:val="28"/>
          <w:szCs w:val="28"/>
        </w:rPr>
        <w:t xml:space="preserve"> Lozano Reynoso tiene una votación superior (20,502), a la de </w:t>
      </w:r>
      <w:proofErr w:type="spellStart"/>
      <w:r w:rsidRPr="00F32542">
        <w:rPr>
          <w:rFonts w:ascii="Arial" w:hAnsi="Arial" w:cs="Arial"/>
          <w:bCs/>
          <w:sz w:val="28"/>
          <w:szCs w:val="28"/>
        </w:rPr>
        <w:t>Desiree</w:t>
      </w:r>
      <w:proofErr w:type="spellEnd"/>
      <w:r w:rsidRPr="00F32542">
        <w:rPr>
          <w:rFonts w:ascii="Arial" w:hAnsi="Arial" w:cs="Arial"/>
          <w:bCs/>
          <w:sz w:val="28"/>
          <w:szCs w:val="28"/>
        </w:rPr>
        <w:t xml:space="preserve"> Guadalupe Navarro López </w:t>
      </w:r>
      <w:r w:rsidRPr="00F32542">
        <w:rPr>
          <w:rFonts w:ascii="Arial" w:hAnsi="Arial" w:cs="Arial"/>
          <w:sz w:val="28"/>
          <w:szCs w:val="28"/>
        </w:rPr>
        <w:t>(13,144)</w:t>
      </w:r>
      <w:r w:rsidRPr="00F32542">
        <w:rPr>
          <w:rStyle w:val="Refdenotaalpie"/>
          <w:rFonts w:ascii="Arial" w:hAnsi="Arial" w:cs="Arial"/>
          <w:sz w:val="28"/>
          <w:szCs w:val="28"/>
        </w:rPr>
        <w:footnoteReference w:id="54"/>
      </w:r>
      <w:r w:rsidRPr="00F32542">
        <w:rPr>
          <w:rFonts w:ascii="Arial" w:hAnsi="Arial" w:cs="Arial"/>
          <w:sz w:val="28"/>
          <w:szCs w:val="28"/>
        </w:rPr>
        <w:t>.</w:t>
      </w:r>
    </w:p>
    <w:p w14:paraId="22F0D547" w14:textId="77777777" w:rsidR="007F14BE" w:rsidRPr="00F32542" w:rsidRDefault="007F14BE" w:rsidP="007F14BE">
      <w:pPr>
        <w:pStyle w:val="NormalWeb"/>
        <w:spacing w:line="360" w:lineRule="auto"/>
        <w:jc w:val="both"/>
        <w:rPr>
          <w:rFonts w:ascii="Arial" w:hAnsi="Arial" w:cs="Arial"/>
          <w:i/>
          <w:sz w:val="28"/>
          <w:szCs w:val="28"/>
        </w:rPr>
      </w:pPr>
      <w:r w:rsidRPr="00F32542">
        <w:rPr>
          <w:rFonts w:ascii="Arial" w:hAnsi="Arial" w:cs="Arial"/>
          <w:sz w:val="28"/>
          <w:szCs w:val="28"/>
        </w:rPr>
        <w:t xml:space="preserve">Lo anterior, puede ser consultado en las actas de cómputo de los distritos 4 y 32 respecto a las diputaciones correspondientes, los cuales se encuentran en la página de internet del Instituto, y se invocan como hechos notorios, en términos del artículo 52 de la </w:t>
      </w:r>
      <w:r w:rsidRPr="00F32542">
        <w:rPr>
          <w:rFonts w:ascii="Arial" w:hAnsi="Arial" w:cs="Arial"/>
          <w:i/>
          <w:sz w:val="28"/>
          <w:szCs w:val="28"/>
        </w:rPr>
        <w:t>Ley Procesal.</w:t>
      </w:r>
    </w:p>
    <w:p w14:paraId="0C32C0AA" w14:textId="77777777" w:rsidR="007F14BE" w:rsidRPr="00F32542" w:rsidRDefault="007F14BE" w:rsidP="00114630">
      <w:pPr>
        <w:pStyle w:val="NormalWeb"/>
        <w:spacing w:line="360" w:lineRule="auto"/>
        <w:jc w:val="both"/>
        <w:rPr>
          <w:rFonts w:ascii="Arial" w:hAnsi="Arial" w:cs="Arial"/>
          <w:sz w:val="28"/>
          <w:szCs w:val="28"/>
        </w:rPr>
      </w:pPr>
      <w:r w:rsidRPr="00F32542">
        <w:rPr>
          <w:rFonts w:ascii="Arial" w:hAnsi="Arial" w:cs="Arial"/>
          <w:sz w:val="28"/>
          <w:szCs w:val="28"/>
        </w:rPr>
        <w:t xml:space="preserve">Así como en la jurisprudencia </w:t>
      </w:r>
      <w:r w:rsidRPr="00F32542">
        <w:rPr>
          <w:rFonts w:ascii="Arial" w:hAnsi="Arial" w:cs="Arial"/>
          <w:b/>
          <w:sz w:val="28"/>
          <w:szCs w:val="28"/>
        </w:rPr>
        <w:t>XX.2o. J/24</w:t>
      </w:r>
      <w:r w:rsidRPr="00F32542">
        <w:rPr>
          <w:rFonts w:ascii="Arial" w:hAnsi="Arial" w:cs="Arial"/>
          <w:sz w:val="28"/>
          <w:szCs w:val="28"/>
        </w:rPr>
        <w:t xml:space="preserve">, de los Tribunales Colegiados, de rubro </w:t>
      </w:r>
      <w:r w:rsidRPr="00F32542">
        <w:rPr>
          <w:rFonts w:ascii="Arial" w:hAnsi="Arial" w:cs="Arial"/>
          <w:b/>
          <w:sz w:val="28"/>
          <w:szCs w:val="28"/>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F32542">
        <w:rPr>
          <w:rStyle w:val="Refdenotaalpie"/>
          <w:rFonts w:ascii="Arial" w:hAnsi="Arial" w:cs="Arial"/>
          <w:b/>
          <w:sz w:val="28"/>
          <w:szCs w:val="28"/>
        </w:rPr>
        <w:footnoteReference w:id="55"/>
      </w:r>
      <w:r w:rsidRPr="00F32542">
        <w:rPr>
          <w:rFonts w:ascii="Arial" w:hAnsi="Arial" w:cs="Arial"/>
          <w:sz w:val="28"/>
          <w:szCs w:val="28"/>
        </w:rPr>
        <w:t>.</w:t>
      </w:r>
    </w:p>
    <w:p w14:paraId="1215F242" w14:textId="77777777" w:rsidR="00114630" w:rsidRPr="00F32542" w:rsidRDefault="00114630" w:rsidP="00114630">
      <w:pPr>
        <w:pStyle w:val="NormalWeb"/>
        <w:spacing w:line="360" w:lineRule="auto"/>
        <w:jc w:val="both"/>
        <w:rPr>
          <w:rFonts w:ascii="Arial" w:hAnsi="Arial" w:cs="Arial"/>
          <w:sz w:val="28"/>
          <w:szCs w:val="28"/>
        </w:rPr>
      </w:pPr>
      <w:r w:rsidRPr="00F32542">
        <w:rPr>
          <w:rFonts w:ascii="Arial" w:hAnsi="Arial" w:cs="Arial"/>
          <w:bCs/>
          <w:sz w:val="28"/>
          <w:szCs w:val="28"/>
        </w:rPr>
        <w:t xml:space="preserve">Por otro lado, el segundo lugar de la lista definitiva del PRD tampoco puede corresponderle a </w:t>
      </w:r>
      <w:r w:rsidRPr="00F32542">
        <w:rPr>
          <w:rFonts w:ascii="Arial" w:hAnsi="Arial" w:cs="Arial"/>
          <w:sz w:val="28"/>
          <w:szCs w:val="28"/>
        </w:rPr>
        <w:t>Paula Andrea Castillo Mendieta, primero, porque ella está ubicada en el segundo lugar de la lista A.</w:t>
      </w:r>
    </w:p>
    <w:p w14:paraId="6EFB7FCD" w14:textId="77777777" w:rsidR="00114630" w:rsidRPr="00F32542" w:rsidRDefault="00114630" w:rsidP="00114630">
      <w:pPr>
        <w:pStyle w:val="NormalWeb"/>
        <w:spacing w:line="360" w:lineRule="auto"/>
        <w:jc w:val="both"/>
        <w:rPr>
          <w:rFonts w:ascii="Arial" w:hAnsi="Arial" w:cs="Arial"/>
          <w:bCs/>
          <w:sz w:val="28"/>
          <w:szCs w:val="28"/>
        </w:rPr>
      </w:pPr>
      <w:r w:rsidRPr="00F32542">
        <w:rPr>
          <w:rFonts w:ascii="Arial" w:hAnsi="Arial" w:cs="Arial"/>
          <w:sz w:val="28"/>
          <w:szCs w:val="28"/>
        </w:rPr>
        <w:t xml:space="preserve">Esto porque la integración de la lista A es la manifestación del principio de autodeterminación partidista, ya cubierto con la asignación de la primera fórmula de la misma lista; y segundo, porque </w:t>
      </w:r>
      <w:r w:rsidRPr="00F32542">
        <w:rPr>
          <w:rFonts w:ascii="Arial" w:hAnsi="Arial" w:cs="Arial"/>
          <w:sz w:val="28"/>
          <w:szCs w:val="28"/>
        </w:rPr>
        <w:lastRenderedPageBreak/>
        <w:t>el segundo lugar de la lista definitiva, reconocido al género femenino, debe provenir de la lista B, expresión del principio democrático.</w:t>
      </w:r>
    </w:p>
    <w:p w14:paraId="4162D3A8" w14:textId="77777777" w:rsidR="007525C6" w:rsidRPr="00F32542" w:rsidRDefault="007525C6" w:rsidP="007525C6">
      <w:pPr>
        <w:spacing w:before="100" w:beforeAutospacing="1" w:after="100" w:afterAutospacing="1" w:line="360" w:lineRule="auto"/>
        <w:jc w:val="both"/>
        <w:rPr>
          <w:rFonts w:ascii="Arial" w:eastAsia="Times New Roman" w:hAnsi="Arial" w:cs="Arial"/>
          <w:sz w:val="28"/>
          <w:szCs w:val="28"/>
          <w:lang w:val="es-ES" w:eastAsia="es-ES"/>
        </w:rPr>
      </w:pPr>
      <w:r w:rsidRPr="00F32542">
        <w:rPr>
          <w:rFonts w:ascii="Arial" w:eastAsia="Times New Roman" w:hAnsi="Arial" w:cs="Arial"/>
          <w:bCs/>
          <w:sz w:val="28"/>
          <w:szCs w:val="28"/>
          <w:lang w:val="es-ES" w:eastAsia="es-ES"/>
        </w:rPr>
        <w:t xml:space="preserve">Cabe señalar que </w:t>
      </w:r>
      <w:r w:rsidRPr="00F32542">
        <w:rPr>
          <w:rFonts w:ascii="Arial" w:eastAsia="Times New Roman" w:hAnsi="Arial" w:cs="Arial"/>
          <w:sz w:val="28"/>
          <w:szCs w:val="28"/>
          <w:lang w:val="es-ES" w:eastAsia="es-ES"/>
        </w:rPr>
        <w:t xml:space="preserve">Paula Andrea Castillo Mendieta tampoco tiene razón respecto a </w:t>
      </w:r>
      <w:proofErr w:type="gramStart"/>
      <w:r w:rsidRPr="00F32542">
        <w:rPr>
          <w:rFonts w:ascii="Arial" w:eastAsia="Times New Roman" w:hAnsi="Arial" w:cs="Arial"/>
          <w:sz w:val="28"/>
          <w:szCs w:val="28"/>
          <w:lang w:val="es-ES" w:eastAsia="es-ES"/>
        </w:rPr>
        <w:t>que</w:t>
      </w:r>
      <w:proofErr w:type="gramEnd"/>
      <w:r w:rsidRPr="00F32542">
        <w:rPr>
          <w:rFonts w:ascii="Arial" w:eastAsia="Times New Roman" w:hAnsi="Arial" w:cs="Arial"/>
          <w:sz w:val="28"/>
          <w:szCs w:val="28"/>
          <w:lang w:val="es-ES" w:eastAsia="es-ES"/>
        </w:rPr>
        <w:t xml:space="preserve"> en este proceso electoral, la lista A deba ser encabezada por una mujer y los siguientes procesos alternarse.</w:t>
      </w:r>
    </w:p>
    <w:p w14:paraId="075EBB5C" w14:textId="77777777" w:rsidR="007525C6" w:rsidRPr="00F32542" w:rsidRDefault="007525C6" w:rsidP="007525C6">
      <w:pPr>
        <w:spacing w:before="100" w:beforeAutospacing="1" w:after="100" w:afterAutospacing="1"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t xml:space="preserve">Lo mismo sucede en cuanto a </w:t>
      </w:r>
      <w:proofErr w:type="spellStart"/>
      <w:r w:rsidRPr="00F32542">
        <w:rPr>
          <w:rFonts w:ascii="Arial" w:eastAsia="Times New Roman" w:hAnsi="Arial" w:cs="Arial"/>
          <w:sz w:val="28"/>
          <w:szCs w:val="28"/>
          <w:lang w:val="es-ES" w:eastAsia="es-ES"/>
        </w:rPr>
        <w:t>Kilauren</w:t>
      </w:r>
      <w:proofErr w:type="spellEnd"/>
      <w:r w:rsidRPr="00F32542">
        <w:rPr>
          <w:rFonts w:ascii="Arial" w:eastAsia="Times New Roman" w:hAnsi="Arial" w:cs="Arial"/>
          <w:sz w:val="28"/>
          <w:szCs w:val="28"/>
          <w:lang w:val="es-ES" w:eastAsia="es-ES"/>
        </w:rPr>
        <w:t xml:space="preserve"> Paulina Cobos Lázaro acerca de que le debe corresponder la asignación de representación proporcional por ser persona joven.</w:t>
      </w:r>
    </w:p>
    <w:p w14:paraId="58467E67" w14:textId="77777777" w:rsidR="007525C6" w:rsidRPr="00F32542" w:rsidRDefault="007525C6" w:rsidP="007525C6">
      <w:pPr>
        <w:spacing w:before="100" w:beforeAutospacing="1" w:after="100" w:afterAutospacing="1"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t xml:space="preserve">Lo anterior, </w:t>
      </w:r>
      <w:proofErr w:type="gramStart"/>
      <w:r w:rsidRPr="00F32542">
        <w:rPr>
          <w:rFonts w:ascii="Arial" w:eastAsia="Times New Roman" w:hAnsi="Arial" w:cs="Arial"/>
          <w:sz w:val="28"/>
          <w:szCs w:val="28"/>
          <w:lang w:val="es-ES" w:eastAsia="es-ES"/>
        </w:rPr>
        <w:t>porque</w:t>
      </w:r>
      <w:proofErr w:type="gramEnd"/>
      <w:r w:rsidRPr="00F32542">
        <w:rPr>
          <w:rFonts w:ascii="Arial" w:eastAsia="Times New Roman" w:hAnsi="Arial" w:cs="Arial"/>
          <w:sz w:val="28"/>
          <w:szCs w:val="28"/>
          <w:lang w:val="es-ES" w:eastAsia="es-ES"/>
        </w:rPr>
        <w:t xml:space="preserve"> aunque sería deseable, ni en el </w:t>
      </w:r>
      <w:r w:rsidRPr="00F32542">
        <w:rPr>
          <w:rFonts w:ascii="Arial" w:eastAsia="Times New Roman" w:hAnsi="Arial" w:cs="Arial"/>
          <w:i/>
          <w:sz w:val="28"/>
          <w:szCs w:val="28"/>
          <w:lang w:val="es-ES" w:eastAsia="es-ES"/>
        </w:rPr>
        <w:t xml:space="preserve">Código local, </w:t>
      </w:r>
      <w:r w:rsidRPr="00F32542">
        <w:rPr>
          <w:rFonts w:ascii="Arial" w:eastAsia="Times New Roman" w:hAnsi="Arial" w:cs="Arial"/>
          <w:sz w:val="28"/>
          <w:szCs w:val="28"/>
          <w:lang w:val="es-ES" w:eastAsia="es-ES"/>
        </w:rPr>
        <w:t xml:space="preserve">ni en la normativa emitida por el </w:t>
      </w:r>
      <w:r w:rsidRPr="00F32542">
        <w:rPr>
          <w:rFonts w:ascii="Arial" w:eastAsia="Times New Roman" w:hAnsi="Arial" w:cs="Arial"/>
          <w:i/>
          <w:sz w:val="28"/>
          <w:szCs w:val="28"/>
          <w:lang w:val="es-ES" w:eastAsia="es-ES"/>
        </w:rPr>
        <w:t xml:space="preserve">Instituto local </w:t>
      </w:r>
      <w:r w:rsidRPr="00F32542">
        <w:rPr>
          <w:rFonts w:ascii="Arial" w:eastAsia="Times New Roman" w:hAnsi="Arial" w:cs="Arial"/>
          <w:sz w:val="28"/>
          <w:szCs w:val="28"/>
          <w:lang w:val="es-ES" w:eastAsia="es-ES"/>
        </w:rPr>
        <w:t>se establece alguna acción afirmativa para, respectivamente: a) alternar géneros para encabezar la lista A en los diversos procesos electorales; y, b) reasignar de posiciones en las listas de fórmulas plurinominales, en función a la edad de una candidatura.</w:t>
      </w:r>
    </w:p>
    <w:p w14:paraId="236C2849" w14:textId="77777777" w:rsidR="00114630" w:rsidRPr="00F32542" w:rsidRDefault="00114630" w:rsidP="00114630">
      <w:pPr>
        <w:pStyle w:val="NormalWeb"/>
        <w:spacing w:line="360" w:lineRule="auto"/>
        <w:jc w:val="both"/>
        <w:rPr>
          <w:rFonts w:ascii="Arial" w:hAnsi="Arial" w:cs="Arial"/>
          <w:sz w:val="28"/>
          <w:szCs w:val="28"/>
        </w:rPr>
      </w:pPr>
      <w:r w:rsidRPr="00F32542">
        <w:rPr>
          <w:rFonts w:ascii="Arial" w:hAnsi="Arial" w:cs="Arial"/>
          <w:sz w:val="28"/>
          <w:szCs w:val="28"/>
        </w:rPr>
        <w:t xml:space="preserve">Al respecto, es aplicable lo argumentado por la Sala Superior al resolver el asunto </w:t>
      </w:r>
      <w:r w:rsidRPr="00F32542">
        <w:rPr>
          <w:rFonts w:ascii="Arial" w:hAnsi="Arial" w:cs="Arial"/>
          <w:b/>
          <w:bCs/>
          <w:sz w:val="28"/>
          <w:szCs w:val="28"/>
        </w:rPr>
        <w:t>SUP-REC-249/2021</w:t>
      </w:r>
      <w:r w:rsidRPr="00F32542">
        <w:rPr>
          <w:rFonts w:ascii="Arial" w:hAnsi="Arial" w:cs="Arial"/>
          <w:sz w:val="28"/>
          <w:szCs w:val="28"/>
        </w:rPr>
        <w:t>, al considerar que las acciones afirmativas relacionadas con los procesos electorales deben ser admitidas y reguladas en la etapa de la preparación de la elección.</w:t>
      </w:r>
    </w:p>
    <w:p w14:paraId="07523D75" w14:textId="77777777" w:rsidR="00114630" w:rsidRPr="00F32542" w:rsidRDefault="00114630" w:rsidP="00114630">
      <w:pPr>
        <w:pStyle w:val="NormalWeb"/>
        <w:spacing w:line="360" w:lineRule="auto"/>
        <w:jc w:val="both"/>
        <w:rPr>
          <w:rFonts w:ascii="Arial" w:hAnsi="Arial" w:cs="Arial"/>
          <w:sz w:val="28"/>
          <w:szCs w:val="28"/>
        </w:rPr>
      </w:pPr>
      <w:r w:rsidRPr="00F32542">
        <w:rPr>
          <w:rFonts w:ascii="Arial" w:hAnsi="Arial" w:cs="Arial"/>
          <w:sz w:val="28"/>
          <w:szCs w:val="28"/>
        </w:rPr>
        <w:t>Sin embargo, el presente caso, dicha etapa ha concluido, pues incluso ha transcurrido la jornada electoral, de modo que no es posible crear una acción afirmativa en este momento para efectos de la asignación de diputaciones plurinominales.</w:t>
      </w:r>
    </w:p>
    <w:p w14:paraId="790C692C" w14:textId="77777777" w:rsidR="00114630" w:rsidRPr="00F32542" w:rsidRDefault="00114630" w:rsidP="00114630">
      <w:pPr>
        <w:pStyle w:val="NormalWeb"/>
        <w:spacing w:line="360" w:lineRule="auto"/>
        <w:jc w:val="both"/>
        <w:rPr>
          <w:rFonts w:ascii="Arial" w:hAnsi="Arial" w:cs="Arial"/>
          <w:bCs/>
          <w:sz w:val="28"/>
          <w:szCs w:val="28"/>
        </w:rPr>
      </w:pPr>
      <w:r w:rsidRPr="00F32542">
        <w:rPr>
          <w:rFonts w:ascii="Arial" w:hAnsi="Arial" w:cs="Arial"/>
          <w:bCs/>
          <w:sz w:val="28"/>
          <w:szCs w:val="28"/>
        </w:rPr>
        <w:t>En ese sentido, en atención a lo expuesto, actualmente no existe viabilidad temporal ni jurídica para el establecimiento de tal acción afirmativa, en los términos pretendidos por la parte actora, es decir, mediante su reclamo en sede jurisdiccional.</w:t>
      </w:r>
    </w:p>
    <w:p w14:paraId="6C2BBB9C" w14:textId="77777777" w:rsidR="00114630" w:rsidRPr="00F32542" w:rsidRDefault="00114630" w:rsidP="00114630">
      <w:pPr>
        <w:pStyle w:val="NormalWeb"/>
        <w:spacing w:line="360" w:lineRule="auto"/>
        <w:jc w:val="both"/>
        <w:rPr>
          <w:rFonts w:ascii="Arial" w:hAnsi="Arial" w:cs="Arial"/>
          <w:bCs/>
          <w:sz w:val="28"/>
          <w:szCs w:val="28"/>
        </w:rPr>
      </w:pPr>
      <w:r w:rsidRPr="00F32542">
        <w:rPr>
          <w:rFonts w:ascii="Arial" w:hAnsi="Arial" w:cs="Arial"/>
          <w:bCs/>
          <w:sz w:val="28"/>
          <w:szCs w:val="28"/>
        </w:rPr>
        <w:lastRenderedPageBreak/>
        <w:t>Esto, dado que ya tuvieron verificativo las etapas de preparación de la elección y la jornada electoral, lo cual impide modificar las condiciones en que se llevó a cabo la elección.</w:t>
      </w:r>
    </w:p>
    <w:p w14:paraId="64C94EF9" w14:textId="77777777" w:rsidR="00114630" w:rsidRPr="00F32542" w:rsidRDefault="00114630" w:rsidP="00114630">
      <w:pPr>
        <w:pStyle w:val="NormalWeb"/>
        <w:spacing w:line="360" w:lineRule="auto"/>
        <w:jc w:val="both"/>
        <w:rPr>
          <w:rFonts w:ascii="Arial" w:hAnsi="Arial" w:cs="Arial"/>
          <w:bCs/>
          <w:sz w:val="28"/>
          <w:szCs w:val="28"/>
        </w:rPr>
      </w:pPr>
      <w:r w:rsidRPr="00F32542">
        <w:rPr>
          <w:rFonts w:ascii="Arial" w:hAnsi="Arial" w:cs="Arial"/>
          <w:bCs/>
          <w:sz w:val="28"/>
          <w:szCs w:val="28"/>
        </w:rPr>
        <w:t xml:space="preserve">Por consiguiente, otorgar a ese tipo de acciones a favor de personas jóvenes, efectos que trasciendan a la etapa de postulación de candidaturas.  </w:t>
      </w:r>
    </w:p>
    <w:p w14:paraId="19E797AD" w14:textId="77777777" w:rsidR="00114630" w:rsidRPr="00F32542" w:rsidRDefault="00114630" w:rsidP="00114630">
      <w:pPr>
        <w:pStyle w:val="NormalWeb"/>
        <w:spacing w:line="360" w:lineRule="auto"/>
        <w:jc w:val="both"/>
        <w:rPr>
          <w:rFonts w:ascii="Arial" w:hAnsi="Arial" w:cs="Arial"/>
          <w:bCs/>
          <w:sz w:val="28"/>
          <w:szCs w:val="28"/>
        </w:rPr>
      </w:pPr>
      <w:r w:rsidRPr="00F32542">
        <w:rPr>
          <w:rFonts w:ascii="Arial" w:hAnsi="Arial" w:cs="Arial"/>
          <w:bCs/>
          <w:sz w:val="28"/>
          <w:szCs w:val="28"/>
        </w:rPr>
        <w:t>Además, conceder la aplicación a estas alturas de una acción afirmativa que no fue establecida en la etapa correspondiente del proceso electoral, podría implicar un perjuicio a todas las personas que integran el sector desfavorecido dentro del cual se pretende hacer valer esa medida —personas jóvenes—.</w:t>
      </w:r>
    </w:p>
    <w:p w14:paraId="64B28CEE" w14:textId="77777777" w:rsidR="00114630" w:rsidRPr="00F32542" w:rsidRDefault="00114630" w:rsidP="00114630">
      <w:pPr>
        <w:pStyle w:val="NormalWeb"/>
        <w:spacing w:line="360" w:lineRule="auto"/>
        <w:jc w:val="both"/>
        <w:rPr>
          <w:rFonts w:ascii="Arial" w:hAnsi="Arial"/>
          <w:sz w:val="28"/>
        </w:rPr>
      </w:pPr>
      <w:r w:rsidRPr="00F32542">
        <w:rPr>
          <w:rFonts w:ascii="Arial" w:hAnsi="Arial" w:cs="Arial"/>
          <w:bCs/>
          <w:sz w:val="28"/>
          <w:szCs w:val="28"/>
        </w:rPr>
        <w:t xml:space="preserve">Porque en su ejecución no habrían sido consideradas en igualdad de circunstancias, </w:t>
      </w:r>
      <w:r w:rsidRPr="00F32542">
        <w:rPr>
          <w:rFonts w:ascii="Arial" w:hAnsi="Arial"/>
          <w:sz w:val="28"/>
        </w:rPr>
        <w:t xml:space="preserve">generando una mayor desigualdad que la que se busca eliminar con ese tipo de acciones, </w:t>
      </w:r>
      <w:proofErr w:type="gramStart"/>
      <w:r w:rsidRPr="00F32542">
        <w:rPr>
          <w:rFonts w:ascii="Arial" w:hAnsi="Arial"/>
          <w:sz w:val="28"/>
        </w:rPr>
        <w:t>en  términos</w:t>
      </w:r>
      <w:proofErr w:type="gramEnd"/>
      <w:r w:rsidRPr="00F32542">
        <w:rPr>
          <w:rFonts w:ascii="Arial" w:hAnsi="Arial"/>
          <w:sz w:val="28"/>
        </w:rPr>
        <w:t xml:space="preserve"> de la jurisprudencia </w:t>
      </w:r>
      <w:r w:rsidRPr="00F32542">
        <w:rPr>
          <w:rFonts w:ascii="Arial" w:hAnsi="Arial"/>
          <w:b/>
          <w:sz w:val="28"/>
        </w:rPr>
        <w:t>30/2014</w:t>
      </w:r>
      <w:r w:rsidRPr="00F32542">
        <w:rPr>
          <w:rFonts w:ascii="Arial" w:hAnsi="Arial"/>
          <w:sz w:val="28"/>
        </w:rPr>
        <w:t>, emitida por la Sala Superior bajo el rubro “</w:t>
      </w:r>
      <w:r w:rsidRPr="00F32542">
        <w:rPr>
          <w:rFonts w:ascii="Arial" w:hAnsi="Arial"/>
          <w:b/>
          <w:bCs/>
          <w:sz w:val="28"/>
        </w:rPr>
        <w:t>ACCIONES AFIRMATIVAS. CARACTERÍSITICAS Y OBJETIVO DE SU IMPLEMENTACIÓN</w:t>
      </w:r>
      <w:r w:rsidRPr="00F32542">
        <w:rPr>
          <w:rFonts w:ascii="Arial" w:hAnsi="Arial"/>
          <w:sz w:val="28"/>
        </w:rPr>
        <w:t>”.</w:t>
      </w:r>
    </w:p>
    <w:p w14:paraId="30D5726F" w14:textId="77777777" w:rsidR="00F94B48" w:rsidRPr="00F32542" w:rsidRDefault="007F14BE"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b/>
          <w:sz w:val="28"/>
          <w:szCs w:val="28"/>
        </w:rPr>
        <w:t>IX</w:t>
      </w:r>
      <w:r w:rsidR="00F94B48" w:rsidRPr="00F32542">
        <w:rPr>
          <w:rFonts w:ascii="Arial" w:eastAsia="Calibri" w:hAnsi="Arial" w:cs="Arial"/>
          <w:b/>
          <w:sz w:val="28"/>
          <w:szCs w:val="28"/>
        </w:rPr>
        <w:t>. Asignación única para una fórmula femenina</w:t>
      </w:r>
      <w:r w:rsidRPr="00F32542">
        <w:rPr>
          <w:rFonts w:ascii="Arial" w:eastAsia="Calibri" w:hAnsi="Arial" w:cs="Arial"/>
          <w:b/>
          <w:sz w:val="28"/>
          <w:szCs w:val="28"/>
        </w:rPr>
        <w:t>.</w:t>
      </w:r>
    </w:p>
    <w:p w14:paraId="0793DC5A"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En este apartado se analizarán los planteamientos efectuados por:</w:t>
      </w:r>
    </w:p>
    <w:p w14:paraId="4E791BDF"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lang w:val="es-ES"/>
        </w:rPr>
      </w:pPr>
      <w:r w:rsidRPr="00F32542">
        <w:rPr>
          <w:rFonts w:ascii="Arial" w:eastAsia="Calibri" w:hAnsi="Arial" w:cs="Arial"/>
          <w:b/>
          <w:bCs/>
          <w:sz w:val="28"/>
          <w:szCs w:val="28"/>
          <w:lang w:val="es-ES"/>
        </w:rPr>
        <w:t>TECDMX-JLDC-092/2021 (Elizabeth Mateos Hernández)</w:t>
      </w:r>
    </w:p>
    <w:p w14:paraId="172F162D"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lang w:val="es-ES"/>
        </w:rPr>
        <w:t>R</w:t>
      </w:r>
      <w:r w:rsidRPr="00F32542">
        <w:rPr>
          <w:rFonts w:ascii="Arial" w:eastAsia="Calibri" w:hAnsi="Arial" w:cs="Arial"/>
          <w:sz w:val="28"/>
          <w:szCs w:val="28"/>
        </w:rPr>
        <w:t>elativo a que, ante la asignación de una sola curul de representación proporcional al PVEM, la lista definitiva de ese partido debió ser encabezada por una mujer; ello, en atención a la alternancia que debó establecerse a partir del triunfo que obtuvo ese partido por el principio de mayoría relativa, a través de una candidatura masculina.</w:t>
      </w:r>
    </w:p>
    <w:p w14:paraId="04727FDD"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b/>
          <w:bCs/>
          <w:sz w:val="28"/>
          <w:szCs w:val="28"/>
        </w:rPr>
        <w:lastRenderedPageBreak/>
        <w:t>TECDMX-JLDC-093/2021 (Lucía Alejandra Puente García)</w:t>
      </w:r>
    </w:p>
    <w:p w14:paraId="379FE7A6"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En cuanto a la única asignación lograda por Movimiento Ciudadano, plantea </w:t>
      </w:r>
      <w:proofErr w:type="gramStart"/>
      <w:r w:rsidRPr="00F32542">
        <w:rPr>
          <w:rFonts w:ascii="Arial" w:eastAsia="Calibri" w:hAnsi="Arial" w:cs="Arial"/>
          <w:sz w:val="28"/>
          <w:szCs w:val="28"/>
        </w:rPr>
        <w:t>que</w:t>
      </w:r>
      <w:proofErr w:type="gramEnd"/>
      <w:r w:rsidRPr="00F32542">
        <w:rPr>
          <w:rFonts w:ascii="Arial" w:eastAsia="Calibri" w:hAnsi="Arial" w:cs="Arial"/>
          <w:sz w:val="28"/>
          <w:szCs w:val="28"/>
        </w:rPr>
        <w:t xml:space="preserve"> debido a esa circunstancia, la respetiva diputación plurinominal le debe corresponder a la primera fórmula femenina de la lista A, ocupada por la actora. </w:t>
      </w:r>
    </w:p>
    <w:p w14:paraId="0C86A526"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Por tanto, la demandante manifiesta que, respecto a Movimiento Ciudadano, las mujeres nunca han encabezado la lista A desde el año 2009, por lo cual, en esta ocasión le corresponde a una mujer hacerlo, específicamente, a la que integra la primera fórmula de la lista A.</w:t>
      </w:r>
    </w:p>
    <w:p w14:paraId="247A4E1E"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b/>
          <w:bCs/>
          <w:sz w:val="28"/>
          <w:szCs w:val="28"/>
        </w:rPr>
        <w:t>TECDMX-JLDC-109/2021</w:t>
      </w:r>
      <w:r w:rsidRPr="00F32542">
        <w:rPr>
          <w:rFonts w:ascii="Arial" w:eastAsia="Calibri" w:hAnsi="Arial" w:cs="Arial"/>
          <w:sz w:val="28"/>
          <w:szCs w:val="28"/>
        </w:rPr>
        <w:t xml:space="preserve"> </w:t>
      </w:r>
      <w:r w:rsidRPr="00F32542">
        <w:rPr>
          <w:rFonts w:ascii="Arial" w:eastAsia="Calibri" w:hAnsi="Arial" w:cs="Arial"/>
          <w:b/>
          <w:bCs/>
          <w:sz w:val="28"/>
          <w:szCs w:val="28"/>
        </w:rPr>
        <w:t xml:space="preserve">(Nayaret </w:t>
      </w:r>
      <w:proofErr w:type="spellStart"/>
      <w:r w:rsidRPr="00F32542">
        <w:rPr>
          <w:rFonts w:ascii="Arial" w:eastAsia="Calibri" w:hAnsi="Arial" w:cs="Arial"/>
          <w:b/>
          <w:bCs/>
          <w:sz w:val="28"/>
          <w:szCs w:val="28"/>
        </w:rPr>
        <w:t>Yazmin</w:t>
      </w:r>
      <w:proofErr w:type="spellEnd"/>
      <w:r w:rsidRPr="00F32542">
        <w:rPr>
          <w:rFonts w:ascii="Arial" w:eastAsia="Calibri" w:hAnsi="Arial" w:cs="Arial"/>
          <w:b/>
          <w:bCs/>
          <w:sz w:val="28"/>
          <w:szCs w:val="28"/>
        </w:rPr>
        <w:t xml:space="preserve"> Calderón Martínez) </w:t>
      </w:r>
    </w:p>
    <w:p w14:paraId="031387EE"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También aduce que la única diputación de representación proporcional alcanzada por Movimiento </w:t>
      </w:r>
      <w:proofErr w:type="gramStart"/>
      <w:r w:rsidRPr="00F32542">
        <w:rPr>
          <w:rFonts w:ascii="Arial" w:eastAsia="Calibri" w:hAnsi="Arial" w:cs="Arial"/>
          <w:sz w:val="28"/>
          <w:szCs w:val="28"/>
        </w:rPr>
        <w:t>Ciudadano,</w:t>
      </w:r>
      <w:proofErr w:type="gramEnd"/>
      <w:r w:rsidRPr="00F32542">
        <w:rPr>
          <w:rFonts w:ascii="Arial" w:eastAsia="Calibri" w:hAnsi="Arial" w:cs="Arial"/>
          <w:sz w:val="28"/>
          <w:szCs w:val="28"/>
        </w:rPr>
        <w:t xml:space="preserve"> le debe corresponder a una mujer, es decir, a la fórmula por ella integrada —segundo lugar de la respectiva lista B— porque además es una persona joven. </w:t>
      </w:r>
    </w:p>
    <w:p w14:paraId="1F525D53"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b/>
          <w:bCs/>
          <w:sz w:val="28"/>
          <w:szCs w:val="28"/>
        </w:rPr>
        <w:t>TECDMX-JEL-204/2021 (</w:t>
      </w:r>
      <w:r w:rsidRPr="00F32542">
        <w:rPr>
          <w:rFonts w:ascii="Arial" w:eastAsia="Calibri" w:hAnsi="Arial" w:cs="Arial"/>
          <w:sz w:val="28"/>
          <w:szCs w:val="28"/>
        </w:rPr>
        <w:t>MORENA)</w:t>
      </w:r>
    </w:p>
    <w:p w14:paraId="35D304E8"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Según MORENA, debido a que Movimiento Ciudadano y el PVEM fueron los partidos que obtuvieron menos votación y, por tanto, menos asignaciones, a ellos debía corresponder ceder al género femenino, las diputaciones plurinominales alcanzadas.</w:t>
      </w:r>
    </w:p>
    <w:p w14:paraId="7B701B42"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lang w:val="es-ES"/>
        </w:rPr>
      </w:pPr>
      <w:r w:rsidRPr="00F32542">
        <w:rPr>
          <w:rFonts w:ascii="Arial" w:eastAsia="Calibri" w:hAnsi="Arial" w:cs="Arial"/>
          <w:b/>
          <w:bCs/>
          <w:sz w:val="28"/>
          <w:szCs w:val="28"/>
          <w:lang w:val="es-ES"/>
        </w:rPr>
        <w:t>Estudio de los anteriores planteamientos.</w:t>
      </w:r>
    </w:p>
    <w:p w14:paraId="16D2B129"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Como se observa, en los planteamientos citados el argumento común radica en establecer que, ante la asignación de una única curul de representación proporcional, ésta debe corresponder a fórmulas femeninas. </w:t>
      </w:r>
    </w:p>
    <w:p w14:paraId="2BE320E0"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b/>
          <w:sz w:val="28"/>
          <w:szCs w:val="28"/>
        </w:rPr>
        <w:lastRenderedPageBreak/>
        <w:t>Marco jurídico</w:t>
      </w:r>
      <w:r w:rsidR="007F14BE" w:rsidRPr="00F32542">
        <w:rPr>
          <w:rFonts w:ascii="Arial" w:eastAsia="Calibri" w:hAnsi="Arial" w:cs="Arial"/>
          <w:b/>
          <w:sz w:val="28"/>
          <w:szCs w:val="28"/>
        </w:rPr>
        <w:t>.</w:t>
      </w:r>
    </w:p>
    <w:p w14:paraId="437106F1"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Como se ha explicado, la asignación de las diputaciones de representación proporcional a cada uno de los partidos políticos se da mediante una lista definitiva. </w:t>
      </w:r>
    </w:p>
    <w:p w14:paraId="62243606"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Esta lista definitiva se construye a través de la intercalación de los listados A y B. </w:t>
      </w:r>
    </w:p>
    <w:p w14:paraId="2239624B"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De conformidad con el artículo 24, fracción III, del </w:t>
      </w:r>
      <w:r w:rsidRPr="00F32542">
        <w:rPr>
          <w:rFonts w:ascii="Arial" w:eastAsia="Calibri" w:hAnsi="Arial" w:cs="Arial"/>
          <w:i/>
          <w:sz w:val="28"/>
          <w:szCs w:val="28"/>
        </w:rPr>
        <w:t>Código local,</w:t>
      </w:r>
      <w:r w:rsidRPr="00F32542">
        <w:rPr>
          <w:rFonts w:ascii="Arial" w:eastAsia="Calibri" w:hAnsi="Arial" w:cs="Arial"/>
          <w:sz w:val="28"/>
          <w:szCs w:val="28"/>
        </w:rPr>
        <w:t xml:space="preserve"> la lista A es una relación de diecisiete fórmulas de candidaturas. Esta lista se construye alternando géneros entre las fórmulas. Es decir, si la primera fórmula es de un género, la segunda debe ser del otro. </w:t>
      </w:r>
    </w:p>
    <w:p w14:paraId="0E7C901F"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Por su parte, </w:t>
      </w:r>
      <w:proofErr w:type="gramStart"/>
      <w:r w:rsidRPr="00F32542">
        <w:rPr>
          <w:rFonts w:ascii="Arial" w:eastAsia="Calibri" w:hAnsi="Arial" w:cs="Arial"/>
          <w:sz w:val="28"/>
          <w:szCs w:val="28"/>
        </w:rPr>
        <w:t>de acuerdo al</w:t>
      </w:r>
      <w:proofErr w:type="gramEnd"/>
      <w:r w:rsidRPr="00F32542">
        <w:rPr>
          <w:rFonts w:ascii="Arial" w:eastAsia="Calibri" w:hAnsi="Arial" w:cs="Arial"/>
          <w:sz w:val="28"/>
          <w:szCs w:val="28"/>
        </w:rPr>
        <w:t xml:space="preserve"> artículo 24, fracción IV, del </w:t>
      </w:r>
      <w:r w:rsidRPr="00F32542">
        <w:rPr>
          <w:rFonts w:ascii="Arial" w:eastAsia="Calibri" w:hAnsi="Arial" w:cs="Arial"/>
          <w:i/>
          <w:sz w:val="28"/>
          <w:szCs w:val="28"/>
        </w:rPr>
        <w:t>Código local</w:t>
      </w:r>
      <w:r w:rsidRPr="00F32542">
        <w:rPr>
          <w:rFonts w:ascii="Arial" w:eastAsia="Calibri" w:hAnsi="Arial" w:cs="Arial"/>
          <w:sz w:val="28"/>
          <w:szCs w:val="28"/>
        </w:rPr>
        <w:t xml:space="preserve">, la lista B es aquella relación de diecisiete fórmulas de candidaturas de diputaciones de mayoría relativa de un partido, que no obtuvieron el triunfo; esta lista se integra por aquellas fórmulas que obtuvieron el mejor porcentaje de votación del partido en las elecciones de diputaciones. </w:t>
      </w:r>
    </w:p>
    <w:p w14:paraId="5BB1A391"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El primer lugar de la lista B será la fórmula que obtuvo mejor votación y, para garantizar la paridad de género, el segundo lugar será ocupado por la fórmula del otro género que obtuvo la mejor votación y así sucesivamente. </w:t>
      </w:r>
    </w:p>
    <w:p w14:paraId="48DCD541"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Es importante destacar que el artículo 23 del </w:t>
      </w:r>
      <w:r w:rsidRPr="00F32542">
        <w:rPr>
          <w:rFonts w:ascii="Arial" w:eastAsia="Calibri" w:hAnsi="Arial" w:cs="Arial"/>
          <w:i/>
          <w:sz w:val="28"/>
          <w:szCs w:val="28"/>
        </w:rPr>
        <w:t xml:space="preserve">Código local </w:t>
      </w:r>
      <w:r w:rsidRPr="00F32542">
        <w:rPr>
          <w:rFonts w:ascii="Arial" w:eastAsia="Calibri" w:hAnsi="Arial" w:cs="Arial"/>
          <w:sz w:val="28"/>
          <w:szCs w:val="28"/>
        </w:rPr>
        <w:t>prevé que en cada lista (A y B) se alternarán fórmulas de distinto género para garantizar el principio de paridad.</w:t>
      </w:r>
    </w:p>
    <w:p w14:paraId="5AEE07D0"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En el artículo 24, fracción V, del citado código se advierte que la lista definitiva se conforma mediante la intercalación de la lista A y B. </w:t>
      </w:r>
    </w:p>
    <w:p w14:paraId="78AE914C"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sz w:val="28"/>
          <w:szCs w:val="28"/>
        </w:rPr>
        <w:lastRenderedPageBreak/>
        <w:t xml:space="preserve">La lista definitiva </w:t>
      </w:r>
      <w:r w:rsidRPr="00F32542">
        <w:rPr>
          <w:rFonts w:ascii="Arial" w:eastAsia="Calibri" w:hAnsi="Arial" w:cs="Arial"/>
          <w:b/>
          <w:sz w:val="28"/>
          <w:szCs w:val="28"/>
        </w:rPr>
        <w:t xml:space="preserve">siempre será encabezada por la primera fórmula de la lista A </w:t>
      </w:r>
      <w:r w:rsidRPr="00F32542">
        <w:rPr>
          <w:rFonts w:ascii="Arial" w:eastAsia="Calibri" w:hAnsi="Arial" w:cs="Arial"/>
          <w:sz w:val="28"/>
          <w:szCs w:val="28"/>
        </w:rPr>
        <w:t xml:space="preserve">y al intercalarse las listas A y B, pueden generarse bloques de un mismo género, lo que significa que el siguiente bloque debe integrarse por el género distinto. </w:t>
      </w:r>
    </w:p>
    <w:p w14:paraId="5C090F89"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Como se observa, el principio de alternancia es un eje rector de la integración de todas las listas, dado que al construirse las listas A y B alternando géneros, ello debe verse reflejado en la conformación de la lista final. </w:t>
      </w:r>
    </w:p>
    <w:p w14:paraId="62A5EF95"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En ese sentido, la alternancia se erige como un mecanismo para permitir la integración paritaria de las listas, mismo que será materializado, sobre todo, cuando los partidos políticos obtengan más de una curul de representación proporcional, ya que sólo de este modo pueden alternarse los géneros entre fórmulas de la lista definitiva, provenientes de los otros dos listados, lo cual no será viable, en caso de sólo alcanzarse la asignación de un escaño.</w:t>
      </w:r>
    </w:p>
    <w:p w14:paraId="12E507CA"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sz w:val="28"/>
          <w:szCs w:val="28"/>
        </w:rPr>
        <w:t xml:space="preserve">En cuanto al principio de alternancia, la </w:t>
      </w:r>
      <w:r w:rsidRPr="00F32542">
        <w:rPr>
          <w:rFonts w:ascii="Arial" w:eastAsia="Calibri" w:hAnsi="Arial" w:cs="Arial"/>
          <w:i/>
          <w:sz w:val="28"/>
          <w:szCs w:val="28"/>
        </w:rPr>
        <w:t xml:space="preserve">Sala Superior </w:t>
      </w:r>
      <w:r w:rsidRPr="00F32542">
        <w:rPr>
          <w:rFonts w:ascii="Arial" w:eastAsia="Calibri" w:hAnsi="Arial" w:cs="Arial"/>
          <w:sz w:val="28"/>
          <w:szCs w:val="28"/>
        </w:rPr>
        <w:t xml:space="preserve">ha establecido que constituye un medio para lograr la paridad, </w:t>
      </w:r>
      <w:r w:rsidRPr="00F32542">
        <w:rPr>
          <w:rFonts w:ascii="Arial" w:eastAsia="Calibri" w:hAnsi="Arial" w:cs="Arial"/>
          <w:b/>
          <w:sz w:val="28"/>
          <w:szCs w:val="28"/>
        </w:rPr>
        <w:t xml:space="preserve">por lo que debe aplicarse cuando las condiciones del caso y la legislación así lo dispongan. </w:t>
      </w:r>
    </w:p>
    <w:p w14:paraId="77688FFE"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sz w:val="28"/>
          <w:szCs w:val="28"/>
        </w:rPr>
        <w:t xml:space="preserve">Esto se razonó en la jurisprudencia 36/2015, se rubro </w:t>
      </w:r>
      <w:r w:rsidRPr="00F32542">
        <w:rPr>
          <w:rFonts w:ascii="Arial" w:eastAsia="Calibri" w:hAnsi="Arial" w:cs="Arial"/>
          <w:b/>
          <w:sz w:val="28"/>
          <w:szCs w:val="28"/>
        </w:rPr>
        <w:t>“</w:t>
      </w:r>
      <w:r w:rsidRPr="00F32542">
        <w:rPr>
          <w:rFonts w:ascii="Arial" w:eastAsia="Calibri" w:hAnsi="Arial" w:cs="Arial"/>
          <w:b/>
          <w:bCs/>
          <w:sz w:val="28"/>
          <w:szCs w:val="28"/>
        </w:rPr>
        <w:t>REPRESENTACIÓN PROPORCIONAL. PARIDAD DE GÉNERO COMO SUPUESTO DE MODIFICACIÓN DEL ORDEN DE PRELACIÓN DE LA LISTA DE CANDIDATURAS REGISTRADA”.</w:t>
      </w:r>
    </w:p>
    <w:p w14:paraId="01690BA6"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Por otro lado, en el asunto SUP-REC-433/2019, la </w:t>
      </w:r>
      <w:r w:rsidRPr="00F32542">
        <w:rPr>
          <w:rFonts w:ascii="Arial" w:eastAsia="Calibri" w:hAnsi="Arial" w:cs="Arial"/>
          <w:bCs/>
          <w:i/>
          <w:sz w:val="28"/>
          <w:szCs w:val="28"/>
        </w:rPr>
        <w:t xml:space="preserve">Sala Superior </w:t>
      </w:r>
      <w:r w:rsidRPr="00F32542">
        <w:rPr>
          <w:rFonts w:ascii="Arial" w:eastAsia="Calibri" w:hAnsi="Arial" w:cs="Arial"/>
          <w:bCs/>
          <w:sz w:val="28"/>
          <w:szCs w:val="28"/>
        </w:rPr>
        <w:t xml:space="preserve">razonó que el principio de paridad en las listas de representación proporcional de los partidos </w:t>
      </w:r>
      <w:proofErr w:type="gramStart"/>
      <w:r w:rsidRPr="00F32542">
        <w:rPr>
          <w:rFonts w:ascii="Arial" w:eastAsia="Calibri" w:hAnsi="Arial" w:cs="Arial"/>
          <w:bCs/>
          <w:sz w:val="28"/>
          <w:szCs w:val="28"/>
        </w:rPr>
        <w:t>políticos,</w:t>
      </w:r>
      <w:proofErr w:type="gramEnd"/>
      <w:r w:rsidRPr="00F32542">
        <w:rPr>
          <w:rFonts w:ascii="Arial" w:eastAsia="Calibri" w:hAnsi="Arial" w:cs="Arial"/>
          <w:bCs/>
          <w:sz w:val="28"/>
          <w:szCs w:val="28"/>
        </w:rPr>
        <w:t xml:space="preserve"> estará garantizado en la </w:t>
      </w:r>
      <w:r w:rsidRPr="00F32542">
        <w:rPr>
          <w:rFonts w:ascii="Arial" w:eastAsia="Calibri" w:hAnsi="Arial" w:cs="Arial"/>
          <w:bCs/>
          <w:sz w:val="28"/>
          <w:szCs w:val="28"/>
        </w:rPr>
        <w:lastRenderedPageBreak/>
        <w:t>alternancia entre mujeres y hombres que debe prevalecer al interior de la lista de candidaturas de representación proporcional.</w:t>
      </w:r>
      <w:r w:rsidRPr="00F32542">
        <w:rPr>
          <w:rFonts w:ascii="Arial" w:eastAsia="Calibri" w:hAnsi="Arial" w:cs="Arial"/>
          <w:b/>
          <w:bCs/>
          <w:sz w:val="28"/>
          <w:szCs w:val="28"/>
        </w:rPr>
        <w:t xml:space="preserve"> </w:t>
      </w:r>
    </w:p>
    <w:p w14:paraId="35F082E6"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b/>
          <w:bCs/>
          <w:sz w:val="28"/>
          <w:szCs w:val="28"/>
        </w:rPr>
        <w:t>Caso concreto</w:t>
      </w:r>
    </w:p>
    <w:p w14:paraId="66DA6FBF"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Como se expuso, el planteamiento común es que, debido a que el PVEM y MC sólo obtuvieron una curul de representación proporcional respectivamente, ésta debe ser otorgada a una mujer. </w:t>
      </w:r>
    </w:p>
    <w:p w14:paraId="64FDCE8C"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En efecto, en el acuerdo </w:t>
      </w:r>
      <w:r w:rsidRPr="00F32542">
        <w:rPr>
          <w:rFonts w:ascii="Arial" w:eastAsia="Calibri" w:hAnsi="Arial" w:cs="Arial"/>
          <w:b/>
          <w:bCs/>
          <w:sz w:val="28"/>
          <w:szCs w:val="28"/>
        </w:rPr>
        <w:t xml:space="preserve">IECM/ACU-CG-324/2021 </w:t>
      </w:r>
      <w:r w:rsidRPr="00F32542">
        <w:rPr>
          <w:rFonts w:ascii="Arial" w:eastAsia="Calibri" w:hAnsi="Arial" w:cs="Arial"/>
          <w:bCs/>
          <w:sz w:val="28"/>
          <w:szCs w:val="28"/>
        </w:rPr>
        <w:t xml:space="preserve">del </w:t>
      </w:r>
      <w:r w:rsidRPr="00F32542">
        <w:rPr>
          <w:rFonts w:ascii="Arial" w:eastAsia="Calibri" w:hAnsi="Arial" w:cs="Arial"/>
          <w:bCs/>
          <w:i/>
          <w:sz w:val="28"/>
          <w:szCs w:val="28"/>
        </w:rPr>
        <w:t xml:space="preserve">Instituto local, </w:t>
      </w:r>
      <w:r w:rsidRPr="00F32542">
        <w:rPr>
          <w:rFonts w:ascii="Arial" w:eastAsia="Calibri" w:hAnsi="Arial" w:cs="Arial"/>
          <w:bCs/>
          <w:sz w:val="28"/>
          <w:szCs w:val="28"/>
        </w:rPr>
        <w:t xml:space="preserve">se advierte que en el caso del PVEM y MC les correspondió solamente una curul de representación proporcional. </w:t>
      </w:r>
    </w:p>
    <w:p w14:paraId="77E9BABB"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La lista definitiva del PVEM está encabezada por Manuel </w:t>
      </w:r>
      <w:proofErr w:type="spellStart"/>
      <w:r w:rsidRPr="00F32542">
        <w:rPr>
          <w:rFonts w:ascii="Arial" w:eastAsia="Calibri" w:hAnsi="Arial" w:cs="Arial"/>
          <w:bCs/>
          <w:sz w:val="28"/>
          <w:szCs w:val="28"/>
        </w:rPr>
        <w:t>Talayero</w:t>
      </w:r>
      <w:proofErr w:type="spellEnd"/>
      <w:r w:rsidRPr="00F32542">
        <w:rPr>
          <w:rFonts w:ascii="Arial" w:eastAsia="Calibri" w:hAnsi="Arial" w:cs="Arial"/>
          <w:bCs/>
          <w:sz w:val="28"/>
          <w:szCs w:val="28"/>
        </w:rPr>
        <w:t xml:space="preserve"> Pariente, quien es el suplente de Jesús Sesma Ramírez, persona que encabezó la lista A, pero que al obtener una diputación de mayoría relativa dejó su puesto vacante al primero. </w:t>
      </w:r>
    </w:p>
    <w:p w14:paraId="5CAD8B06"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Por su parte, la lista A y, por ende, la lista definitiva de Movimiento Ciudadano, están encabezadas por </w:t>
      </w:r>
      <w:proofErr w:type="spellStart"/>
      <w:r w:rsidRPr="00F32542">
        <w:rPr>
          <w:rFonts w:ascii="Arial" w:eastAsia="Calibri" w:hAnsi="Arial" w:cs="Arial"/>
          <w:bCs/>
          <w:sz w:val="28"/>
          <w:szCs w:val="28"/>
        </w:rPr>
        <w:t>Royfid</w:t>
      </w:r>
      <w:proofErr w:type="spellEnd"/>
      <w:r w:rsidRPr="00F32542">
        <w:rPr>
          <w:rFonts w:ascii="Arial" w:eastAsia="Calibri" w:hAnsi="Arial" w:cs="Arial"/>
          <w:bCs/>
          <w:sz w:val="28"/>
          <w:szCs w:val="28"/>
        </w:rPr>
        <w:t xml:space="preserve"> Torres González. </w:t>
      </w:r>
    </w:p>
    <w:p w14:paraId="08BB3F06"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Esto muestra que, tanto en lo que hace al PVEM como a Movimiento Ciudadano, la única diputación de representación proporcional que les correspondió, fue asignada a personas del género masculino y ello obedeció a que eran quienes integraban la primera fórmula de la lista A postulada por dichos institutos; lista que es la expresión del derecho de autodeterminación de los partidos en cuestión, por lo que la decisión de designar a fórmulas masculinas para encabezarla, incumbe a su ámbito exclusivo de decisión, en el cual la autoridad electoral no puede intervenir.</w:t>
      </w:r>
    </w:p>
    <w:p w14:paraId="126D747E" w14:textId="77777777" w:rsidR="00F94B48" w:rsidRPr="00F32542" w:rsidRDefault="00F94B48" w:rsidP="00F94B48">
      <w:pPr>
        <w:spacing w:before="100" w:beforeAutospacing="1" w:after="100" w:afterAutospacing="1" w:line="360" w:lineRule="auto"/>
        <w:jc w:val="both"/>
        <w:rPr>
          <w:rFonts w:ascii="Arial" w:eastAsia="Calibri" w:hAnsi="Arial" w:cs="Arial"/>
          <w:bCs/>
          <w:i/>
          <w:sz w:val="28"/>
          <w:szCs w:val="28"/>
        </w:rPr>
      </w:pPr>
      <w:r w:rsidRPr="00F32542">
        <w:rPr>
          <w:rFonts w:ascii="Arial" w:eastAsia="Calibri" w:hAnsi="Arial" w:cs="Arial"/>
          <w:bCs/>
          <w:sz w:val="28"/>
          <w:szCs w:val="28"/>
        </w:rPr>
        <w:lastRenderedPageBreak/>
        <w:t xml:space="preserve">A partir de lo anterior, se puede afirmar que no tienen razón las actoras en su planteamiento porque la asignación se dio conforme a lo establecido en el artículo 24, fracción V, del </w:t>
      </w:r>
      <w:r w:rsidRPr="00F32542">
        <w:rPr>
          <w:rFonts w:ascii="Arial" w:eastAsia="Calibri" w:hAnsi="Arial" w:cs="Arial"/>
          <w:bCs/>
          <w:i/>
          <w:sz w:val="28"/>
          <w:szCs w:val="28"/>
        </w:rPr>
        <w:t xml:space="preserve">Código local. </w:t>
      </w:r>
    </w:p>
    <w:p w14:paraId="0C1AB8CE"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En efecto, debe recordarse la citada disposición establece que </w:t>
      </w:r>
      <w:r w:rsidRPr="00F32542">
        <w:rPr>
          <w:rFonts w:ascii="Arial" w:eastAsia="Calibri" w:hAnsi="Arial" w:cs="Arial"/>
          <w:b/>
          <w:bCs/>
          <w:sz w:val="28"/>
          <w:szCs w:val="28"/>
        </w:rPr>
        <w:t xml:space="preserve">el primer lugar de la lista definitiva será encabezado por la primera fórmula de candidaturas de la lista A. </w:t>
      </w:r>
    </w:p>
    <w:p w14:paraId="78305EB2"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De tal modo, la autoridad responsable estuvo en lo correcto, al colocar en el primer lugar de la correspondiente lista definitiva, a las personas que, conforme a lo determinado al interior del PVEM y Movimiento Ciudadano, fueron las que convinieron de mejor forma a sus respectivas estrategias políticas y que, precisamente por ello, ocuparon la primera posición de sus listas A. </w:t>
      </w:r>
    </w:p>
    <w:p w14:paraId="72ADC4C7"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Si bien es cierto que la legislación de la Ciudad de México prevé el mecanismo de alternancia y éste repercute tanto en la integración de las listas A y B, como en la definitiva, ese principio no puede aplicar al momento de la asignación de diputaciones plurinominales, en el supuesto de que sólo se alcance una posición de ese tipo.</w:t>
      </w:r>
    </w:p>
    <w:p w14:paraId="0F62F8B6"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Pues si como resultado de la asignación de curules, sólo se cuenta con una diputación plurinominal, no puede materializarse ni mucho menos hacerse efectivo ese principio; sin embargo, ello no depende de una actitud discriminatoria hacia un género, sino de la cantidad de votos obtenidos por el instituto político bajo ese supuesto, votación en función de la cual, sólo pudo alcanzar una curul de representación proporcional. </w:t>
      </w:r>
    </w:p>
    <w:p w14:paraId="62EC1FAD"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Por consiguiente, en esos casos, los principios de paridad y de alternancia se garantizan cuando los partidos políticos cumplen con </w:t>
      </w:r>
      <w:r w:rsidRPr="00F32542">
        <w:rPr>
          <w:rFonts w:ascii="Arial" w:eastAsia="Calibri" w:hAnsi="Arial" w:cs="Arial"/>
          <w:bCs/>
          <w:sz w:val="28"/>
          <w:szCs w:val="28"/>
        </w:rPr>
        <w:lastRenderedPageBreak/>
        <w:t xml:space="preserve">postular las listas A y B, de manera paritaria y alternada, cuestión que no está controvertida en este asunto. </w:t>
      </w:r>
    </w:p>
    <w:p w14:paraId="17882D95"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Consecuentemente, la única diputación de representación proporcional que obtuvieron PVEM y Movimiento </w:t>
      </w:r>
      <w:proofErr w:type="gramStart"/>
      <w:r w:rsidRPr="00F32542">
        <w:rPr>
          <w:rFonts w:ascii="Arial" w:eastAsia="Calibri" w:hAnsi="Arial" w:cs="Arial"/>
          <w:bCs/>
          <w:sz w:val="28"/>
          <w:szCs w:val="28"/>
        </w:rPr>
        <w:t>Ciudadano,</w:t>
      </w:r>
      <w:proofErr w:type="gramEnd"/>
      <w:r w:rsidRPr="00F32542">
        <w:rPr>
          <w:rFonts w:ascii="Arial" w:eastAsia="Calibri" w:hAnsi="Arial" w:cs="Arial"/>
          <w:bCs/>
          <w:sz w:val="28"/>
          <w:szCs w:val="28"/>
        </w:rPr>
        <w:t xml:space="preserve"> no puede ser sustituida por mujeres, como resultado de la aplicación del principio de alternancia. </w:t>
      </w:r>
    </w:p>
    <w:p w14:paraId="5E4958A9"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Por su parte, no tienen razón </w:t>
      </w:r>
      <w:r w:rsidRPr="00F32542">
        <w:rPr>
          <w:rFonts w:ascii="Arial" w:eastAsia="Calibri" w:hAnsi="Arial" w:cs="Arial"/>
          <w:sz w:val="28"/>
          <w:szCs w:val="28"/>
        </w:rPr>
        <w:t xml:space="preserve">Nayaret </w:t>
      </w:r>
      <w:proofErr w:type="spellStart"/>
      <w:r w:rsidRPr="00F32542">
        <w:rPr>
          <w:rFonts w:ascii="Arial" w:eastAsia="Calibri" w:hAnsi="Arial" w:cs="Arial"/>
          <w:sz w:val="28"/>
          <w:szCs w:val="28"/>
        </w:rPr>
        <w:t>Yazmin</w:t>
      </w:r>
      <w:proofErr w:type="spellEnd"/>
      <w:r w:rsidRPr="00F32542">
        <w:rPr>
          <w:rFonts w:ascii="Arial" w:eastAsia="Calibri" w:hAnsi="Arial" w:cs="Arial"/>
          <w:sz w:val="28"/>
          <w:szCs w:val="28"/>
        </w:rPr>
        <w:t xml:space="preserve"> Calderón Martínez</w:t>
      </w:r>
      <w:r w:rsidRPr="00F32542">
        <w:rPr>
          <w:rFonts w:ascii="Arial" w:eastAsia="Calibri" w:hAnsi="Arial" w:cs="Arial"/>
          <w:bCs/>
          <w:sz w:val="28"/>
          <w:szCs w:val="28"/>
        </w:rPr>
        <w:t xml:space="preserve"> respecto a que debe corresponderle la única diputación plurinominal asignada a Movimiento Ciudadano, por ser una persona joven.</w:t>
      </w:r>
    </w:p>
    <w:p w14:paraId="3EDB39B0"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szCs w:val="28"/>
          <w:lang w:eastAsia="es-MX"/>
        </w:rPr>
      </w:pPr>
      <w:r w:rsidRPr="00F32542">
        <w:rPr>
          <w:rFonts w:ascii="Arial" w:eastAsia="Times New Roman" w:hAnsi="Arial" w:cs="Arial"/>
          <w:sz w:val="28"/>
          <w:szCs w:val="28"/>
          <w:lang w:eastAsia="es-MX"/>
        </w:rPr>
        <w:t xml:space="preserve">Al respecto, sirve de referencia lo resuelto por la Sala Superior en recurso </w:t>
      </w:r>
      <w:r w:rsidRPr="00F32542">
        <w:rPr>
          <w:rFonts w:ascii="Arial" w:eastAsia="Times New Roman" w:hAnsi="Arial" w:cs="Arial"/>
          <w:b/>
          <w:bCs/>
          <w:sz w:val="28"/>
          <w:szCs w:val="28"/>
          <w:lang w:eastAsia="es-MX"/>
        </w:rPr>
        <w:t>SUP-REC-249/2021</w:t>
      </w:r>
      <w:r w:rsidRPr="00F32542">
        <w:rPr>
          <w:rFonts w:ascii="Arial" w:eastAsia="Times New Roman" w:hAnsi="Arial" w:cs="Arial"/>
          <w:sz w:val="28"/>
          <w:szCs w:val="28"/>
          <w:lang w:eastAsia="es-MX"/>
        </w:rPr>
        <w:t>, en cuanto que las acciones afirmativas como las alegadas por las partes actoras, deben ser admitidas y reguladas en la etapa de la preparación de la elección.</w:t>
      </w:r>
    </w:p>
    <w:p w14:paraId="7B40FD29" w14:textId="77777777" w:rsidR="00F94B48" w:rsidRPr="00F32542" w:rsidRDefault="00F94B48" w:rsidP="00F94B48">
      <w:pPr>
        <w:spacing w:before="100" w:beforeAutospacing="1" w:after="100" w:afterAutospacing="1" w:line="360" w:lineRule="auto"/>
        <w:jc w:val="both"/>
        <w:rPr>
          <w:rFonts w:ascii="Arial" w:eastAsia="Times New Roman" w:hAnsi="Arial" w:cs="Arial"/>
          <w:sz w:val="28"/>
          <w:szCs w:val="28"/>
          <w:lang w:eastAsia="es-MX"/>
        </w:rPr>
      </w:pPr>
      <w:r w:rsidRPr="00F32542">
        <w:rPr>
          <w:rFonts w:ascii="Arial" w:eastAsia="Times New Roman" w:hAnsi="Arial" w:cs="Arial"/>
          <w:sz w:val="28"/>
          <w:szCs w:val="28"/>
          <w:lang w:eastAsia="es-MX"/>
        </w:rPr>
        <w:t>Sin embargo, el presente caso, dicha etapa ha concluido, pues incluso ha transcurrido la jornada electoral, de modo que,</w:t>
      </w:r>
      <w:r w:rsidRPr="00F32542">
        <w:rPr>
          <w:rFonts w:ascii="Arial" w:eastAsia="Times New Roman" w:hAnsi="Arial" w:cs="Arial"/>
          <w:sz w:val="28"/>
          <w:szCs w:val="28"/>
          <w:u w:val="single"/>
          <w:lang w:eastAsia="es-MX"/>
        </w:rPr>
        <w:t xml:space="preserve"> aunque sería deseable,</w:t>
      </w:r>
      <w:r w:rsidRPr="00F32542">
        <w:rPr>
          <w:rFonts w:ascii="Arial" w:eastAsia="Times New Roman" w:hAnsi="Arial" w:cs="Arial"/>
          <w:sz w:val="28"/>
          <w:szCs w:val="28"/>
          <w:lang w:eastAsia="es-MX"/>
        </w:rPr>
        <w:t xml:space="preserve"> no es posible crear una acción afirmativa en este momento para efectos de la asignación de diputaciones plurinominales en los términos solicitados por las actoras. </w:t>
      </w:r>
    </w:p>
    <w:p w14:paraId="073D0123" w14:textId="77777777" w:rsidR="00F94B48" w:rsidRPr="00F32542" w:rsidRDefault="00F94B48" w:rsidP="00F94B48">
      <w:pPr>
        <w:spacing w:before="100" w:beforeAutospacing="1" w:after="100" w:afterAutospacing="1" w:line="360" w:lineRule="auto"/>
        <w:jc w:val="both"/>
        <w:rPr>
          <w:rFonts w:ascii="Arial" w:eastAsia="Times New Roman" w:hAnsi="Arial" w:cs="Arial"/>
          <w:bCs/>
          <w:sz w:val="28"/>
          <w:szCs w:val="28"/>
          <w:lang w:eastAsia="es-MX"/>
        </w:rPr>
      </w:pPr>
      <w:r w:rsidRPr="00F32542">
        <w:rPr>
          <w:rFonts w:ascii="Arial" w:eastAsia="Times New Roman" w:hAnsi="Arial" w:cs="Arial"/>
          <w:bCs/>
          <w:sz w:val="28"/>
          <w:szCs w:val="28"/>
          <w:lang w:eastAsia="es-MX"/>
        </w:rPr>
        <w:t xml:space="preserve">En ese sentido, </w:t>
      </w:r>
      <w:proofErr w:type="gramStart"/>
      <w:r w:rsidRPr="00F32542">
        <w:rPr>
          <w:rFonts w:ascii="Arial" w:eastAsia="Times New Roman" w:hAnsi="Arial" w:cs="Arial"/>
          <w:bCs/>
          <w:sz w:val="28"/>
          <w:szCs w:val="28"/>
          <w:lang w:eastAsia="es-MX"/>
        </w:rPr>
        <w:t>al día de hoy</w:t>
      </w:r>
      <w:proofErr w:type="gramEnd"/>
      <w:r w:rsidRPr="00F32542">
        <w:rPr>
          <w:rFonts w:ascii="Arial" w:eastAsia="Times New Roman" w:hAnsi="Arial" w:cs="Arial"/>
          <w:bCs/>
          <w:sz w:val="28"/>
          <w:szCs w:val="28"/>
          <w:lang w:eastAsia="es-MX"/>
        </w:rPr>
        <w:t xml:space="preserve"> no existe viabilidad temporal ni jurídica para el establecimiento de tales acciones afirmativas, mediante su reclamo en sede jurisdiccional.</w:t>
      </w:r>
    </w:p>
    <w:p w14:paraId="4A615D47" w14:textId="77777777" w:rsidR="00F94B48" w:rsidRPr="00F32542" w:rsidRDefault="00F94B48" w:rsidP="00F94B48">
      <w:pPr>
        <w:spacing w:before="100" w:beforeAutospacing="1" w:after="100" w:afterAutospacing="1" w:line="360" w:lineRule="auto"/>
        <w:jc w:val="both"/>
        <w:rPr>
          <w:rFonts w:ascii="Arial" w:eastAsia="Times New Roman" w:hAnsi="Arial" w:cs="Arial"/>
          <w:bCs/>
          <w:sz w:val="28"/>
          <w:szCs w:val="28"/>
          <w:lang w:eastAsia="es-MX"/>
        </w:rPr>
      </w:pPr>
      <w:r w:rsidRPr="00F32542">
        <w:rPr>
          <w:rFonts w:ascii="Arial" w:eastAsia="Times New Roman" w:hAnsi="Arial" w:cs="Arial"/>
          <w:bCs/>
          <w:sz w:val="28"/>
          <w:szCs w:val="28"/>
          <w:lang w:eastAsia="es-MX"/>
        </w:rPr>
        <w:t xml:space="preserve">Pues al haberse consumado las etapas de preparación de la elección y la jornada electoral, ello impide modificar las condiciones en que se llevó a cabo la elección. </w:t>
      </w:r>
    </w:p>
    <w:p w14:paraId="1444442A" w14:textId="77777777" w:rsidR="00F94B48" w:rsidRPr="00F32542" w:rsidRDefault="00F94B48" w:rsidP="00F94B48">
      <w:pPr>
        <w:spacing w:before="100" w:beforeAutospacing="1" w:after="100" w:afterAutospacing="1" w:line="360" w:lineRule="auto"/>
        <w:jc w:val="both"/>
        <w:rPr>
          <w:rFonts w:ascii="Arial" w:eastAsia="Times New Roman" w:hAnsi="Arial" w:cs="Arial"/>
          <w:bCs/>
          <w:sz w:val="28"/>
          <w:szCs w:val="28"/>
          <w:lang w:eastAsia="es-MX"/>
        </w:rPr>
      </w:pPr>
      <w:r w:rsidRPr="00F32542">
        <w:rPr>
          <w:rFonts w:ascii="Arial" w:eastAsia="Times New Roman" w:hAnsi="Arial" w:cs="Arial"/>
          <w:bCs/>
          <w:sz w:val="28"/>
          <w:szCs w:val="28"/>
          <w:lang w:eastAsia="es-MX"/>
        </w:rPr>
        <w:lastRenderedPageBreak/>
        <w:t>Además, conceder ahora la aplicación de una acción afirmativa, no implementada en etapas tempranas del proceso electoral, implicaría un perjuicio a todas las personas que integran el sector desfavorecido dentro del cual se pretende hacer valer esa medida —personas mujeres jóvenes—.</w:t>
      </w:r>
    </w:p>
    <w:p w14:paraId="19F7AACB" w14:textId="77777777" w:rsidR="00F94B48" w:rsidRPr="00F32542" w:rsidRDefault="00F94B48" w:rsidP="00F94B48">
      <w:pPr>
        <w:spacing w:before="100" w:beforeAutospacing="1" w:after="100" w:afterAutospacing="1" w:line="360" w:lineRule="auto"/>
        <w:jc w:val="both"/>
        <w:rPr>
          <w:rFonts w:ascii="Arial" w:eastAsia="Times New Roman" w:hAnsi="Arial" w:cs="Times New Roman"/>
          <w:sz w:val="28"/>
          <w:szCs w:val="24"/>
          <w:lang w:eastAsia="es-MX"/>
        </w:rPr>
      </w:pPr>
      <w:r w:rsidRPr="00F32542">
        <w:rPr>
          <w:rFonts w:ascii="Arial" w:eastAsia="Times New Roman" w:hAnsi="Arial" w:cs="Arial"/>
          <w:bCs/>
          <w:sz w:val="28"/>
          <w:szCs w:val="28"/>
          <w:lang w:eastAsia="es-MX"/>
        </w:rPr>
        <w:t xml:space="preserve">Porque en su ejecución no habrían sido consideradas en igualdad de circunstancias, </w:t>
      </w:r>
      <w:r w:rsidRPr="00F32542">
        <w:rPr>
          <w:rFonts w:ascii="Arial" w:eastAsia="Times New Roman" w:hAnsi="Arial" w:cs="Times New Roman"/>
          <w:sz w:val="28"/>
          <w:szCs w:val="24"/>
          <w:lang w:eastAsia="es-MX"/>
        </w:rPr>
        <w:t xml:space="preserve">generando una mayor desigualdad que la que se busca eliminar con ese tipo de acciones, conforme al contenido de la jurisprudencia </w:t>
      </w:r>
      <w:r w:rsidRPr="00F32542">
        <w:rPr>
          <w:rFonts w:ascii="Arial" w:eastAsia="Times New Roman" w:hAnsi="Arial" w:cs="Times New Roman"/>
          <w:b/>
          <w:sz w:val="28"/>
          <w:szCs w:val="24"/>
          <w:lang w:eastAsia="es-MX"/>
        </w:rPr>
        <w:t>30/2014</w:t>
      </w:r>
      <w:r w:rsidRPr="00F32542">
        <w:rPr>
          <w:rFonts w:ascii="Arial" w:eastAsia="Times New Roman" w:hAnsi="Arial" w:cs="Times New Roman"/>
          <w:sz w:val="28"/>
          <w:szCs w:val="24"/>
          <w:lang w:eastAsia="es-MX"/>
        </w:rPr>
        <w:t>, emitida por la Sala Superior bajo el rubro “</w:t>
      </w:r>
      <w:r w:rsidRPr="00F32542">
        <w:rPr>
          <w:rFonts w:ascii="Arial" w:eastAsia="Times New Roman" w:hAnsi="Arial" w:cs="Times New Roman"/>
          <w:b/>
          <w:bCs/>
          <w:sz w:val="28"/>
          <w:szCs w:val="24"/>
          <w:lang w:eastAsia="es-MX"/>
        </w:rPr>
        <w:t>ACCIONES AFIRMATIVAS. CARACTERÍSITICAS Y OBJETIVO DE SU IMPLEMENTACIÓN</w:t>
      </w:r>
      <w:r w:rsidRPr="00F32542">
        <w:rPr>
          <w:rFonts w:ascii="Arial" w:eastAsia="Times New Roman" w:hAnsi="Arial" w:cs="Times New Roman"/>
          <w:sz w:val="28"/>
          <w:szCs w:val="24"/>
          <w:lang w:eastAsia="es-MX"/>
        </w:rPr>
        <w:t>”.</w:t>
      </w:r>
    </w:p>
    <w:p w14:paraId="4D5FF5AD"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En cuanto a lo manifestado por Elizabeth Mateos Hernández para reclamar que debió serle otorgada la única posición plurinominal alcanzada por el PVEM, resulta infundado su planteamiento. </w:t>
      </w:r>
    </w:p>
    <w:p w14:paraId="7560D612"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La actora parte de la premisa de que, si el PVEM obtuvo una candidatura de mayoría relativa encabezada por una persona del género masculino, entonces la única curul de representación proporcional asignada propio partido, debe corresponder al otro género. </w:t>
      </w:r>
    </w:p>
    <w:p w14:paraId="1F0163C8"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Empero, lo expuesto en ese sentido resulta infundado, porque el principio de alternancia previsto en los artículos 23 y 24 del </w:t>
      </w:r>
      <w:r w:rsidRPr="00F32542">
        <w:rPr>
          <w:rFonts w:ascii="Arial" w:eastAsia="Calibri" w:hAnsi="Arial" w:cs="Arial"/>
          <w:bCs/>
          <w:i/>
          <w:sz w:val="28"/>
          <w:szCs w:val="28"/>
        </w:rPr>
        <w:t xml:space="preserve">Código local, </w:t>
      </w:r>
      <w:r w:rsidRPr="00F32542">
        <w:rPr>
          <w:rFonts w:ascii="Arial" w:eastAsia="Calibri" w:hAnsi="Arial" w:cs="Arial"/>
          <w:bCs/>
          <w:sz w:val="28"/>
          <w:szCs w:val="28"/>
        </w:rPr>
        <w:t>respecto a la conformación las listas de candidaturas A, B y la definitiva, no establecen regla alguna como la pretendida por la demandante.</w:t>
      </w:r>
    </w:p>
    <w:p w14:paraId="135DB139"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Consistente en que la alternancia deba establecerse y observarse entre el género de las candidaturas de un partido, ganadoras por </w:t>
      </w:r>
      <w:r w:rsidRPr="00F32542">
        <w:rPr>
          <w:rFonts w:ascii="Arial" w:eastAsia="Calibri" w:hAnsi="Arial" w:cs="Arial"/>
          <w:bCs/>
          <w:sz w:val="28"/>
          <w:szCs w:val="28"/>
        </w:rPr>
        <w:lastRenderedPageBreak/>
        <w:t>mayoría relativa, y el género de las candidaturas del mismo partido, asignadas por representación proporcional.</w:t>
      </w:r>
    </w:p>
    <w:p w14:paraId="0C6488B7"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Una regla de esa naturaleza, </w:t>
      </w:r>
      <w:r w:rsidRPr="00F32542">
        <w:rPr>
          <w:rFonts w:ascii="Arial" w:eastAsia="Calibri" w:hAnsi="Arial" w:cs="Arial"/>
          <w:bCs/>
          <w:sz w:val="28"/>
          <w:szCs w:val="28"/>
          <w:u w:val="single"/>
        </w:rPr>
        <w:t>aun cuando fuera deseable,</w:t>
      </w:r>
      <w:r w:rsidRPr="00F32542">
        <w:rPr>
          <w:rFonts w:ascii="Arial" w:eastAsia="Calibri" w:hAnsi="Arial" w:cs="Arial"/>
          <w:bCs/>
          <w:sz w:val="28"/>
          <w:szCs w:val="28"/>
        </w:rPr>
        <w:t xml:space="preserve"> no puede regir para la asignación de diputaciones plurinominales, toda vez que no se encuentra prevista en la normativa aplicable para la asignación de diputaciones plurinominales del Congreso local.</w:t>
      </w:r>
    </w:p>
    <w:p w14:paraId="07DD8004"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Por lo que no existe sustento jurídico, ni siquiera por vía interpretativa, para que el orden de las listas involucradas en dicha </w:t>
      </w:r>
      <w:proofErr w:type="gramStart"/>
      <w:r w:rsidRPr="00F32542">
        <w:rPr>
          <w:rFonts w:ascii="Arial" w:eastAsia="Calibri" w:hAnsi="Arial" w:cs="Arial"/>
          <w:bCs/>
          <w:sz w:val="28"/>
          <w:szCs w:val="28"/>
        </w:rPr>
        <w:t>asignación,</w:t>
      </w:r>
      <w:proofErr w:type="gramEnd"/>
      <w:r w:rsidRPr="00F32542">
        <w:rPr>
          <w:rFonts w:ascii="Arial" w:eastAsia="Calibri" w:hAnsi="Arial" w:cs="Arial"/>
          <w:bCs/>
          <w:sz w:val="28"/>
          <w:szCs w:val="28"/>
        </w:rPr>
        <w:t xml:space="preserve"> quede supeditado al género de las candidaturas que obtengan triunfos de mayoría relativa. </w:t>
      </w:r>
    </w:p>
    <w:p w14:paraId="5784E162"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Sobre el particular, debe considerarse que el otorgamiento de la diputación que le correspondió al PVEM, a la primera fórmula de candidaturas de su lista A, </w:t>
      </w:r>
      <w:proofErr w:type="gramStart"/>
      <w:r w:rsidRPr="00F32542">
        <w:rPr>
          <w:rFonts w:ascii="Arial" w:eastAsia="Calibri" w:hAnsi="Arial" w:cs="Arial"/>
          <w:bCs/>
          <w:sz w:val="28"/>
          <w:szCs w:val="28"/>
        </w:rPr>
        <w:t>y</w:t>
      </w:r>
      <w:proofErr w:type="gramEnd"/>
      <w:r w:rsidRPr="00F32542">
        <w:rPr>
          <w:rFonts w:ascii="Arial" w:eastAsia="Calibri" w:hAnsi="Arial" w:cs="Arial"/>
          <w:bCs/>
          <w:sz w:val="28"/>
          <w:szCs w:val="28"/>
        </w:rPr>
        <w:t xml:space="preserve"> por ende, también de su lista definitiva, responde y es congruente al ejercicio del derecho de autodeterminación de dicho partido. </w:t>
      </w:r>
    </w:p>
    <w:p w14:paraId="1FC754D4"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De manera que pretender derivar del orden normativo aplicable, una regla como la aducida por la parte actora, implicaría pasar por alto el invocado principio a favor de los partidos políticos y su libre organización interna.</w:t>
      </w:r>
    </w:p>
    <w:p w14:paraId="3D0E15E4"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En efecto, en el asunto </w:t>
      </w:r>
      <w:r w:rsidRPr="00F32542">
        <w:rPr>
          <w:rFonts w:ascii="Arial" w:eastAsia="Calibri" w:hAnsi="Arial" w:cs="Arial"/>
          <w:b/>
          <w:sz w:val="28"/>
          <w:szCs w:val="28"/>
        </w:rPr>
        <w:t>SUP-REC-433/2019</w:t>
      </w:r>
      <w:r w:rsidRPr="00F32542">
        <w:rPr>
          <w:rFonts w:ascii="Arial" w:eastAsia="Calibri" w:hAnsi="Arial" w:cs="Arial"/>
          <w:bCs/>
          <w:sz w:val="28"/>
          <w:szCs w:val="28"/>
        </w:rPr>
        <w:t xml:space="preserve">, la </w:t>
      </w:r>
      <w:r w:rsidRPr="00F32542">
        <w:rPr>
          <w:rFonts w:ascii="Arial" w:eastAsia="Calibri" w:hAnsi="Arial" w:cs="Arial"/>
          <w:bCs/>
          <w:i/>
          <w:sz w:val="28"/>
          <w:szCs w:val="28"/>
        </w:rPr>
        <w:t xml:space="preserve">Sala Superior </w:t>
      </w:r>
      <w:r w:rsidRPr="00F32542">
        <w:rPr>
          <w:rFonts w:ascii="Arial" w:eastAsia="Calibri" w:hAnsi="Arial" w:cs="Arial"/>
          <w:bCs/>
          <w:sz w:val="28"/>
          <w:szCs w:val="28"/>
        </w:rPr>
        <w:t>estableció que, en atención al derecho de autodeterminación de los partidos políticos, por regla general, el primer lugar de la respectiva lista de candidaturas debe ser respetado al momento de la asignación de espacios plurinominales.</w:t>
      </w:r>
    </w:p>
    <w:p w14:paraId="606AB39A"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lastRenderedPageBreak/>
        <w:t xml:space="preserve">Esto, dado que las candidaturas propuestas en ese </w:t>
      </w:r>
      <w:proofErr w:type="gramStart"/>
      <w:r w:rsidRPr="00F32542">
        <w:rPr>
          <w:rFonts w:ascii="Arial" w:eastAsia="Calibri" w:hAnsi="Arial" w:cs="Arial"/>
          <w:bCs/>
          <w:sz w:val="28"/>
          <w:szCs w:val="28"/>
        </w:rPr>
        <w:t>lugar,</w:t>
      </w:r>
      <w:proofErr w:type="gramEnd"/>
      <w:r w:rsidRPr="00F32542">
        <w:rPr>
          <w:rFonts w:ascii="Arial" w:eastAsia="Calibri" w:hAnsi="Arial" w:cs="Arial"/>
          <w:bCs/>
          <w:sz w:val="28"/>
          <w:szCs w:val="28"/>
        </w:rPr>
        <w:t xml:space="preserve"> llevan implícito el reconocimiento de una estrategia al interior del partido, así como el presupuesto del aval de la voluntad de su</w:t>
      </w:r>
      <w:r w:rsidR="005D75EF" w:rsidRPr="00F32542">
        <w:rPr>
          <w:rFonts w:ascii="Arial" w:eastAsia="Calibri" w:hAnsi="Arial" w:cs="Arial"/>
          <w:bCs/>
          <w:sz w:val="28"/>
          <w:szCs w:val="28"/>
        </w:rPr>
        <w:t>s</w:t>
      </w:r>
      <w:r w:rsidRPr="00F32542">
        <w:rPr>
          <w:rFonts w:ascii="Arial" w:eastAsia="Calibri" w:hAnsi="Arial" w:cs="Arial"/>
          <w:bCs/>
          <w:sz w:val="28"/>
          <w:szCs w:val="28"/>
        </w:rPr>
        <w:t xml:space="preserve"> militantes.</w:t>
      </w:r>
    </w:p>
    <w:p w14:paraId="78790ABC"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Cabe señalar que, en el citado asunto, la </w:t>
      </w:r>
      <w:r w:rsidRPr="00F32542">
        <w:rPr>
          <w:rFonts w:ascii="Arial" w:eastAsia="Calibri" w:hAnsi="Arial" w:cs="Arial"/>
          <w:i/>
          <w:sz w:val="28"/>
          <w:szCs w:val="28"/>
        </w:rPr>
        <w:t xml:space="preserve">Sala Superior </w:t>
      </w:r>
      <w:r w:rsidRPr="00F32542">
        <w:rPr>
          <w:rFonts w:ascii="Arial" w:eastAsia="Calibri" w:hAnsi="Arial" w:cs="Arial"/>
          <w:sz w:val="28"/>
          <w:szCs w:val="28"/>
        </w:rPr>
        <w:t xml:space="preserve">determinó que fue correcto que la única diputación que le correspondió a un partido político, se le asignara al candidato que se encontraba en primer lugar de la lista correspondiente, a pesar de que se planteó la </w:t>
      </w:r>
      <w:r w:rsidRPr="00F32542">
        <w:rPr>
          <w:rFonts w:ascii="Arial" w:eastAsia="Calibri" w:hAnsi="Arial" w:cs="Arial"/>
          <w:sz w:val="28"/>
          <w:szCs w:val="28"/>
          <w:u w:val="single"/>
        </w:rPr>
        <w:t>subrepresentación</w:t>
      </w:r>
      <w:r w:rsidRPr="00F32542">
        <w:rPr>
          <w:rFonts w:ascii="Arial" w:eastAsia="Calibri" w:hAnsi="Arial" w:cs="Arial"/>
          <w:sz w:val="28"/>
          <w:szCs w:val="28"/>
        </w:rPr>
        <w:t xml:space="preserve"> del género femenino. </w:t>
      </w:r>
    </w:p>
    <w:p w14:paraId="569DCECC"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Por otro lado, como se indicó, se considera que no tiene razón Lucía Alejandra Puente García al sostener que debía asignársele el primer lugar de la lista A de Movimiento Ciudadano, debido a que desde 2009, ese partido postula hombres en esa posición.</w:t>
      </w:r>
    </w:p>
    <w:p w14:paraId="7F1355BA"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Como tampoco está en lo cierto MORENA al señalar que corresponde a las listas de los partidos políticos con menos votación y, por ello, con menos asignaciones plurinominales, reconocer un mayor número de posiciones a las mujeres. </w:t>
      </w:r>
    </w:p>
    <w:p w14:paraId="23CCB6CF"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Lo anterior, porque en la legislación y demás normativa vigente en la Ciudad de México, aplicable para la elección de diputaciones plurinominales del Congreso local, aunque sería deseable, al momento, no existe una acción afirmativa cuya observancia resulte obligatoria a los partidos políticos.</w:t>
      </w:r>
    </w:p>
    <w:p w14:paraId="7F8DEEF3"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Ello, con el fin de para alternar, </w:t>
      </w:r>
      <w:proofErr w:type="gramStart"/>
      <w:r w:rsidRPr="00F32542">
        <w:rPr>
          <w:rFonts w:ascii="Arial" w:eastAsia="Calibri" w:hAnsi="Arial" w:cs="Arial"/>
          <w:sz w:val="28"/>
          <w:szCs w:val="28"/>
        </w:rPr>
        <w:t>en  cada</w:t>
      </w:r>
      <w:proofErr w:type="gramEnd"/>
      <w:r w:rsidRPr="00F32542">
        <w:rPr>
          <w:rFonts w:ascii="Arial" w:eastAsia="Calibri" w:hAnsi="Arial" w:cs="Arial"/>
          <w:sz w:val="28"/>
          <w:szCs w:val="28"/>
        </w:rPr>
        <w:t xml:space="preserve"> proceso electoral, el género que debe encabezar la lista A, ni para que los partidos que sólo alcancen la asignación de una curul de representación proporcional, deban otorgarla a una fórmula del género femenino.  </w:t>
      </w:r>
    </w:p>
    <w:p w14:paraId="0314D29F" w14:textId="77777777" w:rsidR="00F94B48" w:rsidRPr="00F32542" w:rsidRDefault="00F94B48" w:rsidP="00F94B48">
      <w:pPr>
        <w:spacing w:before="100" w:beforeAutospacing="1" w:after="100" w:afterAutospacing="1" w:line="360" w:lineRule="auto"/>
        <w:jc w:val="both"/>
        <w:rPr>
          <w:rFonts w:ascii="Arial" w:eastAsia="Times New Roman" w:hAnsi="Arial" w:cs="Arial"/>
          <w:bCs/>
          <w:sz w:val="28"/>
          <w:szCs w:val="28"/>
          <w:lang w:eastAsia="es-MX"/>
        </w:rPr>
      </w:pPr>
      <w:r w:rsidRPr="00F32542">
        <w:rPr>
          <w:rFonts w:ascii="Arial" w:eastAsia="Times New Roman" w:hAnsi="Arial" w:cs="Arial"/>
          <w:sz w:val="28"/>
          <w:szCs w:val="28"/>
          <w:lang w:eastAsia="es-MX"/>
        </w:rPr>
        <w:lastRenderedPageBreak/>
        <w:t xml:space="preserve">Al respecto, es aplicable la citada sentencia del asunto </w:t>
      </w:r>
      <w:r w:rsidRPr="00F32542">
        <w:rPr>
          <w:rFonts w:ascii="Arial" w:eastAsia="Times New Roman" w:hAnsi="Arial" w:cs="Arial"/>
          <w:b/>
          <w:sz w:val="28"/>
          <w:szCs w:val="28"/>
          <w:lang w:eastAsia="es-MX"/>
        </w:rPr>
        <w:t xml:space="preserve">SUP-REC-249/2021 </w:t>
      </w:r>
      <w:r w:rsidRPr="00F32542">
        <w:rPr>
          <w:rFonts w:ascii="Arial" w:eastAsia="Times New Roman" w:hAnsi="Arial" w:cs="Arial"/>
          <w:sz w:val="28"/>
          <w:szCs w:val="28"/>
          <w:lang w:eastAsia="es-MX"/>
        </w:rPr>
        <w:t xml:space="preserve">de la </w:t>
      </w:r>
      <w:r w:rsidRPr="00F32542">
        <w:rPr>
          <w:rFonts w:ascii="Arial" w:eastAsia="Times New Roman" w:hAnsi="Arial" w:cs="Arial"/>
          <w:i/>
          <w:sz w:val="28"/>
          <w:szCs w:val="28"/>
          <w:lang w:eastAsia="es-MX"/>
        </w:rPr>
        <w:t xml:space="preserve">Sala Superior, </w:t>
      </w:r>
      <w:r w:rsidRPr="00F32542">
        <w:rPr>
          <w:rFonts w:ascii="Arial" w:eastAsia="Times New Roman" w:hAnsi="Arial" w:cs="Arial"/>
          <w:sz w:val="28"/>
          <w:szCs w:val="28"/>
          <w:lang w:eastAsia="es-MX"/>
        </w:rPr>
        <w:t xml:space="preserve">en la que se estableció que las acciones afirmativas relacionadas con los procesos electorales se deben emitir en la etapa de la preparación de la elección, etapa en la que no nos encontramos actualmente.   </w:t>
      </w:r>
      <w:r w:rsidRPr="00F32542">
        <w:rPr>
          <w:rFonts w:ascii="Arial" w:eastAsia="Times New Roman" w:hAnsi="Arial" w:cs="Arial"/>
          <w:bCs/>
          <w:sz w:val="28"/>
          <w:szCs w:val="28"/>
          <w:lang w:eastAsia="es-MX"/>
        </w:rPr>
        <w:t xml:space="preserve"> </w:t>
      </w:r>
    </w:p>
    <w:p w14:paraId="50E0D86E"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Por las razones expuestas, se considera que los agravios son infundados. </w:t>
      </w:r>
    </w:p>
    <w:p w14:paraId="5CDBD66B" w14:textId="77777777" w:rsidR="00F94B48" w:rsidRPr="00F32542" w:rsidRDefault="00BA2BA9" w:rsidP="00BA2BA9">
      <w:pPr>
        <w:spacing w:before="100" w:beforeAutospacing="1" w:after="100" w:afterAutospacing="1" w:line="360" w:lineRule="auto"/>
        <w:ind w:firstLine="709"/>
        <w:jc w:val="both"/>
        <w:rPr>
          <w:rFonts w:ascii="Arial" w:eastAsia="Calibri" w:hAnsi="Arial" w:cs="Arial"/>
          <w:b/>
          <w:sz w:val="28"/>
          <w:szCs w:val="28"/>
        </w:rPr>
      </w:pPr>
      <w:r w:rsidRPr="00F32542">
        <w:rPr>
          <w:rFonts w:ascii="Arial" w:eastAsia="Calibri" w:hAnsi="Arial" w:cs="Arial"/>
          <w:b/>
          <w:sz w:val="28"/>
          <w:szCs w:val="28"/>
        </w:rPr>
        <w:t xml:space="preserve">X. </w:t>
      </w:r>
      <w:r w:rsidR="00F94B48" w:rsidRPr="00F32542">
        <w:rPr>
          <w:rFonts w:ascii="Arial" w:eastAsia="Calibri" w:hAnsi="Arial" w:cs="Arial"/>
          <w:b/>
          <w:sz w:val="28"/>
          <w:szCs w:val="28"/>
        </w:rPr>
        <w:t>Votación para integrar la lista B</w:t>
      </w:r>
    </w:p>
    <w:p w14:paraId="78BDAB46"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En este apartado se analizarán los planteamientos según los cuales se cuestiona la votación con la que se conforma la lista B, efectuados por:</w:t>
      </w:r>
    </w:p>
    <w:p w14:paraId="1F60858E"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b/>
          <w:bCs/>
          <w:sz w:val="28"/>
          <w:szCs w:val="28"/>
        </w:rPr>
        <w:t>TECDMX-JLDC-095/2021</w:t>
      </w:r>
      <w:r w:rsidRPr="00F32542">
        <w:rPr>
          <w:rFonts w:ascii="Arial" w:eastAsia="Calibri" w:hAnsi="Arial" w:cs="Arial"/>
          <w:sz w:val="28"/>
          <w:szCs w:val="28"/>
        </w:rPr>
        <w:t xml:space="preserve"> </w:t>
      </w:r>
      <w:r w:rsidRPr="00F32542">
        <w:rPr>
          <w:rFonts w:ascii="Arial" w:eastAsia="Calibri" w:hAnsi="Arial" w:cs="Arial"/>
          <w:b/>
          <w:bCs/>
          <w:sz w:val="28"/>
          <w:szCs w:val="28"/>
        </w:rPr>
        <w:t>(Monserrat Adriana Bosque Sánchez)</w:t>
      </w:r>
      <w:r w:rsidRPr="00F32542">
        <w:rPr>
          <w:rFonts w:ascii="Arial" w:eastAsia="Calibri" w:hAnsi="Arial" w:cs="Arial"/>
          <w:sz w:val="28"/>
          <w:szCs w:val="28"/>
        </w:rPr>
        <w:t xml:space="preserve"> </w:t>
      </w:r>
    </w:p>
    <w:p w14:paraId="54F06C6E"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b/>
          <w:bCs/>
          <w:sz w:val="28"/>
          <w:szCs w:val="28"/>
        </w:rPr>
        <w:t>TECDMX-JLDC-096/2021 (</w:t>
      </w:r>
      <w:proofErr w:type="spellStart"/>
      <w:r w:rsidRPr="00F32542">
        <w:rPr>
          <w:rFonts w:ascii="Arial" w:eastAsia="Calibri" w:hAnsi="Arial" w:cs="Arial"/>
          <w:b/>
          <w:bCs/>
          <w:sz w:val="28"/>
          <w:szCs w:val="28"/>
        </w:rPr>
        <w:t>Anthea</w:t>
      </w:r>
      <w:proofErr w:type="spellEnd"/>
      <w:r w:rsidRPr="00F32542">
        <w:rPr>
          <w:rFonts w:ascii="Arial" w:eastAsia="Calibri" w:hAnsi="Arial" w:cs="Arial"/>
          <w:b/>
          <w:bCs/>
          <w:sz w:val="28"/>
          <w:szCs w:val="28"/>
        </w:rPr>
        <w:t xml:space="preserve"> Terina Sansores Olvera)</w:t>
      </w:r>
    </w:p>
    <w:p w14:paraId="267C9B9E"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Al sostener que incorrectamente la autoridad responsable aplicó una votación distrital, en lugar de una local. </w:t>
      </w:r>
    </w:p>
    <w:p w14:paraId="156AC635"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bookmarkStart w:id="50" w:name="_Hlk78303931"/>
      <w:r w:rsidRPr="00F32542">
        <w:rPr>
          <w:rFonts w:ascii="Arial" w:eastAsia="Calibri" w:hAnsi="Arial" w:cs="Arial"/>
          <w:b/>
          <w:bCs/>
          <w:sz w:val="28"/>
          <w:szCs w:val="28"/>
        </w:rPr>
        <w:t xml:space="preserve">TECDMX-JLDC-110/2021 </w:t>
      </w:r>
      <w:bookmarkEnd w:id="50"/>
      <w:r w:rsidRPr="00F32542">
        <w:rPr>
          <w:rFonts w:ascii="Arial" w:eastAsia="Calibri" w:hAnsi="Arial" w:cs="Arial"/>
          <w:b/>
          <w:bCs/>
          <w:sz w:val="28"/>
          <w:szCs w:val="28"/>
        </w:rPr>
        <w:t xml:space="preserve">(Fernando </w:t>
      </w:r>
      <w:proofErr w:type="spellStart"/>
      <w:r w:rsidRPr="00F32542">
        <w:rPr>
          <w:rFonts w:ascii="Arial" w:eastAsia="Calibri" w:hAnsi="Arial" w:cs="Arial"/>
          <w:b/>
          <w:bCs/>
          <w:sz w:val="28"/>
          <w:szCs w:val="28"/>
        </w:rPr>
        <w:t>Belaunzarán</w:t>
      </w:r>
      <w:proofErr w:type="spellEnd"/>
      <w:r w:rsidRPr="00F32542">
        <w:rPr>
          <w:rFonts w:ascii="Arial" w:eastAsia="Calibri" w:hAnsi="Arial" w:cs="Arial"/>
          <w:b/>
          <w:bCs/>
          <w:sz w:val="28"/>
          <w:szCs w:val="28"/>
        </w:rPr>
        <w:t xml:space="preserve"> Méndez) </w:t>
      </w:r>
    </w:p>
    <w:p w14:paraId="3C428F82"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Argumenta que para establecer el porcentaje de la lista B, se debió atender los mayores porcentajes de la votación local emitida, comparado respecto a otras fórmulas del mismo partido, según lo establece el artículo 24 del </w:t>
      </w:r>
      <w:r w:rsidRPr="00F32542">
        <w:rPr>
          <w:rFonts w:ascii="Arial" w:eastAsia="Calibri" w:hAnsi="Arial" w:cs="Arial"/>
          <w:i/>
          <w:sz w:val="28"/>
          <w:szCs w:val="28"/>
        </w:rPr>
        <w:t>Código</w:t>
      </w:r>
      <w:r w:rsidRPr="00F32542">
        <w:rPr>
          <w:rFonts w:ascii="Arial" w:eastAsia="Calibri" w:hAnsi="Arial" w:cs="Arial"/>
          <w:sz w:val="28"/>
          <w:szCs w:val="28"/>
        </w:rPr>
        <w:t xml:space="preserve"> </w:t>
      </w:r>
      <w:r w:rsidRPr="00F32542">
        <w:rPr>
          <w:rFonts w:ascii="Arial" w:eastAsia="Calibri" w:hAnsi="Arial" w:cs="Arial"/>
          <w:i/>
          <w:sz w:val="28"/>
          <w:szCs w:val="28"/>
        </w:rPr>
        <w:t>local</w:t>
      </w:r>
      <w:r w:rsidRPr="00F32542">
        <w:rPr>
          <w:rFonts w:ascii="Arial" w:eastAsia="Calibri" w:hAnsi="Arial" w:cs="Arial"/>
          <w:sz w:val="28"/>
          <w:szCs w:val="28"/>
        </w:rPr>
        <w:t>.</w:t>
      </w:r>
    </w:p>
    <w:p w14:paraId="6088472A"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Sostiene </w:t>
      </w:r>
      <w:proofErr w:type="gramStart"/>
      <w:r w:rsidRPr="00F32542">
        <w:rPr>
          <w:rFonts w:ascii="Arial" w:eastAsia="Calibri" w:hAnsi="Arial" w:cs="Arial"/>
          <w:sz w:val="28"/>
          <w:szCs w:val="28"/>
        </w:rPr>
        <w:t>que</w:t>
      </w:r>
      <w:proofErr w:type="gramEnd"/>
      <w:r w:rsidRPr="00F32542">
        <w:rPr>
          <w:rFonts w:ascii="Arial" w:eastAsia="Calibri" w:hAnsi="Arial" w:cs="Arial"/>
          <w:sz w:val="28"/>
          <w:szCs w:val="28"/>
        </w:rPr>
        <w:t xml:space="preserve"> si se aplica el porcentaje de votación local, le correspondería la posición 6. Por ello, a su juicio, debe ajustarse el orden de prelación. </w:t>
      </w:r>
    </w:p>
    <w:p w14:paraId="671F0766"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lastRenderedPageBreak/>
        <w:t>Manifiesta que el concepto de votación distrital emitida no corresponde a una protección amplia, favorece la omisión de participación del electorado, pues se beneficia a quien obtuvo menos votos.</w:t>
      </w:r>
    </w:p>
    <w:p w14:paraId="2C6BB889"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b/>
          <w:bCs/>
          <w:sz w:val="28"/>
          <w:szCs w:val="28"/>
        </w:rPr>
        <w:t>TECDMX-JLDC-101/2021</w:t>
      </w:r>
      <w:r w:rsidRPr="00F32542">
        <w:rPr>
          <w:rFonts w:ascii="Arial" w:eastAsia="Calibri" w:hAnsi="Arial" w:cs="Arial"/>
          <w:sz w:val="28"/>
          <w:szCs w:val="28"/>
        </w:rPr>
        <w:t xml:space="preserve"> </w:t>
      </w:r>
      <w:r w:rsidRPr="00F32542">
        <w:rPr>
          <w:rFonts w:ascii="Arial" w:eastAsia="Calibri" w:hAnsi="Arial" w:cs="Arial"/>
          <w:b/>
          <w:bCs/>
          <w:sz w:val="28"/>
          <w:szCs w:val="28"/>
        </w:rPr>
        <w:t>(</w:t>
      </w:r>
      <w:bookmarkStart w:id="51" w:name="_Hlk78313892"/>
      <w:r w:rsidRPr="00F32542">
        <w:rPr>
          <w:rFonts w:ascii="Arial" w:eastAsia="Calibri" w:hAnsi="Arial" w:cs="Arial"/>
          <w:b/>
          <w:bCs/>
          <w:sz w:val="28"/>
          <w:szCs w:val="28"/>
        </w:rPr>
        <w:t>Jacqueline Villarreal García</w:t>
      </w:r>
      <w:bookmarkEnd w:id="51"/>
      <w:r w:rsidRPr="00F32542">
        <w:rPr>
          <w:rFonts w:ascii="Arial" w:eastAsia="Calibri" w:hAnsi="Arial" w:cs="Arial"/>
          <w:b/>
          <w:bCs/>
          <w:sz w:val="28"/>
          <w:szCs w:val="28"/>
        </w:rPr>
        <w:t>)</w:t>
      </w:r>
    </w:p>
    <w:p w14:paraId="3B932980"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Al afirmar que no es correcta la votación que se tomó en cuenta para integrar la lista B, porque no se considera que no existe uniformidad en los distritos, pues difieren en cuanto al tamaño de su población. </w:t>
      </w:r>
    </w:p>
    <w:p w14:paraId="17ABE327"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lang w:val="es-ES"/>
        </w:rPr>
      </w:pPr>
      <w:bookmarkStart w:id="52" w:name="_Hlk78365949"/>
      <w:r w:rsidRPr="00F32542">
        <w:rPr>
          <w:rFonts w:ascii="Arial" w:eastAsia="Calibri" w:hAnsi="Arial" w:cs="Arial"/>
          <w:b/>
          <w:bCs/>
          <w:sz w:val="28"/>
          <w:szCs w:val="28"/>
          <w:lang w:val="es-ES"/>
        </w:rPr>
        <w:t>Estudio de los anteriores planteamientos.</w:t>
      </w:r>
    </w:p>
    <w:bookmarkEnd w:id="52"/>
    <w:p w14:paraId="383605DE"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Se considera que los motivos de disenso materia de este apartado son </w:t>
      </w:r>
      <w:r w:rsidRPr="00F32542">
        <w:rPr>
          <w:rFonts w:ascii="Arial" w:eastAsia="Calibri" w:hAnsi="Arial" w:cs="Arial"/>
          <w:b/>
          <w:sz w:val="28"/>
          <w:szCs w:val="28"/>
        </w:rPr>
        <w:t>infundados.</w:t>
      </w:r>
    </w:p>
    <w:p w14:paraId="0B8BE00E"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b/>
          <w:sz w:val="28"/>
          <w:szCs w:val="28"/>
        </w:rPr>
        <w:t>Marco jurídico</w:t>
      </w:r>
    </w:p>
    <w:p w14:paraId="101F3ABA"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En efecto, el artículo 24, fracción IV, establece que la </w:t>
      </w:r>
      <w:r w:rsidRPr="00F32542">
        <w:rPr>
          <w:rFonts w:ascii="Arial" w:eastAsia="Calibri" w:hAnsi="Arial" w:cs="Arial"/>
          <w:b/>
          <w:sz w:val="28"/>
          <w:szCs w:val="28"/>
        </w:rPr>
        <w:t xml:space="preserve">lista B </w:t>
      </w:r>
      <w:r w:rsidRPr="00F32542">
        <w:rPr>
          <w:rFonts w:ascii="Arial" w:eastAsia="Calibri" w:hAnsi="Arial" w:cs="Arial"/>
          <w:sz w:val="28"/>
          <w:szCs w:val="28"/>
        </w:rPr>
        <w:t xml:space="preserve">es una relación de diecisiete fórmulas de candidaturas a las diputaciones que no lograron el triunfo en la elección del principio de mayoría relativa al distrito que participaron. </w:t>
      </w:r>
    </w:p>
    <w:p w14:paraId="191CA98B"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sz w:val="28"/>
          <w:szCs w:val="28"/>
        </w:rPr>
        <w:t xml:space="preserve">Se establece que tales candidaturas se tratan de </w:t>
      </w:r>
      <w:r w:rsidRPr="00F32542">
        <w:rPr>
          <w:rFonts w:ascii="Arial" w:eastAsia="Calibri" w:hAnsi="Arial" w:cs="Arial"/>
          <w:b/>
          <w:sz w:val="28"/>
          <w:szCs w:val="28"/>
        </w:rPr>
        <w:t xml:space="preserve">aquellas que alcanzaron a nivel distrital los mayores porcentajes de la votación local emitida, comparados respecto a otras fórmulas de su mismo partido en esa misma elección. </w:t>
      </w:r>
    </w:p>
    <w:p w14:paraId="7BA10745"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Por su parte, en el artículo 10 de los </w:t>
      </w:r>
      <w:r w:rsidRPr="00F32542">
        <w:rPr>
          <w:rFonts w:ascii="Arial" w:eastAsia="Calibri" w:hAnsi="Arial" w:cs="Arial"/>
          <w:i/>
          <w:sz w:val="28"/>
          <w:szCs w:val="28"/>
        </w:rPr>
        <w:t xml:space="preserve">Lineamientos de asignación </w:t>
      </w:r>
      <w:r w:rsidRPr="00F32542">
        <w:rPr>
          <w:rFonts w:ascii="Arial" w:eastAsia="Calibri" w:hAnsi="Arial" w:cs="Arial"/>
          <w:sz w:val="28"/>
          <w:szCs w:val="28"/>
        </w:rPr>
        <w:t xml:space="preserve">se previó que para efectos de la lista B, se tomarían en cuenta sólo los votos de los partidos postulantes. </w:t>
      </w:r>
    </w:p>
    <w:p w14:paraId="6BA0D0BC"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lastRenderedPageBreak/>
        <w:t>Esto, porque en caso de existir candidaturas comunes o coaliciones, los partidos políticos debían establecer en el convenio atinente, a qué instituto político se integraría cada candidatura a diputación de mayoría relativa, con el propósito de conformar la respectiva lista B.</w:t>
      </w:r>
    </w:p>
    <w:p w14:paraId="1374A114"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b/>
          <w:bCs/>
          <w:sz w:val="28"/>
          <w:szCs w:val="28"/>
        </w:rPr>
        <w:t xml:space="preserve">De tal modo, que en el caso de las fórmulas postuladas por varios partidos políticos —ya sea en coalición o en candidatura común— para efectos de la lista B, sólo contarán los votos que obtuvo el instituto político al que quedó adscrita la candidatura. </w:t>
      </w:r>
    </w:p>
    <w:p w14:paraId="7C543B94"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b/>
          <w:bCs/>
          <w:sz w:val="28"/>
          <w:szCs w:val="28"/>
        </w:rPr>
        <w:t>Previsiones que reiteran el contenido del artículo 298, fracción II, segundo párrafo del Código local y encuentran justificación en la circunstancia de que, al existir coaliciones o candidaturas comunes, la votación de la candidatura postulada de manera conjunta beneficia a cada uno de los partidos políticos que celebraron convenio para ello.</w:t>
      </w:r>
    </w:p>
    <w:p w14:paraId="467E8943"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b/>
          <w:bCs/>
          <w:sz w:val="28"/>
          <w:szCs w:val="28"/>
        </w:rPr>
        <w:t xml:space="preserve">De modo que, a fin de saber cuál candidatura está mejor posicionada al interior del mismo partido —con el propósito de establecer la prelación de la lista B— sólo se puede tomar en cuenta la votación que obtuvieron las candidaturas adscritas al mismo partido político, según el mencionado convenio. </w:t>
      </w:r>
    </w:p>
    <w:p w14:paraId="7F64A9C6"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b/>
          <w:bCs/>
          <w:sz w:val="28"/>
          <w:szCs w:val="28"/>
        </w:rPr>
        <w:t xml:space="preserve">Lo anterior porque, evidentemente, no podría sumarse a las candidaturas consideradas para la integración de la lista B de un partido político, la votación que obtuvieron a través la postulación común con otros partidos políticos, distintos al que integrará la lista B, porque ello implicaría introducir votación ajena al partido en cuestión. </w:t>
      </w:r>
    </w:p>
    <w:p w14:paraId="53D21A59"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b/>
          <w:bCs/>
          <w:sz w:val="28"/>
          <w:szCs w:val="28"/>
        </w:rPr>
        <w:lastRenderedPageBreak/>
        <w:t xml:space="preserve">Con lo cual, se afectaría la finalidad de la conformación de la lista B, </w:t>
      </w:r>
      <w:proofErr w:type="gramStart"/>
      <w:r w:rsidRPr="00F32542">
        <w:rPr>
          <w:rFonts w:ascii="Arial" w:eastAsia="Calibri" w:hAnsi="Arial" w:cs="Arial"/>
          <w:b/>
          <w:bCs/>
          <w:sz w:val="28"/>
          <w:szCs w:val="28"/>
        </w:rPr>
        <w:t>que</w:t>
      </w:r>
      <w:proofErr w:type="gramEnd"/>
      <w:r w:rsidRPr="00F32542">
        <w:rPr>
          <w:rFonts w:ascii="Arial" w:eastAsia="Calibri" w:hAnsi="Arial" w:cs="Arial"/>
          <w:b/>
          <w:bCs/>
          <w:sz w:val="28"/>
          <w:szCs w:val="28"/>
        </w:rPr>
        <w:t xml:space="preserve"> tratándose de coaliciones o candidaturas comunes, consiste en considerar, por cada partido contendiente en lo individual, a las candidaturas que, adscritas los mismos, fueron los segundos lugares mejor votados, a partir de la votación que obtuvieron y sin que interfiera en ella la votación a favor de una candidatura adscrita a otro partido político.</w:t>
      </w:r>
    </w:p>
    <w:p w14:paraId="3E49A744"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b/>
          <w:bCs/>
          <w:sz w:val="28"/>
          <w:szCs w:val="28"/>
        </w:rPr>
        <w:t>Ahora bien, de las disposiciones citadas, se advierte que para obtener el porcentaje de votación de las fórmulas consideradas para integrar la lista B, se partirá de los votos obtenidos por las mismas a nivel distrital y que representen los mayores porcentajes de la votación local emitida.</w:t>
      </w:r>
    </w:p>
    <w:p w14:paraId="2AA2BADD"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Sobre este tema, debe considerarse la sentencia del juicio </w:t>
      </w:r>
      <w:r w:rsidRPr="00F32542">
        <w:rPr>
          <w:rFonts w:ascii="Arial" w:eastAsia="Calibri" w:hAnsi="Arial" w:cs="Arial"/>
          <w:b/>
          <w:sz w:val="28"/>
          <w:szCs w:val="28"/>
        </w:rPr>
        <w:t xml:space="preserve">SCM-JRC-169/2018, </w:t>
      </w:r>
      <w:r w:rsidRPr="00F32542">
        <w:rPr>
          <w:rFonts w:ascii="Arial" w:eastAsia="Calibri" w:hAnsi="Arial" w:cs="Arial"/>
          <w:sz w:val="28"/>
          <w:szCs w:val="28"/>
        </w:rPr>
        <w:t xml:space="preserve">en la que la </w:t>
      </w:r>
      <w:r w:rsidRPr="00F32542">
        <w:rPr>
          <w:rFonts w:ascii="Arial" w:eastAsia="Calibri" w:hAnsi="Arial" w:cs="Arial"/>
          <w:i/>
          <w:sz w:val="28"/>
          <w:szCs w:val="28"/>
        </w:rPr>
        <w:t xml:space="preserve">Sala Regional </w:t>
      </w:r>
      <w:r w:rsidRPr="00F32542">
        <w:rPr>
          <w:rFonts w:ascii="Arial" w:eastAsia="Calibri" w:hAnsi="Arial" w:cs="Arial"/>
          <w:sz w:val="28"/>
          <w:szCs w:val="28"/>
        </w:rPr>
        <w:t xml:space="preserve">interpretó, entre otras disposiciones, el artículo 24, fracción IV, del </w:t>
      </w:r>
      <w:r w:rsidRPr="00F32542">
        <w:rPr>
          <w:rFonts w:ascii="Arial" w:eastAsia="Calibri" w:hAnsi="Arial" w:cs="Arial"/>
          <w:i/>
          <w:sz w:val="28"/>
          <w:szCs w:val="28"/>
        </w:rPr>
        <w:t>Código local</w:t>
      </w:r>
      <w:r w:rsidRPr="00F32542">
        <w:rPr>
          <w:rFonts w:ascii="Arial" w:eastAsia="Calibri" w:hAnsi="Arial" w:cs="Arial"/>
          <w:sz w:val="28"/>
          <w:szCs w:val="28"/>
        </w:rPr>
        <w:t>, y concluyó que ese precepto, al hablar de los mayores porcentajes de la votación local emitida “</w:t>
      </w:r>
      <w:r w:rsidRPr="00F32542">
        <w:rPr>
          <w:rFonts w:ascii="Arial" w:eastAsia="Calibri" w:hAnsi="Arial" w:cs="Arial"/>
          <w:i/>
          <w:iCs/>
          <w:sz w:val="28"/>
          <w:szCs w:val="28"/>
        </w:rPr>
        <w:t>a nivel distrital</w:t>
      </w:r>
      <w:r w:rsidRPr="00F32542">
        <w:rPr>
          <w:rFonts w:ascii="Arial" w:eastAsia="Calibri" w:hAnsi="Arial" w:cs="Arial"/>
          <w:sz w:val="28"/>
          <w:szCs w:val="28"/>
        </w:rPr>
        <w:t>”, hace referencia a la elección celebrada en el respectivo distrito electoral uninominal, en el cual fue votada la candidatura que se busca incluir en la lista B.</w:t>
      </w:r>
    </w:p>
    <w:p w14:paraId="3FE77DFC"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De </w:t>
      </w:r>
      <w:r w:rsidR="00352D63" w:rsidRPr="00F32542">
        <w:rPr>
          <w:rFonts w:ascii="Arial" w:eastAsia="Calibri" w:hAnsi="Arial" w:cs="Arial"/>
          <w:sz w:val="28"/>
          <w:szCs w:val="28"/>
        </w:rPr>
        <w:t>forma</w:t>
      </w:r>
      <w:r w:rsidRPr="00F32542">
        <w:rPr>
          <w:rFonts w:ascii="Arial" w:eastAsia="Calibri" w:hAnsi="Arial" w:cs="Arial"/>
          <w:sz w:val="28"/>
          <w:szCs w:val="28"/>
        </w:rPr>
        <w:t xml:space="preserve"> que, para determinar las fórmulas de candidaturas de diputaciones de mayoría relativa que conformarán la lista B de un partido, se debe analizar la elección en el contexto de cada distrito de mayoría relativa. </w:t>
      </w:r>
    </w:p>
    <w:p w14:paraId="2ED91440"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Por ello, la Sala Regional sostuvo que la prelación de la lista B se obtiene al considerar los siguientes criterios: a) el porcentaje de votación recibida por la fórmula en comparación con las demás </w:t>
      </w:r>
      <w:r w:rsidRPr="00F32542">
        <w:rPr>
          <w:rFonts w:ascii="Arial" w:eastAsia="Calibri" w:hAnsi="Arial" w:cs="Arial"/>
          <w:sz w:val="28"/>
          <w:szCs w:val="28"/>
        </w:rPr>
        <w:lastRenderedPageBreak/>
        <w:t xml:space="preserve">candidaturas no ganadoras del mismo partido; y, b) la alternancia entre géneros para lograr una integración paritaria. </w:t>
      </w:r>
    </w:p>
    <w:p w14:paraId="58EA9DB6"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Asimismo, en el citado precedente la </w:t>
      </w:r>
      <w:r w:rsidRPr="00F32542">
        <w:rPr>
          <w:rFonts w:ascii="Arial" w:eastAsia="Calibri" w:hAnsi="Arial" w:cs="Arial"/>
          <w:i/>
          <w:sz w:val="28"/>
          <w:szCs w:val="28"/>
        </w:rPr>
        <w:t xml:space="preserve">Sala Regional </w:t>
      </w:r>
      <w:r w:rsidRPr="00F32542">
        <w:rPr>
          <w:rFonts w:ascii="Arial" w:eastAsia="Calibri" w:hAnsi="Arial" w:cs="Arial"/>
          <w:sz w:val="28"/>
          <w:szCs w:val="28"/>
        </w:rPr>
        <w:t xml:space="preserve">sostuvo que para efectos de la integración de la lista B, </w:t>
      </w:r>
      <w:r w:rsidRPr="00F32542">
        <w:rPr>
          <w:rFonts w:ascii="Arial" w:eastAsia="Calibri" w:hAnsi="Arial" w:cs="Arial"/>
          <w:b/>
          <w:sz w:val="28"/>
          <w:szCs w:val="28"/>
        </w:rPr>
        <w:t>para poder realizar una comparación cierta y objetiva entre las distintas fórmulas, es preciso atender únicamente a los valores de cada una de las elecciones por mayoría relativa</w:t>
      </w:r>
      <w:r w:rsidRPr="00F32542">
        <w:rPr>
          <w:rFonts w:ascii="Arial" w:eastAsia="Calibri" w:hAnsi="Arial" w:cs="Arial"/>
          <w:sz w:val="28"/>
          <w:szCs w:val="28"/>
        </w:rPr>
        <w:t xml:space="preserve">. </w:t>
      </w:r>
    </w:p>
    <w:p w14:paraId="3BB12D61"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b/>
          <w:sz w:val="28"/>
          <w:szCs w:val="28"/>
        </w:rPr>
        <w:t>Es decir, hay que tomar en cuenta solamente la votación obtenida por los partidos que participaron en el respectivo distrito</w:t>
      </w:r>
      <w:r w:rsidRPr="00F32542">
        <w:rPr>
          <w:rFonts w:ascii="Arial" w:eastAsia="Calibri" w:hAnsi="Arial" w:cs="Arial"/>
          <w:sz w:val="28"/>
          <w:szCs w:val="28"/>
        </w:rPr>
        <w:t>.</w:t>
      </w:r>
    </w:p>
    <w:p w14:paraId="1726A90C"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De lo contrario, se estarían introduciendo elementos ajenos a cada una de las elecciones distritales que no harían sino distorsionar la representatividad de las candidaturas que no lograron el triunfo, y que no permitiría hacer comparaciones objetivas entre ellos. </w:t>
      </w:r>
    </w:p>
    <w:p w14:paraId="412FFDC9"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sz w:val="28"/>
          <w:szCs w:val="28"/>
        </w:rPr>
        <w:t xml:space="preserve">Asimismo, también estableció que para esos efectos </w:t>
      </w:r>
      <w:r w:rsidRPr="00F32542">
        <w:rPr>
          <w:rFonts w:ascii="Arial" w:eastAsia="Calibri" w:hAnsi="Arial" w:cs="Arial"/>
          <w:b/>
          <w:sz w:val="28"/>
          <w:szCs w:val="28"/>
        </w:rPr>
        <w:t xml:space="preserve">no es válido introducir variables de otros comicios a la elección que se analiza, puesto que eso sería contrario a la finalidad de la lista B, pues lo correcto es analizar la votación en cada distrito. </w:t>
      </w:r>
    </w:p>
    <w:p w14:paraId="6927EC59"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lang w:val="es-ES_tradnl"/>
        </w:rPr>
      </w:pPr>
      <w:r w:rsidRPr="00F32542">
        <w:rPr>
          <w:rFonts w:ascii="Arial" w:eastAsia="Calibri" w:hAnsi="Arial" w:cs="Arial"/>
          <w:sz w:val="28"/>
          <w:szCs w:val="28"/>
        </w:rPr>
        <w:t xml:space="preserve">Por su parte, la </w:t>
      </w:r>
      <w:r w:rsidRPr="00F32542">
        <w:rPr>
          <w:rFonts w:ascii="Arial" w:eastAsia="Calibri" w:hAnsi="Arial" w:cs="Arial"/>
          <w:i/>
          <w:sz w:val="28"/>
          <w:szCs w:val="28"/>
        </w:rPr>
        <w:t xml:space="preserve">Sala Superior </w:t>
      </w:r>
      <w:r w:rsidRPr="00F32542">
        <w:rPr>
          <w:rFonts w:ascii="Arial" w:eastAsia="Calibri" w:hAnsi="Arial" w:cs="Arial"/>
          <w:sz w:val="28"/>
          <w:szCs w:val="28"/>
        </w:rPr>
        <w:t xml:space="preserve">en la sentencia del asunto </w:t>
      </w:r>
      <w:bookmarkStart w:id="53" w:name="_Hlk78310554"/>
      <w:r w:rsidRPr="00F32542">
        <w:rPr>
          <w:rFonts w:ascii="Arial" w:eastAsia="Calibri" w:hAnsi="Arial" w:cs="Arial"/>
          <w:b/>
          <w:sz w:val="28"/>
          <w:szCs w:val="28"/>
        </w:rPr>
        <w:t xml:space="preserve">SUP-REC-1209/2018 </w:t>
      </w:r>
      <w:bookmarkEnd w:id="53"/>
      <w:r w:rsidRPr="00F32542">
        <w:rPr>
          <w:rFonts w:ascii="Arial" w:eastAsia="Calibri" w:hAnsi="Arial" w:cs="Arial"/>
          <w:sz w:val="28"/>
          <w:szCs w:val="28"/>
        </w:rPr>
        <w:t xml:space="preserve">sostuvo que para obtener las fórmulas de candidaturas de mayoría relativa no ganadoras con mejor porcentaje de votación, </w:t>
      </w:r>
      <w:r w:rsidRPr="00F32542">
        <w:rPr>
          <w:rFonts w:ascii="Arial" w:eastAsia="Calibri" w:hAnsi="Arial" w:cs="Arial"/>
          <w:b/>
          <w:sz w:val="28"/>
          <w:szCs w:val="28"/>
        </w:rPr>
        <w:t>no puede tomarse en cuenta la votación emitida a nivel estatal o el universo de posibles electores en cada distrito</w:t>
      </w:r>
      <w:r w:rsidRPr="00F32542">
        <w:rPr>
          <w:rFonts w:ascii="Arial" w:eastAsia="Calibri" w:hAnsi="Arial" w:cs="Arial"/>
          <w:b/>
          <w:bCs/>
          <w:sz w:val="28"/>
          <w:szCs w:val="28"/>
        </w:rPr>
        <w:t xml:space="preserve">,  </w:t>
      </w:r>
      <w:r w:rsidRPr="00F32542">
        <w:rPr>
          <w:rFonts w:ascii="Arial" w:eastAsia="Calibri" w:hAnsi="Arial" w:cs="Arial"/>
          <w:b/>
          <w:bCs/>
          <w:sz w:val="28"/>
          <w:szCs w:val="28"/>
          <w:lang w:val="es-ES_tradnl"/>
        </w:rPr>
        <w:t xml:space="preserve">ya que se estaría tomando como base una votación que, de facto, distorsiona la preferencia política y la voluntad popular que fue expresada en </w:t>
      </w:r>
      <w:r w:rsidRPr="00F32542">
        <w:rPr>
          <w:rFonts w:ascii="Arial" w:eastAsia="Calibri" w:hAnsi="Arial" w:cs="Arial"/>
          <w:b/>
          <w:bCs/>
          <w:sz w:val="28"/>
          <w:szCs w:val="28"/>
          <w:lang w:val="es-ES_tradnl"/>
        </w:rPr>
        <w:lastRenderedPageBreak/>
        <w:t>las urnas respecto de esas candidaturas, y se incumpliría con la finalidad del principio de representación proporcional.</w:t>
      </w:r>
    </w:p>
    <w:p w14:paraId="3BA2F47D"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lang w:val="es-ES_tradnl"/>
        </w:rPr>
      </w:pPr>
      <w:r w:rsidRPr="00F32542">
        <w:rPr>
          <w:rFonts w:ascii="Arial" w:eastAsia="Calibri" w:hAnsi="Arial" w:cs="Arial"/>
          <w:sz w:val="28"/>
          <w:szCs w:val="28"/>
          <w:lang w:val="es-ES_tradnl"/>
        </w:rPr>
        <w:t xml:space="preserve">De tal modo que la </w:t>
      </w:r>
      <w:r w:rsidRPr="00F32542">
        <w:rPr>
          <w:rFonts w:ascii="Arial" w:eastAsia="Calibri" w:hAnsi="Arial" w:cs="Arial"/>
          <w:i/>
          <w:sz w:val="28"/>
          <w:szCs w:val="28"/>
          <w:lang w:val="es-ES_tradnl"/>
        </w:rPr>
        <w:t xml:space="preserve">Sala Superior </w:t>
      </w:r>
      <w:r w:rsidRPr="00F32542">
        <w:rPr>
          <w:rFonts w:ascii="Arial" w:eastAsia="Calibri" w:hAnsi="Arial" w:cs="Arial"/>
          <w:sz w:val="28"/>
          <w:szCs w:val="28"/>
          <w:lang w:val="es-ES_tradnl"/>
        </w:rPr>
        <w:t xml:space="preserve">concluyó que para obtener </w:t>
      </w:r>
      <w:r w:rsidRPr="00F32542">
        <w:rPr>
          <w:rFonts w:ascii="Arial" w:eastAsia="Calibri" w:hAnsi="Arial" w:cs="Arial"/>
          <w:b/>
          <w:sz w:val="28"/>
          <w:szCs w:val="28"/>
          <w:lang w:val="es-ES_tradnl"/>
        </w:rPr>
        <w:t>los porcentajes de votación</w:t>
      </w:r>
      <w:r w:rsidRPr="00F32542">
        <w:rPr>
          <w:rFonts w:ascii="Arial" w:eastAsia="Calibri" w:hAnsi="Arial" w:cs="Arial"/>
          <w:sz w:val="28"/>
          <w:szCs w:val="28"/>
          <w:lang w:val="es-ES_tradnl"/>
        </w:rPr>
        <w:t xml:space="preserve"> </w:t>
      </w:r>
      <w:r w:rsidRPr="00F32542">
        <w:rPr>
          <w:rFonts w:ascii="Arial" w:eastAsia="Calibri" w:hAnsi="Arial" w:cs="Arial"/>
          <w:b/>
          <w:sz w:val="28"/>
          <w:szCs w:val="28"/>
          <w:lang w:val="es-ES_tradnl"/>
        </w:rPr>
        <w:t>debe tomarse en consideración la votación emitida a nivel distrital.</w:t>
      </w:r>
    </w:p>
    <w:p w14:paraId="758A374C"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lang w:val="es-ES_tradnl"/>
        </w:rPr>
      </w:pPr>
      <w:r w:rsidRPr="00F32542">
        <w:rPr>
          <w:rFonts w:ascii="Arial" w:eastAsia="Calibri" w:hAnsi="Arial" w:cs="Arial"/>
          <w:sz w:val="28"/>
          <w:szCs w:val="28"/>
          <w:lang w:val="es-ES_tradnl"/>
        </w:rPr>
        <w:t xml:space="preserve">De tal suerte que, cuando el artículo 24, fracción IV, del </w:t>
      </w:r>
      <w:r w:rsidRPr="00F32542">
        <w:rPr>
          <w:rFonts w:ascii="Arial" w:eastAsia="Calibri" w:hAnsi="Arial" w:cs="Arial"/>
          <w:i/>
          <w:sz w:val="28"/>
          <w:szCs w:val="28"/>
          <w:lang w:val="es-ES_tradnl"/>
        </w:rPr>
        <w:t xml:space="preserve">Código local </w:t>
      </w:r>
      <w:r w:rsidRPr="00F32542">
        <w:rPr>
          <w:rFonts w:ascii="Arial" w:eastAsia="Calibri" w:hAnsi="Arial" w:cs="Arial"/>
          <w:sz w:val="28"/>
          <w:szCs w:val="28"/>
          <w:lang w:val="es-ES_tradnl"/>
        </w:rPr>
        <w:t xml:space="preserve">refiere a obtener los “mayores porcentajes de votación local emitida”, esto debe ser interpretado dentro de marco de los resultados obtenidos en cada distrito en la elección de mayoría relativa. </w:t>
      </w:r>
    </w:p>
    <w:p w14:paraId="52786149"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b/>
          <w:sz w:val="28"/>
          <w:szCs w:val="28"/>
          <w:lang w:val="es-ES_tradnl"/>
        </w:rPr>
        <w:t xml:space="preserve">Caso concreto </w:t>
      </w:r>
    </w:p>
    <w:p w14:paraId="6F38FEF7"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A partir de lo anterior, se considera que </w:t>
      </w:r>
      <w:r w:rsidRPr="00F32542">
        <w:rPr>
          <w:rFonts w:ascii="Arial" w:eastAsia="Calibri" w:hAnsi="Arial" w:cs="Arial"/>
          <w:b/>
          <w:sz w:val="28"/>
          <w:szCs w:val="28"/>
        </w:rPr>
        <w:t xml:space="preserve">no </w:t>
      </w:r>
      <w:r w:rsidRPr="00F32542">
        <w:rPr>
          <w:rFonts w:ascii="Arial" w:eastAsia="Calibri" w:hAnsi="Arial" w:cs="Arial"/>
          <w:b/>
          <w:sz w:val="28"/>
          <w:szCs w:val="28"/>
          <w:u w:val="single"/>
        </w:rPr>
        <w:t>es viable la pretensión</w:t>
      </w:r>
      <w:r w:rsidRPr="00F32542">
        <w:rPr>
          <w:rFonts w:ascii="Arial" w:eastAsia="Calibri" w:hAnsi="Arial" w:cs="Arial"/>
          <w:b/>
          <w:sz w:val="28"/>
          <w:szCs w:val="28"/>
        </w:rPr>
        <w:t xml:space="preserve"> </w:t>
      </w:r>
      <w:r w:rsidRPr="00F32542">
        <w:rPr>
          <w:rFonts w:ascii="Arial" w:eastAsia="Calibri" w:hAnsi="Arial" w:cs="Arial"/>
          <w:sz w:val="28"/>
          <w:szCs w:val="28"/>
        </w:rPr>
        <w:t xml:space="preserve">de las partes actoras cuando sostienen que, para obtener el porcentaje de votación en la lista B, se debe tomar como referencia una votación local emitida en la totalidad de la Ciudad de México y no una distrital. </w:t>
      </w:r>
    </w:p>
    <w:p w14:paraId="789A3493"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Esto, porque como se vio, para hacer el cálculo del porcentaje de votación de las fórmulas de candidaturas a diputaciones de mayoría relativa que no ganaron y que obtuvieron la mejor segunda posición, sólo se debe tomar en cuenta el contexto del respectivo distrito uninominal, pues si se integrara una votación estatal, en una sola circunscripción o de toda la entidad, se produciría una distorsión que no sería fiel reflejo de la voluntad popular expresada a favor de los partidos políticos en tales demarcaciones distritales. </w:t>
      </w:r>
    </w:p>
    <w:p w14:paraId="4EDFEC81"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De forma que, de acuerdo con las normas y precedentes expuestos, este Tribunal considera correcto que la autoridad responsable, para integrar la lista B, tomara en cuenta la votación emitida en cada </w:t>
      </w:r>
      <w:r w:rsidRPr="00F32542">
        <w:rPr>
          <w:rFonts w:ascii="Arial" w:eastAsia="Calibri" w:hAnsi="Arial" w:cs="Arial"/>
          <w:sz w:val="28"/>
          <w:szCs w:val="28"/>
        </w:rPr>
        <w:lastRenderedPageBreak/>
        <w:t>distrito y así, en cada caso, obtener el porcentaje correspondiente a tal ámbito.</w:t>
      </w:r>
    </w:p>
    <w:p w14:paraId="7F80E980"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Así, al resultar </w:t>
      </w:r>
      <w:r w:rsidRPr="00F32542">
        <w:rPr>
          <w:rFonts w:ascii="Arial" w:eastAsia="Calibri" w:hAnsi="Arial" w:cs="Arial"/>
          <w:b/>
          <w:bCs/>
          <w:sz w:val="28"/>
          <w:szCs w:val="28"/>
        </w:rPr>
        <w:t>infundados</w:t>
      </w:r>
      <w:r w:rsidRPr="00F32542">
        <w:rPr>
          <w:rFonts w:ascii="Arial" w:eastAsia="Calibri" w:hAnsi="Arial" w:cs="Arial"/>
          <w:sz w:val="28"/>
          <w:szCs w:val="28"/>
        </w:rPr>
        <w:t xml:space="preserve"> los planteamientos de las partes actoras respecto a que no se debía tomar en cuenta una votación distrital, también es infundado su agravio, en cuanto a que, si se aplicara un porcentaje de votación local —como si fuera el total de la entidad– obtendrían una mejor posición en las listas, pretensión que, con base en lo expuesto, no encuentra respaldo jurídico.</w:t>
      </w:r>
    </w:p>
    <w:p w14:paraId="0F8ACF23"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Por tanto, al demostrarse el adecuado proceder de la autoridad responsable al integrar la lista B a partir del contexto distrital, tampoco asiste razón a las partes actoras, cuando aseguran que, al no atenderse a la votación local que proponen, se vulneró en su perjuicio el principio </w:t>
      </w:r>
      <w:r w:rsidRPr="00F32542">
        <w:rPr>
          <w:rFonts w:ascii="Arial" w:eastAsia="Calibri" w:hAnsi="Arial" w:cs="Arial"/>
          <w:i/>
          <w:sz w:val="28"/>
          <w:szCs w:val="28"/>
        </w:rPr>
        <w:t>pro homine</w:t>
      </w:r>
      <w:r w:rsidRPr="00F32542">
        <w:rPr>
          <w:rFonts w:ascii="Arial" w:eastAsia="Calibri" w:hAnsi="Arial" w:cs="Arial"/>
          <w:sz w:val="28"/>
          <w:szCs w:val="28"/>
        </w:rPr>
        <w:t>.</w:t>
      </w:r>
    </w:p>
    <w:p w14:paraId="5B391A1A"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Esto, porque la protección de los derechos fundamentales, en el caso, los relacionados con el votar en elecciones populares, no implica el atender interpretaciones inexactas de la ley.</w:t>
      </w:r>
    </w:p>
    <w:p w14:paraId="38AB2D9D"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sz w:val="28"/>
          <w:szCs w:val="28"/>
        </w:rPr>
        <w:t xml:space="preserve">Al respecto, resulta aplicable la tesis </w:t>
      </w:r>
      <w:r w:rsidRPr="00F32542">
        <w:rPr>
          <w:rFonts w:ascii="Arial" w:eastAsia="Calibri" w:hAnsi="Arial" w:cs="Arial"/>
          <w:b/>
          <w:sz w:val="28"/>
          <w:szCs w:val="28"/>
        </w:rPr>
        <w:t xml:space="preserve">1a. CCVII/2018 (10a.), </w:t>
      </w:r>
      <w:r w:rsidRPr="00F32542">
        <w:rPr>
          <w:rFonts w:ascii="Arial" w:eastAsia="Calibri" w:hAnsi="Arial" w:cs="Arial"/>
          <w:sz w:val="28"/>
          <w:szCs w:val="28"/>
        </w:rPr>
        <w:t>de la Primera Sala de la Suprema Corte,</w:t>
      </w:r>
      <w:r w:rsidRPr="00F32542">
        <w:rPr>
          <w:rFonts w:ascii="Arial" w:eastAsia="Calibri" w:hAnsi="Arial" w:cs="Arial"/>
          <w:b/>
          <w:sz w:val="28"/>
          <w:szCs w:val="28"/>
        </w:rPr>
        <w:t xml:space="preserve"> </w:t>
      </w:r>
      <w:r w:rsidRPr="00F32542">
        <w:rPr>
          <w:rFonts w:ascii="Arial" w:eastAsia="Calibri" w:hAnsi="Arial" w:cs="Arial"/>
          <w:sz w:val="28"/>
          <w:szCs w:val="28"/>
        </w:rPr>
        <w:t xml:space="preserve">de rubro </w:t>
      </w:r>
      <w:r w:rsidRPr="00F32542">
        <w:rPr>
          <w:rFonts w:ascii="Arial" w:eastAsia="Calibri" w:hAnsi="Arial" w:cs="Arial"/>
          <w:b/>
          <w:sz w:val="28"/>
          <w:szCs w:val="28"/>
        </w:rPr>
        <w:t>“</w:t>
      </w:r>
      <w:r w:rsidRPr="00F32542">
        <w:rPr>
          <w:rFonts w:ascii="Arial" w:eastAsia="Calibri" w:hAnsi="Arial" w:cs="Arial"/>
          <w:b/>
          <w:bCs/>
          <w:sz w:val="28"/>
          <w:szCs w:val="28"/>
        </w:rPr>
        <w:t>PRINCIPIO </w:t>
      </w:r>
      <w:proofErr w:type="gramStart"/>
      <w:r w:rsidRPr="00F32542">
        <w:rPr>
          <w:rFonts w:ascii="Arial" w:eastAsia="Calibri" w:hAnsi="Arial" w:cs="Arial"/>
          <w:b/>
          <w:bCs/>
          <w:sz w:val="28"/>
          <w:szCs w:val="28"/>
        </w:rPr>
        <w:t>PRO PERSONA</w:t>
      </w:r>
      <w:proofErr w:type="gramEnd"/>
      <w:r w:rsidRPr="00F32542">
        <w:rPr>
          <w:rFonts w:ascii="Arial" w:eastAsia="Calibri" w:hAnsi="Arial" w:cs="Arial"/>
          <w:b/>
          <w:bCs/>
          <w:sz w:val="28"/>
          <w:szCs w:val="28"/>
        </w:rPr>
        <w:t>. SÓLO PUEDE UTILIZARSE EN SU VERTIENTE DE CRITERIO DE SELECCIÓN DE INTERPRETACIONES CUANDO ÉSTAS RESULTAN PLAUSIBLES”.</w:t>
      </w:r>
    </w:p>
    <w:p w14:paraId="1A01B588"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A su vez, tampoco tiene razón Jacqueline Villareal García </w:t>
      </w:r>
      <w:proofErr w:type="gramStart"/>
      <w:r w:rsidRPr="00F32542">
        <w:rPr>
          <w:rFonts w:ascii="Arial" w:eastAsia="Calibri" w:hAnsi="Arial" w:cs="Arial"/>
          <w:sz w:val="28"/>
          <w:szCs w:val="28"/>
        </w:rPr>
        <w:t>en relación a</w:t>
      </w:r>
      <w:proofErr w:type="gramEnd"/>
      <w:r w:rsidRPr="00F32542">
        <w:rPr>
          <w:rFonts w:ascii="Arial" w:eastAsia="Calibri" w:hAnsi="Arial" w:cs="Arial"/>
          <w:sz w:val="28"/>
          <w:szCs w:val="28"/>
        </w:rPr>
        <w:t xml:space="preserve"> que se debió tomar en cuenta el total de votación obtenida por cada candidatura en su distrito y no sólo un porcentaje distrital ante la variación poblacional en cada distrito-</w:t>
      </w:r>
    </w:p>
    <w:p w14:paraId="4E9DDF8C"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lastRenderedPageBreak/>
        <w:t xml:space="preserve">Pues, en cambio, como se ha explicado, el artículo 24, fracción IV, del </w:t>
      </w:r>
      <w:r w:rsidRPr="00F32542">
        <w:rPr>
          <w:rFonts w:ascii="Arial" w:eastAsia="Calibri" w:hAnsi="Arial" w:cs="Arial"/>
          <w:i/>
          <w:sz w:val="28"/>
          <w:szCs w:val="28"/>
        </w:rPr>
        <w:t xml:space="preserve">Código local, </w:t>
      </w:r>
      <w:r w:rsidRPr="00F32542">
        <w:rPr>
          <w:rFonts w:ascii="Arial" w:eastAsia="Calibri" w:hAnsi="Arial" w:cs="Arial"/>
          <w:sz w:val="28"/>
          <w:szCs w:val="28"/>
        </w:rPr>
        <w:t>interpretado conforme a los precedentes expuestos, dispone que para integrar la lista B, se debe tomar en cuenta la votación del partido político en el distrito uninominal correspondiente frente a su votación en los restantes distritos.</w:t>
      </w:r>
    </w:p>
    <w:p w14:paraId="1995E018"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Es decir, el porcentaje se obtiene </w:t>
      </w:r>
      <w:proofErr w:type="gramStart"/>
      <w:r w:rsidRPr="00F32542">
        <w:rPr>
          <w:rFonts w:ascii="Arial" w:eastAsia="Calibri" w:hAnsi="Arial" w:cs="Arial"/>
          <w:sz w:val="28"/>
          <w:szCs w:val="28"/>
        </w:rPr>
        <w:t>de acuerdo a</w:t>
      </w:r>
      <w:proofErr w:type="gramEnd"/>
      <w:r w:rsidRPr="00F32542">
        <w:rPr>
          <w:rFonts w:ascii="Arial" w:eastAsia="Calibri" w:hAnsi="Arial" w:cs="Arial"/>
          <w:sz w:val="28"/>
          <w:szCs w:val="28"/>
        </w:rPr>
        <w:t xml:space="preserve"> las condiciones y circunstancias de cada distrito, para evitar distorsiones a la fuerza electoral de cada partido y candidato en cada distrito. </w:t>
      </w:r>
    </w:p>
    <w:p w14:paraId="25C2B137"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De ahí que esto haga necesario obtener un porcentaje respecto de ambos factores y no únicamente considerar la votación de cada candidatura. </w:t>
      </w:r>
    </w:p>
    <w:p w14:paraId="3915632C" w14:textId="77777777" w:rsidR="00F94B48" w:rsidRPr="00F32542" w:rsidRDefault="00352D63"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b/>
          <w:sz w:val="28"/>
          <w:szCs w:val="28"/>
        </w:rPr>
        <w:t>X</w:t>
      </w:r>
      <w:r w:rsidR="007576C0" w:rsidRPr="00F32542">
        <w:rPr>
          <w:rFonts w:ascii="Arial" w:eastAsia="Calibri" w:hAnsi="Arial" w:cs="Arial"/>
          <w:b/>
          <w:sz w:val="28"/>
          <w:szCs w:val="28"/>
        </w:rPr>
        <w:t>I</w:t>
      </w:r>
      <w:r w:rsidR="00F94B48" w:rsidRPr="00F32542">
        <w:rPr>
          <w:rFonts w:ascii="Arial" w:eastAsia="Calibri" w:hAnsi="Arial" w:cs="Arial"/>
          <w:b/>
          <w:sz w:val="28"/>
          <w:szCs w:val="28"/>
        </w:rPr>
        <w:t>. Integración de la lista B con personas mejor votadas</w:t>
      </w:r>
    </w:p>
    <w:p w14:paraId="048A60CF"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En este apartado se analizarán los planteamientos siguientes:</w:t>
      </w:r>
    </w:p>
    <w:p w14:paraId="4BB0A629"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b/>
          <w:bCs/>
          <w:sz w:val="28"/>
          <w:szCs w:val="28"/>
        </w:rPr>
        <w:t>TECDMX-JLDC-101/2021</w:t>
      </w:r>
      <w:r w:rsidRPr="00F32542">
        <w:rPr>
          <w:rFonts w:ascii="Arial" w:eastAsia="Calibri" w:hAnsi="Arial" w:cs="Arial"/>
          <w:sz w:val="28"/>
          <w:szCs w:val="28"/>
        </w:rPr>
        <w:t xml:space="preserve"> </w:t>
      </w:r>
      <w:r w:rsidRPr="00F32542">
        <w:rPr>
          <w:rFonts w:ascii="Arial" w:eastAsia="Calibri" w:hAnsi="Arial" w:cs="Arial"/>
          <w:b/>
          <w:bCs/>
          <w:sz w:val="28"/>
          <w:szCs w:val="28"/>
        </w:rPr>
        <w:t>(Jacqueline Villarreal García)</w:t>
      </w:r>
    </w:p>
    <w:p w14:paraId="52E35F3D"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La lista B, debe integrarse por las fórmulas con mejor votación y existen candidaturas masculinas que tuvieron un menor porcentaje de votación en mejores lugares que la actora.</w:t>
      </w:r>
    </w:p>
    <w:p w14:paraId="77C99A06"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b/>
          <w:bCs/>
          <w:sz w:val="28"/>
          <w:szCs w:val="28"/>
        </w:rPr>
        <w:t xml:space="preserve">TECDMX-JLDC-110/2021 (Fernando </w:t>
      </w:r>
      <w:proofErr w:type="spellStart"/>
      <w:r w:rsidRPr="00F32542">
        <w:rPr>
          <w:rFonts w:ascii="Arial" w:eastAsia="Calibri" w:hAnsi="Arial" w:cs="Arial"/>
          <w:b/>
          <w:bCs/>
          <w:sz w:val="28"/>
          <w:szCs w:val="28"/>
        </w:rPr>
        <w:t>Belaunzarán</w:t>
      </w:r>
      <w:proofErr w:type="spellEnd"/>
      <w:r w:rsidRPr="00F32542">
        <w:rPr>
          <w:rFonts w:ascii="Arial" w:eastAsia="Calibri" w:hAnsi="Arial" w:cs="Arial"/>
          <w:b/>
          <w:bCs/>
          <w:sz w:val="28"/>
          <w:szCs w:val="28"/>
        </w:rPr>
        <w:t xml:space="preserve"> Méndez) </w:t>
      </w:r>
    </w:p>
    <w:p w14:paraId="0C26C37B"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En la lista B del PAN sólo deben entrar los mejores votados, sin considerar acciones afirmativas para las mujeres.</w:t>
      </w:r>
    </w:p>
    <w:p w14:paraId="4625FD5B"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lang w:val="es-ES"/>
        </w:rPr>
      </w:pPr>
      <w:r w:rsidRPr="00F32542">
        <w:rPr>
          <w:rFonts w:ascii="Arial" w:eastAsia="Calibri" w:hAnsi="Arial" w:cs="Arial"/>
          <w:b/>
          <w:bCs/>
          <w:sz w:val="28"/>
          <w:szCs w:val="28"/>
          <w:lang w:val="es-ES"/>
        </w:rPr>
        <w:t>Estudio de los anteriores planteamientos.</w:t>
      </w:r>
    </w:p>
    <w:p w14:paraId="3A756453"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lastRenderedPageBreak/>
        <w:t xml:space="preserve">Los planteamientos de las partes actoras descansan en que la lista B debe integrarse por las personas que obtuvieron un mejor porcentaje de votación. </w:t>
      </w:r>
    </w:p>
    <w:p w14:paraId="44969CF1"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Los agravios son </w:t>
      </w:r>
      <w:r w:rsidRPr="00F32542">
        <w:rPr>
          <w:rFonts w:ascii="Arial" w:eastAsia="Calibri" w:hAnsi="Arial" w:cs="Arial"/>
          <w:b/>
          <w:sz w:val="28"/>
          <w:szCs w:val="28"/>
        </w:rPr>
        <w:t xml:space="preserve">infundados, </w:t>
      </w:r>
      <w:r w:rsidRPr="00F32542">
        <w:rPr>
          <w:rFonts w:ascii="Arial" w:eastAsia="Calibri" w:hAnsi="Arial" w:cs="Arial"/>
          <w:sz w:val="28"/>
          <w:szCs w:val="28"/>
        </w:rPr>
        <w:t>como se evidenciará.</w:t>
      </w:r>
    </w:p>
    <w:p w14:paraId="610FACC1"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b/>
          <w:sz w:val="28"/>
          <w:szCs w:val="28"/>
        </w:rPr>
        <w:t xml:space="preserve">Marco jurídico </w:t>
      </w:r>
    </w:p>
    <w:p w14:paraId="316354D6"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En efecto, como se expuso, de conformidad con el artículo 24, </w:t>
      </w:r>
      <w:proofErr w:type="gramStart"/>
      <w:r w:rsidRPr="00F32542">
        <w:rPr>
          <w:rFonts w:ascii="Arial" w:eastAsia="Calibri" w:hAnsi="Arial" w:cs="Arial"/>
          <w:sz w:val="28"/>
          <w:szCs w:val="28"/>
        </w:rPr>
        <w:t>fracción  IV</w:t>
      </w:r>
      <w:proofErr w:type="gramEnd"/>
      <w:r w:rsidRPr="00F32542">
        <w:rPr>
          <w:rFonts w:ascii="Arial" w:eastAsia="Calibri" w:hAnsi="Arial" w:cs="Arial"/>
          <w:sz w:val="28"/>
          <w:szCs w:val="28"/>
        </w:rPr>
        <w:t xml:space="preserve"> del </w:t>
      </w:r>
      <w:r w:rsidRPr="00F32542">
        <w:rPr>
          <w:rFonts w:ascii="Arial" w:eastAsia="Calibri" w:hAnsi="Arial" w:cs="Arial"/>
          <w:i/>
          <w:sz w:val="28"/>
          <w:szCs w:val="28"/>
        </w:rPr>
        <w:t xml:space="preserve">Código local, </w:t>
      </w:r>
      <w:r w:rsidRPr="00F32542">
        <w:rPr>
          <w:rFonts w:ascii="Arial" w:eastAsia="Calibri" w:hAnsi="Arial" w:cs="Arial"/>
          <w:sz w:val="28"/>
          <w:szCs w:val="28"/>
        </w:rPr>
        <w:t xml:space="preserve">la </w:t>
      </w:r>
      <w:r w:rsidRPr="00F32542">
        <w:rPr>
          <w:rFonts w:ascii="Arial" w:eastAsia="Calibri" w:hAnsi="Arial" w:cs="Arial"/>
          <w:b/>
          <w:sz w:val="28"/>
          <w:szCs w:val="28"/>
        </w:rPr>
        <w:t xml:space="preserve"> lista B </w:t>
      </w:r>
      <w:r w:rsidRPr="00F32542">
        <w:rPr>
          <w:rFonts w:ascii="Arial" w:eastAsia="Calibri" w:hAnsi="Arial" w:cs="Arial"/>
          <w:sz w:val="28"/>
          <w:szCs w:val="28"/>
        </w:rPr>
        <w:t>es la relación de diecisiete fórmulas de candidaturas a las diputaciones que no lograron el triunfo en la elección por el principio de mayoría relativa del distrito en que participaron, pero que alcanzaron a nivel distrital los mayores porcentajes de la votación local emitida.</w:t>
      </w:r>
    </w:p>
    <w:p w14:paraId="4ABA5EB9"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La misma disposición establece que con la finalidad de garantizar </w:t>
      </w:r>
      <w:r w:rsidRPr="00F32542">
        <w:rPr>
          <w:rFonts w:ascii="Arial" w:eastAsia="Calibri" w:hAnsi="Arial" w:cs="Arial"/>
          <w:b/>
          <w:sz w:val="28"/>
          <w:szCs w:val="28"/>
        </w:rPr>
        <w:t>la paridad de género,</w:t>
      </w:r>
      <w:r w:rsidRPr="00F32542">
        <w:rPr>
          <w:rFonts w:ascii="Arial" w:eastAsia="Calibri" w:hAnsi="Arial" w:cs="Arial"/>
          <w:sz w:val="28"/>
          <w:szCs w:val="28"/>
        </w:rPr>
        <w:t xml:space="preserve"> una vez que se determinó el primer lugar de </w:t>
      </w:r>
      <w:proofErr w:type="gramStart"/>
      <w:r w:rsidRPr="00F32542">
        <w:rPr>
          <w:rFonts w:ascii="Arial" w:eastAsia="Calibri" w:hAnsi="Arial" w:cs="Arial"/>
          <w:sz w:val="28"/>
          <w:szCs w:val="28"/>
        </w:rPr>
        <w:t>ésta</w:t>
      </w:r>
      <w:proofErr w:type="gramEnd"/>
      <w:r w:rsidRPr="00F32542">
        <w:rPr>
          <w:rFonts w:ascii="Arial" w:eastAsia="Calibri" w:hAnsi="Arial" w:cs="Arial"/>
          <w:sz w:val="28"/>
          <w:szCs w:val="28"/>
        </w:rPr>
        <w:t xml:space="preserve"> lista, </w:t>
      </w:r>
      <w:r w:rsidRPr="00F32542">
        <w:rPr>
          <w:rFonts w:ascii="Arial" w:eastAsia="Calibri" w:hAnsi="Arial" w:cs="Arial"/>
          <w:b/>
          <w:sz w:val="28"/>
          <w:szCs w:val="28"/>
        </w:rPr>
        <w:t>el segundo lugar será ocupado por la fórmula del otro género</w:t>
      </w:r>
      <w:r w:rsidRPr="00F32542">
        <w:rPr>
          <w:rFonts w:ascii="Arial" w:eastAsia="Calibri" w:hAnsi="Arial" w:cs="Arial"/>
          <w:sz w:val="28"/>
          <w:szCs w:val="28"/>
        </w:rPr>
        <w:t xml:space="preserve"> con mayor porcentaje de la votación local emitida, e irán intercalando de esa manera, hasta concluirse la integración de la lista.</w:t>
      </w:r>
    </w:p>
    <w:p w14:paraId="6AD0B5E6"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Como se observa, el citado artículo prevé la obligación de implementar la </w:t>
      </w:r>
      <w:r w:rsidRPr="00F32542">
        <w:rPr>
          <w:rFonts w:ascii="Arial" w:eastAsia="Calibri" w:hAnsi="Arial" w:cs="Arial"/>
          <w:b/>
          <w:sz w:val="28"/>
          <w:szCs w:val="28"/>
        </w:rPr>
        <w:t xml:space="preserve">alternancia de género </w:t>
      </w:r>
      <w:r w:rsidRPr="00F32542">
        <w:rPr>
          <w:rFonts w:ascii="Arial" w:eastAsia="Calibri" w:hAnsi="Arial" w:cs="Arial"/>
          <w:sz w:val="28"/>
          <w:szCs w:val="28"/>
        </w:rPr>
        <w:t xml:space="preserve">entre cada integrante de la lista B. </w:t>
      </w:r>
    </w:p>
    <w:p w14:paraId="63DF1876"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De tal modo que la segunda fórmula debe ser de un género distinto a la primera fórmula. </w:t>
      </w:r>
    </w:p>
    <w:p w14:paraId="00BA53E4"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b/>
          <w:sz w:val="28"/>
          <w:szCs w:val="28"/>
        </w:rPr>
        <w:t>El principio de alternancia</w:t>
      </w:r>
      <w:r w:rsidRPr="00F32542">
        <w:rPr>
          <w:rFonts w:ascii="Arial" w:eastAsia="Calibri" w:hAnsi="Arial" w:cs="Arial"/>
          <w:sz w:val="28"/>
          <w:szCs w:val="28"/>
        </w:rPr>
        <w:t xml:space="preserve"> es un eje rector de la integración de todas las listas. </w:t>
      </w:r>
    </w:p>
    <w:p w14:paraId="07311052"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lastRenderedPageBreak/>
        <w:t>Como se expone en este proyecto, en la integración de las listas A, B y definitiva, para la asignación de representación proporcional confluyen los siguientes principios:</w:t>
      </w:r>
    </w:p>
    <w:p w14:paraId="004BE001"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El </w:t>
      </w:r>
      <w:r w:rsidRPr="00F32542">
        <w:rPr>
          <w:rFonts w:ascii="Arial" w:eastAsia="Calibri" w:hAnsi="Arial" w:cs="Arial"/>
          <w:b/>
          <w:sz w:val="28"/>
          <w:szCs w:val="28"/>
        </w:rPr>
        <w:t>principio democrático</w:t>
      </w:r>
      <w:r w:rsidRPr="00F32542">
        <w:rPr>
          <w:rFonts w:ascii="Arial" w:eastAsia="Calibri" w:hAnsi="Arial" w:cs="Arial"/>
          <w:sz w:val="28"/>
          <w:szCs w:val="28"/>
        </w:rPr>
        <w:t xml:space="preserve"> se refiere a la voluntad ciudadana expresada en las urnas, lo que se refleja en la </w:t>
      </w:r>
      <w:r w:rsidRPr="00F32542">
        <w:rPr>
          <w:rFonts w:ascii="Arial" w:eastAsia="Calibri" w:hAnsi="Arial" w:cs="Arial"/>
          <w:b/>
          <w:sz w:val="28"/>
          <w:szCs w:val="28"/>
        </w:rPr>
        <w:t>lista B</w:t>
      </w:r>
      <w:r w:rsidRPr="00F32542">
        <w:rPr>
          <w:rFonts w:ascii="Arial" w:eastAsia="Calibri" w:hAnsi="Arial" w:cs="Arial"/>
          <w:sz w:val="28"/>
          <w:szCs w:val="28"/>
        </w:rPr>
        <w:t>, pues como se vio, se conforma con las fórmulas de candidaturas con mejores porcentajes votación que no ganaron la elección de mayoría relativa.</w:t>
      </w:r>
    </w:p>
    <w:p w14:paraId="79DD268B"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El principio de </w:t>
      </w:r>
      <w:r w:rsidRPr="00F32542">
        <w:rPr>
          <w:rFonts w:ascii="Arial" w:eastAsia="Calibri" w:hAnsi="Arial" w:cs="Arial"/>
          <w:b/>
          <w:sz w:val="28"/>
          <w:szCs w:val="28"/>
        </w:rPr>
        <w:t xml:space="preserve">paridad de género, </w:t>
      </w:r>
      <w:r w:rsidRPr="00F32542">
        <w:rPr>
          <w:rFonts w:ascii="Arial" w:eastAsia="Calibri" w:hAnsi="Arial" w:cs="Arial"/>
          <w:sz w:val="28"/>
          <w:szCs w:val="28"/>
        </w:rPr>
        <w:t xml:space="preserve">el cual es una medida permanente que la totalidad del ordenamiento de conformidad con el artículo 41 constitucional. </w:t>
      </w:r>
    </w:p>
    <w:p w14:paraId="341C9015"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El </w:t>
      </w:r>
      <w:r w:rsidRPr="00F32542">
        <w:rPr>
          <w:rFonts w:ascii="Arial" w:eastAsia="Calibri" w:hAnsi="Arial" w:cs="Arial"/>
          <w:b/>
          <w:sz w:val="28"/>
          <w:szCs w:val="28"/>
        </w:rPr>
        <w:t>principio de auto organización</w:t>
      </w:r>
      <w:r w:rsidRPr="00F32542">
        <w:rPr>
          <w:rFonts w:ascii="Arial" w:eastAsia="Calibri" w:hAnsi="Arial" w:cs="Arial"/>
          <w:sz w:val="28"/>
          <w:szCs w:val="28"/>
        </w:rPr>
        <w:t xml:space="preserve"> se refiere a respetar las decisiones adoptadas por los partidos políticos, derivadas de su organización interna, con relación a los derechos de sus </w:t>
      </w:r>
      <w:proofErr w:type="gramStart"/>
      <w:r w:rsidRPr="00F32542">
        <w:rPr>
          <w:rFonts w:ascii="Arial" w:eastAsia="Calibri" w:hAnsi="Arial" w:cs="Arial"/>
          <w:sz w:val="28"/>
          <w:szCs w:val="28"/>
        </w:rPr>
        <w:t>candidatas y candidatos</w:t>
      </w:r>
      <w:proofErr w:type="gramEnd"/>
      <w:r w:rsidRPr="00F32542">
        <w:rPr>
          <w:rFonts w:ascii="Arial" w:eastAsia="Calibri" w:hAnsi="Arial" w:cs="Arial"/>
          <w:sz w:val="28"/>
          <w:szCs w:val="28"/>
        </w:rPr>
        <w:t>.</w:t>
      </w:r>
    </w:p>
    <w:p w14:paraId="46D03D56"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El </w:t>
      </w:r>
      <w:r w:rsidRPr="00F32542">
        <w:rPr>
          <w:rFonts w:ascii="Arial" w:eastAsia="Calibri" w:hAnsi="Arial" w:cs="Arial"/>
          <w:b/>
          <w:sz w:val="28"/>
          <w:szCs w:val="28"/>
        </w:rPr>
        <w:t xml:space="preserve">principio de alternancia </w:t>
      </w:r>
      <w:r w:rsidRPr="00F32542">
        <w:rPr>
          <w:rFonts w:ascii="Arial" w:eastAsia="Calibri" w:hAnsi="Arial" w:cs="Arial"/>
          <w:sz w:val="28"/>
          <w:szCs w:val="28"/>
        </w:rPr>
        <w:t>consiste en colocar de forma sucesiva, a un género seguido de otro distinto, de modo tal que el mismo género no se encuentre en dos lugares consecutivos del segmento respectivo.</w:t>
      </w:r>
    </w:p>
    <w:p w14:paraId="3DCDDF90"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La finalidad de este principio es el equilibrio de género entre las candidaturas a fin de lograr la participación política efectiva de hombres y mujeres, en un plano de igualdad sustancial, real y efectiva.</w:t>
      </w:r>
    </w:p>
    <w:p w14:paraId="1E06708E"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Este principio se ve reflejado en la conformación de la</w:t>
      </w:r>
      <w:r w:rsidR="005D75EF" w:rsidRPr="00F32542">
        <w:rPr>
          <w:rFonts w:ascii="Arial" w:eastAsia="Calibri" w:hAnsi="Arial" w:cs="Arial"/>
          <w:sz w:val="28"/>
          <w:szCs w:val="28"/>
        </w:rPr>
        <w:t>s</w:t>
      </w:r>
      <w:r w:rsidRPr="00F32542">
        <w:rPr>
          <w:rFonts w:ascii="Arial" w:eastAsia="Calibri" w:hAnsi="Arial" w:cs="Arial"/>
          <w:sz w:val="28"/>
          <w:szCs w:val="28"/>
        </w:rPr>
        <w:t xml:space="preserve"> listas A y B, pues en ambos casos, los géneros se deben ver reflejados alternadamente y de manera consecutiva. </w:t>
      </w:r>
    </w:p>
    <w:p w14:paraId="7818B7DF"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b/>
          <w:bCs/>
          <w:sz w:val="28"/>
          <w:szCs w:val="28"/>
        </w:rPr>
        <w:lastRenderedPageBreak/>
        <w:t>Caso concreto</w:t>
      </w:r>
    </w:p>
    <w:p w14:paraId="6752E05E"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A partir de lo anterior, se considera que el planteamiento de Fernando </w:t>
      </w:r>
      <w:proofErr w:type="spellStart"/>
      <w:r w:rsidRPr="00F32542">
        <w:rPr>
          <w:rFonts w:ascii="Arial" w:eastAsia="Calibri" w:hAnsi="Arial" w:cs="Arial"/>
          <w:sz w:val="28"/>
          <w:szCs w:val="28"/>
        </w:rPr>
        <w:t>Belau</w:t>
      </w:r>
      <w:r w:rsidR="00CD49A5" w:rsidRPr="00F32542">
        <w:rPr>
          <w:rFonts w:ascii="Arial" w:eastAsia="Calibri" w:hAnsi="Arial" w:cs="Arial"/>
          <w:sz w:val="28"/>
          <w:szCs w:val="28"/>
        </w:rPr>
        <w:t>n</w:t>
      </w:r>
      <w:r w:rsidRPr="00F32542">
        <w:rPr>
          <w:rFonts w:ascii="Arial" w:eastAsia="Calibri" w:hAnsi="Arial" w:cs="Arial"/>
          <w:sz w:val="28"/>
          <w:szCs w:val="28"/>
        </w:rPr>
        <w:t>zarán</w:t>
      </w:r>
      <w:proofErr w:type="spellEnd"/>
      <w:r w:rsidRPr="00F32542">
        <w:rPr>
          <w:rFonts w:ascii="Arial" w:eastAsia="Calibri" w:hAnsi="Arial" w:cs="Arial"/>
          <w:sz w:val="28"/>
          <w:szCs w:val="28"/>
        </w:rPr>
        <w:t xml:space="preserve"> Méndez, respecto a que la integración de la lista B sólo debe tomar en cuenta un mayor porcentaje de votación o una mayor votación, dejando de lado acciones afirmativas y la alternancia de género, es infundado. </w:t>
      </w:r>
    </w:p>
    <w:p w14:paraId="717667D0"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Esto, porque si se privilegiará solo la mejor votación, manifestación de principio democrático, se incumpliría con el principio de alternancia, cuestión que podría repercutir en una postulación y asignación paritaria. </w:t>
      </w:r>
    </w:p>
    <w:p w14:paraId="66798574"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Como se vio, uno de los ejes transversales de la integración de las listas es la alternancia, por lo cual, la lista B no podría integrarse la lista únicamente considerando la mejor votación.</w:t>
      </w:r>
    </w:p>
    <w:p w14:paraId="5F01ACBF"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Pues ello implicaría sacrificar por completo uno de los principios involucrados en la asignación de posiciones de representación proporcional, instrumental para preservar a otro de ellos, como lo es el de paridad.</w:t>
      </w:r>
    </w:p>
    <w:p w14:paraId="5E4D1405"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Por otro lado, Jacqueline Villareal García, cuya fórmula se ubicó en el noveno lugar de la lista B del PRI, sostiene que tuvo un mejor porcentaje de votación que algunas de las fórmulas masculinas que figuran en la misma lista, por lo cual, aquella debería estar en un mejor lugar, que le permitiera acceder a una posición plurinominal. </w:t>
      </w:r>
    </w:p>
    <w:p w14:paraId="4E05EE97"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sz w:val="28"/>
          <w:szCs w:val="28"/>
        </w:rPr>
        <w:t xml:space="preserve">Al respecto, a </w:t>
      </w:r>
      <w:proofErr w:type="gramStart"/>
      <w:r w:rsidRPr="00F32542">
        <w:rPr>
          <w:rFonts w:ascii="Arial" w:eastAsia="Calibri" w:hAnsi="Arial" w:cs="Arial"/>
          <w:sz w:val="28"/>
          <w:szCs w:val="28"/>
        </w:rPr>
        <w:t>continuación</w:t>
      </w:r>
      <w:proofErr w:type="gramEnd"/>
      <w:r w:rsidRPr="00F32542">
        <w:rPr>
          <w:rFonts w:ascii="Arial" w:eastAsia="Calibri" w:hAnsi="Arial" w:cs="Arial"/>
          <w:sz w:val="28"/>
          <w:szCs w:val="28"/>
        </w:rPr>
        <w:t xml:space="preserve"> se mostrará la lista B del PRI, de conformidad con el acuerdo </w:t>
      </w:r>
      <w:r w:rsidRPr="00F32542">
        <w:rPr>
          <w:rFonts w:ascii="Arial" w:eastAsia="Calibri" w:hAnsi="Arial" w:cs="Arial"/>
          <w:b/>
          <w:bCs/>
          <w:sz w:val="28"/>
          <w:szCs w:val="28"/>
        </w:rPr>
        <w:t>IECM/ACU-CG-324/2021:</w:t>
      </w:r>
    </w:p>
    <w:tbl>
      <w:tblPr>
        <w:tblStyle w:val="Tablaconcuadrcula25"/>
        <w:tblW w:w="0" w:type="auto"/>
        <w:tblLook w:val="04A0" w:firstRow="1" w:lastRow="0" w:firstColumn="1" w:lastColumn="0" w:noHBand="0" w:noVBand="1"/>
      </w:tblPr>
      <w:tblGrid>
        <w:gridCol w:w="568"/>
        <w:gridCol w:w="1372"/>
        <w:gridCol w:w="1367"/>
        <w:gridCol w:w="3792"/>
        <w:gridCol w:w="1447"/>
      </w:tblGrid>
      <w:tr w:rsidR="00F94B48" w:rsidRPr="00F32542" w14:paraId="1BA78437" w14:textId="77777777" w:rsidTr="00BA2BA9">
        <w:trPr>
          <w:trHeight w:val="726"/>
        </w:trPr>
        <w:tc>
          <w:tcPr>
            <w:tcW w:w="574" w:type="dxa"/>
            <w:shd w:val="clear" w:color="auto" w:fill="BFBFBF" w:themeFill="background1" w:themeFillShade="BF"/>
          </w:tcPr>
          <w:p w14:paraId="549EEA79" w14:textId="77777777" w:rsidR="00F94B48" w:rsidRPr="00F32542" w:rsidRDefault="00F94B48" w:rsidP="00F94B48">
            <w:pPr>
              <w:spacing w:after="0" w:line="360" w:lineRule="auto"/>
              <w:jc w:val="center"/>
              <w:rPr>
                <w:rFonts w:ascii="Arial" w:eastAsia="Calibri" w:hAnsi="Arial" w:cs="Arial"/>
                <w:b/>
                <w:sz w:val="20"/>
                <w:szCs w:val="20"/>
              </w:rPr>
            </w:pPr>
            <w:r w:rsidRPr="00F32542">
              <w:rPr>
                <w:rFonts w:ascii="Arial" w:eastAsia="Calibri" w:hAnsi="Arial" w:cs="Arial"/>
                <w:b/>
                <w:sz w:val="20"/>
                <w:szCs w:val="20"/>
              </w:rPr>
              <w:lastRenderedPageBreak/>
              <w:t>No</w:t>
            </w:r>
          </w:p>
        </w:tc>
        <w:tc>
          <w:tcPr>
            <w:tcW w:w="1406" w:type="dxa"/>
            <w:shd w:val="clear" w:color="auto" w:fill="BFBFBF" w:themeFill="background1" w:themeFillShade="BF"/>
          </w:tcPr>
          <w:p w14:paraId="6F961911" w14:textId="77777777" w:rsidR="00F94B48" w:rsidRPr="00F32542" w:rsidRDefault="00F94B48" w:rsidP="00F94B48">
            <w:pPr>
              <w:spacing w:after="0" w:line="360" w:lineRule="auto"/>
              <w:jc w:val="center"/>
              <w:rPr>
                <w:rFonts w:ascii="Arial" w:eastAsia="Calibri" w:hAnsi="Arial" w:cs="Arial"/>
                <w:b/>
                <w:sz w:val="20"/>
                <w:szCs w:val="20"/>
              </w:rPr>
            </w:pPr>
            <w:r w:rsidRPr="00F32542">
              <w:rPr>
                <w:rFonts w:ascii="Arial" w:eastAsia="Calibri" w:hAnsi="Arial" w:cs="Arial"/>
                <w:b/>
                <w:sz w:val="20"/>
                <w:szCs w:val="20"/>
              </w:rPr>
              <w:t>Distrito</w:t>
            </w:r>
          </w:p>
        </w:tc>
        <w:tc>
          <w:tcPr>
            <w:tcW w:w="1417" w:type="dxa"/>
            <w:shd w:val="clear" w:color="auto" w:fill="BFBFBF" w:themeFill="background1" w:themeFillShade="BF"/>
          </w:tcPr>
          <w:p w14:paraId="6C4C9DB4" w14:textId="77777777" w:rsidR="00F94B48" w:rsidRPr="00F32542" w:rsidRDefault="00F94B48" w:rsidP="00F94B48">
            <w:pPr>
              <w:spacing w:after="0" w:line="360" w:lineRule="auto"/>
              <w:jc w:val="center"/>
              <w:rPr>
                <w:rFonts w:ascii="Arial" w:eastAsia="Calibri" w:hAnsi="Arial" w:cs="Arial"/>
                <w:b/>
                <w:sz w:val="20"/>
                <w:szCs w:val="20"/>
              </w:rPr>
            </w:pPr>
            <w:r w:rsidRPr="00F32542">
              <w:rPr>
                <w:rFonts w:ascii="Arial" w:eastAsia="Calibri" w:hAnsi="Arial" w:cs="Arial"/>
                <w:b/>
                <w:sz w:val="20"/>
                <w:szCs w:val="20"/>
              </w:rPr>
              <w:t>Sexo</w:t>
            </w:r>
          </w:p>
        </w:tc>
        <w:tc>
          <w:tcPr>
            <w:tcW w:w="3969" w:type="dxa"/>
            <w:shd w:val="clear" w:color="auto" w:fill="BFBFBF" w:themeFill="background1" w:themeFillShade="BF"/>
          </w:tcPr>
          <w:p w14:paraId="524AFE65" w14:textId="77777777" w:rsidR="00F94B48" w:rsidRPr="00F32542" w:rsidRDefault="00F94B48" w:rsidP="00F94B48">
            <w:pPr>
              <w:spacing w:after="0" w:line="360" w:lineRule="auto"/>
              <w:jc w:val="center"/>
              <w:rPr>
                <w:rFonts w:ascii="Arial" w:eastAsia="Calibri" w:hAnsi="Arial" w:cs="Arial"/>
                <w:b/>
                <w:sz w:val="20"/>
                <w:szCs w:val="20"/>
              </w:rPr>
            </w:pPr>
            <w:r w:rsidRPr="00F32542">
              <w:rPr>
                <w:rFonts w:ascii="Arial" w:eastAsia="Calibri" w:hAnsi="Arial" w:cs="Arial"/>
                <w:b/>
                <w:sz w:val="20"/>
                <w:szCs w:val="20"/>
              </w:rPr>
              <w:t>Candidatura propietaria</w:t>
            </w:r>
          </w:p>
        </w:tc>
        <w:tc>
          <w:tcPr>
            <w:tcW w:w="1462" w:type="dxa"/>
            <w:shd w:val="clear" w:color="auto" w:fill="BFBFBF" w:themeFill="background1" w:themeFillShade="BF"/>
          </w:tcPr>
          <w:p w14:paraId="220E5A36" w14:textId="77777777" w:rsidR="00F94B48" w:rsidRPr="00F32542" w:rsidRDefault="00F94B48" w:rsidP="00F94B48">
            <w:pPr>
              <w:spacing w:after="0" w:line="360" w:lineRule="auto"/>
              <w:jc w:val="center"/>
              <w:rPr>
                <w:rFonts w:ascii="Arial" w:eastAsia="Calibri" w:hAnsi="Arial" w:cs="Arial"/>
                <w:b/>
                <w:sz w:val="20"/>
                <w:szCs w:val="20"/>
              </w:rPr>
            </w:pPr>
            <w:r w:rsidRPr="00F32542">
              <w:rPr>
                <w:rFonts w:ascii="Arial" w:eastAsia="Calibri" w:hAnsi="Arial" w:cs="Arial"/>
                <w:b/>
                <w:sz w:val="20"/>
                <w:szCs w:val="20"/>
              </w:rPr>
              <w:t>Porcentaje</w:t>
            </w:r>
          </w:p>
        </w:tc>
      </w:tr>
      <w:tr w:rsidR="00F94B48" w:rsidRPr="00F32542" w14:paraId="2D43784E" w14:textId="77777777" w:rsidTr="00B65D24">
        <w:trPr>
          <w:trHeight w:val="442"/>
        </w:trPr>
        <w:tc>
          <w:tcPr>
            <w:tcW w:w="574" w:type="dxa"/>
            <w:tcBorders>
              <w:bottom w:val="single" w:sz="4" w:space="0" w:color="auto"/>
            </w:tcBorders>
          </w:tcPr>
          <w:p w14:paraId="0487E71C"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w:t>
            </w:r>
          </w:p>
        </w:tc>
        <w:tc>
          <w:tcPr>
            <w:tcW w:w="1406" w:type="dxa"/>
            <w:tcBorders>
              <w:bottom w:val="single" w:sz="4" w:space="0" w:color="auto"/>
            </w:tcBorders>
          </w:tcPr>
          <w:p w14:paraId="6CB9C854"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10</w:t>
            </w:r>
          </w:p>
        </w:tc>
        <w:tc>
          <w:tcPr>
            <w:tcW w:w="1417" w:type="dxa"/>
            <w:tcBorders>
              <w:bottom w:val="single" w:sz="4" w:space="0" w:color="auto"/>
            </w:tcBorders>
          </w:tcPr>
          <w:p w14:paraId="2E473055"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M</w:t>
            </w:r>
          </w:p>
        </w:tc>
        <w:tc>
          <w:tcPr>
            <w:tcW w:w="3969" w:type="dxa"/>
            <w:tcBorders>
              <w:bottom w:val="single" w:sz="4" w:space="0" w:color="auto"/>
            </w:tcBorders>
          </w:tcPr>
          <w:p w14:paraId="7C16036B"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Mónica Fernández César</w:t>
            </w:r>
          </w:p>
        </w:tc>
        <w:tc>
          <w:tcPr>
            <w:tcW w:w="1462" w:type="dxa"/>
            <w:tcBorders>
              <w:bottom w:val="single" w:sz="4" w:space="0" w:color="auto"/>
            </w:tcBorders>
          </w:tcPr>
          <w:p w14:paraId="738E1834"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17.84</w:t>
            </w:r>
          </w:p>
        </w:tc>
      </w:tr>
      <w:tr w:rsidR="00F94B48" w:rsidRPr="00F32542" w14:paraId="2866EC25" w14:textId="77777777" w:rsidTr="00BA2BA9">
        <w:trPr>
          <w:trHeight w:val="442"/>
        </w:trPr>
        <w:tc>
          <w:tcPr>
            <w:tcW w:w="574" w:type="dxa"/>
            <w:shd w:val="clear" w:color="auto" w:fill="D9D9D9" w:themeFill="background1" w:themeFillShade="D9"/>
          </w:tcPr>
          <w:p w14:paraId="106B1417"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2</w:t>
            </w:r>
          </w:p>
        </w:tc>
        <w:tc>
          <w:tcPr>
            <w:tcW w:w="1406" w:type="dxa"/>
            <w:shd w:val="clear" w:color="auto" w:fill="D9D9D9" w:themeFill="background1" w:themeFillShade="D9"/>
          </w:tcPr>
          <w:p w14:paraId="76EE8254"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30</w:t>
            </w:r>
          </w:p>
        </w:tc>
        <w:tc>
          <w:tcPr>
            <w:tcW w:w="1417" w:type="dxa"/>
            <w:shd w:val="clear" w:color="auto" w:fill="D9D9D9" w:themeFill="background1" w:themeFillShade="D9"/>
          </w:tcPr>
          <w:p w14:paraId="370AD7C3"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H</w:t>
            </w:r>
          </w:p>
        </w:tc>
        <w:tc>
          <w:tcPr>
            <w:tcW w:w="3969" w:type="dxa"/>
            <w:shd w:val="clear" w:color="auto" w:fill="D9D9D9" w:themeFill="background1" w:themeFillShade="D9"/>
          </w:tcPr>
          <w:p w14:paraId="3604286F" w14:textId="77777777" w:rsidR="00F94B48" w:rsidRPr="00F32542" w:rsidRDefault="00F94B48" w:rsidP="00F94B48">
            <w:pPr>
              <w:spacing w:after="0" w:line="360" w:lineRule="auto"/>
              <w:jc w:val="both"/>
              <w:rPr>
                <w:rFonts w:ascii="Arial" w:eastAsia="Calibri" w:hAnsi="Arial" w:cs="Arial"/>
                <w:sz w:val="20"/>
                <w:szCs w:val="20"/>
              </w:rPr>
            </w:pPr>
            <w:proofErr w:type="spellStart"/>
            <w:r w:rsidRPr="00F32542">
              <w:rPr>
                <w:rFonts w:ascii="Arial" w:eastAsia="Calibri" w:hAnsi="Arial" w:cs="Arial"/>
                <w:sz w:val="20"/>
                <w:szCs w:val="20"/>
              </w:rPr>
              <w:t>Jhonatan</w:t>
            </w:r>
            <w:proofErr w:type="spellEnd"/>
            <w:r w:rsidRPr="00F32542">
              <w:rPr>
                <w:rFonts w:ascii="Arial" w:eastAsia="Calibri" w:hAnsi="Arial" w:cs="Arial"/>
                <w:sz w:val="20"/>
                <w:szCs w:val="20"/>
              </w:rPr>
              <w:t xml:space="preserve"> Colmenares Rentería</w:t>
            </w:r>
          </w:p>
        </w:tc>
        <w:tc>
          <w:tcPr>
            <w:tcW w:w="1462" w:type="dxa"/>
            <w:shd w:val="clear" w:color="auto" w:fill="D9D9D9" w:themeFill="background1" w:themeFillShade="D9"/>
          </w:tcPr>
          <w:p w14:paraId="589006EF"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15.61</w:t>
            </w:r>
          </w:p>
        </w:tc>
      </w:tr>
      <w:tr w:rsidR="00F94B48" w:rsidRPr="00F32542" w14:paraId="3228095C" w14:textId="77777777" w:rsidTr="00B65D24">
        <w:trPr>
          <w:trHeight w:val="442"/>
        </w:trPr>
        <w:tc>
          <w:tcPr>
            <w:tcW w:w="574" w:type="dxa"/>
            <w:tcBorders>
              <w:bottom w:val="single" w:sz="4" w:space="0" w:color="auto"/>
            </w:tcBorders>
          </w:tcPr>
          <w:p w14:paraId="0F7E21CF"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3</w:t>
            </w:r>
          </w:p>
        </w:tc>
        <w:tc>
          <w:tcPr>
            <w:tcW w:w="1406" w:type="dxa"/>
            <w:tcBorders>
              <w:bottom w:val="single" w:sz="4" w:space="0" w:color="auto"/>
            </w:tcBorders>
          </w:tcPr>
          <w:p w14:paraId="74E3B7EB"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25</w:t>
            </w:r>
          </w:p>
        </w:tc>
        <w:tc>
          <w:tcPr>
            <w:tcW w:w="1417" w:type="dxa"/>
            <w:tcBorders>
              <w:bottom w:val="single" w:sz="4" w:space="0" w:color="auto"/>
            </w:tcBorders>
          </w:tcPr>
          <w:p w14:paraId="5F13BBA3"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M</w:t>
            </w:r>
          </w:p>
        </w:tc>
        <w:tc>
          <w:tcPr>
            <w:tcW w:w="3969" w:type="dxa"/>
            <w:tcBorders>
              <w:bottom w:val="single" w:sz="4" w:space="0" w:color="auto"/>
            </w:tcBorders>
          </w:tcPr>
          <w:p w14:paraId="1312536E" w14:textId="77777777" w:rsidR="00F94B48" w:rsidRPr="00F32542" w:rsidRDefault="00F94B48" w:rsidP="00F94B48">
            <w:pPr>
              <w:spacing w:after="0" w:line="360" w:lineRule="auto"/>
              <w:jc w:val="both"/>
              <w:rPr>
                <w:rFonts w:ascii="Arial" w:eastAsia="Calibri" w:hAnsi="Arial" w:cs="Arial"/>
                <w:sz w:val="20"/>
                <w:szCs w:val="20"/>
              </w:rPr>
            </w:pPr>
            <w:proofErr w:type="spellStart"/>
            <w:r w:rsidRPr="00F32542">
              <w:rPr>
                <w:rFonts w:ascii="Arial" w:eastAsia="Calibri" w:hAnsi="Arial" w:cs="Arial"/>
                <w:sz w:val="20"/>
                <w:szCs w:val="20"/>
              </w:rPr>
              <w:t>Nitzia</w:t>
            </w:r>
            <w:proofErr w:type="spellEnd"/>
            <w:r w:rsidRPr="00F32542">
              <w:rPr>
                <w:rFonts w:ascii="Arial" w:eastAsia="Calibri" w:hAnsi="Arial" w:cs="Arial"/>
                <w:sz w:val="20"/>
                <w:szCs w:val="20"/>
              </w:rPr>
              <w:t xml:space="preserve"> Lucero Rosas Chávez </w:t>
            </w:r>
          </w:p>
          <w:p w14:paraId="41175610" w14:textId="77777777" w:rsidR="00F94B48" w:rsidRPr="00F32542" w:rsidRDefault="00F94B48" w:rsidP="00F94B48">
            <w:pPr>
              <w:spacing w:after="0" w:line="360" w:lineRule="auto"/>
              <w:jc w:val="both"/>
              <w:rPr>
                <w:rFonts w:ascii="Arial" w:eastAsia="Calibri" w:hAnsi="Arial" w:cs="Arial"/>
                <w:sz w:val="20"/>
                <w:szCs w:val="20"/>
              </w:rPr>
            </w:pPr>
          </w:p>
        </w:tc>
        <w:tc>
          <w:tcPr>
            <w:tcW w:w="1462" w:type="dxa"/>
            <w:tcBorders>
              <w:bottom w:val="single" w:sz="4" w:space="0" w:color="auto"/>
            </w:tcBorders>
          </w:tcPr>
          <w:p w14:paraId="374D7902"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15.52</w:t>
            </w:r>
          </w:p>
        </w:tc>
      </w:tr>
      <w:tr w:rsidR="00F94B48" w:rsidRPr="00F32542" w14:paraId="31C623E0" w14:textId="77777777" w:rsidTr="00BA2BA9">
        <w:trPr>
          <w:trHeight w:val="442"/>
        </w:trPr>
        <w:tc>
          <w:tcPr>
            <w:tcW w:w="574" w:type="dxa"/>
            <w:shd w:val="clear" w:color="auto" w:fill="D9D9D9" w:themeFill="background1" w:themeFillShade="D9"/>
          </w:tcPr>
          <w:p w14:paraId="44FBDAC6"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4</w:t>
            </w:r>
          </w:p>
        </w:tc>
        <w:tc>
          <w:tcPr>
            <w:tcW w:w="1406" w:type="dxa"/>
            <w:shd w:val="clear" w:color="auto" w:fill="D9D9D9" w:themeFill="background1" w:themeFillShade="D9"/>
          </w:tcPr>
          <w:p w14:paraId="0D04BB4B"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14</w:t>
            </w:r>
          </w:p>
        </w:tc>
        <w:tc>
          <w:tcPr>
            <w:tcW w:w="1417" w:type="dxa"/>
            <w:shd w:val="clear" w:color="auto" w:fill="D9D9D9" w:themeFill="background1" w:themeFillShade="D9"/>
          </w:tcPr>
          <w:p w14:paraId="0991EC2A"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H</w:t>
            </w:r>
          </w:p>
        </w:tc>
        <w:tc>
          <w:tcPr>
            <w:tcW w:w="3969" w:type="dxa"/>
            <w:shd w:val="clear" w:color="auto" w:fill="D9D9D9" w:themeFill="background1" w:themeFillShade="D9"/>
          </w:tcPr>
          <w:p w14:paraId="3E1DB869"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 xml:space="preserve">Alejandro Argüelles </w:t>
            </w:r>
            <w:proofErr w:type="spellStart"/>
            <w:r w:rsidRPr="00F32542">
              <w:rPr>
                <w:rFonts w:ascii="Arial" w:eastAsia="Calibri" w:hAnsi="Arial" w:cs="Arial"/>
                <w:sz w:val="20"/>
                <w:szCs w:val="20"/>
              </w:rPr>
              <w:t>Almontes</w:t>
            </w:r>
            <w:proofErr w:type="spellEnd"/>
          </w:p>
        </w:tc>
        <w:tc>
          <w:tcPr>
            <w:tcW w:w="1462" w:type="dxa"/>
            <w:shd w:val="clear" w:color="auto" w:fill="D9D9D9" w:themeFill="background1" w:themeFillShade="D9"/>
          </w:tcPr>
          <w:p w14:paraId="153873FB"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14.61</w:t>
            </w:r>
          </w:p>
        </w:tc>
      </w:tr>
      <w:tr w:rsidR="00F94B48" w:rsidRPr="00F32542" w14:paraId="506800ED" w14:textId="77777777" w:rsidTr="00B65D24">
        <w:trPr>
          <w:trHeight w:val="442"/>
        </w:trPr>
        <w:tc>
          <w:tcPr>
            <w:tcW w:w="574" w:type="dxa"/>
            <w:tcBorders>
              <w:bottom w:val="single" w:sz="4" w:space="0" w:color="auto"/>
            </w:tcBorders>
          </w:tcPr>
          <w:p w14:paraId="195B0AFD"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5</w:t>
            </w:r>
          </w:p>
        </w:tc>
        <w:tc>
          <w:tcPr>
            <w:tcW w:w="1406" w:type="dxa"/>
            <w:tcBorders>
              <w:bottom w:val="single" w:sz="4" w:space="0" w:color="auto"/>
            </w:tcBorders>
          </w:tcPr>
          <w:p w14:paraId="54C151BE"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15</w:t>
            </w:r>
          </w:p>
        </w:tc>
        <w:tc>
          <w:tcPr>
            <w:tcW w:w="1417" w:type="dxa"/>
            <w:tcBorders>
              <w:bottom w:val="single" w:sz="4" w:space="0" w:color="auto"/>
            </w:tcBorders>
          </w:tcPr>
          <w:p w14:paraId="1769CAF4"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M</w:t>
            </w:r>
          </w:p>
        </w:tc>
        <w:tc>
          <w:tcPr>
            <w:tcW w:w="3969" w:type="dxa"/>
            <w:tcBorders>
              <w:bottom w:val="single" w:sz="4" w:space="0" w:color="auto"/>
            </w:tcBorders>
          </w:tcPr>
          <w:p w14:paraId="509BBFD1"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Jessica Morales García</w:t>
            </w:r>
          </w:p>
        </w:tc>
        <w:tc>
          <w:tcPr>
            <w:tcW w:w="1462" w:type="dxa"/>
            <w:tcBorders>
              <w:bottom w:val="single" w:sz="4" w:space="0" w:color="auto"/>
            </w:tcBorders>
          </w:tcPr>
          <w:p w14:paraId="021A9237"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15.18</w:t>
            </w:r>
          </w:p>
        </w:tc>
      </w:tr>
      <w:tr w:rsidR="00F94B48" w:rsidRPr="00F32542" w14:paraId="6DDFB83A" w14:textId="77777777" w:rsidTr="00BA2BA9">
        <w:trPr>
          <w:trHeight w:val="442"/>
        </w:trPr>
        <w:tc>
          <w:tcPr>
            <w:tcW w:w="574" w:type="dxa"/>
            <w:shd w:val="clear" w:color="auto" w:fill="D9D9D9" w:themeFill="background1" w:themeFillShade="D9"/>
          </w:tcPr>
          <w:p w14:paraId="40F85FBD"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6</w:t>
            </w:r>
          </w:p>
        </w:tc>
        <w:tc>
          <w:tcPr>
            <w:tcW w:w="1406" w:type="dxa"/>
            <w:shd w:val="clear" w:color="auto" w:fill="D9D9D9" w:themeFill="background1" w:themeFillShade="D9"/>
          </w:tcPr>
          <w:p w14:paraId="137DA5C3"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19</w:t>
            </w:r>
          </w:p>
        </w:tc>
        <w:tc>
          <w:tcPr>
            <w:tcW w:w="1417" w:type="dxa"/>
            <w:shd w:val="clear" w:color="auto" w:fill="D9D9D9" w:themeFill="background1" w:themeFillShade="D9"/>
          </w:tcPr>
          <w:p w14:paraId="564CE3FC"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H</w:t>
            </w:r>
          </w:p>
        </w:tc>
        <w:tc>
          <w:tcPr>
            <w:tcW w:w="3969" w:type="dxa"/>
            <w:shd w:val="clear" w:color="auto" w:fill="D9D9D9" w:themeFill="background1" w:themeFillShade="D9"/>
          </w:tcPr>
          <w:p w14:paraId="5ED31296"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Gustavo Nabor Ojeda Delgado</w:t>
            </w:r>
          </w:p>
        </w:tc>
        <w:tc>
          <w:tcPr>
            <w:tcW w:w="1462" w:type="dxa"/>
            <w:shd w:val="clear" w:color="auto" w:fill="D9D9D9" w:themeFill="background1" w:themeFillShade="D9"/>
          </w:tcPr>
          <w:p w14:paraId="627CEEBD"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13.65</w:t>
            </w:r>
          </w:p>
        </w:tc>
      </w:tr>
      <w:tr w:rsidR="00F94B48" w:rsidRPr="00F32542" w14:paraId="74B39389" w14:textId="77777777" w:rsidTr="00B65D24">
        <w:trPr>
          <w:trHeight w:val="442"/>
        </w:trPr>
        <w:tc>
          <w:tcPr>
            <w:tcW w:w="574" w:type="dxa"/>
            <w:tcBorders>
              <w:bottom w:val="single" w:sz="4" w:space="0" w:color="auto"/>
            </w:tcBorders>
          </w:tcPr>
          <w:p w14:paraId="3AAB74AB"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7</w:t>
            </w:r>
          </w:p>
        </w:tc>
        <w:tc>
          <w:tcPr>
            <w:tcW w:w="1406" w:type="dxa"/>
            <w:tcBorders>
              <w:bottom w:val="single" w:sz="4" w:space="0" w:color="auto"/>
            </w:tcBorders>
          </w:tcPr>
          <w:p w14:paraId="5EA797AA"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28</w:t>
            </w:r>
          </w:p>
        </w:tc>
        <w:tc>
          <w:tcPr>
            <w:tcW w:w="1417" w:type="dxa"/>
            <w:tcBorders>
              <w:bottom w:val="single" w:sz="4" w:space="0" w:color="auto"/>
            </w:tcBorders>
          </w:tcPr>
          <w:p w14:paraId="5E7242E7"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M</w:t>
            </w:r>
          </w:p>
        </w:tc>
        <w:tc>
          <w:tcPr>
            <w:tcW w:w="3969" w:type="dxa"/>
            <w:tcBorders>
              <w:bottom w:val="single" w:sz="4" w:space="0" w:color="auto"/>
            </w:tcBorders>
          </w:tcPr>
          <w:p w14:paraId="607D7234"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Dulce Violeta Carrillo Jaime</w:t>
            </w:r>
          </w:p>
        </w:tc>
        <w:tc>
          <w:tcPr>
            <w:tcW w:w="1462" w:type="dxa"/>
            <w:tcBorders>
              <w:bottom w:val="single" w:sz="4" w:space="0" w:color="auto"/>
            </w:tcBorders>
          </w:tcPr>
          <w:p w14:paraId="4793305F"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14.54</w:t>
            </w:r>
          </w:p>
        </w:tc>
      </w:tr>
      <w:tr w:rsidR="00F94B48" w:rsidRPr="00F32542" w14:paraId="1ECC10F6" w14:textId="77777777" w:rsidTr="00BA2BA9">
        <w:trPr>
          <w:trHeight w:val="442"/>
        </w:trPr>
        <w:tc>
          <w:tcPr>
            <w:tcW w:w="574" w:type="dxa"/>
            <w:shd w:val="clear" w:color="auto" w:fill="D9D9D9" w:themeFill="background1" w:themeFillShade="D9"/>
          </w:tcPr>
          <w:p w14:paraId="282FE59C"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8</w:t>
            </w:r>
          </w:p>
        </w:tc>
        <w:tc>
          <w:tcPr>
            <w:tcW w:w="1406" w:type="dxa"/>
            <w:shd w:val="clear" w:color="auto" w:fill="D9D9D9" w:themeFill="background1" w:themeFillShade="D9"/>
          </w:tcPr>
          <w:p w14:paraId="50884872"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4</w:t>
            </w:r>
          </w:p>
        </w:tc>
        <w:tc>
          <w:tcPr>
            <w:tcW w:w="1417" w:type="dxa"/>
            <w:shd w:val="clear" w:color="auto" w:fill="D9D9D9" w:themeFill="background1" w:themeFillShade="D9"/>
          </w:tcPr>
          <w:p w14:paraId="17500ECA"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H</w:t>
            </w:r>
          </w:p>
        </w:tc>
        <w:tc>
          <w:tcPr>
            <w:tcW w:w="3969" w:type="dxa"/>
            <w:shd w:val="clear" w:color="auto" w:fill="D9D9D9" w:themeFill="background1" w:themeFillShade="D9"/>
          </w:tcPr>
          <w:p w14:paraId="755418E5"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Ángel Gutiérrez Javier</w:t>
            </w:r>
          </w:p>
        </w:tc>
        <w:tc>
          <w:tcPr>
            <w:tcW w:w="1462" w:type="dxa"/>
            <w:shd w:val="clear" w:color="auto" w:fill="D9D9D9" w:themeFill="background1" w:themeFillShade="D9"/>
          </w:tcPr>
          <w:p w14:paraId="364C0E44"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13.56</w:t>
            </w:r>
          </w:p>
        </w:tc>
      </w:tr>
      <w:tr w:rsidR="00F94B48" w:rsidRPr="00F32542" w14:paraId="338E05B2" w14:textId="77777777" w:rsidTr="00B65D24">
        <w:trPr>
          <w:trHeight w:val="442"/>
        </w:trPr>
        <w:tc>
          <w:tcPr>
            <w:tcW w:w="574" w:type="dxa"/>
          </w:tcPr>
          <w:p w14:paraId="15B36112"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9</w:t>
            </w:r>
          </w:p>
        </w:tc>
        <w:tc>
          <w:tcPr>
            <w:tcW w:w="1406" w:type="dxa"/>
          </w:tcPr>
          <w:p w14:paraId="1D9FAFC1"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23</w:t>
            </w:r>
          </w:p>
        </w:tc>
        <w:tc>
          <w:tcPr>
            <w:tcW w:w="1417" w:type="dxa"/>
          </w:tcPr>
          <w:p w14:paraId="12264C25"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M</w:t>
            </w:r>
          </w:p>
        </w:tc>
        <w:tc>
          <w:tcPr>
            <w:tcW w:w="3969" w:type="dxa"/>
          </w:tcPr>
          <w:p w14:paraId="6243D06D"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Jacqueline Villarreal García</w:t>
            </w:r>
          </w:p>
        </w:tc>
        <w:tc>
          <w:tcPr>
            <w:tcW w:w="1462" w:type="dxa"/>
          </w:tcPr>
          <w:p w14:paraId="5E9FCD26"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14.33</w:t>
            </w:r>
          </w:p>
        </w:tc>
      </w:tr>
    </w:tbl>
    <w:p w14:paraId="6A7D3DCD"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Ciertamente, Jacqueline Villarreal García (posición nueve) tiene un mayor porcentaje de votación que Gustavo Nabor Ojeda Delgado (posición seis) y que Ángel Gutiérrez Javier (posición ocho). </w:t>
      </w:r>
    </w:p>
    <w:p w14:paraId="61B8CDE4"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Sin embargo, esto obedece, como se explicó, a que </w:t>
      </w:r>
      <w:proofErr w:type="gramStart"/>
      <w:r w:rsidRPr="00F32542">
        <w:rPr>
          <w:rFonts w:ascii="Arial" w:eastAsia="Calibri" w:hAnsi="Arial" w:cs="Arial"/>
          <w:sz w:val="28"/>
          <w:szCs w:val="28"/>
        </w:rPr>
        <w:t>de acuerdo al</w:t>
      </w:r>
      <w:proofErr w:type="gramEnd"/>
      <w:r w:rsidRPr="00F32542">
        <w:rPr>
          <w:rFonts w:ascii="Arial" w:eastAsia="Calibri" w:hAnsi="Arial" w:cs="Arial"/>
          <w:sz w:val="28"/>
          <w:szCs w:val="28"/>
        </w:rPr>
        <w:t xml:space="preserve"> artículo 24, fracción IV, del </w:t>
      </w:r>
      <w:r w:rsidRPr="00F32542">
        <w:rPr>
          <w:rFonts w:ascii="Arial" w:eastAsia="Calibri" w:hAnsi="Arial" w:cs="Arial"/>
          <w:i/>
          <w:sz w:val="28"/>
          <w:szCs w:val="28"/>
        </w:rPr>
        <w:t>Código local,</w:t>
      </w:r>
      <w:r w:rsidRPr="00F32542">
        <w:rPr>
          <w:rFonts w:ascii="Arial" w:eastAsia="Calibri" w:hAnsi="Arial" w:cs="Arial"/>
          <w:sz w:val="28"/>
          <w:szCs w:val="28"/>
        </w:rPr>
        <w:t xml:space="preserve"> la lista B no sólo se ordena a partir de los mejores porcentajes de votación, sino que esto debe hacerse alternando géneros.</w:t>
      </w:r>
    </w:p>
    <w:p w14:paraId="09BF9DAA"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Es decir, la primera posición le corresponde a la fórmula con el mejor porcentaje de votación, en atención al principio democrático, pero la segunda debe ser de un género distinto, esto es, la que tenga el mejor porcentaje del otro género, por lo que cumplir ahora con el principio de alternancia puede propiciar, válidamente, que esa segunda fórmula preceda en su ubicación en la lista B, a otra fórmula mejor votada, de distinto género, que ocupará el tercer lugar de la lista. Y así en lo subsecuente.</w:t>
      </w:r>
    </w:p>
    <w:p w14:paraId="17104393"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lastRenderedPageBreak/>
        <w:t xml:space="preserve">En efecto, como se muestra en el cuadro, la primera posición le correspondió a la fórmula con el mejor porcentaje de votación, misma que es del género femenino. </w:t>
      </w:r>
    </w:p>
    <w:p w14:paraId="65FD1672"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Por esa razón, la segunda fórmula debía ser del género masculino, de manera que tal posición le correspondió a la fórmula que obtuvo el mejor porcentaje de tal género. </w:t>
      </w:r>
    </w:p>
    <w:p w14:paraId="39530E86"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Al aplicarse el principio de alternancia las posiciones tres (3), cinco (5), siete (7) y nueve (9) debían corresponder al género de las mujeres, </w:t>
      </w:r>
      <w:proofErr w:type="gramStart"/>
      <w:r w:rsidRPr="00F32542">
        <w:rPr>
          <w:rFonts w:ascii="Arial" w:eastAsia="Calibri" w:hAnsi="Arial" w:cs="Arial"/>
          <w:sz w:val="28"/>
          <w:szCs w:val="28"/>
        </w:rPr>
        <w:t>de acuerdo a</w:t>
      </w:r>
      <w:proofErr w:type="gramEnd"/>
      <w:r w:rsidRPr="00F32542">
        <w:rPr>
          <w:rFonts w:ascii="Arial" w:eastAsia="Calibri" w:hAnsi="Arial" w:cs="Arial"/>
          <w:sz w:val="28"/>
          <w:szCs w:val="28"/>
        </w:rPr>
        <w:t xml:space="preserve"> su votación.  A su vez, las posiciones cuatro (4), seis (6) y ocho (8) le correspondieron al género de los hombres. </w:t>
      </w:r>
    </w:p>
    <w:p w14:paraId="4260EEDD"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De tal modo, que, al alternar el género de la lista, resultó que las posiciones seis (6) y ocho (8) —del género de los hombres—, tiene un menor porcentaje de votación que Jacqueline Villarreal García (posición 9).</w:t>
      </w:r>
    </w:p>
    <w:p w14:paraId="1BB8795E"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Pese a ello, no es posible establecer que por el porcentaje de votación alcanzado por Jacqueline Villarreal García (que la ubicó en la novena posición) deba de serle otorgada la posición seis de la lista B del PRI.</w:t>
      </w:r>
    </w:p>
    <w:p w14:paraId="0F14BFE7" w14:textId="77777777" w:rsidR="00F94B48" w:rsidRPr="00F32542" w:rsidRDefault="00F94B48" w:rsidP="00F94B48">
      <w:pPr>
        <w:spacing w:before="100" w:beforeAutospacing="1" w:after="100" w:afterAutospacing="1" w:line="360" w:lineRule="auto"/>
        <w:jc w:val="both"/>
        <w:rPr>
          <w:rFonts w:ascii="Arial" w:eastAsia="Calibri" w:hAnsi="Arial" w:cs="Arial"/>
          <w:iCs/>
          <w:sz w:val="28"/>
          <w:szCs w:val="28"/>
        </w:rPr>
      </w:pPr>
      <w:r w:rsidRPr="00F32542">
        <w:rPr>
          <w:rFonts w:ascii="Arial" w:eastAsia="Calibri" w:hAnsi="Arial" w:cs="Arial"/>
          <w:sz w:val="28"/>
          <w:szCs w:val="28"/>
        </w:rPr>
        <w:t xml:space="preserve">Pues de procederse así, no se garantizaría uno de los principios rectores de la representación proporcional en la Ciudad de México, es decir, la alternancia, con lo cual se dejarían de aplicar las reglas establecidas en el artículo 24, fracción IV del </w:t>
      </w:r>
      <w:r w:rsidRPr="00F32542">
        <w:rPr>
          <w:rFonts w:ascii="Arial" w:eastAsia="Calibri" w:hAnsi="Arial" w:cs="Arial"/>
          <w:i/>
          <w:sz w:val="28"/>
          <w:szCs w:val="28"/>
        </w:rPr>
        <w:t>Código local</w:t>
      </w:r>
      <w:r w:rsidRPr="00F32542">
        <w:rPr>
          <w:rFonts w:ascii="Arial" w:eastAsia="Calibri" w:hAnsi="Arial" w:cs="Arial"/>
          <w:iCs/>
          <w:sz w:val="28"/>
          <w:szCs w:val="28"/>
        </w:rPr>
        <w:t>.</w:t>
      </w:r>
    </w:p>
    <w:p w14:paraId="2A12AF9A" w14:textId="77777777" w:rsidR="00F94B48" w:rsidRPr="00F32542" w:rsidRDefault="00F94B48" w:rsidP="00F94B48">
      <w:pPr>
        <w:spacing w:before="100" w:beforeAutospacing="1" w:after="100" w:afterAutospacing="1" w:line="360" w:lineRule="auto"/>
        <w:jc w:val="both"/>
        <w:rPr>
          <w:rFonts w:ascii="Arial" w:eastAsia="Calibri" w:hAnsi="Arial" w:cs="Arial"/>
          <w:iCs/>
          <w:sz w:val="28"/>
          <w:szCs w:val="28"/>
        </w:rPr>
      </w:pPr>
      <w:r w:rsidRPr="00F32542">
        <w:rPr>
          <w:rFonts w:ascii="Arial" w:eastAsia="Calibri" w:hAnsi="Arial" w:cs="Arial"/>
          <w:iCs/>
          <w:sz w:val="28"/>
          <w:szCs w:val="28"/>
        </w:rPr>
        <w:t xml:space="preserve">Sobre todo, cuando </w:t>
      </w:r>
      <w:proofErr w:type="spellStart"/>
      <w:r w:rsidRPr="00F32542">
        <w:rPr>
          <w:rFonts w:ascii="Arial" w:eastAsia="Calibri" w:hAnsi="Arial" w:cs="Arial"/>
          <w:iCs/>
          <w:sz w:val="28"/>
          <w:szCs w:val="28"/>
        </w:rPr>
        <w:t>aún</w:t>
      </w:r>
      <w:proofErr w:type="spellEnd"/>
      <w:r w:rsidRPr="00F32542">
        <w:rPr>
          <w:rFonts w:ascii="Arial" w:eastAsia="Calibri" w:hAnsi="Arial" w:cs="Arial"/>
          <w:iCs/>
          <w:sz w:val="28"/>
          <w:szCs w:val="28"/>
        </w:rPr>
        <w:t xml:space="preserve"> atendiendo solamente al porcentaje de votación de la actora, ello no redundaría en que alcanzara una curul plurinominal.</w:t>
      </w:r>
    </w:p>
    <w:p w14:paraId="29E760A4" w14:textId="77777777" w:rsidR="00F94B48" w:rsidRPr="00F32542" w:rsidRDefault="00F94B48" w:rsidP="00F94B48">
      <w:pPr>
        <w:spacing w:before="100" w:beforeAutospacing="1" w:after="100" w:afterAutospacing="1" w:line="360" w:lineRule="auto"/>
        <w:jc w:val="both"/>
        <w:rPr>
          <w:rFonts w:ascii="Arial" w:eastAsia="Calibri" w:hAnsi="Arial" w:cs="Arial"/>
          <w:iCs/>
          <w:sz w:val="28"/>
          <w:szCs w:val="28"/>
        </w:rPr>
      </w:pPr>
      <w:r w:rsidRPr="00F32542">
        <w:rPr>
          <w:rFonts w:ascii="Arial" w:eastAsia="Calibri" w:hAnsi="Arial" w:cs="Arial"/>
          <w:iCs/>
          <w:sz w:val="28"/>
          <w:szCs w:val="28"/>
        </w:rPr>
        <w:lastRenderedPageBreak/>
        <w:t>Pues de las cinco posiciones plurinominales asignadas al PRI, a las candidaturas provenientes de la lista B del PRI sólo corresponderían dos —dado que las otras tres corresponderían a integrantes de la lista A—.</w:t>
      </w:r>
    </w:p>
    <w:p w14:paraId="2C73482C" w14:textId="77777777" w:rsidR="00F94B48" w:rsidRPr="00F32542" w:rsidRDefault="00F94B48" w:rsidP="00F94B48">
      <w:pPr>
        <w:spacing w:before="100" w:beforeAutospacing="1" w:after="100" w:afterAutospacing="1" w:line="360" w:lineRule="auto"/>
        <w:jc w:val="both"/>
        <w:rPr>
          <w:rFonts w:ascii="Arial" w:eastAsia="Calibri" w:hAnsi="Arial" w:cs="Arial"/>
          <w:iCs/>
          <w:sz w:val="28"/>
          <w:szCs w:val="28"/>
        </w:rPr>
      </w:pPr>
      <w:r w:rsidRPr="00F32542">
        <w:rPr>
          <w:rFonts w:ascii="Arial" w:eastAsia="Calibri" w:hAnsi="Arial" w:cs="Arial"/>
          <w:iCs/>
          <w:sz w:val="28"/>
          <w:szCs w:val="28"/>
        </w:rPr>
        <w:t>De modo que esas dos posiciones se agotarían con las fórmulas ubicadas en los primeros dos lugares de la propia lista B, que alcanzaron porcentajes de votación equivalentes al 17.84% y al 15.61%.</w:t>
      </w:r>
    </w:p>
    <w:p w14:paraId="5DA49C98" w14:textId="77777777" w:rsidR="00F94B48" w:rsidRPr="00F32542" w:rsidRDefault="00F94B48" w:rsidP="00F94B48">
      <w:pPr>
        <w:spacing w:before="100" w:beforeAutospacing="1" w:after="100" w:afterAutospacing="1" w:line="360" w:lineRule="auto"/>
        <w:jc w:val="both"/>
        <w:rPr>
          <w:rFonts w:ascii="Arial" w:eastAsia="Calibri" w:hAnsi="Arial" w:cs="Arial"/>
          <w:iCs/>
          <w:sz w:val="28"/>
          <w:szCs w:val="28"/>
        </w:rPr>
      </w:pPr>
      <w:r w:rsidRPr="00F32542">
        <w:rPr>
          <w:rFonts w:ascii="Arial" w:eastAsia="Calibri" w:hAnsi="Arial" w:cs="Arial"/>
          <w:iCs/>
          <w:sz w:val="28"/>
          <w:szCs w:val="28"/>
        </w:rPr>
        <w:t xml:space="preserve">Mientras que la actora logró un 14.33%, insuficiente para desplazar a cualquiera de tales fórmulas, sin perderse de </w:t>
      </w:r>
      <w:proofErr w:type="gramStart"/>
      <w:r w:rsidRPr="00F32542">
        <w:rPr>
          <w:rFonts w:ascii="Arial" w:eastAsia="Calibri" w:hAnsi="Arial" w:cs="Arial"/>
          <w:iCs/>
          <w:sz w:val="28"/>
          <w:szCs w:val="28"/>
        </w:rPr>
        <w:t>vista</w:t>
      </w:r>
      <w:proofErr w:type="gramEnd"/>
      <w:r w:rsidRPr="00F32542">
        <w:rPr>
          <w:rFonts w:ascii="Arial" w:eastAsia="Calibri" w:hAnsi="Arial" w:cs="Arial"/>
          <w:iCs/>
          <w:sz w:val="28"/>
          <w:szCs w:val="28"/>
        </w:rPr>
        <w:t xml:space="preserve"> además, que una fórmula femenina la precede en la posición siete de la misma lista, pues la supera en porcentaje de votación, con un 14.54%, lo que la hace contar con un mejor derecho que la demandante.</w:t>
      </w:r>
    </w:p>
    <w:p w14:paraId="0F18608B"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Por ello, se considera que su planteamiento es </w:t>
      </w:r>
      <w:r w:rsidRPr="00F32542">
        <w:rPr>
          <w:rFonts w:ascii="Arial" w:eastAsia="Calibri" w:hAnsi="Arial" w:cs="Arial"/>
          <w:b/>
          <w:sz w:val="28"/>
          <w:szCs w:val="28"/>
        </w:rPr>
        <w:t xml:space="preserve">infundado. </w:t>
      </w:r>
    </w:p>
    <w:p w14:paraId="353C687F" w14:textId="77777777" w:rsidR="00F94B48" w:rsidRPr="00F32542" w:rsidRDefault="007576C0"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b/>
          <w:sz w:val="28"/>
          <w:szCs w:val="28"/>
        </w:rPr>
        <w:t>XII</w:t>
      </w:r>
      <w:r w:rsidR="00F94B48" w:rsidRPr="00F32542">
        <w:rPr>
          <w:rFonts w:ascii="Arial" w:eastAsia="Calibri" w:hAnsi="Arial" w:cs="Arial"/>
          <w:b/>
          <w:sz w:val="28"/>
          <w:szCs w:val="28"/>
        </w:rPr>
        <w:t>. Indebida integración de la lista B por considerar votación de coaliciones.</w:t>
      </w:r>
    </w:p>
    <w:p w14:paraId="6981AC39"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En este apartado de estudiarán los siguientes planteamientos:</w:t>
      </w:r>
    </w:p>
    <w:p w14:paraId="2EB8E99D"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bookmarkStart w:id="54" w:name="_Hlk78320313"/>
      <w:r w:rsidRPr="00F32542">
        <w:rPr>
          <w:rFonts w:ascii="Arial" w:eastAsia="Calibri" w:hAnsi="Arial" w:cs="Arial"/>
          <w:b/>
          <w:bCs/>
          <w:sz w:val="28"/>
          <w:szCs w:val="28"/>
        </w:rPr>
        <w:t>TECDMX-JLDC-108/2021</w:t>
      </w:r>
      <w:r w:rsidRPr="00F32542">
        <w:rPr>
          <w:rFonts w:ascii="Arial" w:eastAsia="Calibri" w:hAnsi="Arial" w:cs="Arial"/>
          <w:sz w:val="28"/>
          <w:szCs w:val="28"/>
        </w:rPr>
        <w:t xml:space="preserve"> </w:t>
      </w:r>
      <w:r w:rsidRPr="00F32542">
        <w:rPr>
          <w:rFonts w:ascii="Arial" w:eastAsia="Calibri" w:hAnsi="Arial" w:cs="Arial"/>
          <w:b/>
          <w:bCs/>
          <w:sz w:val="28"/>
          <w:szCs w:val="28"/>
        </w:rPr>
        <w:t>(</w:t>
      </w:r>
      <w:proofErr w:type="spellStart"/>
      <w:r w:rsidRPr="00F32542">
        <w:rPr>
          <w:rFonts w:ascii="Arial" w:eastAsia="Calibri" w:hAnsi="Arial" w:cs="Arial"/>
          <w:b/>
          <w:bCs/>
          <w:sz w:val="28"/>
          <w:szCs w:val="28"/>
        </w:rPr>
        <w:t>Kilauren</w:t>
      </w:r>
      <w:proofErr w:type="spellEnd"/>
      <w:r w:rsidRPr="00F32542">
        <w:rPr>
          <w:rFonts w:ascii="Arial" w:eastAsia="Calibri" w:hAnsi="Arial" w:cs="Arial"/>
          <w:b/>
          <w:bCs/>
          <w:sz w:val="28"/>
          <w:szCs w:val="28"/>
        </w:rPr>
        <w:t xml:space="preserve"> Paulina Cobos Lázaro)</w:t>
      </w:r>
    </w:p>
    <w:bookmarkEnd w:id="54"/>
    <w:p w14:paraId="06E6FCE3"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La actora sostiene que el Consejo General del </w:t>
      </w:r>
      <w:r w:rsidRPr="00F32542">
        <w:rPr>
          <w:rFonts w:ascii="Arial" w:eastAsia="Calibri" w:hAnsi="Arial" w:cs="Arial"/>
          <w:i/>
          <w:sz w:val="28"/>
          <w:szCs w:val="28"/>
        </w:rPr>
        <w:t xml:space="preserve">Instituto Electoral </w:t>
      </w:r>
      <w:r w:rsidRPr="00F32542">
        <w:rPr>
          <w:rFonts w:ascii="Arial" w:eastAsia="Calibri" w:hAnsi="Arial" w:cs="Arial"/>
          <w:sz w:val="28"/>
          <w:szCs w:val="28"/>
        </w:rPr>
        <w:t xml:space="preserve">no tomó en cuenta si la lista B del PRD pertenecía a un partido político o a una coalición, antes de intercalarla con la lista A. </w:t>
      </w:r>
    </w:p>
    <w:p w14:paraId="66804390"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Según la actora, la asignación de la lista B debió hacerse siguiendo el supuesto de postulación por un partido político y no por una coalición, es decir, excluyendo de la lista B a las fórmulas de candidaturas postuladas en candidatura común con el PRI y el PAN.</w:t>
      </w:r>
    </w:p>
    <w:p w14:paraId="61ACE6DE"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sz w:val="28"/>
          <w:szCs w:val="28"/>
        </w:rPr>
        <w:lastRenderedPageBreak/>
        <w:t xml:space="preserve">Se considera que los agravios son </w:t>
      </w:r>
      <w:r w:rsidRPr="00F32542">
        <w:rPr>
          <w:rFonts w:ascii="Arial" w:eastAsia="Calibri" w:hAnsi="Arial" w:cs="Arial"/>
          <w:b/>
          <w:sz w:val="28"/>
          <w:szCs w:val="28"/>
        </w:rPr>
        <w:t xml:space="preserve">infundados, </w:t>
      </w:r>
      <w:r w:rsidRPr="00F32542">
        <w:rPr>
          <w:rFonts w:ascii="Arial" w:eastAsia="Calibri" w:hAnsi="Arial" w:cs="Arial"/>
          <w:sz w:val="28"/>
          <w:szCs w:val="28"/>
        </w:rPr>
        <w:t xml:space="preserve">lo cual se explicará. </w:t>
      </w:r>
      <w:r w:rsidRPr="00F32542">
        <w:rPr>
          <w:rFonts w:ascii="Arial" w:eastAsia="Calibri" w:hAnsi="Arial" w:cs="Arial"/>
          <w:b/>
          <w:sz w:val="28"/>
          <w:szCs w:val="28"/>
        </w:rPr>
        <w:t xml:space="preserve"> </w:t>
      </w:r>
    </w:p>
    <w:p w14:paraId="4121C0A5"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b/>
          <w:sz w:val="28"/>
          <w:szCs w:val="28"/>
        </w:rPr>
        <w:t xml:space="preserve">Marco jurídico </w:t>
      </w:r>
    </w:p>
    <w:p w14:paraId="46E8464B"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Como se ha expuesto, el artículo 24, fracción IV, del </w:t>
      </w:r>
      <w:r w:rsidRPr="00F32542">
        <w:rPr>
          <w:rFonts w:ascii="Arial" w:eastAsia="Calibri" w:hAnsi="Arial" w:cs="Arial"/>
          <w:i/>
          <w:sz w:val="28"/>
          <w:szCs w:val="28"/>
        </w:rPr>
        <w:t xml:space="preserve">Código local </w:t>
      </w:r>
      <w:r w:rsidRPr="00F32542">
        <w:rPr>
          <w:rFonts w:ascii="Arial" w:eastAsia="Calibri" w:hAnsi="Arial" w:cs="Arial"/>
          <w:sz w:val="28"/>
          <w:szCs w:val="28"/>
        </w:rPr>
        <w:t xml:space="preserve">establece que la lista B es una relación de diecisiete fórmulas de candidaturas a diputaciones que no lograron el triunfo por mayoría relativa en el distrito en que participaron, pero alcanzaron a nivel distrital los mayores porcentajes de votación local emitida. </w:t>
      </w:r>
    </w:p>
    <w:p w14:paraId="57DD889B"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Con la finalidad de garantizar la paridad de género, una vez que se determinó el primer lugar de la lista, el segundo lugar será ocupado por la fórmula del otro género con mayor porcentaje de votación, y se irán intercalando de esa forma hasta concluir.</w:t>
      </w:r>
    </w:p>
    <w:p w14:paraId="68CE8895"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Por su parte, en el artículo 10 de los </w:t>
      </w:r>
      <w:r w:rsidRPr="00F32542">
        <w:rPr>
          <w:rFonts w:ascii="Arial" w:eastAsia="Calibri" w:hAnsi="Arial" w:cs="Arial"/>
          <w:i/>
          <w:sz w:val="28"/>
          <w:szCs w:val="28"/>
        </w:rPr>
        <w:t xml:space="preserve">Lineamientos de asignación </w:t>
      </w:r>
      <w:r w:rsidRPr="00F32542">
        <w:rPr>
          <w:rFonts w:ascii="Arial" w:eastAsia="Calibri" w:hAnsi="Arial" w:cs="Arial"/>
          <w:sz w:val="28"/>
          <w:szCs w:val="28"/>
        </w:rPr>
        <w:t xml:space="preserve">se estableció que para los efectos de la integración de la lista B, las coaliciones o las candidaturas comunes deberán determinar en el convenio, en cuál lista B de los partidos políticos participarán las personas candidatas a diputaciones que, no logrando el triunfo en la elección de mayoría relativa, alcancen a nivel distrital los mayores porcentajes de la votación local emitida. </w:t>
      </w:r>
    </w:p>
    <w:p w14:paraId="565ABA02"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sz w:val="28"/>
          <w:szCs w:val="28"/>
        </w:rPr>
        <w:t xml:space="preserve">En la misma disposición se estableció que </w:t>
      </w:r>
      <w:r w:rsidRPr="00F32542">
        <w:rPr>
          <w:rFonts w:ascii="Arial" w:eastAsia="Calibri" w:hAnsi="Arial" w:cs="Arial"/>
          <w:b/>
          <w:sz w:val="28"/>
          <w:szCs w:val="28"/>
        </w:rPr>
        <w:t xml:space="preserve">para los efectos de la lista sólo se tomarían en cuenta los votos recibidos para el partido postulante. </w:t>
      </w:r>
    </w:p>
    <w:p w14:paraId="719EBE8F"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Como se observa, en el caso de existir coaliciones o candidaturas comunes, para efectos de la integración de la lista B, las personas candidatas a diputaciones de mayoría relativa sólo podían ser adscritas a un partido político y no a todos los integrantes de las coaliciones o candidaturas comunes. </w:t>
      </w:r>
    </w:p>
    <w:p w14:paraId="72015A00"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lastRenderedPageBreak/>
        <w:t xml:space="preserve">Por esa razón, sólo se tomaría en cuenta la votación del partido al que quede adscrito la candidatura y no el de todos los partidos postulantes de la misma. </w:t>
      </w:r>
    </w:p>
    <w:p w14:paraId="38E69B20"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b/>
          <w:sz w:val="28"/>
          <w:szCs w:val="28"/>
        </w:rPr>
        <w:t xml:space="preserve">Caso concreto </w:t>
      </w:r>
    </w:p>
    <w:p w14:paraId="01D9EE79"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A partir de lo expuesto, se considera que es </w:t>
      </w:r>
      <w:r w:rsidRPr="00F32542">
        <w:rPr>
          <w:rFonts w:ascii="Arial" w:eastAsia="Calibri" w:hAnsi="Arial" w:cs="Arial"/>
          <w:b/>
          <w:sz w:val="28"/>
          <w:szCs w:val="28"/>
        </w:rPr>
        <w:t xml:space="preserve">infundado </w:t>
      </w:r>
      <w:r w:rsidRPr="00F32542">
        <w:rPr>
          <w:rFonts w:ascii="Arial" w:eastAsia="Calibri" w:hAnsi="Arial" w:cs="Arial"/>
          <w:sz w:val="28"/>
          <w:szCs w:val="28"/>
        </w:rPr>
        <w:t xml:space="preserve">el planteamiento de la actora </w:t>
      </w:r>
      <w:proofErr w:type="gramStart"/>
      <w:r w:rsidRPr="00F32542">
        <w:rPr>
          <w:rFonts w:ascii="Arial" w:eastAsia="Calibri" w:hAnsi="Arial" w:cs="Arial"/>
          <w:sz w:val="28"/>
          <w:szCs w:val="28"/>
        </w:rPr>
        <w:t>en relación a</w:t>
      </w:r>
      <w:proofErr w:type="gramEnd"/>
      <w:r w:rsidRPr="00F32542">
        <w:rPr>
          <w:rFonts w:ascii="Arial" w:eastAsia="Calibri" w:hAnsi="Arial" w:cs="Arial"/>
          <w:sz w:val="28"/>
          <w:szCs w:val="28"/>
        </w:rPr>
        <w:t xml:space="preserve"> que el Consejo General no tomó en cuenta si las personas candidatas de la lista B pertenecían a un partido político o coalición, antes de intercalarla con la lista A. </w:t>
      </w:r>
    </w:p>
    <w:p w14:paraId="209E5540"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Lo dicho, porque como se mostró, la autoridad responsable, </w:t>
      </w:r>
      <w:proofErr w:type="gramStart"/>
      <w:r w:rsidRPr="00F32542">
        <w:rPr>
          <w:rFonts w:ascii="Arial" w:eastAsia="Calibri" w:hAnsi="Arial" w:cs="Arial"/>
          <w:sz w:val="28"/>
          <w:szCs w:val="28"/>
        </w:rPr>
        <w:t>de acuerdo a</w:t>
      </w:r>
      <w:proofErr w:type="gramEnd"/>
      <w:r w:rsidRPr="00F32542">
        <w:rPr>
          <w:rFonts w:ascii="Arial" w:eastAsia="Calibri" w:hAnsi="Arial" w:cs="Arial"/>
          <w:sz w:val="28"/>
          <w:szCs w:val="28"/>
        </w:rPr>
        <w:t xml:space="preserve"> los </w:t>
      </w:r>
      <w:r w:rsidRPr="00F32542">
        <w:rPr>
          <w:rFonts w:ascii="Arial" w:eastAsia="Calibri" w:hAnsi="Arial" w:cs="Arial"/>
          <w:i/>
          <w:sz w:val="28"/>
          <w:szCs w:val="28"/>
        </w:rPr>
        <w:t xml:space="preserve">Lineamientos de asignación, </w:t>
      </w:r>
      <w:r w:rsidRPr="00F32542">
        <w:rPr>
          <w:rFonts w:ascii="Arial" w:eastAsia="Calibri" w:hAnsi="Arial" w:cs="Arial"/>
          <w:sz w:val="28"/>
          <w:szCs w:val="28"/>
        </w:rPr>
        <w:t>si consideró qué candidaturas fueron postuladas individualmente, y cuáles fueron postuladas en candidatura común, pues se tuvo presente que, en el caso de estas últimas, sólo se computaría la votación que recibieron por el partido que los postuló para integrar la lista B.</w:t>
      </w:r>
    </w:p>
    <w:p w14:paraId="7539420E"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En la siguiente tabla</w:t>
      </w:r>
      <w:r w:rsidRPr="00F32542">
        <w:rPr>
          <w:rFonts w:ascii="Arial" w:eastAsia="Calibri" w:hAnsi="Arial" w:cs="Arial"/>
          <w:sz w:val="28"/>
          <w:szCs w:val="28"/>
          <w:u w:val="single"/>
        </w:rPr>
        <w:t xml:space="preserve"> —elaborada por este Tribunal— </w:t>
      </w:r>
      <w:r w:rsidRPr="00F32542">
        <w:rPr>
          <w:rFonts w:ascii="Arial" w:eastAsia="Calibri" w:hAnsi="Arial" w:cs="Arial"/>
          <w:sz w:val="28"/>
          <w:szCs w:val="28"/>
        </w:rPr>
        <w:t xml:space="preserve">se muestra cómo es que se calculó el porcentaje, a partir de la votación que obtuvo la candidatura correspondiente, considerando únicamente aquella que recibió para el partido político que la registró como suya para efectos de la lista B —en este caso, el PRD—. </w:t>
      </w:r>
      <w:r w:rsidRPr="00F32542">
        <w:rPr>
          <w:rFonts w:ascii="Arial" w:eastAsia="Calibri" w:hAnsi="Arial" w:cs="Arial"/>
          <w:sz w:val="28"/>
          <w:szCs w:val="28"/>
          <w:u w:val="single"/>
        </w:rPr>
        <w:t xml:space="preserve">Cabe señalar que, los porcentajes son coincidentes con los obtenidos por el </w:t>
      </w:r>
      <w:r w:rsidRPr="00F32542">
        <w:rPr>
          <w:rFonts w:ascii="Arial" w:eastAsia="Calibri" w:hAnsi="Arial" w:cs="Arial"/>
          <w:i/>
          <w:sz w:val="28"/>
          <w:szCs w:val="28"/>
          <w:u w:val="single"/>
        </w:rPr>
        <w:t xml:space="preserve">Instituto local. </w:t>
      </w:r>
      <w:r w:rsidRPr="00F32542">
        <w:rPr>
          <w:rFonts w:ascii="Arial" w:eastAsia="Calibri" w:hAnsi="Arial" w:cs="Arial"/>
          <w:sz w:val="28"/>
          <w:szCs w:val="28"/>
        </w:rPr>
        <w:t xml:space="preserve"> </w:t>
      </w:r>
    </w:p>
    <w:p w14:paraId="30A800B5"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Esta operación se realizó al restar de la votación total que existió </w:t>
      </w:r>
      <w:r w:rsidRPr="00F32542">
        <w:rPr>
          <w:rFonts w:ascii="Arial" w:eastAsia="Calibri" w:hAnsi="Arial" w:cs="Arial"/>
          <w:b/>
          <w:sz w:val="28"/>
          <w:szCs w:val="28"/>
        </w:rPr>
        <w:t>en el distrito</w:t>
      </w:r>
      <w:r w:rsidRPr="00F32542">
        <w:rPr>
          <w:rFonts w:ascii="Arial" w:eastAsia="Calibri" w:hAnsi="Arial" w:cs="Arial"/>
          <w:sz w:val="28"/>
          <w:szCs w:val="28"/>
        </w:rPr>
        <w:t xml:space="preserve">, los votos de los partidos que no obtuvieron el 3% de la votación válida emitida, la de las candidaturas sin partido y la de las no registradas. </w:t>
      </w:r>
    </w:p>
    <w:p w14:paraId="382FEFB4"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lastRenderedPageBreak/>
        <w:t xml:space="preserve">Así, de conformidad con el artículo 24 del </w:t>
      </w:r>
      <w:r w:rsidRPr="00F32542">
        <w:rPr>
          <w:rFonts w:ascii="Arial" w:eastAsia="Calibri" w:hAnsi="Arial" w:cs="Arial"/>
          <w:i/>
          <w:sz w:val="28"/>
          <w:szCs w:val="28"/>
        </w:rPr>
        <w:t xml:space="preserve">Código local, </w:t>
      </w:r>
      <w:r w:rsidRPr="00F32542">
        <w:rPr>
          <w:rFonts w:ascii="Arial" w:eastAsia="Calibri" w:hAnsi="Arial" w:cs="Arial"/>
          <w:sz w:val="28"/>
          <w:szCs w:val="28"/>
        </w:rPr>
        <w:t>una vez que se obtuvo esa votación (votación local emitida) se realizó la operación para conocer a qué porcentaje de tal monto corresponde la votación que obtuvo cada candidatura respecto a la votación local emitida, en cada distrito, lo cual a continuación se muestra:</w:t>
      </w:r>
    </w:p>
    <w:tbl>
      <w:tblPr>
        <w:tblStyle w:val="Tablaconcuadrcula25"/>
        <w:tblW w:w="0" w:type="auto"/>
        <w:tblLook w:val="04A0" w:firstRow="1" w:lastRow="0" w:firstColumn="1" w:lastColumn="0" w:noHBand="0" w:noVBand="1"/>
      </w:tblPr>
      <w:tblGrid>
        <w:gridCol w:w="547"/>
        <w:gridCol w:w="982"/>
        <w:gridCol w:w="3231"/>
        <w:gridCol w:w="1350"/>
        <w:gridCol w:w="1197"/>
        <w:gridCol w:w="1239"/>
      </w:tblGrid>
      <w:tr w:rsidR="00F94B48" w:rsidRPr="00F32542" w14:paraId="67C7C070" w14:textId="77777777" w:rsidTr="00C2724F">
        <w:trPr>
          <w:trHeight w:val="1267"/>
          <w:tblHeader/>
        </w:trPr>
        <w:tc>
          <w:tcPr>
            <w:tcW w:w="559" w:type="dxa"/>
            <w:shd w:val="clear" w:color="auto" w:fill="BFBFBF" w:themeFill="background1" w:themeFillShade="BF"/>
            <w:vAlign w:val="center"/>
          </w:tcPr>
          <w:p w14:paraId="220B9EF7" w14:textId="77777777" w:rsidR="00F94B48" w:rsidRPr="00F32542" w:rsidRDefault="00F94B48" w:rsidP="00C2724F">
            <w:pPr>
              <w:spacing w:after="0" w:line="360" w:lineRule="auto"/>
              <w:jc w:val="center"/>
              <w:rPr>
                <w:rFonts w:ascii="Arial" w:eastAsia="Calibri" w:hAnsi="Arial" w:cs="Arial"/>
                <w:b/>
                <w:bCs/>
                <w:sz w:val="20"/>
                <w:szCs w:val="20"/>
              </w:rPr>
            </w:pPr>
            <w:r w:rsidRPr="00F32542">
              <w:rPr>
                <w:rFonts w:ascii="Arial" w:eastAsia="Calibri" w:hAnsi="Arial" w:cs="Arial"/>
                <w:b/>
                <w:bCs/>
                <w:sz w:val="20"/>
                <w:szCs w:val="20"/>
              </w:rPr>
              <w:t>No</w:t>
            </w:r>
          </w:p>
        </w:tc>
        <w:tc>
          <w:tcPr>
            <w:tcW w:w="996" w:type="dxa"/>
            <w:shd w:val="clear" w:color="auto" w:fill="BFBFBF" w:themeFill="background1" w:themeFillShade="BF"/>
            <w:vAlign w:val="center"/>
          </w:tcPr>
          <w:p w14:paraId="32DE23A7" w14:textId="77777777" w:rsidR="00F94B48" w:rsidRPr="00F32542" w:rsidRDefault="00F94B48" w:rsidP="00C2724F">
            <w:pPr>
              <w:spacing w:after="0" w:line="360" w:lineRule="auto"/>
              <w:jc w:val="center"/>
              <w:rPr>
                <w:rFonts w:ascii="Arial" w:eastAsia="Calibri" w:hAnsi="Arial" w:cs="Arial"/>
                <w:b/>
                <w:bCs/>
                <w:sz w:val="20"/>
                <w:szCs w:val="20"/>
              </w:rPr>
            </w:pPr>
            <w:r w:rsidRPr="00F32542">
              <w:rPr>
                <w:rFonts w:ascii="Arial" w:eastAsia="Calibri" w:hAnsi="Arial" w:cs="Arial"/>
                <w:b/>
                <w:bCs/>
                <w:sz w:val="20"/>
                <w:szCs w:val="20"/>
              </w:rPr>
              <w:t>Distrito</w:t>
            </w:r>
          </w:p>
        </w:tc>
        <w:tc>
          <w:tcPr>
            <w:tcW w:w="3607" w:type="dxa"/>
            <w:shd w:val="clear" w:color="auto" w:fill="BFBFBF" w:themeFill="background1" w:themeFillShade="BF"/>
            <w:vAlign w:val="center"/>
          </w:tcPr>
          <w:p w14:paraId="0F0A80CF" w14:textId="77777777" w:rsidR="00F94B48" w:rsidRPr="00F32542" w:rsidRDefault="00F94B48" w:rsidP="00C2724F">
            <w:pPr>
              <w:spacing w:after="0" w:line="360" w:lineRule="auto"/>
              <w:jc w:val="center"/>
              <w:rPr>
                <w:rFonts w:ascii="Arial" w:eastAsia="Calibri" w:hAnsi="Arial" w:cs="Arial"/>
                <w:b/>
                <w:bCs/>
                <w:sz w:val="20"/>
                <w:szCs w:val="20"/>
              </w:rPr>
            </w:pPr>
            <w:r w:rsidRPr="00F32542">
              <w:rPr>
                <w:rFonts w:ascii="Arial" w:eastAsia="Calibri" w:hAnsi="Arial" w:cs="Arial"/>
                <w:b/>
                <w:bCs/>
                <w:sz w:val="20"/>
                <w:szCs w:val="20"/>
              </w:rPr>
              <w:t>Candidatura</w:t>
            </w:r>
          </w:p>
        </w:tc>
        <w:tc>
          <w:tcPr>
            <w:tcW w:w="1262" w:type="dxa"/>
            <w:shd w:val="clear" w:color="auto" w:fill="BFBFBF" w:themeFill="background1" w:themeFillShade="BF"/>
            <w:vAlign w:val="center"/>
          </w:tcPr>
          <w:p w14:paraId="20FC2F16" w14:textId="77777777" w:rsidR="00F94B48" w:rsidRPr="00F32542" w:rsidRDefault="00F94B48" w:rsidP="00C2724F">
            <w:pPr>
              <w:spacing w:after="0" w:line="360" w:lineRule="auto"/>
              <w:jc w:val="center"/>
              <w:rPr>
                <w:rFonts w:ascii="Arial" w:eastAsia="Calibri" w:hAnsi="Arial" w:cs="Arial"/>
                <w:b/>
                <w:bCs/>
                <w:sz w:val="20"/>
                <w:szCs w:val="20"/>
              </w:rPr>
            </w:pPr>
            <w:r w:rsidRPr="00F32542">
              <w:rPr>
                <w:rFonts w:ascii="Arial" w:eastAsia="Calibri" w:hAnsi="Arial" w:cs="Arial"/>
                <w:b/>
                <w:bCs/>
                <w:sz w:val="20"/>
                <w:szCs w:val="20"/>
              </w:rPr>
              <w:t>Votos por candidatura (sólo del PRD)</w:t>
            </w:r>
          </w:p>
        </w:tc>
        <w:tc>
          <w:tcPr>
            <w:tcW w:w="1225" w:type="dxa"/>
            <w:shd w:val="clear" w:color="auto" w:fill="BFBFBF" w:themeFill="background1" w:themeFillShade="BF"/>
            <w:vAlign w:val="center"/>
          </w:tcPr>
          <w:p w14:paraId="05A72714" w14:textId="77777777" w:rsidR="00F94B48" w:rsidRPr="00F32542" w:rsidRDefault="00F94B48" w:rsidP="00C2724F">
            <w:pPr>
              <w:spacing w:after="0" w:line="360" w:lineRule="auto"/>
              <w:jc w:val="center"/>
              <w:rPr>
                <w:rFonts w:ascii="Arial" w:eastAsia="Calibri" w:hAnsi="Arial" w:cs="Arial"/>
                <w:b/>
                <w:bCs/>
                <w:sz w:val="20"/>
                <w:szCs w:val="20"/>
              </w:rPr>
            </w:pPr>
            <w:r w:rsidRPr="00F32542">
              <w:rPr>
                <w:rFonts w:ascii="Arial" w:eastAsia="Calibri" w:hAnsi="Arial" w:cs="Arial"/>
                <w:b/>
                <w:bCs/>
                <w:sz w:val="20"/>
                <w:szCs w:val="20"/>
              </w:rPr>
              <w:t>Votación</w:t>
            </w:r>
          </w:p>
          <w:p w14:paraId="7892D3B3" w14:textId="77777777" w:rsidR="00F94B48" w:rsidRPr="00F32542" w:rsidRDefault="00F94B48" w:rsidP="00C2724F">
            <w:pPr>
              <w:spacing w:after="0" w:line="360" w:lineRule="auto"/>
              <w:jc w:val="center"/>
              <w:rPr>
                <w:rFonts w:ascii="Arial" w:eastAsia="Calibri" w:hAnsi="Arial" w:cs="Arial"/>
                <w:b/>
                <w:bCs/>
                <w:sz w:val="20"/>
                <w:szCs w:val="20"/>
              </w:rPr>
            </w:pPr>
            <w:r w:rsidRPr="00F32542">
              <w:rPr>
                <w:rFonts w:ascii="Arial" w:eastAsia="Calibri" w:hAnsi="Arial" w:cs="Arial"/>
                <w:b/>
                <w:bCs/>
                <w:sz w:val="20"/>
                <w:szCs w:val="20"/>
              </w:rPr>
              <w:t>local</w:t>
            </w:r>
          </w:p>
          <w:p w14:paraId="33D06507" w14:textId="77777777" w:rsidR="00F94B48" w:rsidRPr="00F32542" w:rsidRDefault="00F94B48" w:rsidP="00C2724F">
            <w:pPr>
              <w:spacing w:after="0" w:line="360" w:lineRule="auto"/>
              <w:jc w:val="center"/>
              <w:rPr>
                <w:rFonts w:ascii="Arial" w:eastAsia="Calibri" w:hAnsi="Arial" w:cs="Arial"/>
                <w:b/>
                <w:bCs/>
                <w:sz w:val="20"/>
                <w:szCs w:val="20"/>
              </w:rPr>
            </w:pPr>
            <w:r w:rsidRPr="00F32542">
              <w:rPr>
                <w:rFonts w:ascii="Arial" w:eastAsia="Calibri" w:hAnsi="Arial" w:cs="Arial"/>
                <w:b/>
                <w:bCs/>
                <w:sz w:val="20"/>
                <w:szCs w:val="20"/>
              </w:rPr>
              <w:t>efectiva por distrito</w:t>
            </w:r>
          </w:p>
        </w:tc>
        <w:tc>
          <w:tcPr>
            <w:tcW w:w="1179" w:type="dxa"/>
            <w:shd w:val="clear" w:color="auto" w:fill="BFBFBF" w:themeFill="background1" w:themeFillShade="BF"/>
            <w:vAlign w:val="center"/>
          </w:tcPr>
          <w:p w14:paraId="5CC07FB4" w14:textId="77777777" w:rsidR="00F94B48" w:rsidRPr="00F32542" w:rsidRDefault="00F94B48" w:rsidP="00C2724F">
            <w:pPr>
              <w:spacing w:after="0" w:line="360" w:lineRule="auto"/>
              <w:jc w:val="center"/>
              <w:rPr>
                <w:rFonts w:ascii="Arial" w:eastAsia="Calibri" w:hAnsi="Arial" w:cs="Arial"/>
                <w:b/>
                <w:bCs/>
                <w:sz w:val="20"/>
                <w:szCs w:val="20"/>
              </w:rPr>
            </w:pPr>
            <w:r w:rsidRPr="00F32542">
              <w:rPr>
                <w:rFonts w:ascii="Arial" w:eastAsia="Calibri" w:hAnsi="Arial" w:cs="Arial"/>
                <w:b/>
                <w:bCs/>
                <w:sz w:val="20"/>
                <w:szCs w:val="20"/>
              </w:rPr>
              <w:t>Porcentaje</w:t>
            </w:r>
          </w:p>
          <w:p w14:paraId="5FF00524" w14:textId="77777777" w:rsidR="00F94B48" w:rsidRPr="00F32542" w:rsidRDefault="00F94B48" w:rsidP="00C2724F">
            <w:pPr>
              <w:spacing w:after="0" w:line="360" w:lineRule="auto"/>
              <w:jc w:val="center"/>
              <w:rPr>
                <w:rFonts w:ascii="Arial" w:eastAsia="Calibri" w:hAnsi="Arial" w:cs="Arial"/>
                <w:b/>
                <w:bCs/>
                <w:sz w:val="20"/>
                <w:szCs w:val="20"/>
              </w:rPr>
            </w:pPr>
          </w:p>
          <w:p w14:paraId="16020D5F" w14:textId="77777777" w:rsidR="00F94B48" w:rsidRPr="00F32542" w:rsidRDefault="00F94B48" w:rsidP="00C2724F">
            <w:pPr>
              <w:spacing w:after="0" w:line="360" w:lineRule="auto"/>
              <w:jc w:val="center"/>
              <w:rPr>
                <w:rFonts w:ascii="Arial" w:eastAsia="Calibri" w:hAnsi="Arial" w:cs="Arial"/>
                <w:b/>
                <w:bCs/>
                <w:sz w:val="20"/>
                <w:szCs w:val="20"/>
              </w:rPr>
            </w:pPr>
            <w:r w:rsidRPr="00F32542">
              <w:rPr>
                <w:rFonts w:ascii="Arial" w:eastAsia="Calibri" w:hAnsi="Arial" w:cs="Arial"/>
                <w:b/>
                <w:bCs/>
                <w:sz w:val="20"/>
                <w:szCs w:val="20"/>
              </w:rPr>
              <w:t>%</w:t>
            </w:r>
          </w:p>
        </w:tc>
      </w:tr>
      <w:tr w:rsidR="00F94B48" w:rsidRPr="00F32542" w14:paraId="516338D4" w14:textId="77777777" w:rsidTr="00B65D24">
        <w:tc>
          <w:tcPr>
            <w:tcW w:w="559" w:type="dxa"/>
            <w:vAlign w:val="center"/>
          </w:tcPr>
          <w:p w14:paraId="752E7B1A"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w:t>
            </w:r>
          </w:p>
        </w:tc>
        <w:tc>
          <w:tcPr>
            <w:tcW w:w="996" w:type="dxa"/>
            <w:vAlign w:val="center"/>
          </w:tcPr>
          <w:p w14:paraId="13357C4D" w14:textId="77777777" w:rsidR="00F94B48" w:rsidRPr="00F32542" w:rsidRDefault="00F94B48" w:rsidP="00F94B48">
            <w:pPr>
              <w:spacing w:after="0" w:line="360" w:lineRule="auto"/>
              <w:jc w:val="center"/>
              <w:rPr>
                <w:rFonts w:ascii="Arial" w:eastAsia="Calibri" w:hAnsi="Arial" w:cs="Arial"/>
                <w:b/>
                <w:color w:val="000000"/>
                <w:sz w:val="20"/>
                <w:szCs w:val="20"/>
              </w:rPr>
            </w:pPr>
            <w:r w:rsidRPr="00F32542">
              <w:rPr>
                <w:rFonts w:ascii="Arial" w:eastAsia="Calibri" w:hAnsi="Arial" w:cs="Arial"/>
                <w:b/>
                <w:color w:val="000000"/>
                <w:sz w:val="20"/>
                <w:szCs w:val="20"/>
              </w:rPr>
              <w:t>4</w:t>
            </w:r>
          </w:p>
        </w:tc>
        <w:tc>
          <w:tcPr>
            <w:tcW w:w="3607" w:type="dxa"/>
            <w:vAlign w:val="center"/>
          </w:tcPr>
          <w:p w14:paraId="05EE4029"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 xml:space="preserve">Ricardo </w:t>
            </w:r>
            <w:proofErr w:type="spellStart"/>
            <w:r w:rsidRPr="00F32542">
              <w:rPr>
                <w:rFonts w:ascii="Arial" w:eastAsia="Calibri" w:hAnsi="Arial" w:cs="Arial"/>
                <w:color w:val="000000"/>
                <w:sz w:val="20"/>
                <w:szCs w:val="20"/>
              </w:rPr>
              <w:t>Janecarlo</w:t>
            </w:r>
            <w:proofErr w:type="spellEnd"/>
            <w:r w:rsidRPr="00F32542">
              <w:rPr>
                <w:rFonts w:ascii="Arial" w:eastAsia="Calibri" w:hAnsi="Arial" w:cs="Arial"/>
                <w:color w:val="000000"/>
                <w:sz w:val="20"/>
                <w:szCs w:val="20"/>
              </w:rPr>
              <w:t xml:space="preserve"> Lozano Reynoso</w:t>
            </w:r>
          </w:p>
        </w:tc>
        <w:tc>
          <w:tcPr>
            <w:tcW w:w="1262" w:type="dxa"/>
            <w:vAlign w:val="center"/>
          </w:tcPr>
          <w:p w14:paraId="2020227D"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20,502</w:t>
            </w:r>
          </w:p>
        </w:tc>
        <w:tc>
          <w:tcPr>
            <w:tcW w:w="1225" w:type="dxa"/>
            <w:vAlign w:val="center"/>
          </w:tcPr>
          <w:p w14:paraId="0BD7D4BA"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120,494</w:t>
            </w:r>
          </w:p>
        </w:tc>
        <w:tc>
          <w:tcPr>
            <w:tcW w:w="1179" w:type="dxa"/>
            <w:vAlign w:val="center"/>
          </w:tcPr>
          <w:p w14:paraId="7208A9B3"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17.01</w:t>
            </w:r>
          </w:p>
        </w:tc>
      </w:tr>
      <w:tr w:rsidR="00F94B48" w:rsidRPr="00F32542" w14:paraId="098026CA" w14:textId="77777777" w:rsidTr="00B65D24">
        <w:tc>
          <w:tcPr>
            <w:tcW w:w="559" w:type="dxa"/>
            <w:vAlign w:val="center"/>
          </w:tcPr>
          <w:p w14:paraId="66880025"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2</w:t>
            </w:r>
          </w:p>
        </w:tc>
        <w:tc>
          <w:tcPr>
            <w:tcW w:w="996" w:type="dxa"/>
            <w:vAlign w:val="center"/>
          </w:tcPr>
          <w:p w14:paraId="0A7A7133" w14:textId="77777777" w:rsidR="00F94B48" w:rsidRPr="00F32542" w:rsidRDefault="00F94B48" w:rsidP="00F94B48">
            <w:pPr>
              <w:spacing w:after="0" w:line="360" w:lineRule="auto"/>
              <w:jc w:val="center"/>
              <w:rPr>
                <w:rFonts w:ascii="Arial" w:eastAsia="Calibri" w:hAnsi="Arial" w:cs="Arial"/>
                <w:b/>
                <w:color w:val="000000"/>
                <w:sz w:val="20"/>
                <w:szCs w:val="20"/>
              </w:rPr>
            </w:pPr>
            <w:r w:rsidRPr="00F32542">
              <w:rPr>
                <w:rFonts w:ascii="Arial" w:eastAsia="Calibri" w:hAnsi="Arial" w:cs="Arial"/>
                <w:b/>
                <w:color w:val="000000"/>
                <w:sz w:val="20"/>
                <w:szCs w:val="20"/>
              </w:rPr>
              <w:t>32</w:t>
            </w:r>
          </w:p>
        </w:tc>
        <w:tc>
          <w:tcPr>
            <w:tcW w:w="3607" w:type="dxa"/>
            <w:vAlign w:val="center"/>
          </w:tcPr>
          <w:p w14:paraId="16555845" w14:textId="77777777" w:rsidR="00F94B48" w:rsidRPr="00F32542" w:rsidRDefault="00F94B48" w:rsidP="00F94B48">
            <w:pPr>
              <w:spacing w:after="0" w:line="360" w:lineRule="auto"/>
              <w:jc w:val="center"/>
              <w:rPr>
                <w:rFonts w:ascii="Arial" w:eastAsia="Calibri" w:hAnsi="Arial" w:cs="Arial"/>
                <w:color w:val="000000"/>
                <w:sz w:val="20"/>
                <w:szCs w:val="20"/>
              </w:rPr>
            </w:pPr>
            <w:proofErr w:type="spellStart"/>
            <w:r w:rsidRPr="00F32542">
              <w:rPr>
                <w:rFonts w:ascii="Arial" w:eastAsia="Calibri" w:hAnsi="Arial" w:cs="Arial"/>
                <w:color w:val="000000"/>
                <w:sz w:val="20"/>
                <w:szCs w:val="20"/>
              </w:rPr>
              <w:t>Desiree</w:t>
            </w:r>
            <w:proofErr w:type="spellEnd"/>
            <w:r w:rsidRPr="00F32542">
              <w:rPr>
                <w:rFonts w:ascii="Arial" w:eastAsia="Calibri" w:hAnsi="Arial" w:cs="Arial"/>
                <w:color w:val="000000"/>
                <w:sz w:val="20"/>
                <w:szCs w:val="20"/>
              </w:rPr>
              <w:t xml:space="preserve"> Guadalupe Navarro López</w:t>
            </w:r>
          </w:p>
        </w:tc>
        <w:tc>
          <w:tcPr>
            <w:tcW w:w="1262" w:type="dxa"/>
            <w:vAlign w:val="center"/>
          </w:tcPr>
          <w:p w14:paraId="6327FF05"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13,144</w:t>
            </w:r>
          </w:p>
        </w:tc>
        <w:tc>
          <w:tcPr>
            <w:tcW w:w="1225" w:type="dxa"/>
            <w:vAlign w:val="center"/>
          </w:tcPr>
          <w:p w14:paraId="106F4640"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121,079</w:t>
            </w:r>
          </w:p>
        </w:tc>
        <w:tc>
          <w:tcPr>
            <w:tcW w:w="1179" w:type="dxa"/>
            <w:vAlign w:val="center"/>
          </w:tcPr>
          <w:p w14:paraId="17E6BA27"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10.86</w:t>
            </w:r>
          </w:p>
        </w:tc>
      </w:tr>
      <w:tr w:rsidR="00F94B48" w:rsidRPr="00F32542" w14:paraId="2F90EF90" w14:textId="77777777" w:rsidTr="00B65D24">
        <w:tc>
          <w:tcPr>
            <w:tcW w:w="559" w:type="dxa"/>
            <w:vAlign w:val="center"/>
          </w:tcPr>
          <w:p w14:paraId="145CC4D7"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3</w:t>
            </w:r>
          </w:p>
        </w:tc>
        <w:tc>
          <w:tcPr>
            <w:tcW w:w="996" w:type="dxa"/>
            <w:vAlign w:val="center"/>
          </w:tcPr>
          <w:p w14:paraId="45F81B16" w14:textId="77777777" w:rsidR="00F94B48" w:rsidRPr="00F32542" w:rsidRDefault="00F94B48" w:rsidP="00F94B48">
            <w:pPr>
              <w:spacing w:after="0" w:line="360" w:lineRule="auto"/>
              <w:jc w:val="center"/>
              <w:rPr>
                <w:rFonts w:ascii="Arial" w:eastAsia="Calibri" w:hAnsi="Arial" w:cs="Arial"/>
                <w:b/>
                <w:color w:val="000000"/>
                <w:sz w:val="20"/>
                <w:szCs w:val="20"/>
              </w:rPr>
            </w:pPr>
            <w:r w:rsidRPr="00F32542">
              <w:rPr>
                <w:rFonts w:ascii="Arial" w:eastAsia="Calibri" w:hAnsi="Arial" w:cs="Arial"/>
                <w:b/>
                <w:color w:val="000000"/>
                <w:sz w:val="20"/>
                <w:szCs w:val="20"/>
              </w:rPr>
              <w:t>21</w:t>
            </w:r>
          </w:p>
        </w:tc>
        <w:tc>
          <w:tcPr>
            <w:tcW w:w="3607" w:type="dxa"/>
            <w:vAlign w:val="center"/>
          </w:tcPr>
          <w:p w14:paraId="5A33F08F"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David Eleazar Quiroga Anguiano</w:t>
            </w:r>
          </w:p>
        </w:tc>
        <w:tc>
          <w:tcPr>
            <w:tcW w:w="1262" w:type="dxa"/>
            <w:vAlign w:val="center"/>
          </w:tcPr>
          <w:p w14:paraId="15A0886D"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8,780</w:t>
            </w:r>
          </w:p>
        </w:tc>
        <w:tc>
          <w:tcPr>
            <w:tcW w:w="1225" w:type="dxa"/>
            <w:vAlign w:val="center"/>
          </w:tcPr>
          <w:p w14:paraId="4A9E7558"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88,875</w:t>
            </w:r>
          </w:p>
        </w:tc>
        <w:tc>
          <w:tcPr>
            <w:tcW w:w="1179" w:type="dxa"/>
            <w:vAlign w:val="center"/>
          </w:tcPr>
          <w:p w14:paraId="3C089034"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9.88</w:t>
            </w:r>
          </w:p>
        </w:tc>
      </w:tr>
      <w:tr w:rsidR="00F94B48" w:rsidRPr="00F32542" w14:paraId="11A339ED" w14:textId="77777777" w:rsidTr="00B65D24">
        <w:tc>
          <w:tcPr>
            <w:tcW w:w="559" w:type="dxa"/>
            <w:vAlign w:val="center"/>
          </w:tcPr>
          <w:p w14:paraId="66432487"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4</w:t>
            </w:r>
          </w:p>
        </w:tc>
        <w:tc>
          <w:tcPr>
            <w:tcW w:w="996" w:type="dxa"/>
            <w:vAlign w:val="center"/>
          </w:tcPr>
          <w:p w14:paraId="38DD383E" w14:textId="77777777" w:rsidR="00F94B48" w:rsidRPr="00F32542" w:rsidRDefault="00F94B48" w:rsidP="00F94B48">
            <w:pPr>
              <w:spacing w:after="0" w:line="360" w:lineRule="auto"/>
              <w:jc w:val="center"/>
              <w:rPr>
                <w:rFonts w:ascii="Arial" w:eastAsia="Calibri" w:hAnsi="Arial" w:cs="Arial"/>
                <w:b/>
                <w:color w:val="000000"/>
                <w:sz w:val="20"/>
                <w:szCs w:val="20"/>
              </w:rPr>
            </w:pPr>
            <w:r w:rsidRPr="00F32542">
              <w:rPr>
                <w:rFonts w:ascii="Arial" w:eastAsia="Calibri" w:hAnsi="Arial" w:cs="Arial"/>
                <w:b/>
                <w:color w:val="000000"/>
                <w:sz w:val="20"/>
                <w:szCs w:val="20"/>
              </w:rPr>
              <w:t>27</w:t>
            </w:r>
          </w:p>
        </w:tc>
        <w:tc>
          <w:tcPr>
            <w:tcW w:w="3607" w:type="dxa"/>
            <w:vAlign w:val="center"/>
          </w:tcPr>
          <w:p w14:paraId="19C37D44" w14:textId="77777777" w:rsidR="00F94B48" w:rsidRPr="00F32542" w:rsidRDefault="00F94B48" w:rsidP="00F94B48">
            <w:pPr>
              <w:spacing w:after="0" w:line="360" w:lineRule="auto"/>
              <w:jc w:val="center"/>
              <w:rPr>
                <w:rFonts w:ascii="Arial" w:eastAsia="Calibri" w:hAnsi="Arial" w:cs="Arial"/>
                <w:color w:val="000000"/>
                <w:sz w:val="20"/>
                <w:szCs w:val="20"/>
              </w:rPr>
            </w:pPr>
            <w:proofErr w:type="spellStart"/>
            <w:r w:rsidRPr="00F32542">
              <w:rPr>
                <w:rFonts w:ascii="Arial" w:eastAsia="Calibri" w:hAnsi="Arial" w:cs="Arial"/>
                <w:color w:val="000000"/>
                <w:sz w:val="20"/>
                <w:szCs w:val="20"/>
              </w:rPr>
              <w:t>Nury</w:t>
            </w:r>
            <w:proofErr w:type="spellEnd"/>
            <w:r w:rsidRPr="00F32542">
              <w:rPr>
                <w:rFonts w:ascii="Arial" w:eastAsia="Calibri" w:hAnsi="Arial" w:cs="Arial"/>
                <w:color w:val="000000"/>
                <w:sz w:val="20"/>
                <w:szCs w:val="20"/>
              </w:rPr>
              <w:t xml:space="preserve"> Delia Ruiz Ovando</w:t>
            </w:r>
          </w:p>
        </w:tc>
        <w:tc>
          <w:tcPr>
            <w:tcW w:w="1262" w:type="dxa"/>
            <w:vAlign w:val="center"/>
          </w:tcPr>
          <w:p w14:paraId="7BA94BE7"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6,851</w:t>
            </w:r>
          </w:p>
        </w:tc>
        <w:tc>
          <w:tcPr>
            <w:tcW w:w="1225" w:type="dxa"/>
            <w:vAlign w:val="center"/>
          </w:tcPr>
          <w:p w14:paraId="28D1D195"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74,724</w:t>
            </w:r>
          </w:p>
        </w:tc>
        <w:tc>
          <w:tcPr>
            <w:tcW w:w="1179" w:type="dxa"/>
            <w:vAlign w:val="center"/>
          </w:tcPr>
          <w:p w14:paraId="146213ED"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9.17</w:t>
            </w:r>
          </w:p>
        </w:tc>
      </w:tr>
      <w:tr w:rsidR="00F94B48" w:rsidRPr="00F32542" w14:paraId="7C9D7944" w14:textId="77777777" w:rsidTr="00B65D24">
        <w:tc>
          <w:tcPr>
            <w:tcW w:w="559" w:type="dxa"/>
            <w:vAlign w:val="center"/>
          </w:tcPr>
          <w:p w14:paraId="3DF1EFDF"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5</w:t>
            </w:r>
          </w:p>
        </w:tc>
        <w:tc>
          <w:tcPr>
            <w:tcW w:w="996" w:type="dxa"/>
            <w:vAlign w:val="center"/>
          </w:tcPr>
          <w:p w14:paraId="058C0F63" w14:textId="77777777" w:rsidR="00F94B48" w:rsidRPr="00F32542" w:rsidRDefault="00F94B48" w:rsidP="00F94B48">
            <w:pPr>
              <w:spacing w:after="0" w:line="360" w:lineRule="auto"/>
              <w:jc w:val="center"/>
              <w:rPr>
                <w:rFonts w:ascii="Arial" w:eastAsia="Calibri" w:hAnsi="Arial" w:cs="Arial"/>
                <w:b/>
                <w:color w:val="000000"/>
                <w:sz w:val="20"/>
                <w:szCs w:val="20"/>
              </w:rPr>
            </w:pPr>
            <w:r w:rsidRPr="00F32542">
              <w:rPr>
                <w:rFonts w:ascii="Arial" w:eastAsia="Calibri" w:hAnsi="Arial" w:cs="Arial"/>
                <w:b/>
                <w:color w:val="000000"/>
                <w:sz w:val="20"/>
                <w:szCs w:val="20"/>
              </w:rPr>
              <w:t>1</w:t>
            </w:r>
          </w:p>
        </w:tc>
        <w:tc>
          <w:tcPr>
            <w:tcW w:w="3607" w:type="dxa"/>
            <w:vAlign w:val="center"/>
          </w:tcPr>
          <w:p w14:paraId="6937067B"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Facundo Domingo Fuentes López</w:t>
            </w:r>
          </w:p>
        </w:tc>
        <w:tc>
          <w:tcPr>
            <w:tcW w:w="1262" w:type="dxa"/>
            <w:vAlign w:val="center"/>
          </w:tcPr>
          <w:p w14:paraId="7F007B64"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6,632</w:t>
            </w:r>
          </w:p>
        </w:tc>
        <w:tc>
          <w:tcPr>
            <w:tcW w:w="1225" w:type="dxa"/>
            <w:vAlign w:val="center"/>
          </w:tcPr>
          <w:p w14:paraId="508A9BF2"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83,750</w:t>
            </w:r>
          </w:p>
        </w:tc>
        <w:tc>
          <w:tcPr>
            <w:tcW w:w="1179" w:type="dxa"/>
            <w:vAlign w:val="center"/>
          </w:tcPr>
          <w:p w14:paraId="708D6D0D"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7.92</w:t>
            </w:r>
          </w:p>
        </w:tc>
      </w:tr>
      <w:tr w:rsidR="00F94B48" w:rsidRPr="00F32542" w14:paraId="4724A5F9" w14:textId="77777777" w:rsidTr="00B65D24">
        <w:tc>
          <w:tcPr>
            <w:tcW w:w="559" w:type="dxa"/>
            <w:vAlign w:val="center"/>
          </w:tcPr>
          <w:p w14:paraId="4042151F"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6</w:t>
            </w:r>
          </w:p>
        </w:tc>
        <w:tc>
          <w:tcPr>
            <w:tcW w:w="996" w:type="dxa"/>
            <w:vAlign w:val="center"/>
          </w:tcPr>
          <w:p w14:paraId="423123FF" w14:textId="77777777" w:rsidR="00F94B48" w:rsidRPr="00F32542" w:rsidRDefault="00F94B48" w:rsidP="00F94B48">
            <w:pPr>
              <w:spacing w:after="0" w:line="360" w:lineRule="auto"/>
              <w:jc w:val="center"/>
              <w:rPr>
                <w:rFonts w:ascii="Arial" w:eastAsia="Calibri" w:hAnsi="Arial" w:cs="Arial"/>
                <w:b/>
                <w:color w:val="000000"/>
                <w:sz w:val="20"/>
                <w:szCs w:val="20"/>
              </w:rPr>
            </w:pPr>
            <w:r w:rsidRPr="00F32542">
              <w:rPr>
                <w:rFonts w:ascii="Arial" w:eastAsia="Calibri" w:hAnsi="Arial" w:cs="Arial"/>
                <w:b/>
                <w:color w:val="000000"/>
                <w:sz w:val="20"/>
                <w:szCs w:val="20"/>
              </w:rPr>
              <w:t>22</w:t>
            </w:r>
          </w:p>
        </w:tc>
        <w:tc>
          <w:tcPr>
            <w:tcW w:w="3607" w:type="dxa"/>
            <w:vAlign w:val="center"/>
          </w:tcPr>
          <w:p w14:paraId="723ED064"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Paula Andrea Castillo Mendieta</w:t>
            </w:r>
          </w:p>
        </w:tc>
        <w:tc>
          <w:tcPr>
            <w:tcW w:w="1262" w:type="dxa"/>
            <w:vAlign w:val="center"/>
          </w:tcPr>
          <w:p w14:paraId="6ECD759A"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7,263</w:t>
            </w:r>
          </w:p>
        </w:tc>
        <w:tc>
          <w:tcPr>
            <w:tcW w:w="1225" w:type="dxa"/>
            <w:vAlign w:val="center"/>
          </w:tcPr>
          <w:p w14:paraId="5B2576BA"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79,223</w:t>
            </w:r>
          </w:p>
        </w:tc>
        <w:tc>
          <w:tcPr>
            <w:tcW w:w="1179" w:type="dxa"/>
            <w:vAlign w:val="center"/>
          </w:tcPr>
          <w:p w14:paraId="4748990F"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9.17</w:t>
            </w:r>
          </w:p>
        </w:tc>
      </w:tr>
      <w:tr w:rsidR="00F94B48" w:rsidRPr="00F32542" w14:paraId="783BA536" w14:textId="77777777" w:rsidTr="00B65D24">
        <w:tc>
          <w:tcPr>
            <w:tcW w:w="559" w:type="dxa"/>
            <w:vAlign w:val="center"/>
          </w:tcPr>
          <w:p w14:paraId="64000CE8"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7</w:t>
            </w:r>
          </w:p>
        </w:tc>
        <w:tc>
          <w:tcPr>
            <w:tcW w:w="996" w:type="dxa"/>
            <w:vAlign w:val="center"/>
          </w:tcPr>
          <w:p w14:paraId="70FC1D1C" w14:textId="77777777" w:rsidR="00F94B48" w:rsidRPr="00F32542" w:rsidRDefault="00F94B48" w:rsidP="00F94B48">
            <w:pPr>
              <w:spacing w:after="0" w:line="360" w:lineRule="auto"/>
              <w:jc w:val="center"/>
              <w:rPr>
                <w:rFonts w:ascii="Arial" w:eastAsia="Calibri" w:hAnsi="Arial" w:cs="Arial"/>
                <w:b/>
                <w:color w:val="000000"/>
                <w:sz w:val="20"/>
                <w:szCs w:val="20"/>
              </w:rPr>
            </w:pPr>
            <w:r w:rsidRPr="00F32542">
              <w:rPr>
                <w:rFonts w:ascii="Arial" w:eastAsia="Calibri" w:hAnsi="Arial" w:cs="Arial"/>
                <w:b/>
                <w:color w:val="000000"/>
                <w:sz w:val="20"/>
                <w:szCs w:val="20"/>
              </w:rPr>
              <w:t>15</w:t>
            </w:r>
          </w:p>
        </w:tc>
        <w:tc>
          <w:tcPr>
            <w:tcW w:w="3607" w:type="dxa"/>
            <w:vAlign w:val="center"/>
          </w:tcPr>
          <w:p w14:paraId="12F5AC8B"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David Ricardo Nava Martínez</w:t>
            </w:r>
          </w:p>
        </w:tc>
        <w:tc>
          <w:tcPr>
            <w:tcW w:w="1262" w:type="dxa"/>
            <w:vAlign w:val="center"/>
          </w:tcPr>
          <w:p w14:paraId="75E8FD3A"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8,036</w:t>
            </w:r>
          </w:p>
        </w:tc>
        <w:tc>
          <w:tcPr>
            <w:tcW w:w="1225" w:type="dxa"/>
            <w:vAlign w:val="center"/>
          </w:tcPr>
          <w:p w14:paraId="064784C6"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120,522</w:t>
            </w:r>
          </w:p>
        </w:tc>
        <w:tc>
          <w:tcPr>
            <w:tcW w:w="1179" w:type="dxa"/>
            <w:vAlign w:val="center"/>
          </w:tcPr>
          <w:p w14:paraId="00BD4639"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6.67</w:t>
            </w:r>
          </w:p>
        </w:tc>
      </w:tr>
      <w:tr w:rsidR="00F94B48" w:rsidRPr="00F32542" w14:paraId="50B07EE9" w14:textId="77777777" w:rsidTr="00B65D24">
        <w:tc>
          <w:tcPr>
            <w:tcW w:w="559" w:type="dxa"/>
            <w:vAlign w:val="center"/>
          </w:tcPr>
          <w:p w14:paraId="233E04C7"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8</w:t>
            </w:r>
          </w:p>
        </w:tc>
        <w:tc>
          <w:tcPr>
            <w:tcW w:w="996" w:type="dxa"/>
            <w:vAlign w:val="center"/>
          </w:tcPr>
          <w:p w14:paraId="1D4A0490" w14:textId="77777777" w:rsidR="00F94B48" w:rsidRPr="00F32542" w:rsidRDefault="00F94B48" w:rsidP="00F94B48">
            <w:pPr>
              <w:spacing w:after="0" w:line="360" w:lineRule="auto"/>
              <w:jc w:val="center"/>
              <w:rPr>
                <w:rFonts w:ascii="Arial" w:eastAsia="Calibri" w:hAnsi="Arial" w:cs="Arial"/>
                <w:b/>
                <w:color w:val="000000"/>
                <w:sz w:val="20"/>
                <w:szCs w:val="20"/>
              </w:rPr>
            </w:pPr>
            <w:r w:rsidRPr="00F32542">
              <w:rPr>
                <w:rFonts w:ascii="Arial" w:eastAsia="Calibri" w:hAnsi="Arial" w:cs="Arial"/>
                <w:b/>
                <w:color w:val="000000"/>
                <w:sz w:val="20"/>
                <w:szCs w:val="20"/>
              </w:rPr>
              <w:t>29</w:t>
            </w:r>
          </w:p>
        </w:tc>
        <w:tc>
          <w:tcPr>
            <w:tcW w:w="3607" w:type="dxa"/>
            <w:vAlign w:val="center"/>
          </w:tcPr>
          <w:p w14:paraId="3B9DB99E"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Rosa Nelly De la Vega Urrutia</w:t>
            </w:r>
          </w:p>
        </w:tc>
        <w:tc>
          <w:tcPr>
            <w:tcW w:w="1262" w:type="dxa"/>
            <w:vAlign w:val="center"/>
          </w:tcPr>
          <w:p w14:paraId="2CE6A9CE"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5,077</w:t>
            </w:r>
          </w:p>
        </w:tc>
        <w:tc>
          <w:tcPr>
            <w:tcW w:w="1225" w:type="dxa"/>
            <w:vAlign w:val="center"/>
          </w:tcPr>
          <w:p w14:paraId="280D21A6"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73,532</w:t>
            </w:r>
          </w:p>
        </w:tc>
        <w:tc>
          <w:tcPr>
            <w:tcW w:w="1179" w:type="dxa"/>
            <w:vAlign w:val="center"/>
          </w:tcPr>
          <w:p w14:paraId="1AD0A0AB"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6.90</w:t>
            </w:r>
          </w:p>
        </w:tc>
      </w:tr>
      <w:tr w:rsidR="00F94B48" w:rsidRPr="00F32542" w14:paraId="7FD7BF36" w14:textId="77777777" w:rsidTr="00B65D24">
        <w:tc>
          <w:tcPr>
            <w:tcW w:w="559" w:type="dxa"/>
            <w:vAlign w:val="center"/>
          </w:tcPr>
          <w:p w14:paraId="1E0192BA"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9</w:t>
            </w:r>
          </w:p>
        </w:tc>
        <w:tc>
          <w:tcPr>
            <w:tcW w:w="996" w:type="dxa"/>
            <w:vAlign w:val="center"/>
          </w:tcPr>
          <w:p w14:paraId="3D66BA7E" w14:textId="77777777" w:rsidR="00F94B48" w:rsidRPr="00F32542" w:rsidRDefault="00F94B48" w:rsidP="00F94B48">
            <w:pPr>
              <w:spacing w:after="0" w:line="360" w:lineRule="auto"/>
              <w:jc w:val="center"/>
              <w:rPr>
                <w:rFonts w:ascii="Arial" w:eastAsia="Calibri" w:hAnsi="Arial" w:cs="Arial"/>
                <w:b/>
                <w:color w:val="000000"/>
                <w:sz w:val="20"/>
                <w:szCs w:val="20"/>
              </w:rPr>
            </w:pPr>
            <w:r w:rsidRPr="00F32542">
              <w:rPr>
                <w:rFonts w:ascii="Arial" w:eastAsia="Calibri" w:hAnsi="Arial" w:cs="Arial"/>
                <w:b/>
                <w:color w:val="000000"/>
                <w:sz w:val="20"/>
                <w:szCs w:val="20"/>
              </w:rPr>
              <w:t>14</w:t>
            </w:r>
          </w:p>
        </w:tc>
        <w:tc>
          <w:tcPr>
            <w:tcW w:w="3607" w:type="dxa"/>
            <w:vAlign w:val="center"/>
          </w:tcPr>
          <w:p w14:paraId="290D5435"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Alberto Caballero Palacios</w:t>
            </w:r>
          </w:p>
        </w:tc>
        <w:tc>
          <w:tcPr>
            <w:tcW w:w="1262" w:type="dxa"/>
            <w:vAlign w:val="center"/>
          </w:tcPr>
          <w:p w14:paraId="7F644653"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2,709</w:t>
            </w:r>
          </w:p>
        </w:tc>
        <w:tc>
          <w:tcPr>
            <w:tcW w:w="1225" w:type="dxa"/>
            <w:vAlign w:val="center"/>
          </w:tcPr>
          <w:p w14:paraId="44EACC86"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101,843</w:t>
            </w:r>
          </w:p>
        </w:tc>
        <w:tc>
          <w:tcPr>
            <w:tcW w:w="1179" w:type="dxa"/>
            <w:vAlign w:val="center"/>
          </w:tcPr>
          <w:p w14:paraId="7EB4F995"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2.66</w:t>
            </w:r>
          </w:p>
        </w:tc>
      </w:tr>
      <w:tr w:rsidR="00F94B48" w:rsidRPr="00F32542" w14:paraId="6866FEBD" w14:textId="77777777" w:rsidTr="00B65D24">
        <w:tc>
          <w:tcPr>
            <w:tcW w:w="559" w:type="dxa"/>
            <w:vAlign w:val="center"/>
          </w:tcPr>
          <w:p w14:paraId="12CF8503"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10</w:t>
            </w:r>
          </w:p>
        </w:tc>
        <w:tc>
          <w:tcPr>
            <w:tcW w:w="996" w:type="dxa"/>
            <w:vAlign w:val="center"/>
          </w:tcPr>
          <w:p w14:paraId="3E2E8A73" w14:textId="77777777" w:rsidR="00F94B48" w:rsidRPr="00F32542" w:rsidRDefault="00F94B48" w:rsidP="00F94B48">
            <w:pPr>
              <w:spacing w:after="0" w:line="360" w:lineRule="auto"/>
              <w:jc w:val="center"/>
              <w:rPr>
                <w:rFonts w:ascii="Arial" w:eastAsia="Calibri" w:hAnsi="Arial" w:cs="Arial"/>
                <w:b/>
                <w:color w:val="000000"/>
                <w:sz w:val="20"/>
                <w:szCs w:val="20"/>
              </w:rPr>
            </w:pPr>
            <w:r w:rsidRPr="00F32542">
              <w:rPr>
                <w:rFonts w:ascii="Arial" w:eastAsia="Calibri" w:hAnsi="Arial" w:cs="Arial"/>
                <w:b/>
                <w:color w:val="000000"/>
                <w:sz w:val="20"/>
                <w:szCs w:val="20"/>
              </w:rPr>
              <w:t>23</w:t>
            </w:r>
          </w:p>
        </w:tc>
        <w:tc>
          <w:tcPr>
            <w:tcW w:w="3607" w:type="dxa"/>
            <w:vAlign w:val="center"/>
          </w:tcPr>
          <w:p w14:paraId="1A8226C3"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Giovanna Esperanza Alvarado Carrillo</w:t>
            </w:r>
          </w:p>
        </w:tc>
        <w:tc>
          <w:tcPr>
            <w:tcW w:w="1262" w:type="dxa"/>
            <w:vAlign w:val="center"/>
          </w:tcPr>
          <w:p w14:paraId="0E15B72C"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7,973</w:t>
            </w:r>
          </w:p>
        </w:tc>
        <w:tc>
          <w:tcPr>
            <w:tcW w:w="1225" w:type="dxa"/>
            <w:vAlign w:val="center"/>
          </w:tcPr>
          <w:p w14:paraId="7220CC87"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139,617</w:t>
            </w:r>
          </w:p>
        </w:tc>
        <w:tc>
          <w:tcPr>
            <w:tcW w:w="1179" w:type="dxa"/>
            <w:vAlign w:val="center"/>
          </w:tcPr>
          <w:p w14:paraId="6F534410"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5.71</w:t>
            </w:r>
          </w:p>
        </w:tc>
      </w:tr>
      <w:tr w:rsidR="00F94B48" w:rsidRPr="00F32542" w14:paraId="22376BE2" w14:textId="77777777" w:rsidTr="00B65D24">
        <w:tc>
          <w:tcPr>
            <w:tcW w:w="559" w:type="dxa"/>
            <w:vAlign w:val="center"/>
          </w:tcPr>
          <w:p w14:paraId="52478C46"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11</w:t>
            </w:r>
          </w:p>
        </w:tc>
        <w:tc>
          <w:tcPr>
            <w:tcW w:w="996" w:type="dxa"/>
            <w:vAlign w:val="center"/>
          </w:tcPr>
          <w:p w14:paraId="1DDD3DB0" w14:textId="77777777" w:rsidR="00F94B48" w:rsidRPr="00F32542" w:rsidRDefault="00F94B48" w:rsidP="00F94B48">
            <w:pPr>
              <w:spacing w:after="0" w:line="360" w:lineRule="auto"/>
              <w:jc w:val="center"/>
              <w:rPr>
                <w:rFonts w:ascii="Arial" w:eastAsia="Calibri" w:hAnsi="Arial" w:cs="Arial"/>
                <w:b/>
                <w:color w:val="000000"/>
                <w:sz w:val="20"/>
                <w:szCs w:val="20"/>
              </w:rPr>
            </w:pPr>
            <w:r w:rsidRPr="00F32542">
              <w:rPr>
                <w:rFonts w:ascii="Arial" w:eastAsia="Calibri" w:hAnsi="Arial" w:cs="Arial"/>
                <w:b/>
                <w:color w:val="000000"/>
                <w:sz w:val="20"/>
                <w:szCs w:val="20"/>
              </w:rPr>
              <w:t>3</w:t>
            </w:r>
          </w:p>
        </w:tc>
        <w:tc>
          <w:tcPr>
            <w:tcW w:w="3607" w:type="dxa"/>
            <w:vAlign w:val="center"/>
          </w:tcPr>
          <w:p w14:paraId="4B943DC3"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María de los Ángeles Palafox Morales</w:t>
            </w:r>
          </w:p>
        </w:tc>
        <w:tc>
          <w:tcPr>
            <w:tcW w:w="1262" w:type="dxa"/>
            <w:vAlign w:val="center"/>
          </w:tcPr>
          <w:p w14:paraId="11123DDB"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3,332</w:t>
            </w:r>
          </w:p>
        </w:tc>
        <w:tc>
          <w:tcPr>
            <w:tcW w:w="1225" w:type="dxa"/>
            <w:vAlign w:val="center"/>
          </w:tcPr>
          <w:p w14:paraId="03DBB023"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105,328</w:t>
            </w:r>
          </w:p>
        </w:tc>
        <w:tc>
          <w:tcPr>
            <w:tcW w:w="1179" w:type="dxa"/>
            <w:vAlign w:val="center"/>
          </w:tcPr>
          <w:p w14:paraId="1E00DD53"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3.16</w:t>
            </w:r>
          </w:p>
        </w:tc>
      </w:tr>
      <w:tr w:rsidR="00F94B48" w:rsidRPr="00F32542" w14:paraId="55FA4DA7" w14:textId="77777777" w:rsidTr="00B65D24">
        <w:tc>
          <w:tcPr>
            <w:tcW w:w="559" w:type="dxa"/>
            <w:vAlign w:val="center"/>
          </w:tcPr>
          <w:p w14:paraId="43326F74"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12</w:t>
            </w:r>
          </w:p>
        </w:tc>
        <w:tc>
          <w:tcPr>
            <w:tcW w:w="996" w:type="dxa"/>
            <w:vAlign w:val="center"/>
          </w:tcPr>
          <w:p w14:paraId="00EA9162" w14:textId="77777777" w:rsidR="00F94B48" w:rsidRPr="00F32542" w:rsidRDefault="00F94B48" w:rsidP="00F94B48">
            <w:pPr>
              <w:spacing w:after="0" w:line="360" w:lineRule="auto"/>
              <w:jc w:val="center"/>
              <w:rPr>
                <w:rFonts w:ascii="Arial" w:eastAsia="Calibri" w:hAnsi="Arial" w:cs="Arial"/>
                <w:b/>
                <w:color w:val="000000"/>
                <w:sz w:val="20"/>
                <w:szCs w:val="20"/>
              </w:rPr>
            </w:pPr>
            <w:r w:rsidRPr="00F32542">
              <w:rPr>
                <w:rFonts w:ascii="Arial" w:eastAsia="Calibri" w:hAnsi="Arial" w:cs="Arial"/>
                <w:b/>
                <w:color w:val="000000"/>
                <w:sz w:val="20"/>
                <w:szCs w:val="20"/>
              </w:rPr>
              <w:t>17</w:t>
            </w:r>
          </w:p>
        </w:tc>
        <w:tc>
          <w:tcPr>
            <w:tcW w:w="3607" w:type="dxa"/>
            <w:vAlign w:val="center"/>
          </w:tcPr>
          <w:p w14:paraId="41D800B8" w14:textId="77777777" w:rsidR="00F94B48" w:rsidRPr="00F32542" w:rsidRDefault="00F94B48" w:rsidP="00F94B48">
            <w:pPr>
              <w:spacing w:after="0" w:line="360" w:lineRule="auto"/>
              <w:jc w:val="center"/>
              <w:rPr>
                <w:rFonts w:ascii="Arial" w:eastAsia="Calibri" w:hAnsi="Arial" w:cs="Arial"/>
                <w:color w:val="000000"/>
                <w:sz w:val="20"/>
                <w:szCs w:val="20"/>
              </w:rPr>
            </w:pPr>
            <w:proofErr w:type="spellStart"/>
            <w:r w:rsidRPr="00F32542">
              <w:rPr>
                <w:rFonts w:ascii="Arial" w:eastAsia="Calibri" w:hAnsi="Arial" w:cs="Arial"/>
                <w:color w:val="000000"/>
                <w:sz w:val="20"/>
                <w:szCs w:val="20"/>
              </w:rPr>
              <w:t>Kilauren</w:t>
            </w:r>
            <w:proofErr w:type="spellEnd"/>
            <w:r w:rsidRPr="00F32542">
              <w:rPr>
                <w:rFonts w:ascii="Arial" w:eastAsia="Calibri" w:hAnsi="Arial" w:cs="Arial"/>
                <w:color w:val="000000"/>
                <w:sz w:val="20"/>
                <w:szCs w:val="20"/>
              </w:rPr>
              <w:t xml:space="preserve"> Paulina Cobos Lázaro</w:t>
            </w:r>
          </w:p>
        </w:tc>
        <w:tc>
          <w:tcPr>
            <w:tcW w:w="1262" w:type="dxa"/>
            <w:vAlign w:val="center"/>
          </w:tcPr>
          <w:p w14:paraId="16A05B74"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2,595</w:t>
            </w:r>
          </w:p>
        </w:tc>
        <w:tc>
          <w:tcPr>
            <w:tcW w:w="1225" w:type="dxa"/>
            <w:vAlign w:val="center"/>
          </w:tcPr>
          <w:p w14:paraId="20E13075"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145,525</w:t>
            </w:r>
          </w:p>
        </w:tc>
        <w:tc>
          <w:tcPr>
            <w:tcW w:w="1179" w:type="dxa"/>
            <w:vAlign w:val="center"/>
          </w:tcPr>
          <w:p w14:paraId="7A0CBEA2"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1.78</w:t>
            </w:r>
          </w:p>
        </w:tc>
      </w:tr>
    </w:tbl>
    <w:p w14:paraId="7E81E2CB"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Como se observa del cuadro que antecede, para obtener el porcentaje de votación de cada candidatura de la lista B respecto a su distrito, se consideró únicamente la votación que obtuvieron tales personas candidatas por el partido político que las registró para tal lista, sin considerar la demás votación que obtuvieron por los demás institutos políticos que los postularon en candidatura común o coalición. </w:t>
      </w:r>
    </w:p>
    <w:p w14:paraId="57E691DC"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lastRenderedPageBreak/>
        <w:t xml:space="preserve">De tal modo, que no tiene razón la actora en sostener que no se tomó en cuenta que existieron fórmulas postuladas en candidatura común, pues contrario a ello, se demostró </w:t>
      </w:r>
      <w:proofErr w:type="gramStart"/>
      <w:r w:rsidRPr="00F32542">
        <w:rPr>
          <w:rFonts w:ascii="Arial" w:eastAsia="Calibri" w:hAnsi="Arial" w:cs="Arial"/>
          <w:sz w:val="28"/>
          <w:szCs w:val="28"/>
        </w:rPr>
        <w:t>que</w:t>
      </w:r>
      <w:proofErr w:type="gramEnd"/>
      <w:r w:rsidRPr="00F32542">
        <w:rPr>
          <w:rFonts w:ascii="Arial" w:eastAsia="Calibri" w:hAnsi="Arial" w:cs="Arial"/>
          <w:sz w:val="28"/>
          <w:szCs w:val="28"/>
        </w:rPr>
        <w:t xml:space="preserve"> en el caso de las fórmulas en ese supuesto, no se tomó en cuenta la votación que obtuvieron por parte de los partidos que no los registraron para la lista B. </w:t>
      </w:r>
    </w:p>
    <w:p w14:paraId="43769889"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Cabe señalar que la actora sostiene que la asignación de la lista B debió hacerse siguiendo sólo a quienes fueron postulados por un partido político y no por una candidatura común, es decir, excluyendo de la lista B a los postulados en esa modalidad.</w:t>
      </w:r>
    </w:p>
    <w:p w14:paraId="37C6A406"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Al respecto, este Tribunal considera que la actora no tiene razón porque, en primer lugar, la normativa electoral no excluye a las candidaturas a diputaciones postuladas en candidatura común o en coalición de la conformación de la lista B, en especial, el artículo 24 del </w:t>
      </w:r>
      <w:r w:rsidRPr="00F32542">
        <w:rPr>
          <w:rFonts w:ascii="Arial" w:eastAsia="Calibri" w:hAnsi="Arial" w:cs="Arial"/>
          <w:i/>
          <w:sz w:val="28"/>
          <w:szCs w:val="28"/>
        </w:rPr>
        <w:t xml:space="preserve">Código local, </w:t>
      </w:r>
      <w:r w:rsidRPr="00F32542">
        <w:rPr>
          <w:rFonts w:ascii="Arial" w:eastAsia="Calibri" w:hAnsi="Arial" w:cs="Arial"/>
          <w:sz w:val="28"/>
          <w:szCs w:val="28"/>
        </w:rPr>
        <w:t xml:space="preserve">siempre que éstas no obtuvieran el triunfo de mayoría relativa. </w:t>
      </w:r>
    </w:p>
    <w:p w14:paraId="5A8F555E"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Por su parte, en el artículo 10 de los </w:t>
      </w:r>
      <w:r w:rsidRPr="00F32542">
        <w:rPr>
          <w:rFonts w:ascii="Arial" w:eastAsia="Calibri" w:hAnsi="Arial" w:cs="Arial"/>
          <w:i/>
          <w:sz w:val="28"/>
          <w:szCs w:val="28"/>
        </w:rPr>
        <w:t xml:space="preserve">Lineamientos de asignación </w:t>
      </w:r>
      <w:r w:rsidRPr="00F32542">
        <w:rPr>
          <w:rFonts w:ascii="Arial" w:eastAsia="Calibri" w:hAnsi="Arial" w:cs="Arial"/>
          <w:sz w:val="28"/>
          <w:szCs w:val="28"/>
        </w:rPr>
        <w:t xml:space="preserve">estableció que para efectos de la integración de la lista B, los partidos políticos que integren una candidatura común o coalición determinarían a cuál de ellos quedaría adscrita la candidatura. </w:t>
      </w:r>
    </w:p>
    <w:p w14:paraId="47CAD329"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También prevé que, para la integración de tal lista, sólo se tomaría en cuenta los votos por parte del partido postulante. </w:t>
      </w:r>
    </w:p>
    <w:p w14:paraId="4B13A7D5"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Como se observa, los </w:t>
      </w:r>
      <w:r w:rsidRPr="00F32542">
        <w:rPr>
          <w:rFonts w:ascii="Arial" w:eastAsia="Calibri" w:hAnsi="Arial" w:cs="Arial"/>
          <w:i/>
          <w:sz w:val="28"/>
          <w:szCs w:val="28"/>
        </w:rPr>
        <w:t xml:space="preserve">Lineamientos de asignación </w:t>
      </w:r>
      <w:r w:rsidRPr="00F32542">
        <w:rPr>
          <w:rFonts w:ascii="Arial" w:eastAsia="Calibri" w:hAnsi="Arial" w:cs="Arial"/>
          <w:sz w:val="28"/>
          <w:szCs w:val="28"/>
        </w:rPr>
        <w:t>regulan la participación de personas candidatas a diputaciones postuladas bajo las figuras de candidaturas comunes o coaliciones, lo cual muestra que es inexacta la afirmación de la parte actora, al pretender excluir a quien participó bajo esas figuras de la integración de la lista B.</w:t>
      </w:r>
    </w:p>
    <w:p w14:paraId="4C1A6B59"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lastRenderedPageBreak/>
        <w:t xml:space="preserve">Por último, tampoco tiene razón la parte actora porque </w:t>
      </w:r>
      <w:proofErr w:type="gramStart"/>
      <w:r w:rsidRPr="00F32542">
        <w:rPr>
          <w:rFonts w:ascii="Arial" w:eastAsia="Calibri" w:hAnsi="Arial" w:cs="Arial"/>
          <w:sz w:val="28"/>
          <w:szCs w:val="28"/>
        </w:rPr>
        <w:t>de acuerdo a</w:t>
      </w:r>
      <w:proofErr w:type="gramEnd"/>
      <w:r w:rsidRPr="00F32542">
        <w:rPr>
          <w:rFonts w:ascii="Arial" w:eastAsia="Calibri" w:hAnsi="Arial" w:cs="Arial"/>
          <w:sz w:val="28"/>
          <w:szCs w:val="28"/>
        </w:rPr>
        <w:t xml:space="preserve"> la normativa expuesta, la votación que se tomó para conformar las listas B, en caso de existir candidaturas comunes, sólo fue la del partido que registró a las personas candidatas en su lista y no el total de votos que obtuvieron los partidos que conformaron la candidatura común. </w:t>
      </w:r>
    </w:p>
    <w:p w14:paraId="2C950E6C"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b/>
          <w:sz w:val="28"/>
          <w:szCs w:val="28"/>
        </w:rPr>
        <w:t>X</w:t>
      </w:r>
      <w:r w:rsidR="007576C0" w:rsidRPr="00F32542">
        <w:rPr>
          <w:rFonts w:ascii="Arial" w:eastAsia="Calibri" w:hAnsi="Arial" w:cs="Arial"/>
          <w:b/>
          <w:sz w:val="28"/>
          <w:szCs w:val="28"/>
        </w:rPr>
        <w:t>III</w:t>
      </w:r>
      <w:r w:rsidRPr="00F32542">
        <w:rPr>
          <w:rFonts w:ascii="Arial" w:eastAsia="Calibri" w:hAnsi="Arial" w:cs="Arial"/>
          <w:b/>
          <w:sz w:val="28"/>
          <w:szCs w:val="28"/>
        </w:rPr>
        <w:t>. Supuesto desconocimiento de la forma cómo se integró la lista B</w:t>
      </w:r>
      <w:r w:rsidR="00C2724F" w:rsidRPr="00F32542">
        <w:rPr>
          <w:rFonts w:ascii="Arial" w:eastAsia="Calibri" w:hAnsi="Arial" w:cs="Arial"/>
          <w:b/>
          <w:sz w:val="28"/>
          <w:szCs w:val="28"/>
        </w:rPr>
        <w:t>.</w:t>
      </w:r>
    </w:p>
    <w:p w14:paraId="6D571DF2"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En este apartado se analizarán los siguientes planteamientos:</w:t>
      </w:r>
    </w:p>
    <w:p w14:paraId="4224CF84"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b/>
          <w:bCs/>
          <w:sz w:val="28"/>
          <w:szCs w:val="28"/>
        </w:rPr>
        <w:t>TECDMX-JLDC-103/2021</w:t>
      </w:r>
      <w:r w:rsidRPr="00F32542">
        <w:rPr>
          <w:rFonts w:ascii="Arial" w:eastAsia="Calibri" w:hAnsi="Arial" w:cs="Arial"/>
          <w:sz w:val="28"/>
          <w:szCs w:val="28"/>
        </w:rPr>
        <w:t xml:space="preserve"> </w:t>
      </w:r>
      <w:r w:rsidRPr="00F32542">
        <w:rPr>
          <w:rFonts w:ascii="Arial" w:eastAsia="Calibri" w:hAnsi="Arial" w:cs="Arial"/>
          <w:b/>
          <w:bCs/>
          <w:sz w:val="28"/>
          <w:szCs w:val="28"/>
        </w:rPr>
        <w:t>(Mónica Jessica Menocal del Moral)</w:t>
      </w:r>
      <w:r w:rsidRPr="00F32542">
        <w:rPr>
          <w:rFonts w:ascii="Arial" w:eastAsia="Calibri" w:hAnsi="Arial" w:cs="Arial"/>
          <w:sz w:val="28"/>
          <w:szCs w:val="28"/>
        </w:rPr>
        <w:t xml:space="preserve"> </w:t>
      </w:r>
    </w:p>
    <w:p w14:paraId="1939C582"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La actora, en calidad de candidata del PAN, manifiesta que en el acuerdo impugnado no se aclaró cómo se realizó la asignación de los lugares en la lista B, ni la fórmula para obtener los porcentajes.</w:t>
      </w:r>
    </w:p>
    <w:p w14:paraId="585ADBCD"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b/>
          <w:bCs/>
          <w:sz w:val="28"/>
          <w:szCs w:val="28"/>
        </w:rPr>
        <w:t>TECDMX-JLDC-101/2021</w:t>
      </w:r>
      <w:r w:rsidRPr="00F32542">
        <w:rPr>
          <w:rFonts w:ascii="Arial" w:eastAsia="Calibri" w:hAnsi="Arial" w:cs="Arial"/>
          <w:sz w:val="28"/>
          <w:szCs w:val="28"/>
        </w:rPr>
        <w:t xml:space="preserve"> </w:t>
      </w:r>
      <w:r w:rsidRPr="00F32542">
        <w:rPr>
          <w:rFonts w:ascii="Arial" w:eastAsia="Calibri" w:hAnsi="Arial" w:cs="Arial"/>
          <w:b/>
          <w:bCs/>
          <w:sz w:val="28"/>
          <w:szCs w:val="28"/>
        </w:rPr>
        <w:t>(Jacqueline Villarreal García)</w:t>
      </w:r>
    </w:p>
    <w:p w14:paraId="30AF1D91"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La demandante, en calidad de candidata del PRI, sostiene que en el acuerdo no se precisó cuál fue la votación obtenida en cada distrito, ni se evidencia cuál fue la votación obtenida por cada candidato en su distrito. </w:t>
      </w:r>
    </w:p>
    <w:p w14:paraId="490E1233"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lang w:val="es-ES"/>
        </w:rPr>
      </w:pPr>
      <w:r w:rsidRPr="00F32542">
        <w:rPr>
          <w:rFonts w:ascii="Arial" w:eastAsia="Calibri" w:hAnsi="Arial" w:cs="Arial"/>
          <w:b/>
          <w:bCs/>
          <w:sz w:val="28"/>
          <w:szCs w:val="28"/>
          <w:lang w:val="es-ES"/>
        </w:rPr>
        <w:t>Estudio de los anteriores planteamientos.</w:t>
      </w:r>
    </w:p>
    <w:p w14:paraId="3BDD1627"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El agravio es </w:t>
      </w:r>
      <w:r w:rsidRPr="00F32542">
        <w:rPr>
          <w:rFonts w:ascii="Arial" w:eastAsia="Calibri" w:hAnsi="Arial" w:cs="Arial"/>
          <w:b/>
          <w:sz w:val="28"/>
          <w:szCs w:val="28"/>
        </w:rPr>
        <w:t xml:space="preserve">infundado, </w:t>
      </w:r>
      <w:r w:rsidRPr="00F32542">
        <w:rPr>
          <w:rFonts w:ascii="Arial" w:eastAsia="Calibri" w:hAnsi="Arial" w:cs="Arial"/>
          <w:sz w:val="28"/>
          <w:szCs w:val="28"/>
        </w:rPr>
        <w:t xml:space="preserve">como se mostrará. </w:t>
      </w:r>
    </w:p>
    <w:p w14:paraId="2BA7B807"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sz w:val="28"/>
          <w:szCs w:val="28"/>
        </w:rPr>
        <w:t xml:space="preserve">En efecto, en el acuerdo </w:t>
      </w:r>
      <w:r w:rsidRPr="00F32542">
        <w:rPr>
          <w:rFonts w:ascii="Arial" w:eastAsia="Calibri" w:hAnsi="Arial" w:cs="Arial"/>
          <w:b/>
          <w:bCs/>
          <w:sz w:val="28"/>
          <w:szCs w:val="28"/>
        </w:rPr>
        <w:t xml:space="preserve">IECM/ACU-CG-324/2021 </w:t>
      </w:r>
      <w:r w:rsidRPr="00F32542">
        <w:rPr>
          <w:rFonts w:ascii="Arial" w:eastAsia="Calibri" w:hAnsi="Arial" w:cs="Arial"/>
          <w:bCs/>
          <w:sz w:val="28"/>
          <w:szCs w:val="28"/>
        </w:rPr>
        <w:t xml:space="preserve">(acuerdo impugnado), el </w:t>
      </w:r>
      <w:r w:rsidRPr="00F32542">
        <w:rPr>
          <w:rFonts w:ascii="Arial" w:eastAsia="Calibri" w:hAnsi="Arial" w:cs="Arial"/>
          <w:bCs/>
          <w:i/>
          <w:sz w:val="28"/>
          <w:szCs w:val="28"/>
        </w:rPr>
        <w:t xml:space="preserve">Instituto Electoral </w:t>
      </w:r>
      <w:r w:rsidRPr="00F32542">
        <w:rPr>
          <w:rFonts w:ascii="Arial" w:eastAsia="Calibri" w:hAnsi="Arial" w:cs="Arial"/>
          <w:bCs/>
          <w:sz w:val="28"/>
          <w:szCs w:val="28"/>
        </w:rPr>
        <w:t xml:space="preserve">explicó que para calcular los porcentajes de votación de las fuerzas políticas en cada distrito y conformar la lista B, se considerarían únicamente a los partidos </w:t>
      </w:r>
      <w:r w:rsidRPr="00F32542">
        <w:rPr>
          <w:rFonts w:ascii="Arial" w:eastAsia="Calibri" w:hAnsi="Arial" w:cs="Arial"/>
          <w:bCs/>
          <w:sz w:val="28"/>
          <w:szCs w:val="28"/>
        </w:rPr>
        <w:lastRenderedPageBreak/>
        <w:t>políticos que obtuvieron por lo menos el 3% de la votación válida emitida en la circunscripción de la Ciudad de México</w:t>
      </w:r>
    </w:p>
    <w:p w14:paraId="5C4BA08F"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Esto, por tratarse de los institutos políticos con derecho a participar en la asignación de diputaciones de representación proporcional.</w:t>
      </w:r>
    </w:p>
    <w:p w14:paraId="5C5B7ABE"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Asimismo, precisó que los </w:t>
      </w:r>
      <w:r w:rsidRPr="00F32542">
        <w:rPr>
          <w:rFonts w:ascii="Arial" w:eastAsia="Calibri" w:hAnsi="Arial" w:cs="Arial"/>
          <w:b/>
          <w:bCs/>
          <w:sz w:val="28"/>
          <w:szCs w:val="28"/>
        </w:rPr>
        <w:t xml:space="preserve">porcentajes de la votación local emitida </w:t>
      </w:r>
      <w:r w:rsidRPr="00F32542">
        <w:rPr>
          <w:rFonts w:ascii="Arial" w:eastAsia="Calibri" w:hAnsi="Arial" w:cs="Arial"/>
          <w:bCs/>
          <w:sz w:val="28"/>
          <w:szCs w:val="28"/>
        </w:rPr>
        <w:t>se obtendrían a nivel distrital respecto de cada uno de los partidos políticos.</w:t>
      </w:r>
    </w:p>
    <w:p w14:paraId="3C80C156"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Igualmente, razonó que en atención al artículo 24, del </w:t>
      </w:r>
      <w:r w:rsidRPr="00F32542">
        <w:rPr>
          <w:rFonts w:ascii="Arial" w:eastAsia="Calibri" w:hAnsi="Arial" w:cs="Arial"/>
          <w:bCs/>
          <w:i/>
          <w:sz w:val="28"/>
          <w:szCs w:val="28"/>
        </w:rPr>
        <w:t xml:space="preserve">Código local, </w:t>
      </w:r>
      <w:r w:rsidRPr="00F32542">
        <w:rPr>
          <w:rFonts w:ascii="Arial" w:eastAsia="Calibri" w:hAnsi="Arial" w:cs="Arial"/>
          <w:bCs/>
          <w:sz w:val="28"/>
          <w:szCs w:val="28"/>
        </w:rPr>
        <w:t>la autoridad electoral procedería a realizar los cálculos de los porcentajes en función de la votación local emitida alcanzada por cada partido político en el ámbito distrital.</w:t>
      </w:r>
    </w:p>
    <w:p w14:paraId="3285D2D0"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Expuso que, para efectos de la lista B, con fundamento en el artículo 10 de los </w:t>
      </w:r>
      <w:r w:rsidRPr="00F32542">
        <w:rPr>
          <w:rFonts w:ascii="Arial" w:eastAsia="Calibri" w:hAnsi="Arial" w:cs="Arial"/>
          <w:bCs/>
          <w:i/>
          <w:sz w:val="28"/>
          <w:szCs w:val="28"/>
        </w:rPr>
        <w:t xml:space="preserve">Lineamientos de asignación, </w:t>
      </w:r>
      <w:r w:rsidRPr="00F32542">
        <w:rPr>
          <w:rFonts w:ascii="Arial" w:eastAsia="Calibri" w:hAnsi="Arial" w:cs="Arial"/>
          <w:bCs/>
          <w:sz w:val="28"/>
          <w:szCs w:val="28"/>
        </w:rPr>
        <w:t xml:space="preserve">tratándose de candidaturas comunes se debió determinar en el convenio, en que lista B de los partidos que la integran, participarían las candidaturas a diputaciones. </w:t>
      </w:r>
    </w:p>
    <w:p w14:paraId="52F555D8"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Para tales efectos, sólo se tomarían en cuenta los votos del partido postulante y se aclaró que una candidatura no puede ser registrada en la lista B de dos o más partidos políticos que contiendan en candidatura común. </w:t>
      </w:r>
    </w:p>
    <w:p w14:paraId="28EB28F8"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Acto seguido, la autoridad responsable expuso el orden de las candidaturas que integraban la lista B, de cada partido político con derecho a participar.  </w:t>
      </w:r>
    </w:p>
    <w:p w14:paraId="608F8257"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Como se observa, la autoridad electoral explicó, respecto a la forma de obtener los porcentajes de cada candidatura lo siguiente:</w:t>
      </w:r>
    </w:p>
    <w:p w14:paraId="7C88320C" w14:textId="77777777" w:rsidR="00F94B48" w:rsidRPr="00F32542" w:rsidRDefault="00F94B48" w:rsidP="009B6ED0">
      <w:pPr>
        <w:numPr>
          <w:ilvl w:val="0"/>
          <w:numId w:val="16"/>
        </w:numPr>
        <w:spacing w:before="100" w:beforeAutospacing="1" w:after="100" w:afterAutospacing="1" w:line="360" w:lineRule="auto"/>
        <w:contextualSpacing/>
        <w:jc w:val="both"/>
        <w:rPr>
          <w:rFonts w:ascii="Arial" w:eastAsia="Calibri" w:hAnsi="Arial" w:cs="Arial"/>
          <w:bCs/>
          <w:sz w:val="28"/>
          <w:szCs w:val="28"/>
        </w:rPr>
      </w:pPr>
      <w:r w:rsidRPr="00F32542">
        <w:rPr>
          <w:rFonts w:ascii="Arial" w:eastAsia="Calibri" w:hAnsi="Arial" w:cs="Arial"/>
          <w:bCs/>
          <w:sz w:val="28"/>
          <w:szCs w:val="28"/>
        </w:rPr>
        <w:t xml:space="preserve">Obtendría porcentajes de la </w:t>
      </w:r>
      <w:r w:rsidRPr="00F32542">
        <w:rPr>
          <w:rFonts w:ascii="Arial" w:eastAsia="Calibri" w:hAnsi="Arial" w:cs="Arial"/>
          <w:b/>
          <w:bCs/>
          <w:sz w:val="28"/>
          <w:szCs w:val="28"/>
        </w:rPr>
        <w:t>votación total emitida.</w:t>
      </w:r>
    </w:p>
    <w:p w14:paraId="0FF4EC86" w14:textId="77777777" w:rsidR="00F94B48" w:rsidRPr="00F32542" w:rsidRDefault="00F94B48" w:rsidP="009B6ED0">
      <w:pPr>
        <w:numPr>
          <w:ilvl w:val="0"/>
          <w:numId w:val="16"/>
        </w:numPr>
        <w:spacing w:before="100" w:beforeAutospacing="1" w:after="100" w:afterAutospacing="1" w:line="360" w:lineRule="auto"/>
        <w:contextualSpacing/>
        <w:jc w:val="both"/>
        <w:rPr>
          <w:rFonts w:ascii="Arial" w:eastAsia="Calibri" w:hAnsi="Arial" w:cs="Arial"/>
          <w:bCs/>
          <w:sz w:val="28"/>
          <w:szCs w:val="28"/>
        </w:rPr>
      </w:pPr>
      <w:r w:rsidRPr="00F32542">
        <w:rPr>
          <w:rFonts w:ascii="Arial" w:eastAsia="Calibri" w:hAnsi="Arial" w:cs="Arial"/>
          <w:bCs/>
          <w:sz w:val="28"/>
          <w:szCs w:val="28"/>
        </w:rPr>
        <w:lastRenderedPageBreak/>
        <w:t xml:space="preserve">Dichos porcentajes se obtendrían a </w:t>
      </w:r>
      <w:r w:rsidRPr="00F32542">
        <w:rPr>
          <w:rFonts w:ascii="Arial" w:eastAsia="Calibri" w:hAnsi="Arial" w:cs="Arial"/>
          <w:b/>
          <w:bCs/>
          <w:sz w:val="28"/>
          <w:szCs w:val="28"/>
        </w:rPr>
        <w:t xml:space="preserve">nivel distrital. </w:t>
      </w:r>
    </w:p>
    <w:p w14:paraId="42229564" w14:textId="77777777" w:rsidR="00F94B48" w:rsidRPr="00F32542" w:rsidRDefault="00F94B48" w:rsidP="009B6ED0">
      <w:pPr>
        <w:numPr>
          <w:ilvl w:val="0"/>
          <w:numId w:val="16"/>
        </w:numPr>
        <w:spacing w:before="100" w:beforeAutospacing="1" w:after="100" w:afterAutospacing="1" w:line="360" w:lineRule="auto"/>
        <w:contextualSpacing/>
        <w:jc w:val="both"/>
        <w:rPr>
          <w:rFonts w:ascii="Arial" w:eastAsia="Calibri" w:hAnsi="Arial" w:cs="Arial"/>
          <w:bCs/>
          <w:sz w:val="28"/>
          <w:szCs w:val="28"/>
        </w:rPr>
      </w:pPr>
      <w:r w:rsidRPr="00F32542">
        <w:rPr>
          <w:rFonts w:ascii="Arial" w:eastAsia="Calibri" w:hAnsi="Arial" w:cs="Arial"/>
          <w:bCs/>
          <w:sz w:val="28"/>
          <w:szCs w:val="28"/>
        </w:rPr>
        <w:t xml:space="preserve">Esto sería a partir de la votación de cada partido a nivel distrital. </w:t>
      </w:r>
    </w:p>
    <w:p w14:paraId="43C9E675" w14:textId="77777777" w:rsidR="00F94B48" w:rsidRPr="00F32542" w:rsidRDefault="00F94B48" w:rsidP="009B6ED0">
      <w:pPr>
        <w:numPr>
          <w:ilvl w:val="0"/>
          <w:numId w:val="16"/>
        </w:numPr>
        <w:spacing w:before="100" w:beforeAutospacing="1" w:after="100" w:afterAutospacing="1" w:line="360" w:lineRule="auto"/>
        <w:contextualSpacing/>
        <w:jc w:val="both"/>
        <w:rPr>
          <w:rFonts w:ascii="Arial" w:eastAsia="Calibri" w:hAnsi="Arial" w:cs="Arial"/>
          <w:bCs/>
          <w:sz w:val="28"/>
          <w:szCs w:val="28"/>
        </w:rPr>
      </w:pPr>
      <w:r w:rsidRPr="00F32542">
        <w:rPr>
          <w:rFonts w:ascii="Arial" w:eastAsia="Calibri" w:hAnsi="Arial" w:cs="Arial"/>
          <w:bCs/>
          <w:sz w:val="28"/>
          <w:szCs w:val="28"/>
        </w:rPr>
        <w:t>Cada candidatura a diputación de mayoría relativa sólo podrá corresponder a la lista B de un partido político, incluso aquellos postulados en candidatura común.</w:t>
      </w:r>
    </w:p>
    <w:p w14:paraId="339AFB22" w14:textId="77777777" w:rsidR="00F94B48" w:rsidRPr="00F32542" w:rsidRDefault="00F94B48" w:rsidP="009B6ED0">
      <w:pPr>
        <w:numPr>
          <w:ilvl w:val="0"/>
          <w:numId w:val="16"/>
        </w:numPr>
        <w:spacing w:before="100" w:beforeAutospacing="1" w:after="100" w:afterAutospacing="1" w:line="360" w:lineRule="auto"/>
        <w:contextualSpacing/>
        <w:jc w:val="both"/>
        <w:rPr>
          <w:rFonts w:ascii="Arial" w:eastAsia="Calibri" w:hAnsi="Arial" w:cs="Arial"/>
          <w:bCs/>
          <w:sz w:val="28"/>
          <w:szCs w:val="28"/>
        </w:rPr>
      </w:pPr>
      <w:r w:rsidRPr="00F32542">
        <w:rPr>
          <w:rFonts w:ascii="Arial" w:eastAsia="Calibri" w:hAnsi="Arial" w:cs="Arial"/>
          <w:bCs/>
          <w:sz w:val="28"/>
          <w:szCs w:val="28"/>
        </w:rPr>
        <w:t xml:space="preserve">Para tales efectos, sólo se tomarían en cuenta los votos del partido que registró la candidatura en la lista B, incluso en postulaciones de candidatura común. </w:t>
      </w:r>
    </w:p>
    <w:p w14:paraId="5BA11F04" w14:textId="77777777" w:rsidR="00C2724F" w:rsidRPr="00F32542" w:rsidRDefault="00C2724F" w:rsidP="00C2724F">
      <w:pPr>
        <w:spacing w:before="100" w:beforeAutospacing="1" w:after="100" w:afterAutospacing="1" w:line="360" w:lineRule="auto"/>
        <w:ind w:left="720"/>
        <w:contextualSpacing/>
        <w:jc w:val="both"/>
        <w:rPr>
          <w:rFonts w:ascii="Arial" w:eastAsia="Calibri" w:hAnsi="Arial" w:cs="Arial"/>
          <w:bCs/>
          <w:sz w:val="28"/>
          <w:szCs w:val="28"/>
        </w:rPr>
      </w:pPr>
    </w:p>
    <w:p w14:paraId="4F2FCA39"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Con independencia de lo expuesto por la autoridad, debe tenerse presente que, de conformidad con el artículo 24, fracción XII, del </w:t>
      </w:r>
      <w:r w:rsidRPr="00F32542">
        <w:rPr>
          <w:rFonts w:ascii="Arial" w:eastAsia="Calibri" w:hAnsi="Arial" w:cs="Arial"/>
          <w:bCs/>
          <w:i/>
          <w:sz w:val="28"/>
          <w:szCs w:val="28"/>
        </w:rPr>
        <w:t xml:space="preserve">Código local, </w:t>
      </w:r>
      <w:r w:rsidRPr="00F32542">
        <w:rPr>
          <w:rFonts w:ascii="Arial" w:eastAsia="Calibri" w:hAnsi="Arial" w:cs="Arial"/>
          <w:b/>
          <w:bCs/>
          <w:sz w:val="28"/>
          <w:szCs w:val="28"/>
        </w:rPr>
        <w:t>la votación local emitida</w:t>
      </w:r>
      <w:r w:rsidRPr="00F32542">
        <w:rPr>
          <w:rFonts w:ascii="Arial" w:eastAsia="Calibri" w:hAnsi="Arial" w:cs="Arial"/>
          <w:bCs/>
          <w:sz w:val="28"/>
          <w:szCs w:val="28"/>
        </w:rPr>
        <w:t xml:space="preserve"> es la que resulta de deducir de la </w:t>
      </w:r>
      <w:r w:rsidRPr="00F32542">
        <w:rPr>
          <w:rFonts w:ascii="Arial" w:eastAsia="Calibri" w:hAnsi="Arial" w:cs="Arial"/>
          <w:b/>
          <w:bCs/>
          <w:sz w:val="28"/>
          <w:szCs w:val="28"/>
        </w:rPr>
        <w:t>votación válida</w:t>
      </w:r>
      <w:r w:rsidRPr="00F32542">
        <w:rPr>
          <w:rFonts w:ascii="Arial" w:eastAsia="Calibri" w:hAnsi="Arial" w:cs="Arial"/>
          <w:bCs/>
          <w:sz w:val="28"/>
          <w:szCs w:val="28"/>
        </w:rPr>
        <w:t xml:space="preserve"> </w:t>
      </w:r>
      <w:r w:rsidRPr="00F32542">
        <w:rPr>
          <w:rFonts w:ascii="Arial" w:eastAsia="Calibri" w:hAnsi="Arial" w:cs="Arial"/>
          <w:b/>
          <w:bCs/>
          <w:sz w:val="28"/>
          <w:szCs w:val="28"/>
        </w:rPr>
        <w:t xml:space="preserve">emitida, </w:t>
      </w:r>
      <w:r w:rsidRPr="00F32542">
        <w:rPr>
          <w:rFonts w:ascii="Arial" w:eastAsia="Calibri" w:hAnsi="Arial" w:cs="Arial"/>
          <w:bCs/>
          <w:sz w:val="28"/>
          <w:szCs w:val="28"/>
        </w:rPr>
        <w:t>a votación a favor de los candidatos sin partido y los votos a favor de los partidos políticos que no alcanzaron el umbral del 3% de la votación válida emitida.</w:t>
      </w:r>
    </w:p>
    <w:p w14:paraId="776DCA84"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A su vez, de conformidad con la fracción XI, del artículo citado, la </w:t>
      </w:r>
      <w:r w:rsidRPr="00F32542">
        <w:rPr>
          <w:rFonts w:ascii="Arial" w:eastAsia="Calibri" w:hAnsi="Arial" w:cs="Arial"/>
          <w:b/>
          <w:bCs/>
          <w:sz w:val="28"/>
          <w:szCs w:val="28"/>
        </w:rPr>
        <w:t>votación válida emitida</w:t>
      </w:r>
      <w:r w:rsidRPr="00F32542">
        <w:rPr>
          <w:rFonts w:ascii="Arial" w:eastAsia="Calibri" w:hAnsi="Arial" w:cs="Arial"/>
          <w:bCs/>
          <w:sz w:val="28"/>
          <w:szCs w:val="28"/>
        </w:rPr>
        <w:t xml:space="preserve"> es la que resulta de deducir de la votación total los votos a favor de candidatos no registrados y los votos nulos. </w:t>
      </w:r>
    </w:p>
    <w:p w14:paraId="49FF13AD"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De tal manera, la votación local emitida resulta de restarle a la votación total, la votación de los candidatos no registrados, los votos nulos, la votación de las candidaturas sin partido, y los que corresponden a los partidos políticos que no alcanzaron el umbral del 3% de la votación válida emitida. </w:t>
      </w:r>
    </w:p>
    <w:p w14:paraId="59A2B913"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bCs/>
          <w:sz w:val="28"/>
          <w:szCs w:val="28"/>
        </w:rPr>
        <w:t xml:space="preserve">Precisado lo anterior, no tiene razón </w:t>
      </w:r>
      <w:r w:rsidRPr="00F32542">
        <w:rPr>
          <w:rFonts w:ascii="Arial" w:eastAsia="Calibri" w:hAnsi="Arial" w:cs="Arial"/>
          <w:sz w:val="28"/>
          <w:szCs w:val="28"/>
        </w:rPr>
        <w:t>Mónica Jessica Menocal del Moral en el sentido de que en el acuerdo impugnado no se aclaró cómo se realizó la asignación de los lugares en la lista B, ni la fórmula para obtener los porcentajes.</w:t>
      </w:r>
    </w:p>
    <w:p w14:paraId="52A2F6F3"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lastRenderedPageBreak/>
        <w:t xml:space="preserve">Esto, porque como se evidenció, la autoridad responsable sí explicó que obtendría la votación válida emitida, por cada distrito, para conocer cuál era el porcentaje que obtendría cada partido político en tales demarcaciones, lo cual </w:t>
      </w:r>
      <w:proofErr w:type="gramStart"/>
      <w:r w:rsidRPr="00F32542">
        <w:rPr>
          <w:rFonts w:ascii="Arial" w:eastAsia="Calibri" w:hAnsi="Arial" w:cs="Arial"/>
          <w:sz w:val="28"/>
          <w:szCs w:val="28"/>
        </w:rPr>
        <w:t>le</w:t>
      </w:r>
      <w:proofErr w:type="gramEnd"/>
      <w:r w:rsidRPr="00F32542">
        <w:rPr>
          <w:rFonts w:ascii="Arial" w:eastAsia="Calibri" w:hAnsi="Arial" w:cs="Arial"/>
          <w:sz w:val="28"/>
          <w:szCs w:val="28"/>
        </w:rPr>
        <w:t xml:space="preserve"> correspondería a las candidaturas que registraron para la lista B.</w:t>
      </w:r>
    </w:p>
    <w:p w14:paraId="50E8BB71"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También aclaró que la única votación que se tomaría en cuenta para cada </w:t>
      </w:r>
      <w:proofErr w:type="gramStart"/>
      <w:r w:rsidRPr="00F32542">
        <w:rPr>
          <w:rFonts w:ascii="Arial" w:eastAsia="Calibri" w:hAnsi="Arial" w:cs="Arial"/>
          <w:sz w:val="28"/>
          <w:szCs w:val="28"/>
        </w:rPr>
        <w:t>candidatura,</w:t>
      </w:r>
      <w:proofErr w:type="gramEnd"/>
      <w:r w:rsidRPr="00F32542">
        <w:rPr>
          <w:rFonts w:ascii="Arial" w:eastAsia="Calibri" w:hAnsi="Arial" w:cs="Arial"/>
          <w:sz w:val="28"/>
          <w:szCs w:val="28"/>
        </w:rPr>
        <w:t xml:space="preserve"> sería la del partido que la postuló para la lista B, incluso en el caso de candidaturas comunes o coaliciones. </w:t>
      </w:r>
    </w:p>
    <w:p w14:paraId="0B6BBEDD"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sz w:val="28"/>
          <w:szCs w:val="28"/>
        </w:rPr>
        <w:t xml:space="preserve">Así, en cuanto a la fórmula para obtener el porcentaje, debe tomarse en cuenta que es el propio Código local, a partir de la lectura conjunta de las fracciones X y XII, del artículo 24, del que se extrae que la votación local emitida es el resultado de extraer </w:t>
      </w:r>
      <w:r w:rsidRPr="00F32542">
        <w:rPr>
          <w:rFonts w:ascii="Arial" w:eastAsia="Calibri" w:hAnsi="Arial" w:cs="Arial"/>
          <w:bCs/>
          <w:sz w:val="28"/>
          <w:szCs w:val="28"/>
        </w:rPr>
        <w:t xml:space="preserve">a la votación total, la votación de los candidatos no registrados, los votos nulos, la votación de las candidaturas sin partido, y los que corresponden a los partidos políticos que no alcanzaron el umbral del 3% de la votación válida emitida. </w:t>
      </w:r>
    </w:p>
    <w:p w14:paraId="3F85CB79"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Cabe reiterar que la autoridad explicó que tal votación sería obtenida en el contexto de los resultados arrojados por cada distrito. </w:t>
      </w:r>
    </w:p>
    <w:p w14:paraId="0ADBBABA"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Entonces, como se ve, la autoridad si expuso las bases de la fórmula para obtener los porcentajes de cada candidatura que integraría la lista B; de ahí que no tenga razón la parte actora. </w:t>
      </w:r>
    </w:p>
    <w:p w14:paraId="2A9715EA"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sz w:val="28"/>
          <w:szCs w:val="28"/>
        </w:rPr>
        <w:t xml:space="preserve">Ahora bien, la autoridad determinó que la </w:t>
      </w:r>
      <w:r w:rsidRPr="00F32542">
        <w:rPr>
          <w:rFonts w:ascii="Arial" w:eastAsia="Calibri" w:hAnsi="Arial" w:cs="Arial"/>
          <w:bCs/>
          <w:sz w:val="28"/>
          <w:szCs w:val="28"/>
        </w:rPr>
        <w:t xml:space="preserve">lista B del PAN, es la siguiente: </w:t>
      </w:r>
    </w:p>
    <w:tbl>
      <w:tblPr>
        <w:tblStyle w:val="Tablaconcuadrcula25"/>
        <w:tblW w:w="0" w:type="auto"/>
        <w:jc w:val="center"/>
        <w:tblLook w:val="04A0" w:firstRow="1" w:lastRow="0" w:firstColumn="1" w:lastColumn="0" w:noHBand="0" w:noVBand="1"/>
      </w:tblPr>
      <w:tblGrid>
        <w:gridCol w:w="509"/>
        <w:gridCol w:w="904"/>
        <w:gridCol w:w="850"/>
        <w:gridCol w:w="3038"/>
        <w:gridCol w:w="1175"/>
      </w:tblGrid>
      <w:tr w:rsidR="00F94B48" w:rsidRPr="00F32542" w14:paraId="2D0267F3" w14:textId="77777777" w:rsidTr="00F94B48">
        <w:trPr>
          <w:tblHeader/>
          <w:jc w:val="center"/>
        </w:trPr>
        <w:tc>
          <w:tcPr>
            <w:tcW w:w="509" w:type="dxa"/>
            <w:shd w:val="clear" w:color="auto" w:fill="E7E6E6"/>
            <w:vAlign w:val="center"/>
          </w:tcPr>
          <w:p w14:paraId="01306929"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lastRenderedPageBreak/>
              <w:t>No</w:t>
            </w:r>
          </w:p>
        </w:tc>
        <w:tc>
          <w:tcPr>
            <w:tcW w:w="904" w:type="dxa"/>
            <w:shd w:val="clear" w:color="auto" w:fill="E7E6E6"/>
            <w:vAlign w:val="center"/>
          </w:tcPr>
          <w:p w14:paraId="393EF162"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Distrito</w:t>
            </w:r>
          </w:p>
        </w:tc>
        <w:tc>
          <w:tcPr>
            <w:tcW w:w="850" w:type="dxa"/>
            <w:shd w:val="clear" w:color="auto" w:fill="E7E6E6"/>
          </w:tcPr>
          <w:p w14:paraId="3EBF0BE1" w14:textId="77777777" w:rsidR="00F94B48" w:rsidRPr="00F32542" w:rsidRDefault="00F94B48" w:rsidP="00F94B48">
            <w:pPr>
              <w:spacing w:after="0" w:line="360" w:lineRule="auto"/>
              <w:jc w:val="center"/>
              <w:rPr>
                <w:rFonts w:ascii="Arial" w:eastAsia="Calibri" w:hAnsi="Arial" w:cs="Arial"/>
                <w:sz w:val="20"/>
                <w:szCs w:val="20"/>
              </w:rPr>
            </w:pPr>
          </w:p>
          <w:p w14:paraId="42377C6C"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Sexo</w:t>
            </w:r>
          </w:p>
        </w:tc>
        <w:tc>
          <w:tcPr>
            <w:tcW w:w="3038" w:type="dxa"/>
            <w:shd w:val="clear" w:color="auto" w:fill="E7E6E6"/>
            <w:vAlign w:val="center"/>
          </w:tcPr>
          <w:p w14:paraId="65AD1239"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Candidatura</w:t>
            </w:r>
          </w:p>
        </w:tc>
        <w:tc>
          <w:tcPr>
            <w:tcW w:w="1175" w:type="dxa"/>
            <w:shd w:val="clear" w:color="auto" w:fill="E7E6E6"/>
            <w:vAlign w:val="center"/>
          </w:tcPr>
          <w:p w14:paraId="3BA1107D"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 xml:space="preserve">Porcentaje de votación </w:t>
            </w:r>
          </w:p>
        </w:tc>
      </w:tr>
      <w:tr w:rsidR="00F94B48" w:rsidRPr="00F32542" w14:paraId="6C7DFC8E" w14:textId="77777777" w:rsidTr="00B65D24">
        <w:trPr>
          <w:tblHeader/>
          <w:jc w:val="center"/>
        </w:trPr>
        <w:tc>
          <w:tcPr>
            <w:tcW w:w="509" w:type="dxa"/>
            <w:vAlign w:val="center"/>
          </w:tcPr>
          <w:p w14:paraId="505A9544"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1</w:t>
            </w:r>
          </w:p>
        </w:tc>
        <w:tc>
          <w:tcPr>
            <w:tcW w:w="904" w:type="dxa"/>
          </w:tcPr>
          <w:p w14:paraId="3E1D3030"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5</w:t>
            </w:r>
          </w:p>
        </w:tc>
        <w:tc>
          <w:tcPr>
            <w:tcW w:w="850" w:type="dxa"/>
          </w:tcPr>
          <w:p w14:paraId="00CE7D27"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M</w:t>
            </w:r>
          </w:p>
        </w:tc>
        <w:tc>
          <w:tcPr>
            <w:tcW w:w="3038" w:type="dxa"/>
            <w:vAlign w:val="bottom"/>
          </w:tcPr>
          <w:p w14:paraId="0CA4013C"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María Gabriela Salido Magos</w:t>
            </w:r>
          </w:p>
        </w:tc>
        <w:tc>
          <w:tcPr>
            <w:tcW w:w="1175" w:type="dxa"/>
          </w:tcPr>
          <w:p w14:paraId="0AD019E4"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37.29</w:t>
            </w:r>
          </w:p>
        </w:tc>
      </w:tr>
      <w:tr w:rsidR="00F94B48" w:rsidRPr="00F32542" w14:paraId="0D2849A0" w14:textId="77777777" w:rsidTr="00B65D24">
        <w:trPr>
          <w:trHeight w:val="75"/>
          <w:tblHeader/>
          <w:jc w:val="center"/>
        </w:trPr>
        <w:tc>
          <w:tcPr>
            <w:tcW w:w="509" w:type="dxa"/>
            <w:vAlign w:val="center"/>
          </w:tcPr>
          <w:p w14:paraId="384EC909"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2</w:t>
            </w:r>
          </w:p>
        </w:tc>
        <w:tc>
          <w:tcPr>
            <w:tcW w:w="904" w:type="dxa"/>
          </w:tcPr>
          <w:p w14:paraId="418340A7"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14</w:t>
            </w:r>
          </w:p>
        </w:tc>
        <w:tc>
          <w:tcPr>
            <w:tcW w:w="850" w:type="dxa"/>
          </w:tcPr>
          <w:p w14:paraId="63540D19"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H</w:t>
            </w:r>
          </w:p>
        </w:tc>
        <w:tc>
          <w:tcPr>
            <w:tcW w:w="3038" w:type="dxa"/>
            <w:vAlign w:val="bottom"/>
          </w:tcPr>
          <w:p w14:paraId="2A876E65"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Luis Alberto Chávez García</w:t>
            </w:r>
          </w:p>
        </w:tc>
        <w:tc>
          <w:tcPr>
            <w:tcW w:w="1175" w:type="dxa"/>
          </w:tcPr>
          <w:p w14:paraId="28A2EB44"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28.36</w:t>
            </w:r>
          </w:p>
        </w:tc>
      </w:tr>
      <w:tr w:rsidR="00F94B48" w:rsidRPr="00F32542" w14:paraId="6FC258CD" w14:textId="77777777" w:rsidTr="00B65D24">
        <w:trPr>
          <w:tblHeader/>
          <w:jc w:val="center"/>
        </w:trPr>
        <w:tc>
          <w:tcPr>
            <w:tcW w:w="509" w:type="dxa"/>
            <w:vAlign w:val="center"/>
          </w:tcPr>
          <w:p w14:paraId="5D9D4242"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3</w:t>
            </w:r>
          </w:p>
        </w:tc>
        <w:tc>
          <w:tcPr>
            <w:tcW w:w="904" w:type="dxa"/>
          </w:tcPr>
          <w:p w14:paraId="7503D496"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28</w:t>
            </w:r>
          </w:p>
        </w:tc>
        <w:tc>
          <w:tcPr>
            <w:tcW w:w="850" w:type="dxa"/>
          </w:tcPr>
          <w:p w14:paraId="2EFF6CF0"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M</w:t>
            </w:r>
          </w:p>
        </w:tc>
        <w:tc>
          <w:tcPr>
            <w:tcW w:w="3038" w:type="dxa"/>
            <w:vAlign w:val="bottom"/>
          </w:tcPr>
          <w:p w14:paraId="18030324"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 xml:space="preserve">Andrea </w:t>
            </w:r>
            <w:proofErr w:type="spellStart"/>
            <w:r w:rsidRPr="00F32542">
              <w:rPr>
                <w:rFonts w:ascii="Arial" w:eastAsia="Calibri" w:hAnsi="Arial" w:cs="Arial"/>
                <w:color w:val="000000"/>
                <w:sz w:val="20"/>
                <w:szCs w:val="20"/>
              </w:rPr>
              <w:t>Evelyne</w:t>
            </w:r>
            <w:proofErr w:type="spellEnd"/>
            <w:r w:rsidRPr="00F32542">
              <w:rPr>
                <w:rFonts w:ascii="Arial" w:eastAsia="Calibri" w:hAnsi="Arial" w:cs="Arial"/>
                <w:color w:val="000000"/>
                <w:sz w:val="20"/>
                <w:szCs w:val="20"/>
              </w:rPr>
              <w:t xml:space="preserve"> </w:t>
            </w:r>
            <w:proofErr w:type="spellStart"/>
            <w:r w:rsidRPr="00F32542">
              <w:rPr>
                <w:rFonts w:ascii="Arial" w:eastAsia="Calibri" w:hAnsi="Arial" w:cs="Arial"/>
                <w:color w:val="000000"/>
                <w:sz w:val="20"/>
                <w:szCs w:val="20"/>
              </w:rPr>
              <w:t>Vicenteño</w:t>
            </w:r>
            <w:proofErr w:type="spellEnd"/>
            <w:r w:rsidRPr="00F32542">
              <w:rPr>
                <w:rFonts w:ascii="Arial" w:eastAsia="Calibri" w:hAnsi="Arial" w:cs="Arial"/>
                <w:color w:val="000000"/>
                <w:sz w:val="20"/>
                <w:szCs w:val="20"/>
              </w:rPr>
              <w:t xml:space="preserve"> Barrientos</w:t>
            </w:r>
          </w:p>
        </w:tc>
        <w:tc>
          <w:tcPr>
            <w:tcW w:w="1175" w:type="dxa"/>
          </w:tcPr>
          <w:p w14:paraId="469C2849"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22.19</w:t>
            </w:r>
          </w:p>
        </w:tc>
      </w:tr>
      <w:tr w:rsidR="00F94B48" w:rsidRPr="00F32542" w14:paraId="6B7C6083" w14:textId="77777777" w:rsidTr="00B65D24">
        <w:trPr>
          <w:tblHeader/>
          <w:jc w:val="center"/>
        </w:trPr>
        <w:tc>
          <w:tcPr>
            <w:tcW w:w="509" w:type="dxa"/>
            <w:vAlign w:val="center"/>
          </w:tcPr>
          <w:p w14:paraId="0DD599FA"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4</w:t>
            </w:r>
          </w:p>
        </w:tc>
        <w:tc>
          <w:tcPr>
            <w:tcW w:w="904" w:type="dxa"/>
          </w:tcPr>
          <w:p w14:paraId="5680B5B4"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20</w:t>
            </w:r>
          </w:p>
        </w:tc>
        <w:tc>
          <w:tcPr>
            <w:tcW w:w="850" w:type="dxa"/>
          </w:tcPr>
          <w:p w14:paraId="22C7A8D6"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H</w:t>
            </w:r>
          </w:p>
        </w:tc>
        <w:tc>
          <w:tcPr>
            <w:tcW w:w="3038" w:type="dxa"/>
            <w:vAlign w:val="bottom"/>
          </w:tcPr>
          <w:p w14:paraId="60A4E98A"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José Gonzalo Espina Miranda</w:t>
            </w:r>
          </w:p>
        </w:tc>
        <w:tc>
          <w:tcPr>
            <w:tcW w:w="1175" w:type="dxa"/>
          </w:tcPr>
          <w:p w14:paraId="31A03E22"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27.57</w:t>
            </w:r>
          </w:p>
        </w:tc>
      </w:tr>
      <w:tr w:rsidR="00F94B48" w:rsidRPr="00F32542" w14:paraId="69BEF2D4" w14:textId="77777777" w:rsidTr="00B65D24">
        <w:trPr>
          <w:tblHeader/>
          <w:jc w:val="center"/>
        </w:trPr>
        <w:tc>
          <w:tcPr>
            <w:tcW w:w="509" w:type="dxa"/>
            <w:vAlign w:val="center"/>
          </w:tcPr>
          <w:p w14:paraId="1D8F6A58"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5</w:t>
            </w:r>
          </w:p>
        </w:tc>
        <w:tc>
          <w:tcPr>
            <w:tcW w:w="904" w:type="dxa"/>
          </w:tcPr>
          <w:p w14:paraId="21EF630D"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11</w:t>
            </w:r>
          </w:p>
        </w:tc>
        <w:tc>
          <w:tcPr>
            <w:tcW w:w="850" w:type="dxa"/>
          </w:tcPr>
          <w:p w14:paraId="77B79C39"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M</w:t>
            </w:r>
          </w:p>
        </w:tc>
        <w:tc>
          <w:tcPr>
            <w:tcW w:w="3038" w:type="dxa"/>
            <w:vAlign w:val="bottom"/>
          </w:tcPr>
          <w:p w14:paraId="59F120E1"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Mónica Jessica Menocal del Moral</w:t>
            </w:r>
          </w:p>
        </w:tc>
        <w:tc>
          <w:tcPr>
            <w:tcW w:w="1175" w:type="dxa"/>
          </w:tcPr>
          <w:p w14:paraId="1287406B"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19.65</w:t>
            </w:r>
          </w:p>
        </w:tc>
      </w:tr>
      <w:tr w:rsidR="00F94B48" w:rsidRPr="00F32542" w14:paraId="2373A953" w14:textId="77777777" w:rsidTr="00B65D24">
        <w:trPr>
          <w:tblHeader/>
          <w:jc w:val="center"/>
        </w:trPr>
        <w:tc>
          <w:tcPr>
            <w:tcW w:w="509" w:type="dxa"/>
            <w:vAlign w:val="center"/>
          </w:tcPr>
          <w:p w14:paraId="5D76A46D"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6</w:t>
            </w:r>
          </w:p>
        </w:tc>
        <w:tc>
          <w:tcPr>
            <w:tcW w:w="904" w:type="dxa"/>
          </w:tcPr>
          <w:p w14:paraId="2B8EDBA4"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15</w:t>
            </w:r>
          </w:p>
        </w:tc>
        <w:tc>
          <w:tcPr>
            <w:tcW w:w="850" w:type="dxa"/>
          </w:tcPr>
          <w:p w14:paraId="228CE797"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H</w:t>
            </w:r>
          </w:p>
        </w:tc>
        <w:tc>
          <w:tcPr>
            <w:tcW w:w="3038" w:type="dxa"/>
            <w:vAlign w:val="bottom"/>
          </w:tcPr>
          <w:p w14:paraId="129D4A80"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 xml:space="preserve">Fernando </w:t>
            </w:r>
            <w:proofErr w:type="spellStart"/>
            <w:r w:rsidRPr="00F32542">
              <w:rPr>
                <w:rFonts w:ascii="Arial" w:eastAsia="Calibri" w:hAnsi="Arial" w:cs="Arial"/>
                <w:color w:val="000000"/>
                <w:sz w:val="20"/>
                <w:szCs w:val="20"/>
              </w:rPr>
              <w:t>Belau</w:t>
            </w:r>
            <w:r w:rsidR="00A56585" w:rsidRPr="00F32542">
              <w:rPr>
                <w:rFonts w:ascii="Arial" w:eastAsia="Calibri" w:hAnsi="Arial" w:cs="Arial"/>
                <w:color w:val="000000"/>
                <w:sz w:val="20"/>
                <w:szCs w:val="20"/>
              </w:rPr>
              <w:t>n</w:t>
            </w:r>
            <w:r w:rsidRPr="00F32542">
              <w:rPr>
                <w:rFonts w:ascii="Arial" w:eastAsia="Calibri" w:hAnsi="Arial" w:cs="Arial"/>
                <w:color w:val="000000"/>
                <w:sz w:val="20"/>
                <w:szCs w:val="20"/>
              </w:rPr>
              <w:t>zarán</w:t>
            </w:r>
            <w:proofErr w:type="spellEnd"/>
            <w:r w:rsidRPr="00F32542">
              <w:rPr>
                <w:rFonts w:ascii="Arial" w:eastAsia="Calibri" w:hAnsi="Arial" w:cs="Arial"/>
                <w:color w:val="000000"/>
                <w:sz w:val="20"/>
                <w:szCs w:val="20"/>
              </w:rPr>
              <w:t xml:space="preserve"> </w:t>
            </w:r>
            <w:proofErr w:type="spellStart"/>
            <w:r w:rsidRPr="00F32542">
              <w:rPr>
                <w:rFonts w:ascii="Arial" w:eastAsia="Calibri" w:hAnsi="Arial" w:cs="Arial"/>
                <w:color w:val="000000"/>
                <w:sz w:val="20"/>
                <w:szCs w:val="20"/>
              </w:rPr>
              <w:t>Mendéz</w:t>
            </w:r>
            <w:proofErr w:type="spellEnd"/>
          </w:p>
        </w:tc>
        <w:tc>
          <w:tcPr>
            <w:tcW w:w="1175" w:type="dxa"/>
          </w:tcPr>
          <w:p w14:paraId="373FBE48"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26.31</w:t>
            </w:r>
          </w:p>
        </w:tc>
      </w:tr>
      <w:tr w:rsidR="00F94B48" w:rsidRPr="00F32542" w14:paraId="3C447AA6" w14:textId="77777777" w:rsidTr="00B65D24">
        <w:trPr>
          <w:tblHeader/>
          <w:jc w:val="center"/>
        </w:trPr>
        <w:tc>
          <w:tcPr>
            <w:tcW w:w="509" w:type="dxa"/>
            <w:vAlign w:val="center"/>
          </w:tcPr>
          <w:p w14:paraId="27338E79"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7</w:t>
            </w:r>
          </w:p>
        </w:tc>
        <w:tc>
          <w:tcPr>
            <w:tcW w:w="904" w:type="dxa"/>
          </w:tcPr>
          <w:p w14:paraId="7FED9012"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21</w:t>
            </w:r>
          </w:p>
        </w:tc>
        <w:tc>
          <w:tcPr>
            <w:tcW w:w="850" w:type="dxa"/>
          </w:tcPr>
          <w:p w14:paraId="57BCF3C1"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M</w:t>
            </w:r>
          </w:p>
        </w:tc>
        <w:tc>
          <w:tcPr>
            <w:tcW w:w="3038" w:type="dxa"/>
            <w:vAlign w:val="bottom"/>
          </w:tcPr>
          <w:p w14:paraId="06E01EA4"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 xml:space="preserve">Georgina </w:t>
            </w:r>
            <w:proofErr w:type="spellStart"/>
            <w:r w:rsidRPr="00F32542">
              <w:rPr>
                <w:rFonts w:ascii="Arial" w:eastAsia="Calibri" w:hAnsi="Arial" w:cs="Arial"/>
                <w:color w:val="000000"/>
                <w:sz w:val="20"/>
                <w:szCs w:val="20"/>
              </w:rPr>
              <w:t>Muguía</w:t>
            </w:r>
            <w:proofErr w:type="spellEnd"/>
            <w:r w:rsidRPr="00F32542">
              <w:rPr>
                <w:rFonts w:ascii="Arial" w:eastAsia="Calibri" w:hAnsi="Arial" w:cs="Arial"/>
                <w:color w:val="000000"/>
                <w:sz w:val="20"/>
                <w:szCs w:val="20"/>
              </w:rPr>
              <w:t xml:space="preserve"> López</w:t>
            </w:r>
          </w:p>
        </w:tc>
        <w:tc>
          <w:tcPr>
            <w:tcW w:w="1175" w:type="dxa"/>
          </w:tcPr>
          <w:p w14:paraId="5F041FCA"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16.63</w:t>
            </w:r>
          </w:p>
        </w:tc>
      </w:tr>
      <w:tr w:rsidR="00F94B48" w:rsidRPr="00F32542" w14:paraId="2AE575F3" w14:textId="77777777" w:rsidTr="00B65D24">
        <w:trPr>
          <w:tblHeader/>
          <w:jc w:val="center"/>
        </w:trPr>
        <w:tc>
          <w:tcPr>
            <w:tcW w:w="509" w:type="dxa"/>
            <w:vAlign w:val="center"/>
          </w:tcPr>
          <w:p w14:paraId="2A220C38"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8</w:t>
            </w:r>
          </w:p>
        </w:tc>
        <w:tc>
          <w:tcPr>
            <w:tcW w:w="904" w:type="dxa"/>
          </w:tcPr>
          <w:p w14:paraId="773B98FB"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22</w:t>
            </w:r>
          </w:p>
        </w:tc>
        <w:tc>
          <w:tcPr>
            <w:tcW w:w="850" w:type="dxa"/>
          </w:tcPr>
          <w:p w14:paraId="4468D0D1"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H</w:t>
            </w:r>
          </w:p>
        </w:tc>
        <w:tc>
          <w:tcPr>
            <w:tcW w:w="3038" w:type="dxa"/>
            <w:vAlign w:val="bottom"/>
          </w:tcPr>
          <w:p w14:paraId="041FB0AE"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 xml:space="preserve">Ernesto Fernández </w:t>
            </w:r>
            <w:proofErr w:type="spellStart"/>
            <w:r w:rsidRPr="00F32542">
              <w:rPr>
                <w:rFonts w:ascii="Arial" w:eastAsia="Calibri" w:hAnsi="Arial" w:cs="Arial"/>
                <w:color w:val="000000"/>
                <w:sz w:val="20"/>
                <w:szCs w:val="20"/>
              </w:rPr>
              <w:t>Tachiquín</w:t>
            </w:r>
            <w:proofErr w:type="spellEnd"/>
          </w:p>
        </w:tc>
        <w:tc>
          <w:tcPr>
            <w:tcW w:w="1175" w:type="dxa"/>
          </w:tcPr>
          <w:p w14:paraId="4EC9B304"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12.04</w:t>
            </w:r>
          </w:p>
        </w:tc>
      </w:tr>
      <w:tr w:rsidR="00F94B48" w:rsidRPr="00F32542" w14:paraId="39DC609D" w14:textId="77777777" w:rsidTr="00B65D24">
        <w:trPr>
          <w:tblHeader/>
          <w:jc w:val="center"/>
        </w:trPr>
        <w:tc>
          <w:tcPr>
            <w:tcW w:w="509" w:type="dxa"/>
            <w:vAlign w:val="center"/>
          </w:tcPr>
          <w:p w14:paraId="3FEAA86B"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9</w:t>
            </w:r>
          </w:p>
        </w:tc>
        <w:tc>
          <w:tcPr>
            <w:tcW w:w="904" w:type="dxa"/>
          </w:tcPr>
          <w:p w14:paraId="284BF31B"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4</w:t>
            </w:r>
          </w:p>
        </w:tc>
        <w:tc>
          <w:tcPr>
            <w:tcW w:w="850" w:type="dxa"/>
          </w:tcPr>
          <w:p w14:paraId="04BA0B4F"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M</w:t>
            </w:r>
          </w:p>
        </w:tc>
        <w:tc>
          <w:tcPr>
            <w:tcW w:w="3038" w:type="dxa"/>
            <w:vAlign w:val="bottom"/>
          </w:tcPr>
          <w:p w14:paraId="70508786"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 xml:space="preserve">Diana </w:t>
            </w:r>
            <w:proofErr w:type="spellStart"/>
            <w:r w:rsidRPr="00F32542">
              <w:rPr>
                <w:rFonts w:ascii="Arial" w:eastAsia="Calibri" w:hAnsi="Arial" w:cs="Arial"/>
                <w:color w:val="000000"/>
                <w:sz w:val="20"/>
                <w:szCs w:val="20"/>
              </w:rPr>
              <w:t>Karine</w:t>
            </w:r>
            <w:proofErr w:type="spellEnd"/>
            <w:r w:rsidRPr="00F32542">
              <w:rPr>
                <w:rFonts w:ascii="Arial" w:eastAsia="Calibri" w:hAnsi="Arial" w:cs="Arial"/>
                <w:color w:val="000000"/>
                <w:sz w:val="20"/>
                <w:szCs w:val="20"/>
              </w:rPr>
              <w:t xml:space="preserve"> Raya Govea</w:t>
            </w:r>
          </w:p>
        </w:tc>
        <w:tc>
          <w:tcPr>
            <w:tcW w:w="1175" w:type="dxa"/>
          </w:tcPr>
          <w:p w14:paraId="5C6C17DD"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15.92</w:t>
            </w:r>
          </w:p>
        </w:tc>
      </w:tr>
      <w:tr w:rsidR="00F94B48" w:rsidRPr="00F32542" w14:paraId="101B220C" w14:textId="77777777" w:rsidTr="00B65D24">
        <w:trPr>
          <w:tblHeader/>
          <w:jc w:val="center"/>
        </w:trPr>
        <w:tc>
          <w:tcPr>
            <w:tcW w:w="509" w:type="dxa"/>
            <w:vAlign w:val="center"/>
          </w:tcPr>
          <w:p w14:paraId="56732D04"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10</w:t>
            </w:r>
          </w:p>
        </w:tc>
        <w:tc>
          <w:tcPr>
            <w:tcW w:w="904" w:type="dxa"/>
          </w:tcPr>
          <w:p w14:paraId="1B92E552"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7</w:t>
            </w:r>
          </w:p>
        </w:tc>
        <w:tc>
          <w:tcPr>
            <w:tcW w:w="850" w:type="dxa"/>
          </w:tcPr>
          <w:p w14:paraId="6D743FB8"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H</w:t>
            </w:r>
          </w:p>
        </w:tc>
        <w:tc>
          <w:tcPr>
            <w:tcW w:w="3038" w:type="dxa"/>
            <w:vAlign w:val="bottom"/>
          </w:tcPr>
          <w:p w14:paraId="1FBD7A3F"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Emiliano Aguilar Esquivel</w:t>
            </w:r>
          </w:p>
        </w:tc>
        <w:tc>
          <w:tcPr>
            <w:tcW w:w="1175" w:type="dxa"/>
          </w:tcPr>
          <w:p w14:paraId="430774DD"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7.59</w:t>
            </w:r>
          </w:p>
        </w:tc>
      </w:tr>
      <w:tr w:rsidR="00F94B48" w:rsidRPr="00F32542" w14:paraId="5D5A1392" w14:textId="77777777" w:rsidTr="00B65D24">
        <w:trPr>
          <w:tblHeader/>
          <w:jc w:val="center"/>
        </w:trPr>
        <w:tc>
          <w:tcPr>
            <w:tcW w:w="509" w:type="dxa"/>
            <w:vAlign w:val="center"/>
          </w:tcPr>
          <w:p w14:paraId="7BF5DF14"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11</w:t>
            </w:r>
          </w:p>
        </w:tc>
        <w:tc>
          <w:tcPr>
            <w:tcW w:w="904" w:type="dxa"/>
          </w:tcPr>
          <w:p w14:paraId="227BEF5D"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8</w:t>
            </w:r>
          </w:p>
        </w:tc>
        <w:tc>
          <w:tcPr>
            <w:tcW w:w="850" w:type="dxa"/>
          </w:tcPr>
          <w:p w14:paraId="079A883F"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M</w:t>
            </w:r>
          </w:p>
        </w:tc>
        <w:tc>
          <w:tcPr>
            <w:tcW w:w="3038" w:type="dxa"/>
            <w:vAlign w:val="bottom"/>
          </w:tcPr>
          <w:p w14:paraId="4E699AF9" w14:textId="77777777" w:rsidR="00F94B48" w:rsidRPr="00F32542" w:rsidRDefault="00F94B48" w:rsidP="00F94B48">
            <w:pPr>
              <w:spacing w:after="0" w:line="360" w:lineRule="auto"/>
              <w:jc w:val="center"/>
              <w:rPr>
                <w:rFonts w:ascii="Arial" w:eastAsia="Calibri" w:hAnsi="Arial" w:cs="Arial"/>
                <w:color w:val="000000"/>
                <w:sz w:val="20"/>
                <w:szCs w:val="20"/>
              </w:rPr>
            </w:pPr>
            <w:proofErr w:type="spellStart"/>
            <w:r w:rsidRPr="00F32542">
              <w:rPr>
                <w:rFonts w:ascii="Arial" w:eastAsia="Calibri" w:hAnsi="Arial" w:cs="Arial"/>
                <w:color w:val="000000"/>
                <w:sz w:val="20"/>
                <w:szCs w:val="20"/>
              </w:rPr>
              <w:t>Talia</w:t>
            </w:r>
            <w:proofErr w:type="spellEnd"/>
            <w:r w:rsidRPr="00F32542">
              <w:rPr>
                <w:rFonts w:ascii="Arial" w:eastAsia="Calibri" w:hAnsi="Arial" w:cs="Arial"/>
                <w:color w:val="000000"/>
                <w:sz w:val="20"/>
                <w:szCs w:val="20"/>
              </w:rPr>
              <w:t xml:space="preserve"> Stefany Rincón Martínez</w:t>
            </w:r>
          </w:p>
        </w:tc>
        <w:tc>
          <w:tcPr>
            <w:tcW w:w="1175" w:type="dxa"/>
          </w:tcPr>
          <w:p w14:paraId="446B243D"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14.18</w:t>
            </w:r>
          </w:p>
        </w:tc>
      </w:tr>
      <w:tr w:rsidR="00F94B48" w:rsidRPr="00F32542" w14:paraId="6AF28D7D" w14:textId="77777777" w:rsidTr="00B65D24">
        <w:trPr>
          <w:tblHeader/>
          <w:jc w:val="center"/>
        </w:trPr>
        <w:tc>
          <w:tcPr>
            <w:tcW w:w="509" w:type="dxa"/>
            <w:vAlign w:val="center"/>
          </w:tcPr>
          <w:p w14:paraId="63ADB8F4"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12</w:t>
            </w:r>
          </w:p>
        </w:tc>
        <w:tc>
          <w:tcPr>
            <w:tcW w:w="904" w:type="dxa"/>
          </w:tcPr>
          <w:p w14:paraId="1A9D5E95"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1</w:t>
            </w:r>
          </w:p>
        </w:tc>
        <w:tc>
          <w:tcPr>
            <w:tcW w:w="850" w:type="dxa"/>
          </w:tcPr>
          <w:p w14:paraId="224229DC"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M</w:t>
            </w:r>
          </w:p>
        </w:tc>
        <w:tc>
          <w:tcPr>
            <w:tcW w:w="3038" w:type="dxa"/>
            <w:vAlign w:val="bottom"/>
          </w:tcPr>
          <w:p w14:paraId="5F4CAB72"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Miriam Villanueva Reséndiz</w:t>
            </w:r>
          </w:p>
        </w:tc>
        <w:tc>
          <w:tcPr>
            <w:tcW w:w="1175" w:type="dxa"/>
          </w:tcPr>
          <w:p w14:paraId="1B5A1C0B"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10.80</w:t>
            </w:r>
          </w:p>
        </w:tc>
      </w:tr>
      <w:tr w:rsidR="00F94B48" w:rsidRPr="00F32542" w14:paraId="696AD93C" w14:textId="77777777" w:rsidTr="00B65D24">
        <w:trPr>
          <w:tblHeader/>
          <w:jc w:val="center"/>
        </w:trPr>
        <w:tc>
          <w:tcPr>
            <w:tcW w:w="509" w:type="dxa"/>
            <w:vAlign w:val="center"/>
          </w:tcPr>
          <w:p w14:paraId="762AD6CA" w14:textId="77777777" w:rsidR="00F94B48" w:rsidRPr="00F32542" w:rsidRDefault="00F94B48" w:rsidP="00F94B48">
            <w:pPr>
              <w:spacing w:after="0" w:line="360" w:lineRule="auto"/>
              <w:jc w:val="both"/>
              <w:rPr>
                <w:rFonts w:ascii="Arial" w:eastAsia="Calibri" w:hAnsi="Arial" w:cs="Arial"/>
                <w:sz w:val="20"/>
                <w:szCs w:val="20"/>
              </w:rPr>
            </w:pPr>
            <w:r w:rsidRPr="00F32542">
              <w:rPr>
                <w:rFonts w:ascii="Arial" w:eastAsia="Calibri" w:hAnsi="Arial" w:cs="Arial"/>
                <w:sz w:val="20"/>
                <w:szCs w:val="20"/>
              </w:rPr>
              <w:t>13</w:t>
            </w:r>
          </w:p>
        </w:tc>
        <w:tc>
          <w:tcPr>
            <w:tcW w:w="904" w:type="dxa"/>
          </w:tcPr>
          <w:p w14:paraId="647EF040"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27</w:t>
            </w:r>
          </w:p>
        </w:tc>
        <w:tc>
          <w:tcPr>
            <w:tcW w:w="850" w:type="dxa"/>
          </w:tcPr>
          <w:p w14:paraId="74D3C49A"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M</w:t>
            </w:r>
          </w:p>
        </w:tc>
        <w:tc>
          <w:tcPr>
            <w:tcW w:w="3038" w:type="dxa"/>
            <w:vAlign w:val="bottom"/>
          </w:tcPr>
          <w:p w14:paraId="7B2A43B9"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Alondra Monserrat Pérez Fonseca</w:t>
            </w:r>
          </w:p>
        </w:tc>
        <w:tc>
          <w:tcPr>
            <w:tcW w:w="1175" w:type="dxa"/>
          </w:tcPr>
          <w:p w14:paraId="1F75131C" w14:textId="77777777" w:rsidR="00F94B48" w:rsidRPr="00F32542" w:rsidRDefault="00F94B48" w:rsidP="00F94B48">
            <w:pPr>
              <w:spacing w:after="0" w:line="360" w:lineRule="auto"/>
              <w:jc w:val="center"/>
              <w:rPr>
                <w:rFonts w:ascii="Arial" w:eastAsia="Calibri" w:hAnsi="Arial" w:cs="Arial"/>
                <w:color w:val="000000"/>
                <w:sz w:val="20"/>
                <w:szCs w:val="20"/>
              </w:rPr>
            </w:pPr>
            <w:r w:rsidRPr="00F32542">
              <w:rPr>
                <w:rFonts w:ascii="Arial" w:eastAsia="Calibri" w:hAnsi="Arial" w:cs="Arial"/>
                <w:color w:val="000000"/>
                <w:sz w:val="20"/>
                <w:szCs w:val="20"/>
              </w:rPr>
              <w:t>7.61</w:t>
            </w:r>
          </w:p>
        </w:tc>
      </w:tr>
    </w:tbl>
    <w:p w14:paraId="431CB840"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Ciertamente, en la tabla que insertó la autoridad responsable de la lista B del PAN, no expuso la votación que se tomaría como base en cada distrito, ni la votación que obtuvo cada candidatura. Sin embargo, como se evidenciará, a partir de las operaciones matemáticas que realizó este Tribunal, la autoridad siguió los pasos establecidos en el artículo 24 del </w:t>
      </w:r>
      <w:r w:rsidRPr="00F32542">
        <w:rPr>
          <w:rFonts w:ascii="Arial" w:eastAsia="Calibri" w:hAnsi="Arial" w:cs="Arial"/>
          <w:bCs/>
          <w:i/>
          <w:sz w:val="28"/>
          <w:szCs w:val="28"/>
        </w:rPr>
        <w:t>Código local</w:t>
      </w:r>
      <w:r w:rsidRPr="00F32542">
        <w:rPr>
          <w:rFonts w:ascii="Arial" w:eastAsia="Calibri" w:hAnsi="Arial" w:cs="Arial"/>
          <w:bCs/>
          <w:sz w:val="28"/>
          <w:szCs w:val="28"/>
        </w:rPr>
        <w:t xml:space="preserve"> para obtener el porcentaje de cada candidatura. </w:t>
      </w:r>
    </w:p>
    <w:p w14:paraId="3FD546D7"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En efecto, </w:t>
      </w:r>
      <w:proofErr w:type="gramStart"/>
      <w:r w:rsidRPr="00F32542">
        <w:rPr>
          <w:rFonts w:ascii="Arial" w:eastAsia="Calibri" w:hAnsi="Arial" w:cs="Arial"/>
          <w:bCs/>
          <w:sz w:val="28"/>
          <w:szCs w:val="28"/>
        </w:rPr>
        <w:t>de acuerdo a</w:t>
      </w:r>
      <w:proofErr w:type="gramEnd"/>
      <w:r w:rsidRPr="00F32542">
        <w:rPr>
          <w:rFonts w:ascii="Arial" w:eastAsia="Calibri" w:hAnsi="Arial" w:cs="Arial"/>
          <w:bCs/>
          <w:sz w:val="28"/>
          <w:szCs w:val="28"/>
        </w:rPr>
        <w:t xml:space="preserve"> la fórmula indicada, se puede apreciar que, para obtener el porcentaje de cada candidatura, la autoridad siguió los siguientes pasos. </w:t>
      </w:r>
    </w:p>
    <w:p w14:paraId="740B8CE7"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Obtuvo la votación local emitida al sustraer de la votación total de cada distrito, la votación de los partidos del Trabajo, Equidad, Libertad y Género, Encuentro Solidario, Redes Sociales Progresistas y Fuerza </w:t>
      </w:r>
      <w:r w:rsidRPr="00F32542">
        <w:rPr>
          <w:rFonts w:ascii="Arial" w:eastAsia="Calibri" w:hAnsi="Arial" w:cs="Arial"/>
          <w:bCs/>
          <w:sz w:val="28"/>
          <w:szCs w:val="28"/>
        </w:rPr>
        <w:lastRenderedPageBreak/>
        <w:t xml:space="preserve">por México, quienes no obtuvieron el 3% de la votación válida emitida, de conformidad con el acuerdo citado. </w:t>
      </w:r>
    </w:p>
    <w:p w14:paraId="7A298236"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También se restaron los votos nulos, los de candidaturas sin partidos y las de candidaturas no registradas. </w:t>
      </w:r>
    </w:p>
    <w:p w14:paraId="25753B0B"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Una vez que se obtuvo la votación local emitida de cada distrito, se realizó la operación para establecer a que porcentaje de tal votación equivale la que obtuvo exclusivamente el partido político postulante de la lista B.</w:t>
      </w:r>
    </w:p>
    <w:p w14:paraId="1D66DE5A"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A continuación, se muestran las votaciones locales emitidas de cada distrito, los votos de cada candidatura (únicamente considerando el partido que las postuló en la lista B) y el porcentaje correspondiente:</w:t>
      </w:r>
    </w:p>
    <w:tbl>
      <w:tblPr>
        <w:tblStyle w:val="Tablaconcuadrcula25"/>
        <w:tblW w:w="0" w:type="auto"/>
        <w:jc w:val="center"/>
        <w:tblLook w:val="04A0" w:firstRow="1" w:lastRow="0" w:firstColumn="1" w:lastColumn="0" w:noHBand="0" w:noVBand="1"/>
      </w:tblPr>
      <w:tblGrid>
        <w:gridCol w:w="536"/>
        <w:gridCol w:w="964"/>
        <w:gridCol w:w="2930"/>
        <w:gridCol w:w="1706"/>
        <w:gridCol w:w="1171"/>
        <w:gridCol w:w="1239"/>
      </w:tblGrid>
      <w:tr w:rsidR="00F94B48" w:rsidRPr="00F32542" w14:paraId="5FFE4A93" w14:textId="77777777" w:rsidTr="00F94B48">
        <w:trPr>
          <w:tblHeader/>
          <w:jc w:val="center"/>
        </w:trPr>
        <w:tc>
          <w:tcPr>
            <w:tcW w:w="549" w:type="dxa"/>
            <w:shd w:val="clear" w:color="auto" w:fill="E7E6E6"/>
            <w:vAlign w:val="center"/>
          </w:tcPr>
          <w:p w14:paraId="0E6CF5DE" w14:textId="77777777" w:rsidR="00F94B48" w:rsidRPr="00F32542" w:rsidRDefault="00F94B48" w:rsidP="00F94B48">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No</w:t>
            </w:r>
          </w:p>
        </w:tc>
        <w:tc>
          <w:tcPr>
            <w:tcW w:w="977" w:type="dxa"/>
            <w:shd w:val="clear" w:color="auto" w:fill="E7E6E6"/>
            <w:vAlign w:val="center"/>
          </w:tcPr>
          <w:p w14:paraId="052110F5" w14:textId="77777777" w:rsidR="00F94B48" w:rsidRPr="00F32542" w:rsidRDefault="00F94B48" w:rsidP="00F94B48">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Distrito</w:t>
            </w:r>
          </w:p>
        </w:tc>
        <w:tc>
          <w:tcPr>
            <w:tcW w:w="3330" w:type="dxa"/>
            <w:shd w:val="clear" w:color="auto" w:fill="E7E6E6"/>
            <w:vAlign w:val="center"/>
          </w:tcPr>
          <w:p w14:paraId="6094292B" w14:textId="77777777" w:rsidR="00F94B48" w:rsidRPr="00F32542" w:rsidRDefault="00F94B48" w:rsidP="00F94B48">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Candidatura</w:t>
            </w:r>
          </w:p>
        </w:tc>
        <w:tc>
          <w:tcPr>
            <w:tcW w:w="1595" w:type="dxa"/>
            <w:shd w:val="clear" w:color="auto" w:fill="E7E6E6"/>
            <w:vAlign w:val="center"/>
          </w:tcPr>
          <w:p w14:paraId="2EFC503B" w14:textId="77777777" w:rsidR="00F94B48" w:rsidRPr="00F32542" w:rsidRDefault="00F94B48" w:rsidP="00F94B48">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Votos candidatura exclusivamente emitidos a favor del PAN</w:t>
            </w:r>
          </w:p>
        </w:tc>
        <w:tc>
          <w:tcPr>
            <w:tcW w:w="1199" w:type="dxa"/>
            <w:shd w:val="clear" w:color="auto" w:fill="E7E6E6"/>
            <w:vAlign w:val="center"/>
          </w:tcPr>
          <w:p w14:paraId="209EB9B5" w14:textId="77777777" w:rsidR="00F94B48" w:rsidRPr="00F32542" w:rsidRDefault="00F94B48" w:rsidP="00F94B48">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Votación</w:t>
            </w:r>
          </w:p>
          <w:p w14:paraId="0447192B" w14:textId="77777777" w:rsidR="00F94B48" w:rsidRPr="00F32542" w:rsidRDefault="00F94B48" w:rsidP="00F94B48">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local</w:t>
            </w:r>
          </w:p>
          <w:p w14:paraId="369D33E1" w14:textId="77777777" w:rsidR="00F94B48" w:rsidRPr="00F32542" w:rsidRDefault="00F94B48" w:rsidP="00F94B48">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efectiva</w:t>
            </w:r>
          </w:p>
        </w:tc>
        <w:tc>
          <w:tcPr>
            <w:tcW w:w="1178" w:type="dxa"/>
            <w:shd w:val="clear" w:color="auto" w:fill="E7E6E6"/>
            <w:vAlign w:val="center"/>
          </w:tcPr>
          <w:p w14:paraId="47DC0D7D" w14:textId="77777777" w:rsidR="00F94B48" w:rsidRPr="00F32542" w:rsidRDefault="00F94B48" w:rsidP="00F94B48">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Porcentaje</w:t>
            </w:r>
          </w:p>
        </w:tc>
      </w:tr>
      <w:tr w:rsidR="00F94B48" w:rsidRPr="00F32542" w14:paraId="39444F5E" w14:textId="77777777" w:rsidTr="00B65D24">
        <w:trPr>
          <w:tblHeader/>
          <w:jc w:val="center"/>
        </w:trPr>
        <w:tc>
          <w:tcPr>
            <w:tcW w:w="549" w:type="dxa"/>
          </w:tcPr>
          <w:p w14:paraId="397FE542" w14:textId="77777777" w:rsidR="00F94B48" w:rsidRPr="00F32542" w:rsidRDefault="00F94B48" w:rsidP="00F94B48">
            <w:pPr>
              <w:spacing w:after="0" w:line="240" w:lineRule="auto"/>
              <w:jc w:val="both"/>
              <w:rPr>
                <w:rFonts w:ascii="Arial" w:eastAsia="Calibri" w:hAnsi="Arial" w:cs="Arial"/>
                <w:sz w:val="20"/>
                <w:szCs w:val="20"/>
              </w:rPr>
            </w:pPr>
            <w:r w:rsidRPr="00F32542">
              <w:rPr>
                <w:rFonts w:ascii="Arial" w:eastAsia="Calibri" w:hAnsi="Arial" w:cs="Arial"/>
                <w:sz w:val="20"/>
                <w:szCs w:val="20"/>
              </w:rPr>
              <w:t>1</w:t>
            </w:r>
          </w:p>
        </w:tc>
        <w:tc>
          <w:tcPr>
            <w:tcW w:w="977" w:type="dxa"/>
          </w:tcPr>
          <w:p w14:paraId="7A8AF87A"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5</w:t>
            </w:r>
          </w:p>
        </w:tc>
        <w:tc>
          <w:tcPr>
            <w:tcW w:w="3330" w:type="dxa"/>
          </w:tcPr>
          <w:p w14:paraId="406B68EA"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María Gabriela Salido Magos</w:t>
            </w:r>
          </w:p>
        </w:tc>
        <w:tc>
          <w:tcPr>
            <w:tcW w:w="1595" w:type="dxa"/>
          </w:tcPr>
          <w:p w14:paraId="73A4B7F0"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48,862</w:t>
            </w:r>
          </w:p>
        </w:tc>
        <w:tc>
          <w:tcPr>
            <w:tcW w:w="1199" w:type="dxa"/>
          </w:tcPr>
          <w:p w14:paraId="113177B7"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131,085</w:t>
            </w:r>
          </w:p>
        </w:tc>
        <w:tc>
          <w:tcPr>
            <w:tcW w:w="1178" w:type="dxa"/>
          </w:tcPr>
          <w:p w14:paraId="31CA4EF8"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37.29</w:t>
            </w:r>
          </w:p>
        </w:tc>
      </w:tr>
      <w:tr w:rsidR="00F94B48" w:rsidRPr="00F32542" w14:paraId="0B2A10DC" w14:textId="77777777" w:rsidTr="00B65D24">
        <w:trPr>
          <w:trHeight w:val="75"/>
          <w:tblHeader/>
          <w:jc w:val="center"/>
        </w:trPr>
        <w:tc>
          <w:tcPr>
            <w:tcW w:w="549" w:type="dxa"/>
          </w:tcPr>
          <w:p w14:paraId="0CA5A9BC" w14:textId="77777777" w:rsidR="00F94B48" w:rsidRPr="00F32542" w:rsidRDefault="00F94B48" w:rsidP="00F94B48">
            <w:pPr>
              <w:spacing w:after="0" w:line="240" w:lineRule="auto"/>
              <w:jc w:val="both"/>
              <w:rPr>
                <w:rFonts w:ascii="Arial" w:eastAsia="Calibri" w:hAnsi="Arial" w:cs="Arial"/>
                <w:sz w:val="20"/>
                <w:szCs w:val="20"/>
              </w:rPr>
            </w:pPr>
            <w:r w:rsidRPr="00F32542">
              <w:rPr>
                <w:rFonts w:ascii="Arial" w:eastAsia="Calibri" w:hAnsi="Arial" w:cs="Arial"/>
                <w:sz w:val="20"/>
                <w:szCs w:val="20"/>
              </w:rPr>
              <w:t>2</w:t>
            </w:r>
          </w:p>
        </w:tc>
        <w:tc>
          <w:tcPr>
            <w:tcW w:w="977" w:type="dxa"/>
          </w:tcPr>
          <w:p w14:paraId="4A6D49F1"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14</w:t>
            </w:r>
          </w:p>
        </w:tc>
        <w:tc>
          <w:tcPr>
            <w:tcW w:w="3330" w:type="dxa"/>
          </w:tcPr>
          <w:p w14:paraId="5DBA88AD"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Luis Alberto Chávez García</w:t>
            </w:r>
          </w:p>
        </w:tc>
        <w:tc>
          <w:tcPr>
            <w:tcW w:w="1595" w:type="dxa"/>
          </w:tcPr>
          <w:p w14:paraId="581A44CA"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28,875</w:t>
            </w:r>
          </w:p>
        </w:tc>
        <w:tc>
          <w:tcPr>
            <w:tcW w:w="1199" w:type="dxa"/>
          </w:tcPr>
          <w:p w14:paraId="02CDE176"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101,843</w:t>
            </w:r>
          </w:p>
        </w:tc>
        <w:tc>
          <w:tcPr>
            <w:tcW w:w="1178" w:type="dxa"/>
          </w:tcPr>
          <w:p w14:paraId="2F4F2ACF"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28.36</w:t>
            </w:r>
          </w:p>
        </w:tc>
      </w:tr>
      <w:tr w:rsidR="00F94B48" w:rsidRPr="00F32542" w14:paraId="283F8142" w14:textId="77777777" w:rsidTr="00B65D24">
        <w:trPr>
          <w:tblHeader/>
          <w:jc w:val="center"/>
        </w:trPr>
        <w:tc>
          <w:tcPr>
            <w:tcW w:w="549" w:type="dxa"/>
          </w:tcPr>
          <w:p w14:paraId="67D5813D" w14:textId="77777777" w:rsidR="00F94B48" w:rsidRPr="00F32542" w:rsidRDefault="00F94B48" w:rsidP="00F94B48">
            <w:pPr>
              <w:spacing w:after="0" w:line="240" w:lineRule="auto"/>
              <w:jc w:val="both"/>
              <w:rPr>
                <w:rFonts w:ascii="Arial" w:eastAsia="Calibri" w:hAnsi="Arial" w:cs="Arial"/>
                <w:sz w:val="20"/>
                <w:szCs w:val="20"/>
              </w:rPr>
            </w:pPr>
            <w:r w:rsidRPr="00F32542">
              <w:rPr>
                <w:rFonts w:ascii="Arial" w:eastAsia="Calibri" w:hAnsi="Arial" w:cs="Arial"/>
                <w:sz w:val="20"/>
                <w:szCs w:val="20"/>
              </w:rPr>
              <w:t>3</w:t>
            </w:r>
          </w:p>
        </w:tc>
        <w:tc>
          <w:tcPr>
            <w:tcW w:w="977" w:type="dxa"/>
          </w:tcPr>
          <w:p w14:paraId="04CBFFA5"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28</w:t>
            </w:r>
          </w:p>
        </w:tc>
        <w:tc>
          <w:tcPr>
            <w:tcW w:w="3330" w:type="dxa"/>
          </w:tcPr>
          <w:p w14:paraId="211B016F"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 xml:space="preserve">Andrea </w:t>
            </w:r>
            <w:proofErr w:type="spellStart"/>
            <w:r w:rsidRPr="00F32542">
              <w:rPr>
                <w:rFonts w:ascii="Arial" w:eastAsia="Calibri" w:hAnsi="Arial" w:cs="Arial"/>
                <w:color w:val="000000"/>
                <w:sz w:val="20"/>
                <w:szCs w:val="20"/>
              </w:rPr>
              <w:t>Evelyne</w:t>
            </w:r>
            <w:proofErr w:type="spellEnd"/>
            <w:r w:rsidRPr="00F32542">
              <w:rPr>
                <w:rFonts w:ascii="Arial" w:eastAsia="Calibri" w:hAnsi="Arial" w:cs="Arial"/>
                <w:color w:val="000000"/>
                <w:sz w:val="20"/>
                <w:szCs w:val="20"/>
              </w:rPr>
              <w:t xml:space="preserve"> </w:t>
            </w:r>
            <w:proofErr w:type="spellStart"/>
            <w:r w:rsidRPr="00F32542">
              <w:rPr>
                <w:rFonts w:ascii="Arial" w:eastAsia="Calibri" w:hAnsi="Arial" w:cs="Arial"/>
                <w:color w:val="000000"/>
                <w:sz w:val="20"/>
                <w:szCs w:val="20"/>
              </w:rPr>
              <w:t>Vicenteño</w:t>
            </w:r>
            <w:proofErr w:type="spellEnd"/>
            <w:r w:rsidRPr="00F32542">
              <w:rPr>
                <w:rFonts w:ascii="Arial" w:eastAsia="Calibri" w:hAnsi="Arial" w:cs="Arial"/>
                <w:color w:val="000000"/>
                <w:sz w:val="20"/>
                <w:szCs w:val="20"/>
              </w:rPr>
              <w:t xml:space="preserve"> Barrientos</w:t>
            </w:r>
          </w:p>
        </w:tc>
        <w:tc>
          <w:tcPr>
            <w:tcW w:w="1595" w:type="dxa"/>
          </w:tcPr>
          <w:p w14:paraId="2412C469"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19,208</w:t>
            </w:r>
          </w:p>
        </w:tc>
        <w:tc>
          <w:tcPr>
            <w:tcW w:w="1199" w:type="dxa"/>
          </w:tcPr>
          <w:p w14:paraId="7F05B5C0"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86,529</w:t>
            </w:r>
          </w:p>
        </w:tc>
        <w:tc>
          <w:tcPr>
            <w:tcW w:w="1178" w:type="dxa"/>
          </w:tcPr>
          <w:p w14:paraId="191A7D24"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22.19</w:t>
            </w:r>
          </w:p>
        </w:tc>
      </w:tr>
      <w:tr w:rsidR="00F94B48" w:rsidRPr="00F32542" w14:paraId="18E1EC5D" w14:textId="77777777" w:rsidTr="00B65D24">
        <w:trPr>
          <w:tblHeader/>
          <w:jc w:val="center"/>
        </w:trPr>
        <w:tc>
          <w:tcPr>
            <w:tcW w:w="549" w:type="dxa"/>
          </w:tcPr>
          <w:p w14:paraId="274E76C7" w14:textId="77777777" w:rsidR="00F94B48" w:rsidRPr="00F32542" w:rsidRDefault="00F94B48" w:rsidP="00F94B48">
            <w:pPr>
              <w:spacing w:after="0" w:line="240" w:lineRule="auto"/>
              <w:jc w:val="both"/>
              <w:rPr>
                <w:rFonts w:ascii="Arial" w:eastAsia="Calibri" w:hAnsi="Arial" w:cs="Arial"/>
                <w:sz w:val="20"/>
                <w:szCs w:val="20"/>
              </w:rPr>
            </w:pPr>
            <w:r w:rsidRPr="00F32542">
              <w:rPr>
                <w:rFonts w:ascii="Arial" w:eastAsia="Calibri" w:hAnsi="Arial" w:cs="Arial"/>
                <w:sz w:val="20"/>
                <w:szCs w:val="20"/>
              </w:rPr>
              <w:t>4</w:t>
            </w:r>
          </w:p>
        </w:tc>
        <w:tc>
          <w:tcPr>
            <w:tcW w:w="977" w:type="dxa"/>
          </w:tcPr>
          <w:p w14:paraId="082F73CF"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20</w:t>
            </w:r>
          </w:p>
        </w:tc>
        <w:tc>
          <w:tcPr>
            <w:tcW w:w="3330" w:type="dxa"/>
          </w:tcPr>
          <w:p w14:paraId="1F7A7291"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José Gonzalo Espina Miranda</w:t>
            </w:r>
          </w:p>
        </w:tc>
        <w:tc>
          <w:tcPr>
            <w:tcW w:w="1595" w:type="dxa"/>
          </w:tcPr>
          <w:p w14:paraId="3789D827"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39,586</w:t>
            </w:r>
          </w:p>
        </w:tc>
        <w:tc>
          <w:tcPr>
            <w:tcW w:w="1199" w:type="dxa"/>
          </w:tcPr>
          <w:p w14:paraId="3E3621D7"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143,541</w:t>
            </w:r>
          </w:p>
        </w:tc>
        <w:tc>
          <w:tcPr>
            <w:tcW w:w="1178" w:type="dxa"/>
          </w:tcPr>
          <w:p w14:paraId="3DBD0E7F"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27.57</w:t>
            </w:r>
          </w:p>
        </w:tc>
      </w:tr>
      <w:tr w:rsidR="00F94B48" w:rsidRPr="00F32542" w14:paraId="3481F7D5" w14:textId="77777777" w:rsidTr="00B65D24">
        <w:trPr>
          <w:tblHeader/>
          <w:jc w:val="center"/>
        </w:trPr>
        <w:tc>
          <w:tcPr>
            <w:tcW w:w="549" w:type="dxa"/>
          </w:tcPr>
          <w:p w14:paraId="2E35778A" w14:textId="77777777" w:rsidR="00F94B48" w:rsidRPr="00F32542" w:rsidRDefault="00F94B48" w:rsidP="00F94B48">
            <w:pPr>
              <w:spacing w:after="0" w:line="240" w:lineRule="auto"/>
              <w:jc w:val="both"/>
              <w:rPr>
                <w:rFonts w:ascii="Arial" w:eastAsia="Calibri" w:hAnsi="Arial" w:cs="Arial"/>
                <w:sz w:val="20"/>
                <w:szCs w:val="20"/>
              </w:rPr>
            </w:pPr>
            <w:r w:rsidRPr="00F32542">
              <w:rPr>
                <w:rFonts w:ascii="Arial" w:eastAsia="Calibri" w:hAnsi="Arial" w:cs="Arial"/>
                <w:sz w:val="20"/>
                <w:szCs w:val="20"/>
              </w:rPr>
              <w:t>5</w:t>
            </w:r>
          </w:p>
        </w:tc>
        <w:tc>
          <w:tcPr>
            <w:tcW w:w="977" w:type="dxa"/>
          </w:tcPr>
          <w:p w14:paraId="5437B51C"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11</w:t>
            </w:r>
          </w:p>
        </w:tc>
        <w:tc>
          <w:tcPr>
            <w:tcW w:w="3330" w:type="dxa"/>
          </w:tcPr>
          <w:p w14:paraId="782BD40D"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Mónica Jessica Menocal del Moral</w:t>
            </w:r>
          </w:p>
        </w:tc>
        <w:tc>
          <w:tcPr>
            <w:tcW w:w="1595" w:type="dxa"/>
          </w:tcPr>
          <w:p w14:paraId="4472F19B"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23,837</w:t>
            </w:r>
          </w:p>
        </w:tc>
        <w:tc>
          <w:tcPr>
            <w:tcW w:w="1199" w:type="dxa"/>
          </w:tcPr>
          <w:p w14:paraId="08AB9CF5"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121,270</w:t>
            </w:r>
          </w:p>
        </w:tc>
        <w:tc>
          <w:tcPr>
            <w:tcW w:w="1178" w:type="dxa"/>
          </w:tcPr>
          <w:p w14:paraId="3AB107B8"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19.65</w:t>
            </w:r>
          </w:p>
        </w:tc>
      </w:tr>
      <w:tr w:rsidR="00F94B48" w:rsidRPr="00F32542" w14:paraId="3F48B0FA" w14:textId="77777777" w:rsidTr="00B65D24">
        <w:trPr>
          <w:tblHeader/>
          <w:jc w:val="center"/>
        </w:trPr>
        <w:tc>
          <w:tcPr>
            <w:tcW w:w="549" w:type="dxa"/>
          </w:tcPr>
          <w:p w14:paraId="790D85FC" w14:textId="77777777" w:rsidR="00F94B48" w:rsidRPr="00F32542" w:rsidRDefault="00F94B48" w:rsidP="00F94B48">
            <w:pPr>
              <w:spacing w:after="0" w:line="240" w:lineRule="auto"/>
              <w:jc w:val="both"/>
              <w:rPr>
                <w:rFonts w:ascii="Arial" w:eastAsia="Calibri" w:hAnsi="Arial" w:cs="Arial"/>
                <w:sz w:val="20"/>
                <w:szCs w:val="20"/>
              </w:rPr>
            </w:pPr>
            <w:r w:rsidRPr="00F32542">
              <w:rPr>
                <w:rFonts w:ascii="Arial" w:eastAsia="Calibri" w:hAnsi="Arial" w:cs="Arial"/>
                <w:sz w:val="20"/>
                <w:szCs w:val="20"/>
              </w:rPr>
              <w:t>6</w:t>
            </w:r>
          </w:p>
        </w:tc>
        <w:tc>
          <w:tcPr>
            <w:tcW w:w="977" w:type="dxa"/>
          </w:tcPr>
          <w:p w14:paraId="16DA0C0F"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15</w:t>
            </w:r>
          </w:p>
        </w:tc>
        <w:tc>
          <w:tcPr>
            <w:tcW w:w="3330" w:type="dxa"/>
          </w:tcPr>
          <w:p w14:paraId="460D6A80"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 xml:space="preserve">Fernando </w:t>
            </w:r>
            <w:proofErr w:type="spellStart"/>
            <w:r w:rsidRPr="00F32542">
              <w:rPr>
                <w:rFonts w:ascii="Arial" w:eastAsia="Calibri" w:hAnsi="Arial" w:cs="Arial"/>
                <w:color w:val="000000"/>
                <w:sz w:val="20"/>
                <w:szCs w:val="20"/>
              </w:rPr>
              <w:t>Belau</w:t>
            </w:r>
            <w:r w:rsidR="00A56585" w:rsidRPr="00F32542">
              <w:rPr>
                <w:rFonts w:ascii="Arial" w:eastAsia="Calibri" w:hAnsi="Arial" w:cs="Arial"/>
                <w:color w:val="000000"/>
                <w:sz w:val="20"/>
                <w:szCs w:val="20"/>
              </w:rPr>
              <w:t>n</w:t>
            </w:r>
            <w:r w:rsidRPr="00F32542">
              <w:rPr>
                <w:rFonts w:ascii="Arial" w:eastAsia="Calibri" w:hAnsi="Arial" w:cs="Arial"/>
                <w:color w:val="000000"/>
                <w:sz w:val="20"/>
                <w:szCs w:val="20"/>
              </w:rPr>
              <w:t>zarán</w:t>
            </w:r>
            <w:proofErr w:type="spellEnd"/>
            <w:r w:rsidRPr="00F32542">
              <w:rPr>
                <w:rFonts w:ascii="Arial" w:eastAsia="Calibri" w:hAnsi="Arial" w:cs="Arial"/>
                <w:color w:val="000000"/>
                <w:sz w:val="20"/>
                <w:szCs w:val="20"/>
              </w:rPr>
              <w:t xml:space="preserve"> </w:t>
            </w:r>
            <w:proofErr w:type="spellStart"/>
            <w:r w:rsidRPr="00F32542">
              <w:rPr>
                <w:rFonts w:ascii="Arial" w:eastAsia="Calibri" w:hAnsi="Arial" w:cs="Arial"/>
                <w:color w:val="000000"/>
                <w:sz w:val="20"/>
                <w:szCs w:val="20"/>
              </w:rPr>
              <w:t>Mendéz</w:t>
            </w:r>
            <w:proofErr w:type="spellEnd"/>
          </w:p>
        </w:tc>
        <w:tc>
          <w:tcPr>
            <w:tcW w:w="1595" w:type="dxa"/>
          </w:tcPr>
          <w:p w14:paraId="0BBB7C2E"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31,720</w:t>
            </w:r>
          </w:p>
        </w:tc>
        <w:tc>
          <w:tcPr>
            <w:tcW w:w="1199" w:type="dxa"/>
          </w:tcPr>
          <w:p w14:paraId="3297B5B9"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120,522</w:t>
            </w:r>
          </w:p>
        </w:tc>
        <w:tc>
          <w:tcPr>
            <w:tcW w:w="1178" w:type="dxa"/>
          </w:tcPr>
          <w:p w14:paraId="012338DA"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26.31</w:t>
            </w:r>
          </w:p>
        </w:tc>
      </w:tr>
      <w:tr w:rsidR="00F94B48" w:rsidRPr="00F32542" w14:paraId="59BCE40B" w14:textId="77777777" w:rsidTr="00B65D24">
        <w:trPr>
          <w:tblHeader/>
          <w:jc w:val="center"/>
        </w:trPr>
        <w:tc>
          <w:tcPr>
            <w:tcW w:w="549" w:type="dxa"/>
          </w:tcPr>
          <w:p w14:paraId="62BA3FFC" w14:textId="77777777" w:rsidR="00F94B48" w:rsidRPr="00F32542" w:rsidRDefault="00F94B48" w:rsidP="00F94B48">
            <w:pPr>
              <w:spacing w:after="0" w:line="240" w:lineRule="auto"/>
              <w:jc w:val="both"/>
              <w:rPr>
                <w:rFonts w:ascii="Arial" w:eastAsia="Calibri" w:hAnsi="Arial" w:cs="Arial"/>
                <w:sz w:val="20"/>
                <w:szCs w:val="20"/>
              </w:rPr>
            </w:pPr>
            <w:r w:rsidRPr="00F32542">
              <w:rPr>
                <w:rFonts w:ascii="Arial" w:eastAsia="Calibri" w:hAnsi="Arial" w:cs="Arial"/>
                <w:sz w:val="20"/>
                <w:szCs w:val="20"/>
              </w:rPr>
              <w:t>7</w:t>
            </w:r>
          </w:p>
        </w:tc>
        <w:tc>
          <w:tcPr>
            <w:tcW w:w="977" w:type="dxa"/>
          </w:tcPr>
          <w:p w14:paraId="1E3591B2"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21</w:t>
            </w:r>
          </w:p>
        </w:tc>
        <w:tc>
          <w:tcPr>
            <w:tcW w:w="3330" w:type="dxa"/>
          </w:tcPr>
          <w:p w14:paraId="082329C4"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 xml:space="preserve">Georgina </w:t>
            </w:r>
            <w:proofErr w:type="spellStart"/>
            <w:r w:rsidRPr="00F32542">
              <w:rPr>
                <w:rFonts w:ascii="Arial" w:eastAsia="Calibri" w:hAnsi="Arial" w:cs="Arial"/>
                <w:color w:val="000000"/>
                <w:sz w:val="20"/>
                <w:szCs w:val="20"/>
              </w:rPr>
              <w:t>Muguía</w:t>
            </w:r>
            <w:proofErr w:type="spellEnd"/>
            <w:r w:rsidRPr="00F32542">
              <w:rPr>
                <w:rFonts w:ascii="Arial" w:eastAsia="Calibri" w:hAnsi="Arial" w:cs="Arial"/>
                <w:color w:val="000000"/>
                <w:sz w:val="20"/>
                <w:szCs w:val="20"/>
              </w:rPr>
              <w:t xml:space="preserve"> López</w:t>
            </w:r>
          </w:p>
        </w:tc>
        <w:tc>
          <w:tcPr>
            <w:tcW w:w="1595" w:type="dxa"/>
          </w:tcPr>
          <w:p w14:paraId="4805FE59"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14,788</w:t>
            </w:r>
          </w:p>
        </w:tc>
        <w:tc>
          <w:tcPr>
            <w:tcW w:w="1199" w:type="dxa"/>
          </w:tcPr>
          <w:p w14:paraId="28FB7460"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88,875</w:t>
            </w:r>
          </w:p>
        </w:tc>
        <w:tc>
          <w:tcPr>
            <w:tcW w:w="1178" w:type="dxa"/>
          </w:tcPr>
          <w:p w14:paraId="51AC4AC2"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16.63</w:t>
            </w:r>
          </w:p>
        </w:tc>
      </w:tr>
      <w:tr w:rsidR="00F94B48" w:rsidRPr="00F32542" w14:paraId="2359FCC1" w14:textId="77777777" w:rsidTr="00B65D24">
        <w:trPr>
          <w:tblHeader/>
          <w:jc w:val="center"/>
        </w:trPr>
        <w:tc>
          <w:tcPr>
            <w:tcW w:w="549" w:type="dxa"/>
          </w:tcPr>
          <w:p w14:paraId="3E856598" w14:textId="77777777" w:rsidR="00F94B48" w:rsidRPr="00F32542" w:rsidRDefault="00F94B48" w:rsidP="00F94B48">
            <w:pPr>
              <w:spacing w:after="0" w:line="240" w:lineRule="auto"/>
              <w:jc w:val="both"/>
              <w:rPr>
                <w:rFonts w:ascii="Arial" w:eastAsia="Calibri" w:hAnsi="Arial" w:cs="Arial"/>
                <w:sz w:val="20"/>
                <w:szCs w:val="20"/>
              </w:rPr>
            </w:pPr>
            <w:r w:rsidRPr="00F32542">
              <w:rPr>
                <w:rFonts w:ascii="Arial" w:eastAsia="Calibri" w:hAnsi="Arial" w:cs="Arial"/>
                <w:sz w:val="20"/>
                <w:szCs w:val="20"/>
              </w:rPr>
              <w:t>8</w:t>
            </w:r>
          </w:p>
        </w:tc>
        <w:tc>
          <w:tcPr>
            <w:tcW w:w="977" w:type="dxa"/>
          </w:tcPr>
          <w:p w14:paraId="1E974BC4"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22</w:t>
            </w:r>
          </w:p>
        </w:tc>
        <w:tc>
          <w:tcPr>
            <w:tcW w:w="3330" w:type="dxa"/>
          </w:tcPr>
          <w:p w14:paraId="2D4265FC"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 xml:space="preserve">Ernesto Fernández </w:t>
            </w:r>
            <w:proofErr w:type="spellStart"/>
            <w:r w:rsidRPr="00F32542">
              <w:rPr>
                <w:rFonts w:ascii="Arial" w:eastAsia="Calibri" w:hAnsi="Arial" w:cs="Arial"/>
                <w:color w:val="000000"/>
                <w:sz w:val="20"/>
                <w:szCs w:val="20"/>
              </w:rPr>
              <w:t>Tachiquín</w:t>
            </w:r>
            <w:proofErr w:type="spellEnd"/>
          </w:p>
        </w:tc>
        <w:tc>
          <w:tcPr>
            <w:tcW w:w="1595" w:type="dxa"/>
          </w:tcPr>
          <w:p w14:paraId="674F4ED5"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9,542</w:t>
            </w:r>
          </w:p>
        </w:tc>
        <w:tc>
          <w:tcPr>
            <w:tcW w:w="1199" w:type="dxa"/>
          </w:tcPr>
          <w:p w14:paraId="68903CDC"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79,223</w:t>
            </w:r>
          </w:p>
        </w:tc>
        <w:tc>
          <w:tcPr>
            <w:tcW w:w="1178" w:type="dxa"/>
          </w:tcPr>
          <w:p w14:paraId="007BAAF4"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12.04</w:t>
            </w:r>
          </w:p>
        </w:tc>
      </w:tr>
      <w:tr w:rsidR="00F94B48" w:rsidRPr="00F32542" w14:paraId="248F32EF" w14:textId="77777777" w:rsidTr="00B65D24">
        <w:trPr>
          <w:tblHeader/>
          <w:jc w:val="center"/>
        </w:trPr>
        <w:tc>
          <w:tcPr>
            <w:tcW w:w="549" w:type="dxa"/>
          </w:tcPr>
          <w:p w14:paraId="4E422EBD" w14:textId="77777777" w:rsidR="00F94B48" w:rsidRPr="00F32542" w:rsidRDefault="00F94B48" w:rsidP="00F94B48">
            <w:pPr>
              <w:spacing w:after="0" w:line="240" w:lineRule="auto"/>
              <w:jc w:val="both"/>
              <w:rPr>
                <w:rFonts w:ascii="Arial" w:eastAsia="Calibri" w:hAnsi="Arial" w:cs="Arial"/>
                <w:sz w:val="20"/>
                <w:szCs w:val="20"/>
              </w:rPr>
            </w:pPr>
            <w:r w:rsidRPr="00F32542">
              <w:rPr>
                <w:rFonts w:ascii="Arial" w:eastAsia="Calibri" w:hAnsi="Arial" w:cs="Arial"/>
                <w:sz w:val="20"/>
                <w:szCs w:val="20"/>
              </w:rPr>
              <w:t>9</w:t>
            </w:r>
          </w:p>
        </w:tc>
        <w:tc>
          <w:tcPr>
            <w:tcW w:w="977" w:type="dxa"/>
          </w:tcPr>
          <w:p w14:paraId="5C07D799"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4</w:t>
            </w:r>
          </w:p>
        </w:tc>
        <w:tc>
          <w:tcPr>
            <w:tcW w:w="3330" w:type="dxa"/>
          </w:tcPr>
          <w:p w14:paraId="33E6DCF4"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 xml:space="preserve">Diana </w:t>
            </w:r>
            <w:proofErr w:type="spellStart"/>
            <w:r w:rsidRPr="00F32542">
              <w:rPr>
                <w:rFonts w:ascii="Arial" w:eastAsia="Calibri" w:hAnsi="Arial" w:cs="Arial"/>
                <w:color w:val="000000"/>
                <w:sz w:val="20"/>
                <w:szCs w:val="20"/>
              </w:rPr>
              <w:t>Karine</w:t>
            </w:r>
            <w:proofErr w:type="spellEnd"/>
            <w:r w:rsidRPr="00F32542">
              <w:rPr>
                <w:rFonts w:ascii="Arial" w:eastAsia="Calibri" w:hAnsi="Arial" w:cs="Arial"/>
                <w:color w:val="000000"/>
                <w:sz w:val="20"/>
                <w:szCs w:val="20"/>
              </w:rPr>
              <w:t xml:space="preserve"> Raya Govea</w:t>
            </w:r>
          </w:p>
        </w:tc>
        <w:tc>
          <w:tcPr>
            <w:tcW w:w="1595" w:type="dxa"/>
          </w:tcPr>
          <w:p w14:paraId="3AB74459"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19,185</w:t>
            </w:r>
          </w:p>
        </w:tc>
        <w:tc>
          <w:tcPr>
            <w:tcW w:w="1199" w:type="dxa"/>
          </w:tcPr>
          <w:p w14:paraId="23C5DDA8"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120,494</w:t>
            </w:r>
          </w:p>
        </w:tc>
        <w:tc>
          <w:tcPr>
            <w:tcW w:w="1178" w:type="dxa"/>
          </w:tcPr>
          <w:p w14:paraId="78D528E8"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15.92</w:t>
            </w:r>
          </w:p>
        </w:tc>
      </w:tr>
      <w:tr w:rsidR="00F94B48" w:rsidRPr="00F32542" w14:paraId="29E03150" w14:textId="77777777" w:rsidTr="00B65D24">
        <w:trPr>
          <w:tblHeader/>
          <w:jc w:val="center"/>
        </w:trPr>
        <w:tc>
          <w:tcPr>
            <w:tcW w:w="549" w:type="dxa"/>
          </w:tcPr>
          <w:p w14:paraId="24A1CEF8" w14:textId="77777777" w:rsidR="00F94B48" w:rsidRPr="00F32542" w:rsidRDefault="00F94B48" w:rsidP="00F94B48">
            <w:pPr>
              <w:spacing w:after="0" w:line="240" w:lineRule="auto"/>
              <w:jc w:val="both"/>
              <w:rPr>
                <w:rFonts w:ascii="Arial" w:eastAsia="Calibri" w:hAnsi="Arial" w:cs="Arial"/>
                <w:sz w:val="20"/>
                <w:szCs w:val="20"/>
              </w:rPr>
            </w:pPr>
            <w:r w:rsidRPr="00F32542">
              <w:rPr>
                <w:rFonts w:ascii="Arial" w:eastAsia="Calibri" w:hAnsi="Arial" w:cs="Arial"/>
                <w:sz w:val="20"/>
                <w:szCs w:val="20"/>
              </w:rPr>
              <w:t>10</w:t>
            </w:r>
          </w:p>
        </w:tc>
        <w:tc>
          <w:tcPr>
            <w:tcW w:w="977" w:type="dxa"/>
          </w:tcPr>
          <w:p w14:paraId="6E8DD942"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7</w:t>
            </w:r>
          </w:p>
        </w:tc>
        <w:tc>
          <w:tcPr>
            <w:tcW w:w="3330" w:type="dxa"/>
          </w:tcPr>
          <w:p w14:paraId="52D498A9"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Emiliano Aguilar Esquivel</w:t>
            </w:r>
          </w:p>
        </w:tc>
        <w:tc>
          <w:tcPr>
            <w:tcW w:w="1595" w:type="dxa"/>
          </w:tcPr>
          <w:p w14:paraId="40F16396"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6,411</w:t>
            </w:r>
          </w:p>
        </w:tc>
        <w:tc>
          <w:tcPr>
            <w:tcW w:w="1199" w:type="dxa"/>
          </w:tcPr>
          <w:p w14:paraId="07864351"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84,432</w:t>
            </w:r>
          </w:p>
        </w:tc>
        <w:tc>
          <w:tcPr>
            <w:tcW w:w="1178" w:type="dxa"/>
          </w:tcPr>
          <w:p w14:paraId="44D13B63"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7.59</w:t>
            </w:r>
          </w:p>
        </w:tc>
      </w:tr>
      <w:tr w:rsidR="00F94B48" w:rsidRPr="00F32542" w14:paraId="2083D1F7" w14:textId="77777777" w:rsidTr="00B65D24">
        <w:trPr>
          <w:tblHeader/>
          <w:jc w:val="center"/>
        </w:trPr>
        <w:tc>
          <w:tcPr>
            <w:tcW w:w="549" w:type="dxa"/>
          </w:tcPr>
          <w:p w14:paraId="18D09691" w14:textId="77777777" w:rsidR="00F94B48" w:rsidRPr="00F32542" w:rsidRDefault="00F94B48" w:rsidP="00F94B48">
            <w:pPr>
              <w:spacing w:after="0" w:line="240" w:lineRule="auto"/>
              <w:jc w:val="both"/>
              <w:rPr>
                <w:rFonts w:ascii="Arial" w:eastAsia="Calibri" w:hAnsi="Arial" w:cs="Arial"/>
                <w:sz w:val="20"/>
                <w:szCs w:val="20"/>
              </w:rPr>
            </w:pPr>
            <w:r w:rsidRPr="00F32542">
              <w:rPr>
                <w:rFonts w:ascii="Arial" w:eastAsia="Calibri" w:hAnsi="Arial" w:cs="Arial"/>
                <w:sz w:val="20"/>
                <w:szCs w:val="20"/>
              </w:rPr>
              <w:t>11</w:t>
            </w:r>
          </w:p>
        </w:tc>
        <w:tc>
          <w:tcPr>
            <w:tcW w:w="977" w:type="dxa"/>
          </w:tcPr>
          <w:p w14:paraId="152CFD9D"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8</w:t>
            </w:r>
          </w:p>
        </w:tc>
        <w:tc>
          <w:tcPr>
            <w:tcW w:w="3330" w:type="dxa"/>
          </w:tcPr>
          <w:p w14:paraId="7A0A27B4" w14:textId="77777777" w:rsidR="00F94B48" w:rsidRPr="00F32542" w:rsidRDefault="00F94B48" w:rsidP="00F94B48">
            <w:pPr>
              <w:spacing w:after="0" w:line="240" w:lineRule="auto"/>
              <w:jc w:val="center"/>
              <w:rPr>
                <w:rFonts w:ascii="Arial" w:eastAsia="Calibri" w:hAnsi="Arial" w:cs="Arial"/>
                <w:color w:val="000000"/>
                <w:sz w:val="20"/>
                <w:szCs w:val="20"/>
              </w:rPr>
            </w:pPr>
            <w:proofErr w:type="spellStart"/>
            <w:r w:rsidRPr="00F32542">
              <w:rPr>
                <w:rFonts w:ascii="Arial" w:eastAsia="Calibri" w:hAnsi="Arial" w:cs="Arial"/>
                <w:color w:val="000000"/>
                <w:sz w:val="20"/>
                <w:szCs w:val="20"/>
              </w:rPr>
              <w:t>Talia</w:t>
            </w:r>
            <w:proofErr w:type="spellEnd"/>
            <w:r w:rsidRPr="00F32542">
              <w:rPr>
                <w:rFonts w:ascii="Arial" w:eastAsia="Calibri" w:hAnsi="Arial" w:cs="Arial"/>
                <w:color w:val="000000"/>
                <w:sz w:val="20"/>
                <w:szCs w:val="20"/>
              </w:rPr>
              <w:t xml:space="preserve"> Stefany Rincón Martínez</w:t>
            </w:r>
          </w:p>
        </w:tc>
        <w:tc>
          <w:tcPr>
            <w:tcW w:w="1595" w:type="dxa"/>
          </w:tcPr>
          <w:p w14:paraId="72A22304"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10,901</w:t>
            </w:r>
          </w:p>
        </w:tc>
        <w:tc>
          <w:tcPr>
            <w:tcW w:w="1199" w:type="dxa"/>
          </w:tcPr>
          <w:p w14:paraId="51264FC1"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76,855</w:t>
            </w:r>
          </w:p>
        </w:tc>
        <w:tc>
          <w:tcPr>
            <w:tcW w:w="1178" w:type="dxa"/>
          </w:tcPr>
          <w:p w14:paraId="45CE9054"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14.18</w:t>
            </w:r>
          </w:p>
        </w:tc>
      </w:tr>
      <w:tr w:rsidR="00F94B48" w:rsidRPr="00F32542" w14:paraId="54FEC6CD" w14:textId="77777777" w:rsidTr="00B65D24">
        <w:trPr>
          <w:tblHeader/>
          <w:jc w:val="center"/>
        </w:trPr>
        <w:tc>
          <w:tcPr>
            <w:tcW w:w="549" w:type="dxa"/>
          </w:tcPr>
          <w:p w14:paraId="7C1AB656" w14:textId="77777777" w:rsidR="00F94B48" w:rsidRPr="00F32542" w:rsidRDefault="00F94B48" w:rsidP="00F94B48">
            <w:pPr>
              <w:spacing w:after="0" w:line="240" w:lineRule="auto"/>
              <w:jc w:val="both"/>
              <w:rPr>
                <w:rFonts w:ascii="Arial" w:eastAsia="Calibri" w:hAnsi="Arial" w:cs="Arial"/>
                <w:sz w:val="20"/>
                <w:szCs w:val="20"/>
              </w:rPr>
            </w:pPr>
            <w:r w:rsidRPr="00F32542">
              <w:rPr>
                <w:rFonts w:ascii="Arial" w:eastAsia="Calibri" w:hAnsi="Arial" w:cs="Arial"/>
                <w:sz w:val="20"/>
                <w:szCs w:val="20"/>
              </w:rPr>
              <w:t>12</w:t>
            </w:r>
          </w:p>
        </w:tc>
        <w:tc>
          <w:tcPr>
            <w:tcW w:w="977" w:type="dxa"/>
          </w:tcPr>
          <w:p w14:paraId="27D1F7A1"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w:t>
            </w:r>
          </w:p>
        </w:tc>
        <w:tc>
          <w:tcPr>
            <w:tcW w:w="3330" w:type="dxa"/>
          </w:tcPr>
          <w:p w14:paraId="3D15B507"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Miriam Villanueva Reséndiz</w:t>
            </w:r>
          </w:p>
        </w:tc>
        <w:tc>
          <w:tcPr>
            <w:tcW w:w="1595" w:type="dxa"/>
          </w:tcPr>
          <w:p w14:paraId="04CEA9B5"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9,055</w:t>
            </w:r>
          </w:p>
        </w:tc>
        <w:tc>
          <w:tcPr>
            <w:tcW w:w="1199" w:type="dxa"/>
          </w:tcPr>
          <w:p w14:paraId="07514845"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83,750</w:t>
            </w:r>
          </w:p>
        </w:tc>
        <w:tc>
          <w:tcPr>
            <w:tcW w:w="1178" w:type="dxa"/>
          </w:tcPr>
          <w:p w14:paraId="544E256E"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10.80</w:t>
            </w:r>
          </w:p>
        </w:tc>
      </w:tr>
      <w:tr w:rsidR="00F94B48" w:rsidRPr="00F32542" w14:paraId="2F6A6B4F" w14:textId="77777777" w:rsidTr="00B65D24">
        <w:trPr>
          <w:tblHeader/>
          <w:jc w:val="center"/>
        </w:trPr>
        <w:tc>
          <w:tcPr>
            <w:tcW w:w="549" w:type="dxa"/>
          </w:tcPr>
          <w:p w14:paraId="4D1D7825" w14:textId="77777777" w:rsidR="00F94B48" w:rsidRPr="00F32542" w:rsidRDefault="00F94B48" w:rsidP="00F94B48">
            <w:pPr>
              <w:spacing w:after="0" w:line="240" w:lineRule="auto"/>
              <w:jc w:val="both"/>
              <w:rPr>
                <w:rFonts w:ascii="Arial" w:eastAsia="Calibri" w:hAnsi="Arial" w:cs="Arial"/>
                <w:sz w:val="20"/>
                <w:szCs w:val="20"/>
              </w:rPr>
            </w:pPr>
            <w:r w:rsidRPr="00F32542">
              <w:rPr>
                <w:rFonts w:ascii="Arial" w:eastAsia="Calibri" w:hAnsi="Arial" w:cs="Arial"/>
                <w:sz w:val="20"/>
                <w:szCs w:val="20"/>
              </w:rPr>
              <w:t>13</w:t>
            </w:r>
          </w:p>
        </w:tc>
        <w:tc>
          <w:tcPr>
            <w:tcW w:w="977" w:type="dxa"/>
          </w:tcPr>
          <w:p w14:paraId="7E96FCD4"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27</w:t>
            </w:r>
          </w:p>
        </w:tc>
        <w:tc>
          <w:tcPr>
            <w:tcW w:w="3330" w:type="dxa"/>
          </w:tcPr>
          <w:p w14:paraId="016E459C"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Alondra Monserrat Pérez Fonseca</w:t>
            </w:r>
          </w:p>
        </w:tc>
        <w:tc>
          <w:tcPr>
            <w:tcW w:w="1595" w:type="dxa"/>
          </w:tcPr>
          <w:p w14:paraId="7E71170F"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5,687</w:t>
            </w:r>
          </w:p>
        </w:tc>
        <w:tc>
          <w:tcPr>
            <w:tcW w:w="1199" w:type="dxa"/>
          </w:tcPr>
          <w:p w14:paraId="538E8CCA"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74,724</w:t>
            </w:r>
          </w:p>
        </w:tc>
        <w:tc>
          <w:tcPr>
            <w:tcW w:w="1178" w:type="dxa"/>
          </w:tcPr>
          <w:p w14:paraId="1EBC0DCE"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7.61</w:t>
            </w:r>
          </w:p>
        </w:tc>
      </w:tr>
    </w:tbl>
    <w:p w14:paraId="20A37684"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Como se observa, con las razones y argumentos de la autoridad responsable, fue posible obtener el porcentaje de votación de cada candidatura al conocer la votación que obtuvieron por parte del partido postulante de la lista B, y la votación local emitida de cada distrito. </w:t>
      </w:r>
    </w:p>
    <w:p w14:paraId="3A065E00" w14:textId="77777777" w:rsidR="00F94B48" w:rsidRPr="00F32542" w:rsidRDefault="00F94B48" w:rsidP="00F94B48">
      <w:pPr>
        <w:spacing w:before="100" w:beforeAutospacing="1" w:after="100" w:afterAutospacing="1" w:line="360" w:lineRule="auto"/>
        <w:jc w:val="both"/>
        <w:rPr>
          <w:rFonts w:ascii="Arial" w:eastAsia="Calibri" w:hAnsi="Arial" w:cs="Arial"/>
          <w:i/>
          <w:sz w:val="28"/>
          <w:szCs w:val="28"/>
        </w:rPr>
      </w:pPr>
      <w:r w:rsidRPr="00F32542">
        <w:rPr>
          <w:rFonts w:ascii="Arial" w:eastAsia="Calibri" w:hAnsi="Arial" w:cs="Arial"/>
          <w:sz w:val="28"/>
          <w:szCs w:val="28"/>
        </w:rPr>
        <w:lastRenderedPageBreak/>
        <w:t xml:space="preserve">Cabe señalar que tal información fue obtenida de las actas de cómputo distrital que se encuentran publicadas en la página oficial del </w:t>
      </w:r>
      <w:r w:rsidRPr="00F32542">
        <w:rPr>
          <w:rFonts w:ascii="Arial" w:eastAsia="Calibri" w:hAnsi="Arial" w:cs="Arial"/>
          <w:i/>
          <w:sz w:val="28"/>
          <w:szCs w:val="28"/>
        </w:rPr>
        <w:t xml:space="preserve">Instituto local </w:t>
      </w:r>
      <w:r w:rsidRPr="00F32542">
        <w:rPr>
          <w:rFonts w:ascii="Arial" w:eastAsia="Calibri" w:hAnsi="Arial" w:cs="Arial"/>
          <w:sz w:val="28"/>
          <w:szCs w:val="28"/>
        </w:rPr>
        <w:t>(</w:t>
      </w:r>
      <w:hyperlink r:id="rId11" w:history="1">
        <w:r w:rsidRPr="00F32542">
          <w:rPr>
            <w:rFonts w:ascii="Arial" w:eastAsia="Calibri" w:hAnsi="Arial" w:cs="Arial"/>
            <w:color w:val="0563C1"/>
            <w:sz w:val="28"/>
            <w:szCs w:val="28"/>
            <w:u w:val="single"/>
          </w:rPr>
          <w:t>https://www.iecm.mx/www/Elecciones2021/site/page26.html</w:t>
        </w:r>
      </w:hyperlink>
      <w:r w:rsidRPr="00F32542">
        <w:rPr>
          <w:rFonts w:ascii="Arial" w:eastAsia="Calibri" w:hAnsi="Arial" w:cs="Arial"/>
          <w:sz w:val="28"/>
          <w:szCs w:val="28"/>
        </w:rPr>
        <w:t>)</w:t>
      </w:r>
      <w:r w:rsidRPr="00F32542">
        <w:rPr>
          <w:rFonts w:ascii="Arial" w:eastAsia="Calibri" w:hAnsi="Arial" w:cs="Arial"/>
          <w:i/>
          <w:sz w:val="28"/>
          <w:szCs w:val="28"/>
        </w:rPr>
        <w:t>.</w:t>
      </w:r>
    </w:p>
    <w:p w14:paraId="2150FABF" w14:textId="77777777" w:rsidR="00F94B48" w:rsidRPr="00F32542" w:rsidRDefault="00F94B48" w:rsidP="00F94B48">
      <w:pPr>
        <w:spacing w:before="100" w:beforeAutospacing="1" w:after="100" w:afterAutospacing="1" w:line="360" w:lineRule="auto"/>
        <w:jc w:val="both"/>
        <w:rPr>
          <w:rFonts w:ascii="Arial" w:eastAsia="Calibri" w:hAnsi="Arial" w:cs="Arial"/>
          <w:i/>
          <w:sz w:val="28"/>
          <w:szCs w:val="28"/>
        </w:rPr>
      </w:pPr>
      <w:r w:rsidRPr="00F32542">
        <w:rPr>
          <w:rFonts w:ascii="Arial" w:eastAsia="Calibri" w:hAnsi="Arial" w:cs="Arial"/>
          <w:sz w:val="28"/>
          <w:szCs w:val="28"/>
        </w:rPr>
        <w:t xml:space="preserve">Cabe señalar que tal página de internet se invoca como hecho notorio en términos del artículo 52 de la </w:t>
      </w:r>
      <w:r w:rsidRPr="00F32542">
        <w:rPr>
          <w:rFonts w:ascii="Arial" w:eastAsia="Calibri" w:hAnsi="Arial" w:cs="Arial"/>
          <w:i/>
          <w:sz w:val="28"/>
          <w:szCs w:val="28"/>
        </w:rPr>
        <w:t xml:space="preserve">Ley Procesal. </w:t>
      </w:r>
    </w:p>
    <w:p w14:paraId="3AB03592"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sz w:val="28"/>
          <w:szCs w:val="28"/>
        </w:rPr>
        <w:t xml:space="preserve">Así como en la </w:t>
      </w:r>
      <w:r w:rsidRPr="00F32542">
        <w:rPr>
          <w:rFonts w:ascii="Arial" w:eastAsia="Calibri" w:hAnsi="Arial" w:cs="Arial"/>
          <w:bCs/>
          <w:sz w:val="28"/>
          <w:szCs w:val="28"/>
        </w:rPr>
        <w:t xml:space="preserve">jurisprudencia </w:t>
      </w:r>
      <w:r w:rsidRPr="00F32542">
        <w:rPr>
          <w:rFonts w:ascii="Arial" w:eastAsia="Calibri" w:hAnsi="Arial" w:cs="Arial"/>
          <w:b/>
          <w:sz w:val="28"/>
          <w:szCs w:val="28"/>
        </w:rPr>
        <w:t>XX.2o. J/24</w:t>
      </w:r>
      <w:r w:rsidRPr="00F32542">
        <w:rPr>
          <w:rFonts w:ascii="Arial" w:eastAsia="Calibri" w:hAnsi="Arial" w:cs="Arial"/>
          <w:bCs/>
          <w:sz w:val="28"/>
          <w:szCs w:val="28"/>
        </w:rPr>
        <w:t xml:space="preserve">, de los Tribunales Colegiados, de rubro </w:t>
      </w:r>
      <w:r w:rsidRPr="00F32542">
        <w:rPr>
          <w:rFonts w:ascii="Arial" w:eastAsia="Calibri" w:hAnsi="Arial" w:cs="Arial"/>
          <w:b/>
          <w:bCs/>
          <w:sz w:val="28"/>
          <w:szCs w:val="28"/>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F32542">
        <w:rPr>
          <w:rFonts w:ascii="Arial" w:eastAsia="Calibri" w:hAnsi="Arial" w:cs="Arial"/>
          <w:b/>
          <w:bCs/>
          <w:sz w:val="28"/>
          <w:szCs w:val="28"/>
          <w:vertAlign w:val="superscript"/>
        </w:rPr>
        <w:footnoteReference w:id="56"/>
      </w:r>
      <w:r w:rsidRPr="00F32542">
        <w:rPr>
          <w:rFonts w:ascii="Arial" w:eastAsia="Calibri" w:hAnsi="Arial" w:cs="Arial"/>
          <w:b/>
          <w:bCs/>
          <w:sz w:val="28"/>
          <w:szCs w:val="28"/>
        </w:rPr>
        <w:t>.</w:t>
      </w:r>
    </w:p>
    <w:p w14:paraId="1504071F"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Por lo tanto, es infundado el agravio de la parte actora, respecto a que no se conocieron la votación del distrito y de cada candidatura. </w:t>
      </w:r>
    </w:p>
    <w:p w14:paraId="5691E503"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Por otro lado, Jacqueline Villarreal García candidata del PRI, también sostiene que no se precisó cuál fue la votación obtenida en cada distrito, ni se evidencia cuál fue la votación obtenida por cada candidatura.</w:t>
      </w:r>
    </w:p>
    <w:p w14:paraId="360B7922"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Al respecto, en cuanto al PRI, la autoridad determinó que la lista B, es la siguiente:</w:t>
      </w:r>
    </w:p>
    <w:tbl>
      <w:tblPr>
        <w:tblStyle w:val="Tablaconcuadrcula25"/>
        <w:tblW w:w="0" w:type="auto"/>
        <w:jc w:val="center"/>
        <w:tblLook w:val="04A0" w:firstRow="1" w:lastRow="0" w:firstColumn="1" w:lastColumn="0" w:noHBand="0" w:noVBand="1"/>
      </w:tblPr>
      <w:tblGrid>
        <w:gridCol w:w="509"/>
        <w:gridCol w:w="904"/>
        <w:gridCol w:w="850"/>
        <w:gridCol w:w="3038"/>
        <w:gridCol w:w="1268"/>
      </w:tblGrid>
      <w:tr w:rsidR="00F94B48" w:rsidRPr="00F32542" w14:paraId="1C05FACF" w14:textId="77777777" w:rsidTr="00F94B48">
        <w:trPr>
          <w:tblHeader/>
          <w:jc w:val="center"/>
        </w:trPr>
        <w:tc>
          <w:tcPr>
            <w:tcW w:w="509" w:type="dxa"/>
            <w:shd w:val="clear" w:color="auto" w:fill="E7E6E6"/>
            <w:vAlign w:val="center"/>
          </w:tcPr>
          <w:p w14:paraId="7132ED68"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lastRenderedPageBreak/>
              <w:t>No</w:t>
            </w:r>
          </w:p>
        </w:tc>
        <w:tc>
          <w:tcPr>
            <w:tcW w:w="904" w:type="dxa"/>
            <w:shd w:val="clear" w:color="auto" w:fill="E7E6E6"/>
            <w:vAlign w:val="center"/>
          </w:tcPr>
          <w:p w14:paraId="49CAA9B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Distrito</w:t>
            </w:r>
          </w:p>
        </w:tc>
        <w:tc>
          <w:tcPr>
            <w:tcW w:w="850" w:type="dxa"/>
            <w:shd w:val="clear" w:color="auto" w:fill="E7E6E6"/>
            <w:vAlign w:val="center"/>
          </w:tcPr>
          <w:p w14:paraId="7EDE9458"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Sexo</w:t>
            </w:r>
          </w:p>
        </w:tc>
        <w:tc>
          <w:tcPr>
            <w:tcW w:w="3038" w:type="dxa"/>
            <w:shd w:val="clear" w:color="auto" w:fill="E7E6E6"/>
            <w:vAlign w:val="center"/>
          </w:tcPr>
          <w:p w14:paraId="3BEDE84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Candidatura</w:t>
            </w:r>
          </w:p>
        </w:tc>
        <w:tc>
          <w:tcPr>
            <w:tcW w:w="1268" w:type="dxa"/>
            <w:shd w:val="clear" w:color="auto" w:fill="E7E6E6"/>
            <w:vAlign w:val="center"/>
          </w:tcPr>
          <w:p w14:paraId="30F40238"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Porcentaje de votación</w:t>
            </w:r>
          </w:p>
        </w:tc>
      </w:tr>
      <w:tr w:rsidR="00F94B48" w:rsidRPr="00F32542" w14:paraId="5FA8AE91" w14:textId="77777777" w:rsidTr="00B65D24">
        <w:trPr>
          <w:tblHeader/>
          <w:jc w:val="center"/>
        </w:trPr>
        <w:tc>
          <w:tcPr>
            <w:tcW w:w="509" w:type="dxa"/>
            <w:vAlign w:val="center"/>
          </w:tcPr>
          <w:p w14:paraId="2C73903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w:t>
            </w:r>
          </w:p>
        </w:tc>
        <w:tc>
          <w:tcPr>
            <w:tcW w:w="904" w:type="dxa"/>
            <w:vAlign w:val="center"/>
          </w:tcPr>
          <w:p w14:paraId="687096F2"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10</w:t>
            </w:r>
          </w:p>
        </w:tc>
        <w:tc>
          <w:tcPr>
            <w:tcW w:w="850" w:type="dxa"/>
            <w:vAlign w:val="center"/>
          </w:tcPr>
          <w:p w14:paraId="425BC39D"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M</w:t>
            </w:r>
          </w:p>
        </w:tc>
        <w:tc>
          <w:tcPr>
            <w:tcW w:w="3038" w:type="dxa"/>
            <w:vAlign w:val="center"/>
          </w:tcPr>
          <w:p w14:paraId="556C47FC" w14:textId="77777777" w:rsidR="00F94B48" w:rsidRPr="00F32542" w:rsidRDefault="00F94B48" w:rsidP="00F94B48">
            <w:pPr>
              <w:autoSpaceDE w:val="0"/>
              <w:autoSpaceDN w:val="0"/>
              <w:adjustRightInd w:val="0"/>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Mónica Fernández César</w:t>
            </w:r>
          </w:p>
          <w:p w14:paraId="3612623E" w14:textId="77777777" w:rsidR="00F94B48" w:rsidRPr="00F32542" w:rsidRDefault="00F94B48" w:rsidP="00F94B48">
            <w:pPr>
              <w:spacing w:after="0" w:line="240" w:lineRule="auto"/>
              <w:jc w:val="center"/>
              <w:rPr>
                <w:rFonts w:ascii="Arial" w:eastAsia="Calibri" w:hAnsi="Arial" w:cs="Arial"/>
                <w:color w:val="000000"/>
                <w:sz w:val="20"/>
                <w:szCs w:val="20"/>
              </w:rPr>
            </w:pPr>
          </w:p>
        </w:tc>
        <w:tc>
          <w:tcPr>
            <w:tcW w:w="1268" w:type="dxa"/>
            <w:vAlign w:val="center"/>
          </w:tcPr>
          <w:p w14:paraId="7A4FBA3D"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17.84</w:t>
            </w:r>
          </w:p>
        </w:tc>
      </w:tr>
      <w:tr w:rsidR="00F94B48" w:rsidRPr="00F32542" w14:paraId="53445656" w14:textId="77777777" w:rsidTr="00B65D24">
        <w:trPr>
          <w:trHeight w:val="75"/>
          <w:tblHeader/>
          <w:jc w:val="center"/>
        </w:trPr>
        <w:tc>
          <w:tcPr>
            <w:tcW w:w="509" w:type="dxa"/>
            <w:vAlign w:val="center"/>
          </w:tcPr>
          <w:p w14:paraId="653DECFB"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2</w:t>
            </w:r>
          </w:p>
        </w:tc>
        <w:tc>
          <w:tcPr>
            <w:tcW w:w="904" w:type="dxa"/>
            <w:vAlign w:val="center"/>
          </w:tcPr>
          <w:p w14:paraId="13B94023"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30</w:t>
            </w:r>
          </w:p>
        </w:tc>
        <w:tc>
          <w:tcPr>
            <w:tcW w:w="850" w:type="dxa"/>
            <w:vAlign w:val="center"/>
          </w:tcPr>
          <w:p w14:paraId="44DE4838"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H</w:t>
            </w:r>
          </w:p>
        </w:tc>
        <w:tc>
          <w:tcPr>
            <w:tcW w:w="3038" w:type="dxa"/>
            <w:vAlign w:val="center"/>
          </w:tcPr>
          <w:p w14:paraId="1E856D74" w14:textId="77777777" w:rsidR="00F94B48" w:rsidRPr="00F32542" w:rsidRDefault="00F94B48" w:rsidP="00F94B48">
            <w:pPr>
              <w:autoSpaceDE w:val="0"/>
              <w:autoSpaceDN w:val="0"/>
              <w:adjustRightInd w:val="0"/>
              <w:spacing w:after="0" w:line="240" w:lineRule="auto"/>
              <w:jc w:val="center"/>
              <w:rPr>
                <w:rFonts w:ascii="Arial" w:eastAsia="Calibri" w:hAnsi="Arial" w:cs="Arial"/>
                <w:color w:val="000000"/>
                <w:sz w:val="20"/>
                <w:szCs w:val="20"/>
              </w:rPr>
            </w:pPr>
            <w:proofErr w:type="spellStart"/>
            <w:r w:rsidRPr="00F32542">
              <w:rPr>
                <w:rFonts w:ascii="Arial" w:eastAsia="Calibri" w:hAnsi="Arial" w:cs="Arial"/>
                <w:color w:val="000000"/>
                <w:sz w:val="20"/>
                <w:szCs w:val="20"/>
              </w:rPr>
              <w:t>Jhonatan</w:t>
            </w:r>
            <w:proofErr w:type="spellEnd"/>
            <w:r w:rsidRPr="00F32542">
              <w:rPr>
                <w:rFonts w:ascii="Arial" w:eastAsia="Calibri" w:hAnsi="Arial" w:cs="Arial"/>
                <w:color w:val="000000"/>
                <w:sz w:val="20"/>
                <w:szCs w:val="20"/>
              </w:rPr>
              <w:t xml:space="preserve"> Colmenares Rentería</w:t>
            </w:r>
          </w:p>
          <w:p w14:paraId="7FC4BE33" w14:textId="77777777" w:rsidR="00F94B48" w:rsidRPr="00F32542" w:rsidRDefault="00F94B48" w:rsidP="00F94B48">
            <w:pPr>
              <w:spacing w:after="0" w:line="240" w:lineRule="auto"/>
              <w:jc w:val="center"/>
              <w:rPr>
                <w:rFonts w:ascii="Arial" w:eastAsia="Calibri" w:hAnsi="Arial" w:cs="Arial"/>
                <w:color w:val="000000"/>
                <w:sz w:val="20"/>
                <w:szCs w:val="20"/>
              </w:rPr>
            </w:pPr>
          </w:p>
        </w:tc>
        <w:tc>
          <w:tcPr>
            <w:tcW w:w="1268" w:type="dxa"/>
            <w:vAlign w:val="center"/>
          </w:tcPr>
          <w:p w14:paraId="39C19A2C"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15.61</w:t>
            </w:r>
          </w:p>
        </w:tc>
      </w:tr>
      <w:tr w:rsidR="00F94B48" w:rsidRPr="00F32542" w14:paraId="3D75BBED" w14:textId="77777777" w:rsidTr="00B65D24">
        <w:trPr>
          <w:tblHeader/>
          <w:jc w:val="center"/>
        </w:trPr>
        <w:tc>
          <w:tcPr>
            <w:tcW w:w="509" w:type="dxa"/>
            <w:vAlign w:val="center"/>
          </w:tcPr>
          <w:p w14:paraId="7FB0FE9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3</w:t>
            </w:r>
          </w:p>
        </w:tc>
        <w:tc>
          <w:tcPr>
            <w:tcW w:w="904" w:type="dxa"/>
            <w:vAlign w:val="center"/>
          </w:tcPr>
          <w:p w14:paraId="44244039"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25</w:t>
            </w:r>
          </w:p>
        </w:tc>
        <w:tc>
          <w:tcPr>
            <w:tcW w:w="850" w:type="dxa"/>
            <w:vAlign w:val="center"/>
          </w:tcPr>
          <w:p w14:paraId="3DC0A24C"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M</w:t>
            </w:r>
          </w:p>
        </w:tc>
        <w:tc>
          <w:tcPr>
            <w:tcW w:w="3038" w:type="dxa"/>
            <w:vAlign w:val="center"/>
          </w:tcPr>
          <w:p w14:paraId="221F246A" w14:textId="77777777" w:rsidR="00F94B48" w:rsidRPr="00F32542" w:rsidRDefault="00F94B48" w:rsidP="00F94B48">
            <w:pPr>
              <w:autoSpaceDE w:val="0"/>
              <w:autoSpaceDN w:val="0"/>
              <w:adjustRightInd w:val="0"/>
              <w:spacing w:after="0" w:line="240" w:lineRule="auto"/>
              <w:jc w:val="center"/>
              <w:rPr>
                <w:rFonts w:ascii="Arial" w:eastAsia="Calibri" w:hAnsi="Arial" w:cs="Arial"/>
                <w:color w:val="000000"/>
                <w:sz w:val="20"/>
                <w:szCs w:val="20"/>
              </w:rPr>
            </w:pPr>
            <w:proofErr w:type="spellStart"/>
            <w:r w:rsidRPr="00F32542">
              <w:rPr>
                <w:rFonts w:ascii="Arial" w:eastAsia="Calibri" w:hAnsi="Arial" w:cs="Arial"/>
                <w:color w:val="000000"/>
                <w:sz w:val="20"/>
                <w:szCs w:val="20"/>
              </w:rPr>
              <w:t>Nitzia</w:t>
            </w:r>
            <w:proofErr w:type="spellEnd"/>
            <w:r w:rsidRPr="00F32542">
              <w:rPr>
                <w:rFonts w:ascii="Arial" w:eastAsia="Calibri" w:hAnsi="Arial" w:cs="Arial"/>
                <w:color w:val="000000"/>
                <w:sz w:val="20"/>
                <w:szCs w:val="20"/>
              </w:rPr>
              <w:t xml:space="preserve"> Lucero Rosas Chávez</w:t>
            </w:r>
          </w:p>
          <w:p w14:paraId="1FC4B214" w14:textId="77777777" w:rsidR="00F94B48" w:rsidRPr="00F32542" w:rsidRDefault="00F94B48" w:rsidP="00F94B48">
            <w:pPr>
              <w:spacing w:after="0" w:line="240" w:lineRule="auto"/>
              <w:jc w:val="center"/>
              <w:rPr>
                <w:rFonts w:ascii="Arial" w:eastAsia="Calibri" w:hAnsi="Arial" w:cs="Arial"/>
                <w:color w:val="000000"/>
                <w:sz w:val="20"/>
                <w:szCs w:val="20"/>
              </w:rPr>
            </w:pPr>
          </w:p>
        </w:tc>
        <w:tc>
          <w:tcPr>
            <w:tcW w:w="1268" w:type="dxa"/>
            <w:vAlign w:val="center"/>
          </w:tcPr>
          <w:p w14:paraId="57F06C40"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15.52</w:t>
            </w:r>
          </w:p>
        </w:tc>
      </w:tr>
      <w:tr w:rsidR="00F94B48" w:rsidRPr="00F32542" w14:paraId="7DA13810" w14:textId="77777777" w:rsidTr="00B65D24">
        <w:trPr>
          <w:tblHeader/>
          <w:jc w:val="center"/>
        </w:trPr>
        <w:tc>
          <w:tcPr>
            <w:tcW w:w="509" w:type="dxa"/>
            <w:vAlign w:val="center"/>
          </w:tcPr>
          <w:p w14:paraId="68B7436B"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4</w:t>
            </w:r>
          </w:p>
        </w:tc>
        <w:tc>
          <w:tcPr>
            <w:tcW w:w="904" w:type="dxa"/>
            <w:vAlign w:val="center"/>
          </w:tcPr>
          <w:p w14:paraId="59A25548"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14</w:t>
            </w:r>
          </w:p>
        </w:tc>
        <w:tc>
          <w:tcPr>
            <w:tcW w:w="850" w:type="dxa"/>
            <w:vAlign w:val="center"/>
          </w:tcPr>
          <w:p w14:paraId="43AE9D32"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H</w:t>
            </w:r>
          </w:p>
        </w:tc>
        <w:tc>
          <w:tcPr>
            <w:tcW w:w="3038" w:type="dxa"/>
            <w:vAlign w:val="center"/>
          </w:tcPr>
          <w:p w14:paraId="1CD1728A" w14:textId="77777777" w:rsidR="00F94B48" w:rsidRPr="00F32542" w:rsidRDefault="00F94B48" w:rsidP="00F94B48">
            <w:pPr>
              <w:autoSpaceDE w:val="0"/>
              <w:autoSpaceDN w:val="0"/>
              <w:adjustRightInd w:val="0"/>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 xml:space="preserve">Alejandro Argüelles </w:t>
            </w:r>
            <w:proofErr w:type="spellStart"/>
            <w:r w:rsidRPr="00F32542">
              <w:rPr>
                <w:rFonts w:ascii="Arial" w:eastAsia="Calibri" w:hAnsi="Arial" w:cs="Arial"/>
                <w:color w:val="000000"/>
                <w:sz w:val="20"/>
                <w:szCs w:val="20"/>
              </w:rPr>
              <w:t>Almontes</w:t>
            </w:r>
            <w:proofErr w:type="spellEnd"/>
          </w:p>
          <w:p w14:paraId="2A23D6C6" w14:textId="77777777" w:rsidR="00F94B48" w:rsidRPr="00F32542" w:rsidRDefault="00F94B48" w:rsidP="00F94B48">
            <w:pPr>
              <w:spacing w:after="0" w:line="240" w:lineRule="auto"/>
              <w:jc w:val="center"/>
              <w:rPr>
                <w:rFonts w:ascii="Arial" w:eastAsia="Calibri" w:hAnsi="Arial" w:cs="Arial"/>
                <w:color w:val="000000"/>
                <w:sz w:val="20"/>
                <w:szCs w:val="20"/>
              </w:rPr>
            </w:pPr>
          </w:p>
        </w:tc>
        <w:tc>
          <w:tcPr>
            <w:tcW w:w="1268" w:type="dxa"/>
            <w:vAlign w:val="center"/>
          </w:tcPr>
          <w:p w14:paraId="3BF33E13"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14.61</w:t>
            </w:r>
          </w:p>
        </w:tc>
      </w:tr>
      <w:tr w:rsidR="00F94B48" w:rsidRPr="00F32542" w14:paraId="5A85A597" w14:textId="77777777" w:rsidTr="00B65D24">
        <w:trPr>
          <w:tblHeader/>
          <w:jc w:val="center"/>
        </w:trPr>
        <w:tc>
          <w:tcPr>
            <w:tcW w:w="509" w:type="dxa"/>
            <w:vAlign w:val="center"/>
          </w:tcPr>
          <w:p w14:paraId="2CF0C3DC"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5</w:t>
            </w:r>
          </w:p>
        </w:tc>
        <w:tc>
          <w:tcPr>
            <w:tcW w:w="904" w:type="dxa"/>
            <w:vAlign w:val="center"/>
          </w:tcPr>
          <w:p w14:paraId="2B96A71D"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15</w:t>
            </w:r>
          </w:p>
        </w:tc>
        <w:tc>
          <w:tcPr>
            <w:tcW w:w="850" w:type="dxa"/>
            <w:vAlign w:val="center"/>
          </w:tcPr>
          <w:p w14:paraId="4D95D55B"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M</w:t>
            </w:r>
          </w:p>
        </w:tc>
        <w:tc>
          <w:tcPr>
            <w:tcW w:w="3038" w:type="dxa"/>
            <w:vAlign w:val="center"/>
          </w:tcPr>
          <w:p w14:paraId="0826EB63" w14:textId="77777777" w:rsidR="00F94B48" w:rsidRPr="00F32542" w:rsidRDefault="00F94B48" w:rsidP="00F94B48">
            <w:pPr>
              <w:autoSpaceDE w:val="0"/>
              <w:autoSpaceDN w:val="0"/>
              <w:adjustRightInd w:val="0"/>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Jessica Morales García</w:t>
            </w:r>
          </w:p>
          <w:p w14:paraId="5820FAF2" w14:textId="77777777" w:rsidR="00F94B48" w:rsidRPr="00F32542" w:rsidRDefault="00F94B48" w:rsidP="00F94B48">
            <w:pPr>
              <w:spacing w:after="0" w:line="240" w:lineRule="auto"/>
              <w:jc w:val="center"/>
              <w:rPr>
                <w:rFonts w:ascii="Arial" w:eastAsia="Calibri" w:hAnsi="Arial" w:cs="Arial"/>
                <w:color w:val="000000"/>
                <w:sz w:val="20"/>
                <w:szCs w:val="20"/>
              </w:rPr>
            </w:pPr>
          </w:p>
        </w:tc>
        <w:tc>
          <w:tcPr>
            <w:tcW w:w="1268" w:type="dxa"/>
            <w:vAlign w:val="center"/>
          </w:tcPr>
          <w:p w14:paraId="044808C8"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15.18</w:t>
            </w:r>
          </w:p>
        </w:tc>
      </w:tr>
      <w:tr w:rsidR="00F94B48" w:rsidRPr="00F32542" w14:paraId="53E0356D" w14:textId="77777777" w:rsidTr="00B65D24">
        <w:trPr>
          <w:tblHeader/>
          <w:jc w:val="center"/>
        </w:trPr>
        <w:tc>
          <w:tcPr>
            <w:tcW w:w="509" w:type="dxa"/>
            <w:vAlign w:val="center"/>
          </w:tcPr>
          <w:p w14:paraId="542E6FE4"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6</w:t>
            </w:r>
          </w:p>
        </w:tc>
        <w:tc>
          <w:tcPr>
            <w:tcW w:w="904" w:type="dxa"/>
            <w:vAlign w:val="center"/>
          </w:tcPr>
          <w:p w14:paraId="14875619"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19</w:t>
            </w:r>
          </w:p>
        </w:tc>
        <w:tc>
          <w:tcPr>
            <w:tcW w:w="850" w:type="dxa"/>
            <w:vAlign w:val="center"/>
          </w:tcPr>
          <w:p w14:paraId="26FEAF83"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H</w:t>
            </w:r>
          </w:p>
        </w:tc>
        <w:tc>
          <w:tcPr>
            <w:tcW w:w="3038" w:type="dxa"/>
            <w:vAlign w:val="center"/>
          </w:tcPr>
          <w:p w14:paraId="139FF16F" w14:textId="77777777" w:rsidR="00F94B48" w:rsidRPr="00F32542" w:rsidRDefault="00F94B48" w:rsidP="00F94B48">
            <w:pPr>
              <w:autoSpaceDE w:val="0"/>
              <w:autoSpaceDN w:val="0"/>
              <w:adjustRightInd w:val="0"/>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Gustavo Nabor Ojeda Delgado</w:t>
            </w:r>
          </w:p>
          <w:p w14:paraId="79FDF5AE" w14:textId="77777777" w:rsidR="00F94B48" w:rsidRPr="00F32542" w:rsidRDefault="00F94B48" w:rsidP="00F94B48">
            <w:pPr>
              <w:spacing w:after="0" w:line="240" w:lineRule="auto"/>
              <w:jc w:val="center"/>
              <w:rPr>
                <w:rFonts w:ascii="Arial" w:eastAsia="Calibri" w:hAnsi="Arial" w:cs="Arial"/>
                <w:color w:val="000000"/>
                <w:sz w:val="20"/>
                <w:szCs w:val="20"/>
              </w:rPr>
            </w:pPr>
          </w:p>
        </w:tc>
        <w:tc>
          <w:tcPr>
            <w:tcW w:w="1268" w:type="dxa"/>
            <w:vAlign w:val="center"/>
          </w:tcPr>
          <w:p w14:paraId="1EC7038F"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13.65</w:t>
            </w:r>
          </w:p>
        </w:tc>
      </w:tr>
      <w:tr w:rsidR="00F94B48" w:rsidRPr="00F32542" w14:paraId="5DCB6C6C" w14:textId="77777777" w:rsidTr="00B65D24">
        <w:trPr>
          <w:tblHeader/>
          <w:jc w:val="center"/>
        </w:trPr>
        <w:tc>
          <w:tcPr>
            <w:tcW w:w="509" w:type="dxa"/>
            <w:vAlign w:val="center"/>
          </w:tcPr>
          <w:p w14:paraId="5B6E8471"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7</w:t>
            </w:r>
          </w:p>
        </w:tc>
        <w:tc>
          <w:tcPr>
            <w:tcW w:w="904" w:type="dxa"/>
            <w:vAlign w:val="center"/>
          </w:tcPr>
          <w:p w14:paraId="39DBC7D4"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28</w:t>
            </w:r>
          </w:p>
        </w:tc>
        <w:tc>
          <w:tcPr>
            <w:tcW w:w="850" w:type="dxa"/>
            <w:vAlign w:val="center"/>
          </w:tcPr>
          <w:p w14:paraId="3F8DF59E"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M</w:t>
            </w:r>
          </w:p>
        </w:tc>
        <w:tc>
          <w:tcPr>
            <w:tcW w:w="3038" w:type="dxa"/>
            <w:vAlign w:val="center"/>
          </w:tcPr>
          <w:p w14:paraId="441493ED" w14:textId="77777777" w:rsidR="00F94B48" w:rsidRPr="00F32542" w:rsidRDefault="00F94B48" w:rsidP="00F94B48">
            <w:pPr>
              <w:autoSpaceDE w:val="0"/>
              <w:autoSpaceDN w:val="0"/>
              <w:adjustRightInd w:val="0"/>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Dulce Violeta Carrillo Jaime</w:t>
            </w:r>
          </w:p>
          <w:p w14:paraId="647BC9A8" w14:textId="77777777" w:rsidR="00F94B48" w:rsidRPr="00F32542" w:rsidRDefault="00F94B48" w:rsidP="00F94B48">
            <w:pPr>
              <w:spacing w:after="0" w:line="240" w:lineRule="auto"/>
              <w:jc w:val="center"/>
              <w:rPr>
                <w:rFonts w:ascii="Arial" w:eastAsia="Calibri" w:hAnsi="Arial" w:cs="Arial"/>
                <w:color w:val="000000"/>
                <w:sz w:val="20"/>
                <w:szCs w:val="20"/>
              </w:rPr>
            </w:pPr>
          </w:p>
        </w:tc>
        <w:tc>
          <w:tcPr>
            <w:tcW w:w="1268" w:type="dxa"/>
            <w:vAlign w:val="center"/>
          </w:tcPr>
          <w:p w14:paraId="7BF414B5"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14.54</w:t>
            </w:r>
          </w:p>
        </w:tc>
      </w:tr>
      <w:tr w:rsidR="00F94B48" w:rsidRPr="00F32542" w14:paraId="28E34FD1" w14:textId="77777777" w:rsidTr="00B65D24">
        <w:trPr>
          <w:tblHeader/>
          <w:jc w:val="center"/>
        </w:trPr>
        <w:tc>
          <w:tcPr>
            <w:tcW w:w="509" w:type="dxa"/>
            <w:vAlign w:val="center"/>
          </w:tcPr>
          <w:p w14:paraId="600B510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8</w:t>
            </w:r>
          </w:p>
        </w:tc>
        <w:tc>
          <w:tcPr>
            <w:tcW w:w="904" w:type="dxa"/>
            <w:vAlign w:val="center"/>
          </w:tcPr>
          <w:p w14:paraId="2D31A6E2"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4</w:t>
            </w:r>
          </w:p>
        </w:tc>
        <w:tc>
          <w:tcPr>
            <w:tcW w:w="850" w:type="dxa"/>
            <w:vAlign w:val="center"/>
          </w:tcPr>
          <w:p w14:paraId="64DBFE4C"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H</w:t>
            </w:r>
          </w:p>
        </w:tc>
        <w:tc>
          <w:tcPr>
            <w:tcW w:w="3038" w:type="dxa"/>
            <w:vAlign w:val="center"/>
          </w:tcPr>
          <w:p w14:paraId="66B78D69" w14:textId="77777777" w:rsidR="00F94B48" w:rsidRPr="00F32542" w:rsidRDefault="00F94B48" w:rsidP="00F94B48">
            <w:pPr>
              <w:autoSpaceDE w:val="0"/>
              <w:autoSpaceDN w:val="0"/>
              <w:adjustRightInd w:val="0"/>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Ángel Gutiérrez Javier</w:t>
            </w:r>
          </w:p>
          <w:p w14:paraId="2AB8F340" w14:textId="77777777" w:rsidR="00F94B48" w:rsidRPr="00F32542" w:rsidRDefault="00F94B48" w:rsidP="00F94B48">
            <w:pPr>
              <w:spacing w:after="0" w:line="240" w:lineRule="auto"/>
              <w:jc w:val="center"/>
              <w:rPr>
                <w:rFonts w:ascii="Arial" w:eastAsia="Calibri" w:hAnsi="Arial" w:cs="Arial"/>
                <w:color w:val="000000"/>
                <w:sz w:val="20"/>
                <w:szCs w:val="20"/>
              </w:rPr>
            </w:pPr>
          </w:p>
        </w:tc>
        <w:tc>
          <w:tcPr>
            <w:tcW w:w="1268" w:type="dxa"/>
            <w:vAlign w:val="center"/>
          </w:tcPr>
          <w:p w14:paraId="1458ACA1"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13.56</w:t>
            </w:r>
          </w:p>
        </w:tc>
      </w:tr>
      <w:tr w:rsidR="00F94B48" w:rsidRPr="00F32542" w14:paraId="4EA39BD2" w14:textId="77777777" w:rsidTr="00B65D24">
        <w:trPr>
          <w:tblHeader/>
          <w:jc w:val="center"/>
        </w:trPr>
        <w:tc>
          <w:tcPr>
            <w:tcW w:w="509" w:type="dxa"/>
            <w:vAlign w:val="center"/>
          </w:tcPr>
          <w:p w14:paraId="3379C8A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9</w:t>
            </w:r>
          </w:p>
        </w:tc>
        <w:tc>
          <w:tcPr>
            <w:tcW w:w="904" w:type="dxa"/>
            <w:vAlign w:val="center"/>
          </w:tcPr>
          <w:p w14:paraId="6213DD06"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23</w:t>
            </w:r>
          </w:p>
        </w:tc>
        <w:tc>
          <w:tcPr>
            <w:tcW w:w="850" w:type="dxa"/>
            <w:vAlign w:val="center"/>
          </w:tcPr>
          <w:p w14:paraId="2F132305"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M</w:t>
            </w:r>
          </w:p>
        </w:tc>
        <w:tc>
          <w:tcPr>
            <w:tcW w:w="3038" w:type="dxa"/>
            <w:vAlign w:val="center"/>
          </w:tcPr>
          <w:p w14:paraId="0C33499E" w14:textId="77777777" w:rsidR="00F94B48" w:rsidRPr="00F32542" w:rsidRDefault="00F94B48" w:rsidP="00F94B48">
            <w:pPr>
              <w:autoSpaceDE w:val="0"/>
              <w:autoSpaceDN w:val="0"/>
              <w:adjustRightInd w:val="0"/>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Jacqueline Villarreal García</w:t>
            </w:r>
          </w:p>
          <w:p w14:paraId="269BDADD" w14:textId="77777777" w:rsidR="00F94B48" w:rsidRPr="00F32542" w:rsidRDefault="00F94B48" w:rsidP="00F94B48">
            <w:pPr>
              <w:spacing w:after="0" w:line="240" w:lineRule="auto"/>
              <w:jc w:val="center"/>
              <w:rPr>
                <w:rFonts w:ascii="Arial" w:eastAsia="Calibri" w:hAnsi="Arial" w:cs="Arial"/>
                <w:color w:val="000000"/>
                <w:sz w:val="20"/>
                <w:szCs w:val="20"/>
              </w:rPr>
            </w:pPr>
          </w:p>
        </w:tc>
        <w:tc>
          <w:tcPr>
            <w:tcW w:w="1268" w:type="dxa"/>
            <w:vAlign w:val="center"/>
          </w:tcPr>
          <w:p w14:paraId="4428070F"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14.33</w:t>
            </w:r>
          </w:p>
        </w:tc>
      </w:tr>
      <w:tr w:rsidR="00F94B48" w:rsidRPr="00F32542" w14:paraId="2A24292B" w14:textId="77777777" w:rsidTr="00B65D24">
        <w:trPr>
          <w:tblHeader/>
          <w:jc w:val="center"/>
        </w:trPr>
        <w:tc>
          <w:tcPr>
            <w:tcW w:w="509" w:type="dxa"/>
            <w:vAlign w:val="center"/>
          </w:tcPr>
          <w:p w14:paraId="759DAB2A"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10</w:t>
            </w:r>
          </w:p>
        </w:tc>
        <w:tc>
          <w:tcPr>
            <w:tcW w:w="904" w:type="dxa"/>
            <w:vAlign w:val="center"/>
          </w:tcPr>
          <w:p w14:paraId="3CBC6F55"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31</w:t>
            </w:r>
          </w:p>
        </w:tc>
        <w:tc>
          <w:tcPr>
            <w:tcW w:w="850" w:type="dxa"/>
            <w:vAlign w:val="center"/>
          </w:tcPr>
          <w:p w14:paraId="2407DA23"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H</w:t>
            </w:r>
          </w:p>
        </w:tc>
        <w:tc>
          <w:tcPr>
            <w:tcW w:w="3038" w:type="dxa"/>
            <w:vAlign w:val="center"/>
          </w:tcPr>
          <w:p w14:paraId="5C48246A" w14:textId="77777777" w:rsidR="00F94B48" w:rsidRPr="00F32542" w:rsidRDefault="00F94B48" w:rsidP="00F94B48">
            <w:pPr>
              <w:autoSpaceDE w:val="0"/>
              <w:autoSpaceDN w:val="0"/>
              <w:adjustRightInd w:val="0"/>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Efrén Sánchez Jiménez</w:t>
            </w:r>
          </w:p>
          <w:p w14:paraId="56A9DD15" w14:textId="77777777" w:rsidR="00F94B48" w:rsidRPr="00F32542" w:rsidRDefault="00F94B48" w:rsidP="00F94B48">
            <w:pPr>
              <w:spacing w:after="0" w:line="240" w:lineRule="auto"/>
              <w:jc w:val="center"/>
              <w:rPr>
                <w:rFonts w:ascii="Arial" w:eastAsia="Calibri" w:hAnsi="Arial" w:cs="Arial"/>
                <w:color w:val="000000"/>
                <w:sz w:val="20"/>
                <w:szCs w:val="20"/>
              </w:rPr>
            </w:pPr>
          </w:p>
        </w:tc>
        <w:tc>
          <w:tcPr>
            <w:tcW w:w="1268" w:type="dxa"/>
            <w:vAlign w:val="center"/>
          </w:tcPr>
          <w:p w14:paraId="4D936205"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13.40</w:t>
            </w:r>
          </w:p>
        </w:tc>
      </w:tr>
      <w:tr w:rsidR="00F94B48" w:rsidRPr="00F32542" w14:paraId="2A46C7F5" w14:textId="77777777" w:rsidTr="00B65D24">
        <w:trPr>
          <w:tblHeader/>
          <w:jc w:val="center"/>
        </w:trPr>
        <w:tc>
          <w:tcPr>
            <w:tcW w:w="509" w:type="dxa"/>
            <w:vAlign w:val="center"/>
          </w:tcPr>
          <w:p w14:paraId="484C17C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11</w:t>
            </w:r>
          </w:p>
        </w:tc>
        <w:tc>
          <w:tcPr>
            <w:tcW w:w="904" w:type="dxa"/>
            <w:vAlign w:val="center"/>
          </w:tcPr>
          <w:p w14:paraId="2A3A3B17"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5</w:t>
            </w:r>
          </w:p>
        </w:tc>
        <w:tc>
          <w:tcPr>
            <w:tcW w:w="850" w:type="dxa"/>
            <w:vAlign w:val="center"/>
          </w:tcPr>
          <w:p w14:paraId="16F9A17F"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M</w:t>
            </w:r>
          </w:p>
        </w:tc>
        <w:tc>
          <w:tcPr>
            <w:tcW w:w="3038" w:type="dxa"/>
            <w:vAlign w:val="center"/>
          </w:tcPr>
          <w:p w14:paraId="01B54B33" w14:textId="77777777" w:rsidR="00F94B48" w:rsidRPr="00F32542" w:rsidRDefault="00F94B48" w:rsidP="00F94B48">
            <w:pPr>
              <w:autoSpaceDE w:val="0"/>
              <w:autoSpaceDN w:val="0"/>
              <w:adjustRightInd w:val="0"/>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Mariana Gómez Román</w:t>
            </w:r>
          </w:p>
          <w:p w14:paraId="231290A3" w14:textId="77777777" w:rsidR="00F94B48" w:rsidRPr="00F32542" w:rsidRDefault="00F94B48" w:rsidP="00F94B48">
            <w:pPr>
              <w:spacing w:after="0" w:line="240" w:lineRule="auto"/>
              <w:jc w:val="center"/>
              <w:rPr>
                <w:rFonts w:ascii="Arial" w:eastAsia="Calibri" w:hAnsi="Arial" w:cs="Arial"/>
                <w:color w:val="000000"/>
                <w:sz w:val="20"/>
                <w:szCs w:val="20"/>
              </w:rPr>
            </w:pPr>
          </w:p>
        </w:tc>
        <w:tc>
          <w:tcPr>
            <w:tcW w:w="1268" w:type="dxa"/>
            <w:vAlign w:val="center"/>
          </w:tcPr>
          <w:p w14:paraId="1A437E08"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13.95</w:t>
            </w:r>
          </w:p>
        </w:tc>
      </w:tr>
      <w:tr w:rsidR="00F94B48" w:rsidRPr="00F32542" w14:paraId="7117FAAA" w14:textId="77777777" w:rsidTr="00B65D24">
        <w:trPr>
          <w:tblHeader/>
          <w:jc w:val="center"/>
        </w:trPr>
        <w:tc>
          <w:tcPr>
            <w:tcW w:w="509" w:type="dxa"/>
            <w:vAlign w:val="center"/>
          </w:tcPr>
          <w:p w14:paraId="7871CDAE"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12</w:t>
            </w:r>
          </w:p>
        </w:tc>
        <w:tc>
          <w:tcPr>
            <w:tcW w:w="904" w:type="dxa"/>
            <w:vAlign w:val="center"/>
          </w:tcPr>
          <w:p w14:paraId="40EC7795"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26</w:t>
            </w:r>
          </w:p>
        </w:tc>
        <w:tc>
          <w:tcPr>
            <w:tcW w:w="850" w:type="dxa"/>
            <w:vAlign w:val="center"/>
          </w:tcPr>
          <w:p w14:paraId="4AB47435"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H</w:t>
            </w:r>
          </w:p>
        </w:tc>
        <w:tc>
          <w:tcPr>
            <w:tcW w:w="3038" w:type="dxa"/>
            <w:vAlign w:val="center"/>
          </w:tcPr>
          <w:p w14:paraId="07DAF05F" w14:textId="77777777" w:rsidR="00F94B48" w:rsidRPr="00F32542" w:rsidRDefault="00F94B48" w:rsidP="00F94B48">
            <w:pPr>
              <w:autoSpaceDE w:val="0"/>
              <w:autoSpaceDN w:val="0"/>
              <w:adjustRightInd w:val="0"/>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Saúl Alán Rosas Alvarado</w:t>
            </w:r>
          </w:p>
          <w:p w14:paraId="75441B30" w14:textId="77777777" w:rsidR="00F94B48" w:rsidRPr="00F32542" w:rsidRDefault="00F94B48" w:rsidP="00F94B48">
            <w:pPr>
              <w:spacing w:after="0" w:line="240" w:lineRule="auto"/>
              <w:jc w:val="center"/>
              <w:rPr>
                <w:rFonts w:ascii="Arial" w:eastAsia="Calibri" w:hAnsi="Arial" w:cs="Arial"/>
                <w:color w:val="000000"/>
                <w:sz w:val="20"/>
                <w:szCs w:val="20"/>
              </w:rPr>
            </w:pPr>
          </w:p>
        </w:tc>
        <w:tc>
          <w:tcPr>
            <w:tcW w:w="1268" w:type="dxa"/>
            <w:vAlign w:val="center"/>
          </w:tcPr>
          <w:p w14:paraId="50D406DC"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11.75</w:t>
            </w:r>
          </w:p>
        </w:tc>
      </w:tr>
      <w:tr w:rsidR="00F94B48" w:rsidRPr="00F32542" w14:paraId="45F7EC72" w14:textId="77777777" w:rsidTr="00B65D24">
        <w:trPr>
          <w:tblHeader/>
          <w:jc w:val="center"/>
        </w:trPr>
        <w:tc>
          <w:tcPr>
            <w:tcW w:w="509" w:type="dxa"/>
            <w:vAlign w:val="center"/>
          </w:tcPr>
          <w:p w14:paraId="3FF8364E"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13</w:t>
            </w:r>
          </w:p>
        </w:tc>
        <w:tc>
          <w:tcPr>
            <w:tcW w:w="904" w:type="dxa"/>
            <w:vAlign w:val="center"/>
          </w:tcPr>
          <w:p w14:paraId="30483391"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22</w:t>
            </w:r>
          </w:p>
        </w:tc>
        <w:tc>
          <w:tcPr>
            <w:tcW w:w="850" w:type="dxa"/>
            <w:vAlign w:val="center"/>
          </w:tcPr>
          <w:p w14:paraId="5CEF045C"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M</w:t>
            </w:r>
          </w:p>
        </w:tc>
        <w:tc>
          <w:tcPr>
            <w:tcW w:w="3038" w:type="dxa"/>
            <w:vAlign w:val="center"/>
          </w:tcPr>
          <w:p w14:paraId="58873096" w14:textId="77777777" w:rsidR="00F94B48" w:rsidRPr="00F32542" w:rsidRDefault="00F94B48" w:rsidP="00F94B48">
            <w:pPr>
              <w:autoSpaceDE w:val="0"/>
              <w:autoSpaceDN w:val="0"/>
              <w:adjustRightInd w:val="0"/>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Virginia Melo Miranda</w:t>
            </w:r>
          </w:p>
          <w:p w14:paraId="555FCB4C" w14:textId="77777777" w:rsidR="00F94B48" w:rsidRPr="00F32542" w:rsidRDefault="00F94B48" w:rsidP="00F94B48">
            <w:pPr>
              <w:spacing w:after="0" w:line="240" w:lineRule="auto"/>
              <w:jc w:val="center"/>
              <w:rPr>
                <w:rFonts w:ascii="Arial" w:eastAsia="Calibri" w:hAnsi="Arial" w:cs="Arial"/>
                <w:color w:val="000000"/>
                <w:sz w:val="20"/>
                <w:szCs w:val="20"/>
              </w:rPr>
            </w:pPr>
          </w:p>
        </w:tc>
        <w:tc>
          <w:tcPr>
            <w:tcW w:w="1268" w:type="dxa"/>
            <w:vAlign w:val="center"/>
          </w:tcPr>
          <w:p w14:paraId="57071686"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12.73</w:t>
            </w:r>
          </w:p>
        </w:tc>
      </w:tr>
      <w:tr w:rsidR="00F94B48" w:rsidRPr="00F32542" w14:paraId="610042AB" w14:textId="77777777" w:rsidTr="00B65D24">
        <w:trPr>
          <w:tblHeader/>
          <w:jc w:val="center"/>
        </w:trPr>
        <w:tc>
          <w:tcPr>
            <w:tcW w:w="509" w:type="dxa"/>
            <w:vAlign w:val="center"/>
          </w:tcPr>
          <w:p w14:paraId="53369C1E"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14</w:t>
            </w:r>
          </w:p>
        </w:tc>
        <w:tc>
          <w:tcPr>
            <w:tcW w:w="904" w:type="dxa"/>
            <w:vAlign w:val="center"/>
          </w:tcPr>
          <w:p w14:paraId="71100868"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17</w:t>
            </w:r>
          </w:p>
        </w:tc>
        <w:tc>
          <w:tcPr>
            <w:tcW w:w="850" w:type="dxa"/>
            <w:vAlign w:val="center"/>
          </w:tcPr>
          <w:p w14:paraId="0F1F7200"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H</w:t>
            </w:r>
          </w:p>
        </w:tc>
        <w:tc>
          <w:tcPr>
            <w:tcW w:w="3038" w:type="dxa"/>
            <w:vAlign w:val="center"/>
          </w:tcPr>
          <w:p w14:paraId="446512FC" w14:textId="77777777" w:rsidR="00F94B48" w:rsidRPr="00F32542" w:rsidRDefault="00F94B48" w:rsidP="00F94B48">
            <w:pPr>
              <w:autoSpaceDE w:val="0"/>
              <w:autoSpaceDN w:val="0"/>
              <w:adjustRightInd w:val="0"/>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 xml:space="preserve">René Enrique Vivanco </w:t>
            </w:r>
            <w:proofErr w:type="spellStart"/>
            <w:r w:rsidRPr="00F32542">
              <w:rPr>
                <w:rFonts w:ascii="Arial" w:eastAsia="Calibri" w:hAnsi="Arial" w:cs="Arial"/>
                <w:color w:val="000000"/>
                <w:sz w:val="20"/>
                <w:szCs w:val="20"/>
              </w:rPr>
              <w:t>Balp</w:t>
            </w:r>
            <w:proofErr w:type="spellEnd"/>
          </w:p>
          <w:p w14:paraId="74963518" w14:textId="77777777" w:rsidR="00F94B48" w:rsidRPr="00F32542" w:rsidRDefault="00F94B48" w:rsidP="00F94B48">
            <w:pPr>
              <w:spacing w:after="0" w:line="240" w:lineRule="auto"/>
              <w:jc w:val="center"/>
              <w:rPr>
                <w:rFonts w:ascii="Arial" w:eastAsia="Calibri" w:hAnsi="Arial" w:cs="Arial"/>
                <w:color w:val="000000"/>
                <w:sz w:val="20"/>
                <w:szCs w:val="20"/>
              </w:rPr>
            </w:pPr>
          </w:p>
        </w:tc>
        <w:tc>
          <w:tcPr>
            <w:tcW w:w="1268" w:type="dxa"/>
            <w:vAlign w:val="center"/>
          </w:tcPr>
          <w:p w14:paraId="417FDAF8"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9.96</w:t>
            </w:r>
          </w:p>
        </w:tc>
      </w:tr>
      <w:tr w:rsidR="00F94B48" w:rsidRPr="00F32542" w14:paraId="76822FF0" w14:textId="77777777" w:rsidTr="00B65D24">
        <w:trPr>
          <w:tblHeader/>
          <w:jc w:val="center"/>
        </w:trPr>
        <w:tc>
          <w:tcPr>
            <w:tcW w:w="509" w:type="dxa"/>
            <w:vAlign w:val="center"/>
          </w:tcPr>
          <w:p w14:paraId="620A8D8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15</w:t>
            </w:r>
          </w:p>
        </w:tc>
        <w:tc>
          <w:tcPr>
            <w:tcW w:w="904" w:type="dxa"/>
            <w:vAlign w:val="center"/>
          </w:tcPr>
          <w:p w14:paraId="49E3A9F0"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13</w:t>
            </w:r>
          </w:p>
        </w:tc>
        <w:tc>
          <w:tcPr>
            <w:tcW w:w="850" w:type="dxa"/>
            <w:vAlign w:val="center"/>
          </w:tcPr>
          <w:p w14:paraId="3DFB43BD"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M</w:t>
            </w:r>
          </w:p>
        </w:tc>
        <w:tc>
          <w:tcPr>
            <w:tcW w:w="3038" w:type="dxa"/>
            <w:vAlign w:val="center"/>
          </w:tcPr>
          <w:p w14:paraId="6B62848C" w14:textId="77777777" w:rsidR="00F94B48" w:rsidRPr="00F32542" w:rsidRDefault="00F94B48" w:rsidP="00F94B48">
            <w:pPr>
              <w:autoSpaceDE w:val="0"/>
              <w:autoSpaceDN w:val="0"/>
              <w:adjustRightInd w:val="0"/>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 xml:space="preserve">Rosa Elena </w:t>
            </w:r>
            <w:proofErr w:type="spellStart"/>
            <w:r w:rsidRPr="00F32542">
              <w:rPr>
                <w:rFonts w:ascii="Arial" w:eastAsia="Calibri" w:hAnsi="Arial" w:cs="Arial"/>
                <w:color w:val="000000"/>
                <w:sz w:val="20"/>
                <w:szCs w:val="20"/>
              </w:rPr>
              <w:t>Garfías</w:t>
            </w:r>
            <w:proofErr w:type="spellEnd"/>
            <w:r w:rsidRPr="00F32542">
              <w:rPr>
                <w:rFonts w:ascii="Arial" w:eastAsia="Calibri" w:hAnsi="Arial" w:cs="Arial"/>
                <w:color w:val="000000"/>
                <w:sz w:val="20"/>
                <w:szCs w:val="20"/>
              </w:rPr>
              <w:t xml:space="preserve"> García</w:t>
            </w:r>
          </w:p>
          <w:p w14:paraId="3D83D55D" w14:textId="77777777" w:rsidR="00F94B48" w:rsidRPr="00F32542" w:rsidRDefault="00F94B48" w:rsidP="00F94B48">
            <w:pPr>
              <w:spacing w:after="0" w:line="240" w:lineRule="auto"/>
              <w:jc w:val="center"/>
              <w:rPr>
                <w:rFonts w:ascii="Arial" w:eastAsia="Calibri" w:hAnsi="Arial" w:cs="Arial"/>
                <w:color w:val="000000"/>
                <w:sz w:val="20"/>
                <w:szCs w:val="20"/>
              </w:rPr>
            </w:pPr>
          </w:p>
        </w:tc>
        <w:tc>
          <w:tcPr>
            <w:tcW w:w="1268" w:type="dxa"/>
            <w:vAlign w:val="center"/>
          </w:tcPr>
          <w:p w14:paraId="059D16D9" w14:textId="77777777" w:rsidR="00F94B48" w:rsidRPr="00F32542" w:rsidRDefault="00F94B48" w:rsidP="00F94B48">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10.71</w:t>
            </w:r>
          </w:p>
        </w:tc>
      </w:tr>
    </w:tbl>
    <w:p w14:paraId="7B75F15C"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Ciertamente, en la tabla que insertó la autoridad responsable de la lista B del PRI, tampoco expuso la votación que se tomaría como base en cada distrito, ni la votación que obtuvo cada candidatura. </w:t>
      </w:r>
    </w:p>
    <w:p w14:paraId="76B95B44"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Sin embargo, como se evidenció, primero, la autoridad responsable obtuvo la votación local emitida al sustraer de la votación total de cada distrito, la votación de los partidos que no obtuvieron el 3% de la votación válida emitida, de conformidad con el acuerdo citado. </w:t>
      </w:r>
    </w:p>
    <w:p w14:paraId="3FEF41DB"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También se restaron los votos nulos, los de candidaturas sin partidos y las de candidaturas no registradas. </w:t>
      </w:r>
    </w:p>
    <w:p w14:paraId="58BE35AA"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Una vez que se obtuvo la votación local emitida de cada distrito, se realizó la operación para establecer a que porcentaje de tal votación </w:t>
      </w:r>
      <w:r w:rsidRPr="00F32542">
        <w:rPr>
          <w:rFonts w:ascii="Arial" w:eastAsia="Calibri" w:hAnsi="Arial" w:cs="Arial"/>
          <w:bCs/>
          <w:sz w:val="28"/>
          <w:szCs w:val="28"/>
        </w:rPr>
        <w:lastRenderedPageBreak/>
        <w:t>equivale la que obtuvo exclusivamente el PRI respecto a las personas que postuló en la lista B.</w:t>
      </w:r>
    </w:p>
    <w:p w14:paraId="141DA310" w14:textId="77777777" w:rsidR="00F94B48" w:rsidRPr="00F32542" w:rsidRDefault="00F94B48" w:rsidP="00F94B48">
      <w:pPr>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A continuación, se muestran las votaciones locales emitidas de cada distrito, los votos de cada candidatura (únicamente considerando el partido que las postuló en la lista B) y el porcentaje correspondiente:</w:t>
      </w:r>
    </w:p>
    <w:tbl>
      <w:tblPr>
        <w:tblStyle w:val="Tablaconcuadrcula25"/>
        <w:tblW w:w="0" w:type="auto"/>
        <w:jc w:val="center"/>
        <w:tblLook w:val="04A0" w:firstRow="1" w:lastRow="0" w:firstColumn="1" w:lastColumn="0" w:noHBand="0" w:noVBand="1"/>
      </w:tblPr>
      <w:tblGrid>
        <w:gridCol w:w="536"/>
        <w:gridCol w:w="964"/>
        <w:gridCol w:w="2930"/>
        <w:gridCol w:w="1706"/>
        <w:gridCol w:w="1171"/>
        <w:gridCol w:w="1239"/>
      </w:tblGrid>
      <w:tr w:rsidR="00F94B48" w:rsidRPr="00F32542" w14:paraId="4ED9FD90" w14:textId="77777777" w:rsidTr="00C2724F">
        <w:trPr>
          <w:tblHeader/>
          <w:jc w:val="center"/>
        </w:trPr>
        <w:tc>
          <w:tcPr>
            <w:tcW w:w="549" w:type="dxa"/>
            <w:shd w:val="clear" w:color="auto" w:fill="BFBFBF" w:themeFill="background1" w:themeFillShade="BF"/>
            <w:vAlign w:val="center"/>
          </w:tcPr>
          <w:p w14:paraId="50054A4B" w14:textId="77777777" w:rsidR="00F94B48" w:rsidRPr="00F32542" w:rsidRDefault="00F94B48" w:rsidP="00C2724F">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No</w:t>
            </w:r>
          </w:p>
        </w:tc>
        <w:tc>
          <w:tcPr>
            <w:tcW w:w="977" w:type="dxa"/>
            <w:shd w:val="clear" w:color="auto" w:fill="BFBFBF" w:themeFill="background1" w:themeFillShade="BF"/>
            <w:vAlign w:val="center"/>
          </w:tcPr>
          <w:p w14:paraId="760002E6" w14:textId="77777777" w:rsidR="00F94B48" w:rsidRPr="00F32542" w:rsidRDefault="00F94B48" w:rsidP="00C2724F">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Distrito</w:t>
            </w:r>
          </w:p>
        </w:tc>
        <w:tc>
          <w:tcPr>
            <w:tcW w:w="3330" w:type="dxa"/>
            <w:shd w:val="clear" w:color="auto" w:fill="BFBFBF" w:themeFill="background1" w:themeFillShade="BF"/>
            <w:vAlign w:val="center"/>
          </w:tcPr>
          <w:p w14:paraId="797C21B8" w14:textId="77777777" w:rsidR="00F94B48" w:rsidRPr="00F32542" w:rsidRDefault="00F94B48" w:rsidP="00C2724F">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Candidatura</w:t>
            </w:r>
          </w:p>
        </w:tc>
        <w:tc>
          <w:tcPr>
            <w:tcW w:w="1595" w:type="dxa"/>
            <w:shd w:val="clear" w:color="auto" w:fill="BFBFBF" w:themeFill="background1" w:themeFillShade="BF"/>
            <w:vAlign w:val="center"/>
          </w:tcPr>
          <w:p w14:paraId="2A268CE7" w14:textId="77777777" w:rsidR="00F94B48" w:rsidRPr="00F32542" w:rsidRDefault="00F94B48" w:rsidP="00C2724F">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Votos candidatura exclusivamente emitidos a favor del PRI</w:t>
            </w:r>
          </w:p>
        </w:tc>
        <w:tc>
          <w:tcPr>
            <w:tcW w:w="1199" w:type="dxa"/>
            <w:shd w:val="clear" w:color="auto" w:fill="BFBFBF" w:themeFill="background1" w:themeFillShade="BF"/>
            <w:vAlign w:val="center"/>
          </w:tcPr>
          <w:p w14:paraId="23F8338A" w14:textId="77777777" w:rsidR="00F94B48" w:rsidRPr="00F32542" w:rsidRDefault="00F94B48" w:rsidP="00C2724F">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Votación</w:t>
            </w:r>
          </w:p>
          <w:p w14:paraId="03DE02C3" w14:textId="77777777" w:rsidR="00F94B48" w:rsidRPr="00F32542" w:rsidRDefault="00F94B48" w:rsidP="00C2724F">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local</w:t>
            </w:r>
          </w:p>
          <w:p w14:paraId="771CAD35" w14:textId="77777777" w:rsidR="00F94B48" w:rsidRPr="00F32542" w:rsidRDefault="00F94B48" w:rsidP="00C2724F">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efectiva</w:t>
            </w:r>
          </w:p>
        </w:tc>
        <w:tc>
          <w:tcPr>
            <w:tcW w:w="1178" w:type="dxa"/>
            <w:shd w:val="clear" w:color="auto" w:fill="BFBFBF" w:themeFill="background1" w:themeFillShade="BF"/>
            <w:vAlign w:val="center"/>
          </w:tcPr>
          <w:p w14:paraId="222DB734" w14:textId="77777777" w:rsidR="00F94B48" w:rsidRPr="00F32542" w:rsidRDefault="00F94B48" w:rsidP="00C2724F">
            <w:pPr>
              <w:spacing w:after="0" w:line="240" w:lineRule="auto"/>
              <w:jc w:val="center"/>
              <w:rPr>
                <w:rFonts w:ascii="Arial" w:eastAsia="Calibri" w:hAnsi="Arial" w:cs="Arial"/>
                <w:b/>
                <w:bCs/>
                <w:sz w:val="20"/>
                <w:szCs w:val="20"/>
              </w:rPr>
            </w:pPr>
            <w:r w:rsidRPr="00F32542">
              <w:rPr>
                <w:rFonts w:ascii="Arial" w:eastAsia="Calibri" w:hAnsi="Arial" w:cs="Arial"/>
                <w:b/>
                <w:bCs/>
                <w:sz w:val="20"/>
                <w:szCs w:val="20"/>
              </w:rPr>
              <w:t>Porcentaje</w:t>
            </w:r>
          </w:p>
        </w:tc>
      </w:tr>
      <w:tr w:rsidR="00F94B48" w:rsidRPr="00F32542" w14:paraId="3E3377D0" w14:textId="77777777" w:rsidTr="00C2724F">
        <w:trPr>
          <w:tblHeader/>
          <w:jc w:val="center"/>
        </w:trPr>
        <w:tc>
          <w:tcPr>
            <w:tcW w:w="549" w:type="dxa"/>
            <w:vAlign w:val="center"/>
          </w:tcPr>
          <w:p w14:paraId="1BE15595" w14:textId="77777777" w:rsidR="00F94B48" w:rsidRPr="00F32542" w:rsidRDefault="00F94B48" w:rsidP="00C2724F">
            <w:pPr>
              <w:spacing w:after="0" w:line="240" w:lineRule="auto"/>
              <w:jc w:val="center"/>
              <w:rPr>
                <w:rFonts w:ascii="Arial" w:eastAsia="Calibri" w:hAnsi="Arial" w:cs="Arial"/>
                <w:sz w:val="20"/>
                <w:szCs w:val="20"/>
              </w:rPr>
            </w:pPr>
            <w:r w:rsidRPr="00F32542">
              <w:rPr>
                <w:rFonts w:ascii="Arial" w:eastAsia="Calibri" w:hAnsi="Arial" w:cs="Arial"/>
                <w:sz w:val="20"/>
                <w:szCs w:val="20"/>
              </w:rPr>
              <w:t>1</w:t>
            </w:r>
          </w:p>
        </w:tc>
        <w:tc>
          <w:tcPr>
            <w:tcW w:w="977" w:type="dxa"/>
            <w:vAlign w:val="center"/>
          </w:tcPr>
          <w:p w14:paraId="2E9CE78F"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10</w:t>
            </w:r>
          </w:p>
        </w:tc>
        <w:tc>
          <w:tcPr>
            <w:tcW w:w="3330" w:type="dxa"/>
            <w:vAlign w:val="center"/>
          </w:tcPr>
          <w:p w14:paraId="546C15CA"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Mónica Fernández César</w:t>
            </w:r>
          </w:p>
        </w:tc>
        <w:tc>
          <w:tcPr>
            <w:tcW w:w="1595" w:type="dxa"/>
            <w:vAlign w:val="center"/>
          </w:tcPr>
          <w:p w14:paraId="518CD31A"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22,441</w:t>
            </w:r>
          </w:p>
        </w:tc>
        <w:tc>
          <w:tcPr>
            <w:tcW w:w="1199" w:type="dxa"/>
            <w:vAlign w:val="center"/>
          </w:tcPr>
          <w:p w14:paraId="228B7BCA"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125,725</w:t>
            </w:r>
          </w:p>
        </w:tc>
        <w:tc>
          <w:tcPr>
            <w:tcW w:w="1178" w:type="dxa"/>
            <w:vAlign w:val="center"/>
          </w:tcPr>
          <w:p w14:paraId="5C18CB13"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17.84</w:t>
            </w:r>
          </w:p>
        </w:tc>
      </w:tr>
      <w:tr w:rsidR="00F94B48" w:rsidRPr="00F32542" w14:paraId="6137DAC3" w14:textId="77777777" w:rsidTr="00C2724F">
        <w:trPr>
          <w:trHeight w:val="75"/>
          <w:tblHeader/>
          <w:jc w:val="center"/>
        </w:trPr>
        <w:tc>
          <w:tcPr>
            <w:tcW w:w="549" w:type="dxa"/>
            <w:vAlign w:val="center"/>
          </w:tcPr>
          <w:p w14:paraId="57882D38" w14:textId="77777777" w:rsidR="00F94B48" w:rsidRPr="00F32542" w:rsidRDefault="00F94B48" w:rsidP="00C2724F">
            <w:pPr>
              <w:spacing w:after="0" w:line="240" w:lineRule="auto"/>
              <w:jc w:val="center"/>
              <w:rPr>
                <w:rFonts w:ascii="Arial" w:eastAsia="Calibri" w:hAnsi="Arial" w:cs="Arial"/>
                <w:sz w:val="20"/>
                <w:szCs w:val="20"/>
              </w:rPr>
            </w:pPr>
            <w:r w:rsidRPr="00F32542">
              <w:rPr>
                <w:rFonts w:ascii="Arial" w:eastAsia="Calibri" w:hAnsi="Arial" w:cs="Arial"/>
                <w:sz w:val="20"/>
                <w:szCs w:val="20"/>
              </w:rPr>
              <w:t>2</w:t>
            </w:r>
          </w:p>
        </w:tc>
        <w:tc>
          <w:tcPr>
            <w:tcW w:w="977" w:type="dxa"/>
            <w:vAlign w:val="center"/>
          </w:tcPr>
          <w:p w14:paraId="1E3BA233"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30</w:t>
            </w:r>
          </w:p>
        </w:tc>
        <w:tc>
          <w:tcPr>
            <w:tcW w:w="3330" w:type="dxa"/>
            <w:vAlign w:val="center"/>
          </w:tcPr>
          <w:p w14:paraId="70CA44BC" w14:textId="77777777" w:rsidR="00F94B48" w:rsidRPr="00F32542" w:rsidRDefault="00F94B48" w:rsidP="00C2724F">
            <w:pPr>
              <w:spacing w:after="0" w:line="240" w:lineRule="auto"/>
              <w:jc w:val="center"/>
              <w:rPr>
                <w:rFonts w:ascii="Arial" w:eastAsia="Calibri" w:hAnsi="Arial" w:cs="Arial"/>
                <w:color w:val="000000"/>
                <w:sz w:val="20"/>
                <w:szCs w:val="20"/>
              </w:rPr>
            </w:pPr>
            <w:proofErr w:type="spellStart"/>
            <w:r w:rsidRPr="00F32542">
              <w:rPr>
                <w:rFonts w:ascii="Arial" w:eastAsia="Calibri" w:hAnsi="Arial" w:cs="Arial"/>
                <w:color w:val="000000"/>
                <w:sz w:val="20"/>
                <w:szCs w:val="20"/>
              </w:rPr>
              <w:t>Jhonatan</w:t>
            </w:r>
            <w:proofErr w:type="spellEnd"/>
            <w:r w:rsidRPr="00F32542">
              <w:rPr>
                <w:rFonts w:ascii="Arial" w:eastAsia="Calibri" w:hAnsi="Arial" w:cs="Arial"/>
                <w:color w:val="000000"/>
                <w:sz w:val="20"/>
                <w:szCs w:val="20"/>
              </w:rPr>
              <w:t xml:space="preserve"> Colmenares Rentería</w:t>
            </w:r>
          </w:p>
        </w:tc>
        <w:tc>
          <w:tcPr>
            <w:tcW w:w="1595" w:type="dxa"/>
            <w:vAlign w:val="center"/>
          </w:tcPr>
          <w:p w14:paraId="1ABBC1B5"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19,600</w:t>
            </w:r>
          </w:p>
        </w:tc>
        <w:tc>
          <w:tcPr>
            <w:tcW w:w="1199" w:type="dxa"/>
            <w:vAlign w:val="center"/>
          </w:tcPr>
          <w:p w14:paraId="3002F553"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125,518</w:t>
            </w:r>
          </w:p>
        </w:tc>
        <w:tc>
          <w:tcPr>
            <w:tcW w:w="1178" w:type="dxa"/>
            <w:vAlign w:val="center"/>
          </w:tcPr>
          <w:p w14:paraId="7C8A504F"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15.61</w:t>
            </w:r>
          </w:p>
        </w:tc>
      </w:tr>
      <w:tr w:rsidR="00F94B48" w:rsidRPr="00F32542" w14:paraId="04BD0A2C" w14:textId="77777777" w:rsidTr="00C2724F">
        <w:trPr>
          <w:tblHeader/>
          <w:jc w:val="center"/>
        </w:trPr>
        <w:tc>
          <w:tcPr>
            <w:tcW w:w="549" w:type="dxa"/>
            <w:vAlign w:val="center"/>
          </w:tcPr>
          <w:p w14:paraId="36D0529E" w14:textId="77777777" w:rsidR="00F94B48" w:rsidRPr="00F32542" w:rsidRDefault="00F94B48" w:rsidP="00C2724F">
            <w:pPr>
              <w:spacing w:after="0" w:line="240" w:lineRule="auto"/>
              <w:jc w:val="center"/>
              <w:rPr>
                <w:rFonts w:ascii="Arial" w:eastAsia="Calibri" w:hAnsi="Arial" w:cs="Arial"/>
                <w:sz w:val="20"/>
                <w:szCs w:val="20"/>
              </w:rPr>
            </w:pPr>
            <w:r w:rsidRPr="00F32542">
              <w:rPr>
                <w:rFonts w:ascii="Arial" w:eastAsia="Calibri" w:hAnsi="Arial" w:cs="Arial"/>
                <w:sz w:val="20"/>
                <w:szCs w:val="20"/>
              </w:rPr>
              <w:t>3</w:t>
            </w:r>
          </w:p>
        </w:tc>
        <w:tc>
          <w:tcPr>
            <w:tcW w:w="977" w:type="dxa"/>
            <w:vAlign w:val="center"/>
          </w:tcPr>
          <w:p w14:paraId="70FE40D3"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25</w:t>
            </w:r>
          </w:p>
        </w:tc>
        <w:tc>
          <w:tcPr>
            <w:tcW w:w="3330" w:type="dxa"/>
            <w:vAlign w:val="center"/>
          </w:tcPr>
          <w:p w14:paraId="6509DF27" w14:textId="77777777" w:rsidR="00F94B48" w:rsidRPr="00F32542" w:rsidRDefault="00F94B48" w:rsidP="00C2724F">
            <w:pPr>
              <w:spacing w:after="0" w:line="240" w:lineRule="auto"/>
              <w:jc w:val="center"/>
              <w:rPr>
                <w:rFonts w:ascii="Arial" w:eastAsia="Calibri" w:hAnsi="Arial" w:cs="Arial"/>
                <w:color w:val="000000"/>
                <w:sz w:val="20"/>
                <w:szCs w:val="20"/>
              </w:rPr>
            </w:pPr>
            <w:proofErr w:type="spellStart"/>
            <w:r w:rsidRPr="00F32542">
              <w:rPr>
                <w:rFonts w:ascii="Arial" w:eastAsia="Calibri" w:hAnsi="Arial" w:cs="Arial"/>
                <w:color w:val="000000"/>
                <w:sz w:val="20"/>
                <w:szCs w:val="20"/>
              </w:rPr>
              <w:t>Nitzia</w:t>
            </w:r>
            <w:proofErr w:type="spellEnd"/>
            <w:r w:rsidRPr="00F32542">
              <w:rPr>
                <w:rFonts w:ascii="Arial" w:eastAsia="Calibri" w:hAnsi="Arial" w:cs="Arial"/>
                <w:color w:val="000000"/>
                <w:sz w:val="20"/>
                <w:szCs w:val="20"/>
              </w:rPr>
              <w:t xml:space="preserve"> Lucero Rosas Chávez</w:t>
            </w:r>
          </w:p>
        </w:tc>
        <w:tc>
          <w:tcPr>
            <w:tcW w:w="1595" w:type="dxa"/>
            <w:vAlign w:val="center"/>
          </w:tcPr>
          <w:p w14:paraId="46C2C8CA"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13,272</w:t>
            </w:r>
          </w:p>
        </w:tc>
        <w:tc>
          <w:tcPr>
            <w:tcW w:w="1199" w:type="dxa"/>
            <w:vAlign w:val="center"/>
          </w:tcPr>
          <w:p w14:paraId="399DBD42"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85,483</w:t>
            </w:r>
          </w:p>
        </w:tc>
        <w:tc>
          <w:tcPr>
            <w:tcW w:w="1178" w:type="dxa"/>
            <w:vAlign w:val="center"/>
          </w:tcPr>
          <w:p w14:paraId="73725894"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15.52</w:t>
            </w:r>
          </w:p>
        </w:tc>
      </w:tr>
      <w:tr w:rsidR="00F94B48" w:rsidRPr="00F32542" w14:paraId="08771828" w14:textId="77777777" w:rsidTr="00C2724F">
        <w:trPr>
          <w:tblHeader/>
          <w:jc w:val="center"/>
        </w:trPr>
        <w:tc>
          <w:tcPr>
            <w:tcW w:w="549" w:type="dxa"/>
            <w:vAlign w:val="center"/>
          </w:tcPr>
          <w:p w14:paraId="633BFCBE" w14:textId="77777777" w:rsidR="00F94B48" w:rsidRPr="00F32542" w:rsidRDefault="00F94B48" w:rsidP="00C2724F">
            <w:pPr>
              <w:spacing w:after="0" w:line="240" w:lineRule="auto"/>
              <w:jc w:val="center"/>
              <w:rPr>
                <w:rFonts w:ascii="Arial" w:eastAsia="Calibri" w:hAnsi="Arial" w:cs="Arial"/>
                <w:sz w:val="20"/>
                <w:szCs w:val="20"/>
              </w:rPr>
            </w:pPr>
            <w:r w:rsidRPr="00F32542">
              <w:rPr>
                <w:rFonts w:ascii="Arial" w:eastAsia="Calibri" w:hAnsi="Arial" w:cs="Arial"/>
                <w:sz w:val="20"/>
                <w:szCs w:val="20"/>
              </w:rPr>
              <w:t>4</w:t>
            </w:r>
          </w:p>
        </w:tc>
        <w:tc>
          <w:tcPr>
            <w:tcW w:w="977" w:type="dxa"/>
            <w:vAlign w:val="center"/>
          </w:tcPr>
          <w:p w14:paraId="0F5BFF29"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14</w:t>
            </w:r>
          </w:p>
        </w:tc>
        <w:tc>
          <w:tcPr>
            <w:tcW w:w="3330" w:type="dxa"/>
            <w:vAlign w:val="center"/>
          </w:tcPr>
          <w:p w14:paraId="57587E37"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 xml:space="preserve">Alejandro Argüelles </w:t>
            </w:r>
            <w:proofErr w:type="spellStart"/>
            <w:r w:rsidRPr="00F32542">
              <w:rPr>
                <w:rFonts w:ascii="Arial" w:eastAsia="Calibri" w:hAnsi="Arial" w:cs="Arial"/>
                <w:color w:val="000000"/>
                <w:sz w:val="20"/>
                <w:szCs w:val="20"/>
              </w:rPr>
              <w:t>Almontes</w:t>
            </w:r>
            <w:proofErr w:type="spellEnd"/>
          </w:p>
        </w:tc>
        <w:tc>
          <w:tcPr>
            <w:tcW w:w="1595" w:type="dxa"/>
            <w:vAlign w:val="center"/>
          </w:tcPr>
          <w:p w14:paraId="78EEF844"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14,884</w:t>
            </w:r>
          </w:p>
        </w:tc>
        <w:tc>
          <w:tcPr>
            <w:tcW w:w="1199" w:type="dxa"/>
            <w:vAlign w:val="center"/>
          </w:tcPr>
          <w:p w14:paraId="02B74550"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101,843</w:t>
            </w:r>
          </w:p>
        </w:tc>
        <w:tc>
          <w:tcPr>
            <w:tcW w:w="1178" w:type="dxa"/>
            <w:vAlign w:val="center"/>
          </w:tcPr>
          <w:p w14:paraId="4BEAC43C"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14.61</w:t>
            </w:r>
          </w:p>
        </w:tc>
      </w:tr>
      <w:tr w:rsidR="00F94B48" w:rsidRPr="00F32542" w14:paraId="45E7AC5A" w14:textId="77777777" w:rsidTr="00C2724F">
        <w:trPr>
          <w:tblHeader/>
          <w:jc w:val="center"/>
        </w:trPr>
        <w:tc>
          <w:tcPr>
            <w:tcW w:w="549" w:type="dxa"/>
            <w:vAlign w:val="center"/>
          </w:tcPr>
          <w:p w14:paraId="5BE65F4A" w14:textId="77777777" w:rsidR="00F94B48" w:rsidRPr="00F32542" w:rsidRDefault="00F94B48" w:rsidP="00C2724F">
            <w:pPr>
              <w:spacing w:after="0" w:line="240" w:lineRule="auto"/>
              <w:jc w:val="center"/>
              <w:rPr>
                <w:rFonts w:ascii="Arial" w:eastAsia="Calibri" w:hAnsi="Arial" w:cs="Arial"/>
                <w:sz w:val="20"/>
                <w:szCs w:val="20"/>
              </w:rPr>
            </w:pPr>
            <w:r w:rsidRPr="00F32542">
              <w:rPr>
                <w:rFonts w:ascii="Arial" w:eastAsia="Calibri" w:hAnsi="Arial" w:cs="Arial"/>
                <w:sz w:val="20"/>
                <w:szCs w:val="20"/>
              </w:rPr>
              <w:t>5</w:t>
            </w:r>
          </w:p>
        </w:tc>
        <w:tc>
          <w:tcPr>
            <w:tcW w:w="977" w:type="dxa"/>
            <w:vAlign w:val="center"/>
          </w:tcPr>
          <w:p w14:paraId="2FE292E5"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15</w:t>
            </w:r>
          </w:p>
        </w:tc>
        <w:tc>
          <w:tcPr>
            <w:tcW w:w="3330" w:type="dxa"/>
            <w:vAlign w:val="center"/>
          </w:tcPr>
          <w:p w14:paraId="222A1C15"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Jessica Morales García</w:t>
            </w:r>
          </w:p>
        </w:tc>
        <w:tc>
          <w:tcPr>
            <w:tcW w:w="1595" w:type="dxa"/>
            <w:vAlign w:val="center"/>
          </w:tcPr>
          <w:p w14:paraId="448410A5"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18,305</w:t>
            </w:r>
          </w:p>
        </w:tc>
        <w:tc>
          <w:tcPr>
            <w:tcW w:w="1199" w:type="dxa"/>
            <w:vAlign w:val="center"/>
          </w:tcPr>
          <w:p w14:paraId="197F5A91"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120,522</w:t>
            </w:r>
          </w:p>
        </w:tc>
        <w:tc>
          <w:tcPr>
            <w:tcW w:w="1178" w:type="dxa"/>
            <w:vAlign w:val="center"/>
          </w:tcPr>
          <w:p w14:paraId="45C2313C"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15.18</w:t>
            </w:r>
          </w:p>
        </w:tc>
      </w:tr>
      <w:tr w:rsidR="00F94B48" w:rsidRPr="00F32542" w14:paraId="318D8EDC" w14:textId="77777777" w:rsidTr="00C2724F">
        <w:trPr>
          <w:tblHeader/>
          <w:jc w:val="center"/>
        </w:trPr>
        <w:tc>
          <w:tcPr>
            <w:tcW w:w="549" w:type="dxa"/>
            <w:vAlign w:val="center"/>
          </w:tcPr>
          <w:p w14:paraId="63CBE590" w14:textId="77777777" w:rsidR="00F94B48" w:rsidRPr="00F32542" w:rsidRDefault="00F94B48" w:rsidP="00C2724F">
            <w:pPr>
              <w:spacing w:after="0" w:line="240" w:lineRule="auto"/>
              <w:jc w:val="center"/>
              <w:rPr>
                <w:rFonts w:ascii="Arial" w:eastAsia="Calibri" w:hAnsi="Arial" w:cs="Arial"/>
                <w:sz w:val="20"/>
                <w:szCs w:val="20"/>
              </w:rPr>
            </w:pPr>
            <w:r w:rsidRPr="00F32542">
              <w:rPr>
                <w:rFonts w:ascii="Arial" w:eastAsia="Calibri" w:hAnsi="Arial" w:cs="Arial"/>
                <w:sz w:val="20"/>
                <w:szCs w:val="20"/>
              </w:rPr>
              <w:t>6</w:t>
            </w:r>
          </w:p>
        </w:tc>
        <w:tc>
          <w:tcPr>
            <w:tcW w:w="977" w:type="dxa"/>
            <w:vAlign w:val="center"/>
          </w:tcPr>
          <w:p w14:paraId="2032C298"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19</w:t>
            </w:r>
          </w:p>
        </w:tc>
        <w:tc>
          <w:tcPr>
            <w:tcW w:w="3330" w:type="dxa"/>
            <w:vAlign w:val="center"/>
          </w:tcPr>
          <w:p w14:paraId="56600FAB"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Gustavo Nabor Ojeda Delgado</w:t>
            </w:r>
          </w:p>
        </w:tc>
        <w:tc>
          <w:tcPr>
            <w:tcW w:w="1595" w:type="dxa"/>
            <w:vAlign w:val="center"/>
          </w:tcPr>
          <w:p w14:paraId="3E45F3C7"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11,822</w:t>
            </w:r>
          </w:p>
        </w:tc>
        <w:tc>
          <w:tcPr>
            <w:tcW w:w="1199" w:type="dxa"/>
            <w:vAlign w:val="center"/>
          </w:tcPr>
          <w:p w14:paraId="1CA5FF46"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86,568</w:t>
            </w:r>
          </w:p>
        </w:tc>
        <w:tc>
          <w:tcPr>
            <w:tcW w:w="1178" w:type="dxa"/>
            <w:vAlign w:val="center"/>
          </w:tcPr>
          <w:p w14:paraId="273EDC13"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13.65</w:t>
            </w:r>
          </w:p>
        </w:tc>
      </w:tr>
      <w:tr w:rsidR="00F94B48" w:rsidRPr="00F32542" w14:paraId="30D60B56" w14:textId="77777777" w:rsidTr="00C2724F">
        <w:trPr>
          <w:tblHeader/>
          <w:jc w:val="center"/>
        </w:trPr>
        <w:tc>
          <w:tcPr>
            <w:tcW w:w="549" w:type="dxa"/>
            <w:vAlign w:val="center"/>
          </w:tcPr>
          <w:p w14:paraId="1EAE4C1D" w14:textId="77777777" w:rsidR="00F94B48" w:rsidRPr="00F32542" w:rsidRDefault="00F94B48" w:rsidP="00C2724F">
            <w:pPr>
              <w:spacing w:after="0" w:line="240" w:lineRule="auto"/>
              <w:jc w:val="center"/>
              <w:rPr>
                <w:rFonts w:ascii="Arial" w:eastAsia="Calibri" w:hAnsi="Arial" w:cs="Arial"/>
                <w:sz w:val="20"/>
                <w:szCs w:val="20"/>
              </w:rPr>
            </w:pPr>
            <w:r w:rsidRPr="00F32542">
              <w:rPr>
                <w:rFonts w:ascii="Arial" w:eastAsia="Calibri" w:hAnsi="Arial" w:cs="Arial"/>
                <w:sz w:val="20"/>
                <w:szCs w:val="20"/>
              </w:rPr>
              <w:t>7</w:t>
            </w:r>
          </w:p>
        </w:tc>
        <w:tc>
          <w:tcPr>
            <w:tcW w:w="977" w:type="dxa"/>
            <w:vAlign w:val="center"/>
          </w:tcPr>
          <w:p w14:paraId="1FAAC53C"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28</w:t>
            </w:r>
          </w:p>
        </w:tc>
        <w:tc>
          <w:tcPr>
            <w:tcW w:w="3330" w:type="dxa"/>
            <w:vAlign w:val="center"/>
          </w:tcPr>
          <w:p w14:paraId="755D5A52"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Dulce Violeta Carrillo Jaime</w:t>
            </w:r>
          </w:p>
        </w:tc>
        <w:tc>
          <w:tcPr>
            <w:tcW w:w="1595" w:type="dxa"/>
            <w:vAlign w:val="center"/>
          </w:tcPr>
          <w:p w14:paraId="195EFF97"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12,585</w:t>
            </w:r>
          </w:p>
        </w:tc>
        <w:tc>
          <w:tcPr>
            <w:tcW w:w="1199" w:type="dxa"/>
            <w:vAlign w:val="center"/>
          </w:tcPr>
          <w:p w14:paraId="6C800ACF"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86,529</w:t>
            </w:r>
          </w:p>
        </w:tc>
        <w:tc>
          <w:tcPr>
            <w:tcW w:w="1178" w:type="dxa"/>
            <w:vAlign w:val="center"/>
          </w:tcPr>
          <w:p w14:paraId="072BA7EE"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14.54</w:t>
            </w:r>
          </w:p>
        </w:tc>
      </w:tr>
      <w:tr w:rsidR="00F94B48" w:rsidRPr="00F32542" w14:paraId="323696A2" w14:textId="77777777" w:rsidTr="00C2724F">
        <w:trPr>
          <w:tblHeader/>
          <w:jc w:val="center"/>
        </w:trPr>
        <w:tc>
          <w:tcPr>
            <w:tcW w:w="549" w:type="dxa"/>
            <w:vAlign w:val="center"/>
          </w:tcPr>
          <w:p w14:paraId="1E7DACB9" w14:textId="77777777" w:rsidR="00F94B48" w:rsidRPr="00F32542" w:rsidRDefault="00F94B48" w:rsidP="00C2724F">
            <w:pPr>
              <w:spacing w:after="0" w:line="240" w:lineRule="auto"/>
              <w:jc w:val="center"/>
              <w:rPr>
                <w:rFonts w:ascii="Arial" w:eastAsia="Calibri" w:hAnsi="Arial" w:cs="Arial"/>
                <w:sz w:val="20"/>
                <w:szCs w:val="20"/>
              </w:rPr>
            </w:pPr>
            <w:r w:rsidRPr="00F32542">
              <w:rPr>
                <w:rFonts w:ascii="Arial" w:eastAsia="Calibri" w:hAnsi="Arial" w:cs="Arial"/>
                <w:sz w:val="20"/>
                <w:szCs w:val="20"/>
              </w:rPr>
              <w:t>8</w:t>
            </w:r>
          </w:p>
        </w:tc>
        <w:tc>
          <w:tcPr>
            <w:tcW w:w="977" w:type="dxa"/>
            <w:vAlign w:val="center"/>
          </w:tcPr>
          <w:p w14:paraId="5657FDD0"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4</w:t>
            </w:r>
          </w:p>
        </w:tc>
        <w:tc>
          <w:tcPr>
            <w:tcW w:w="3330" w:type="dxa"/>
            <w:vAlign w:val="center"/>
          </w:tcPr>
          <w:p w14:paraId="08B0EEC8"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Ángel Gutiérrez Javier</w:t>
            </w:r>
          </w:p>
        </w:tc>
        <w:tc>
          <w:tcPr>
            <w:tcW w:w="1595" w:type="dxa"/>
            <w:vAlign w:val="center"/>
          </w:tcPr>
          <w:p w14:paraId="06C51672"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16,343</w:t>
            </w:r>
          </w:p>
        </w:tc>
        <w:tc>
          <w:tcPr>
            <w:tcW w:w="1199" w:type="dxa"/>
            <w:vAlign w:val="center"/>
          </w:tcPr>
          <w:p w14:paraId="51FAD833"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120,494</w:t>
            </w:r>
          </w:p>
        </w:tc>
        <w:tc>
          <w:tcPr>
            <w:tcW w:w="1178" w:type="dxa"/>
            <w:vAlign w:val="center"/>
          </w:tcPr>
          <w:p w14:paraId="1F44ECA1"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13.56</w:t>
            </w:r>
          </w:p>
        </w:tc>
      </w:tr>
      <w:tr w:rsidR="00F94B48" w:rsidRPr="00F32542" w14:paraId="7F0C198D" w14:textId="77777777" w:rsidTr="00C2724F">
        <w:trPr>
          <w:tblHeader/>
          <w:jc w:val="center"/>
        </w:trPr>
        <w:tc>
          <w:tcPr>
            <w:tcW w:w="549" w:type="dxa"/>
            <w:vAlign w:val="center"/>
          </w:tcPr>
          <w:p w14:paraId="733D9CE4" w14:textId="77777777" w:rsidR="00F94B48" w:rsidRPr="00F32542" w:rsidRDefault="00F94B48" w:rsidP="00C2724F">
            <w:pPr>
              <w:spacing w:after="0" w:line="240" w:lineRule="auto"/>
              <w:jc w:val="center"/>
              <w:rPr>
                <w:rFonts w:ascii="Arial" w:eastAsia="Calibri" w:hAnsi="Arial" w:cs="Arial"/>
                <w:sz w:val="20"/>
                <w:szCs w:val="20"/>
              </w:rPr>
            </w:pPr>
            <w:r w:rsidRPr="00F32542">
              <w:rPr>
                <w:rFonts w:ascii="Arial" w:eastAsia="Calibri" w:hAnsi="Arial" w:cs="Arial"/>
                <w:sz w:val="20"/>
                <w:szCs w:val="20"/>
              </w:rPr>
              <w:t>9</w:t>
            </w:r>
          </w:p>
        </w:tc>
        <w:tc>
          <w:tcPr>
            <w:tcW w:w="977" w:type="dxa"/>
            <w:vAlign w:val="center"/>
          </w:tcPr>
          <w:p w14:paraId="1DB8C114"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23</w:t>
            </w:r>
          </w:p>
        </w:tc>
        <w:tc>
          <w:tcPr>
            <w:tcW w:w="3330" w:type="dxa"/>
            <w:vAlign w:val="center"/>
          </w:tcPr>
          <w:p w14:paraId="53D3E59F"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Jacqueline Villarreal García</w:t>
            </w:r>
          </w:p>
        </w:tc>
        <w:tc>
          <w:tcPr>
            <w:tcW w:w="1595" w:type="dxa"/>
            <w:vAlign w:val="center"/>
          </w:tcPr>
          <w:p w14:paraId="031CD7F0"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20,018</w:t>
            </w:r>
          </w:p>
        </w:tc>
        <w:tc>
          <w:tcPr>
            <w:tcW w:w="1199" w:type="dxa"/>
            <w:vAlign w:val="center"/>
          </w:tcPr>
          <w:p w14:paraId="0494B722"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139,617</w:t>
            </w:r>
          </w:p>
        </w:tc>
        <w:tc>
          <w:tcPr>
            <w:tcW w:w="1178" w:type="dxa"/>
            <w:vAlign w:val="center"/>
          </w:tcPr>
          <w:p w14:paraId="58423585"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14.33</w:t>
            </w:r>
          </w:p>
        </w:tc>
      </w:tr>
      <w:tr w:rsidR="00F94B48" w:rsidRPr="00F32542" w14:paraId="7E4F02D6" w14:textId="77777777" w:rsidTr="00C2724F">
        <w:trPr>
          <w:tblHeader/>
          <w:jc w:val="center"/>
        </w:trPr>
        <w:tc>
          <w:tcPr>
            <w:tcW w:w="549" w:type="dxa"/>
            <w:vAlign w:val="center"/>
          </w:tcPr>
          <w:p w14:paraId="0E3D3CDF" w14:textId="77777777" w:rsidR="00F94B48" w:rsidRPr="00F32542" w:rsidRDefault="00F94B48" w:rsidP="00C2724F">
            <w:pPr>
              <w:spacing w:after="0" w:line="240" w:lineRule="auto"/>
              <w:jc w:val="center"/>
              <w:rPr>
                <w:rFonts w:ascii="Arial" w:eastAsia="Calibri" w:hAnsi="Arial" w:cs="Arial"/>
                <w:sz w:val="20"/>
                <w:szCs w:val="20"/>
              </w:rPr>
            </w:pPr>
            <w:r w:rsidRPr="00F32542">
              <w:rPr>
                <w:rFonts w:ascii="Arial" w:eastAsia="Calibri" w:hAnsi="Arial" w:cs="Arial"/>
                <w:sz w:val="20"/>
                <w:szCs w:val="20"/>
              </w:rPr>
              <w:t>10</w:t>
            </w:r>
          </w:p>
        </w:tc>
        <w:tc>
          <w:tcPr>
            <w:tcW w:w="977" w:type="dxa"/>
            <w:vAlign w:val="center"/>
          </w:tcPr>
          <w:p w14:paraId="5E54FA39"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31</w:t>
            </w:r>
          </w:p>
        </w:tc>
        <w:tc>
          <w:tcPr>
            <w:tcW w:w="3330" w:type="dxa"/>
            <w:vAlign w:val="center"/>
          </w:tcPr>
          <w:p w14:paraId="7D1033EC"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Efrén Sánchez Jiménez</w:t>
            </w:r>
          </w:p>
        </w:tc>
        <w:tc>
          <w:tcPr>
            <w:tcW w:w="1595" w:type="dxa"/>
            <w:vAlign w:val="center"/>
          </w:tcPr>
          <w:p w14:paraId="71A4CF0E"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10,592</w:t>
            </w:r>
          </w:p>
        </w:tc>
        <w:tc>
          <w:tcPr>
            <w:tcW w:w="1199" w:type="dxa"/>
            <w:vAlign w:val="center"/>
          </w:tcPr>
          <w:p w14:paraId="5AA842B2"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78,996</w:t>
            </w:r>
          </w:p>
        </w:tc>
        <w:tc>
          <w:tcPr>
            <w:tcW w:w="1178" w:type="dxa"/>
            <w:vAlign w:val="center"/>
          </w:tcPr>
          <w:p w14:paraId="04139530"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13.40</w:t>
            </w:r>
          </w:p>
        </w:tc>
      </w:tr>
      <w:tr w:rsidR="00F94B48" w:rsidRPr="00F32542" w14:paraId="4B2270A9" w14:textId="77777777" w:rsidTr="00C2724F">
        <w:trPr>
          <w:tblHeader/>
          <w:jc w:val="center"/>
        </w:trPr>
        <w:tc>
          <w:tcPr>
            <w:tcW w:w="549" w:type="dxa"/>
            <w:vAlign w:val="center"/>
          </w:tcPr>
          <w:p w14:paraId="382CD8FC" w14:textId="77777777" w:rsidR="00F94B48" w:rsidRPr="00F32542" w:rsidRDefault="00F94B48" w:rsidP="00C2724F">
            <w:pPr>
              <w:spacing w:after="0" w:line="240" w:lineRule="auto"/>
              <w:jc w:val="center"/>
              <w:rPr>
                <w:rFonts w:ascii="Arial" w:eastAsia="Calibri" w:hAnsi="Arial" w:cs="Arial"/>
                <w:sz w:val="20"/>
                <w:szCs w:val="20"/>
              </w:rPr>
            </w:pPr>
            <w:r w:rsidRPr="00F32542">
              <w:rPr>
                <w:rFonts w:ascii="Arial" w:eastAsia="Calibri" w:hAnsi="Arial" w:cs="Arial"/>
                <w:sz w:val="20"/>
                <w:szCs w:val="20"/>
              </w:rPr>
              <w:t>11</w:t>
            </w:r>
          </w:p>
        </w:tc>
        <w:tc>
          <w:tcPr>
            <w:tcW w:w="977" w:type="dxa"/>
            <w:vAlign w:val="center"/>
          </w:tcPr>
          <w:p w14:paraId="2B8CFE29"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5</w:t>
            </w:r>
          </w:p>
        </w:tc>
        <w:tc>
          <w:tcPr>
            <w:tcW w:w="3330" w:type="dxa"/>
            <w:vAlign w:val="center"/>
          </w:tcPr>
          <w:p w14:paraId="5AFF30BA"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Mariana Gómez Román</w:t>
            </w:r>
          </w:p>
        </w:tc>
        <w:tc>
          <w:tcPr>
            <w:tcW w:w="1595" w:type="dxa"/>
            <w:vAlign w:val="center"/>
          </w:tcPr>
          <w:p w14:paraId="0AFD3481"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18,292</w:t>
            </w:r>
          </w:p>
        </w:tc>
        <w:tc>
          <w:tcPr>
            <w:tcW w:w="1199" w:type="dxa"/>
            <w:vAlign w:val="center"/>
          </w:tcPr>
          <w:p w14:paraId="2ED3DFAD"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131,085</w:t>
            </w:r>
          </w:p>
        </w:tc>
        <w:tc>
          <w:tcPr>
            <w:tcW w:w="1178" w:type="dxa"/>
            <w:vAlign w:val="center"/>
          </w:tcPr>
          <w:p w14:paraId="1138CD23"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13.95</w:t>
            </w:r>
          </w:p>
        </w:tc>
      </w:tr>
      <w:tr w:rsidR="00F94B48" w:rsidRPr="00F32542" w14:paraId="7053950F" w14:textId="77777777" w:rsidTr="00C2724F">
        <w:trPr>
          <w:tblHeader/>
          <w:jc w:val="center"/>
        </w:trPr>
        <w:tc>
          <w:tcPr>
            <w:tcW w:w="549" w:type="dxa"/>
            <w:vAlign w:val="center"/>
          </w:tcPr>
          <w:p w14:paraId="0348DF09" w14:textId="77777777" w:rsidR="00F94B48" w:rsidRPr="00F32542" w:rsidRDefault="00F94B48" w:rsidP="00C2724F">
            <w:pPr>
              <w:spacing w:after="0" w:line="240" w:lineRule="auto"/>
              <w:jc w:val="center"/>
              <w:rPr>
                <w:rFonts w:ascii="Arial" w:eastAsia="Calibri" w:hAnsi="Arial" w:cs="Arial"/>
                <w:sz w:val="20"/>
                <w:szCs w:val="20"/>
              </w:rPr>
            </w:pPr>
            <w:r w:rsidRPr="00F32542">
              <w:rPr>
                <w:rFonts w:ascii="Arial" w:eastAsia="Calibri" w:hAnsi="Arial" w:cs="Arial"/>
                <w:sz w:val="20"/>
                <w:szCs w:val="20"/>
              </w:rPr>
              <w:t>12</w:t>
            </w:r>
          </w:p>
        </w:tc>
        <w:tc>
          <w:tcPr>
            <w:tcW w:w="977" w:type="dxa"/>
            <w:vAlign w:val="center"/>
          </w:tcPr>
          <w:p w14:paraId="1DA1155E"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26</w:t>
            </w:r>
          </w:p>
        </w:tc>
        <w:tc>
          <w:tcPr>
            <w:tcW w:w="3330" w:type="dxa"/>
            <w:vAlign w:val="center"/>
          </w:tcPr>
          <w:p w14:paraId="47BD7A5C"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Saúl Alán Rosas Alvarado</w:t>
            </w:r>
          </w:p>
        </w:tc>
        <w:tc>
          <w:tcPr>
            <w:tcW w:w="1595" w:type="dxa"/>
            <w:vAlign w:val="center"/>
          </w:tcPr>
          <w:p w14:paraId="4B0C09A4"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16,119</w:t>
            </w:r>
          </w:p>
        </w:tc>
        <w:tc>
          <w:tcPr>
            <w:tcW w:w="1199" w:type="dxa"/>
            <w:vAlign w:val="center"/>
          </w:tcPr>
          <w:p w14:paraId="27DAB9D6"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137,087</w:t>
            </w:r>
          </w:p>
        </w:tc>
        <w:tc>
          <w:tcPr>
            <w:tcW w:w="1178" w:type="dxa"/>
            <w:vAlign w:val="center"/>
          </w:tcPr>
          <w:p w14:paraId="0D1817BE"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11.75</w:t>
            </w:r>
          </w:p>
        </w:tc>
      </w:tr>
      <w:tr w:rsidR="00F94B48" w:rsidRPr="00F32542" w14:paraId="721650F7" w14:textId="77777777" w:rsidTr="00C2724F">
        <w:trPr>
          <w:tblHeader/>
          <w:jc w:val="center"/>
        </w:trPr>
        <w:tc>
          <w:tcPr>
            <w:tcW w:w="549" w:type="dxa"/>
            <w:vAlign w:val="center"/>
          </w:tcPr>
          <w:p w14:paraId="518A53C3" w14:textId="77777777" w:rsidR="00F94B48" w:rsidRPr="00F32542" w:rsidRDefault="00F94B48" w:rsidP="00C2724F">
            <w:pPr>
              <w:spacing w:after="0" w:line="240" w:lineRule="auto"/>
              <w:jc w:val="center"/>
              <w:rPr>
                <w:rFonts w:ascii="Arial" w:eastAsia="Calibri" w:hAnsi="Arial" w:cs="Arial"/>
                <w:sz w:val="20"/>
                <w:szCs w:val="20"/>
              </w:rPr>
            </w:pPr>
            <w:r w:rsidRPr="00F32542">
              <w:rPr>
                <w:rFonts w:ascii="Arial" w:eastAsia="Calibri" w:hAnsi="Arial" w:cs="Arial"/>
                <w:sz w:val="20"/>
                <w:szCs w:val="20"/>
              </w:rPr>
              <w:t>13</w:t>
            </w:r>
          </w:p>
        </w:tc>
        <w:tc>
          <w:tcPr>
            <w:tcW w:w="977" w:type="dxa"/>
            <w:vAlign w:val="center"/>
          </w:tcPr>
          <w:p w14:paraId="42BC4EA9"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22</w:t>
            </w:r>
          </w:p>
        </w:tc>
        <w:tc>
          <w:tcPr>
            <w:tcW w:w="3330" w:type="dxa"/>
            <w:vAlign w:val="center"/>
          </w:tcPr>
          <w:p w14:paraId="4D2275AC"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Virginia Melo Miranda</w:t>
            </w:r>
          </w:p>
        </w:tc>
        <w:tc>
          <w:tcPr>
            <w:tcW w:w="1595" w:type="dxa"/>
            <w:vAlign w:val="center"/>
          </w:tcPr>
          <w:p w14:paraId="3E091DE1"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10,089</w:t>
            </w:r>
          </w:p>
        </w:tc>
        <w:tc>
          <w:tcPr>
            <w:tcW w:w="1199" w:type="dxa"/>
            <w:vAlign w:val="center"/>
          </w:tcPr>
          <w:p w14:paraId="7ECC04C5"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79,223</w:t>
            </w:r>
          </w:p>
        </w:tc>
        <w:tc>
          <w:tcPr>
            <w:tcW w:w="1178" w:type="dxa"/>
            <w:vAlign w:val="center"/>
          </w:tcPr>
          <w:p w14:paraId="73DFF712"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12.73</w:t>
            </w:r>
          </w:p>
        </w:tc>
      </w:tr>
      <w:tr w:rsidR="00F94B48" w:rsidRPr="00F32542" w14:paraId="08E2DA7A" w14:textId="77777777" w:rsidTr="00C2724F">
        <w:trPr>
          <w:tblHeader/>
          <w:jc w:val="center"/>
        </w:trPr>
        <w:tc>
          <w:tcPr>
            <w:tcW w:w="549" w:type="dxa"/>
            <w:vAlign w:val="center"/>
          </w:tcPr>
          <w:p w14:paraId="5D2D156E" w14:textId="77777777" w:rsidR="00F94B48" w:rsidRPr="00F32542" w:rsidRDefault="00F94B48" w:rsidP="00C2724F">
            <w:pPr>
              <w:spacing w:after="0" w:line="240" w:lineRule="auto"/>
              <w:jc w:val="center"/>
              <w:rPr>
                <w:rFonts w:ascii="Arial" w:eastAsia="Calibri" w:hAnsi="Arial" w:cs="Arial"/>
                <w:sz w:val="20"/>
                <w:szCs w:val="20"/>
              </w:rPr>
            </w:pPr>
            <w:r w:rsidRPr="00F32542">
              <w:rPr>
                <w:rFonts w:ascii="Arial" w:eastAsia="Calibri" w:hAnsi="Arial" w:cs="Arial"/>
                <w:sz w:val="20"/>
                <w:szCs w:val="20"/>
              </w:rPr>
              <w:t>14</w:t>
            </w:r>
          </w:p>
        </w:tc>
        <w:tc>
          <w:tcPr>
            <w:tcW w:w="977" w:type="dxa"/>
            <w:vAlign w:val="center"/>
          </w:tcPr>
          <w:p w14:paraId="259C06FD"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17</w:t>
            </w:r>
          </w:p>
        </w:tc>
        <w:tc>
          <w:tcPr>
            <w:tcW w:w="3330" w:type="dxa"/>
            <w:vAlign w:val="center"/>
          </w:tcPr>
          <w:p w14:paraId="6DC4CC35"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 xml:space="preserve">René Enrique Vivanco </w:t>
            </w:r>
            <w:proofErr w:type="spellStart"/>
            <w:r w:rsidRPr="00F32542">
              <w:rPr>
                <w:rFonts w:ascii="Arial" w:eastAsia="Calibri" w:hAnsi="Arial" w:cs="Arial"/>
                <w:color w:val="000000"/>
                <w:sz w:val="20"/>
                <w:szCs w:val="20"/>
              </w:rPr>
              <w:t>Balp</w:t>
            </w:r>
            <w:proofErr w:type="spellEnd"/>
          </w:p>
        </w:tc>
        <w:tc>
          <w:tcPr>
            <w:tcW w:w="1595" w:type="dxa"/>
            <w:vAlign w:val="center"/>
          </w:tcPr>
          <w:p w14:paraId="31DB0537"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14,497</w:t>
            </w:r>
          </w:p>
        </w:tc>
        <w:tc>
          <w:tcPr>
            <w:tcW w:w="1199" w:type="dxa"/>
            <w:vAlign w:val="center"/>
          </w:tcPr>
          <w:p w14:paraId="3A63E17A"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145,525</w:t>
            </w:r>
          </w:p>
        </w:tc>
        <w:tc>
          <w:tcPr>
            <w:tcW w:w="1178" w:type="dxa"/>
            <w:vAlign w:val="center"/>
          </w:tcPr>
          <w:p w14:paraId="24CDDEA3"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9.96</w:t>
            </w:r>
          </w:p>
        </w:tc>
      </w:tr>
      <w:tr w:rsidR="00F94B48" w:rsidRPr="00F32542" w14:paraId="1E099AE0" w14:textId="77777777" w:rsidTr="00C2724F">
        <w:trPr>
          <w:tblHeader/>
          <w:jc w:val="center"/>
        </w:trPr>
        <w:tc>
          <w:tcPr>
            <w:tcW w:w="549" w:type="dxa"/>
            <w:vAlign w:val="center"/>
          </w:tcPr>
          <w:p w14:paraId="01E423D6" w14:textId="77777777" w:rsidR="00F94B48" w:rsidRPr="00F32542" w:rsidRDefault="00F94B48" w:rsidP="00C2724F">
            <w:pPr>
              <w:spacing w:after="0" w:line="240" w:lineRule="auto"/>
              <w:jc w:val="center"/>
              <w:rPr>
                <w:rFonts w:ascii="Arial" w:eastAsia="Calibri" w:hAnsi="Arial" w:cs="Arial"/>
                <w:sz w:val="20"/>
                <w:szCs w:val="20"/>
              </w:rPr>
            </w:pPr>
            <w:r w:rsidRPr="00F32542">
              <w:rPr>
                <w:rFonts w:ascii="Arial" w:eastAsia="Calibri" w:hAnsi="Arial" w:cs="Arial"/>
                <w:sz w:val="20"/>
                <w:szCs w:val="20"/>
              </w:rPr>
              <w:t>15</w:t>
            </w:r>
          </w:p>
        </w:tc>
        <w:tc>
          <w:tcPr>
            <w:tcW w:w="977" w:type="dxa"/>
            <w:vAlign w:val="center"/>
          </w:tcPr>
          <w:p w14:paraId="283F6DFC"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13</w:t>
            </w:r>
          </w:p>
        </w:tc>
        <w:tc>
          <w:tcPr>
            <w:tcW w:w="3330" w:type="dxa"/>
            <w:vAlign w:val="center"/>
          </w:tcPr>
          <w:p w14:paraId="246B1A98"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 xml:space="preserve">Rosa Elena </w:t>
            </w:r>
            <w:proofErr w:type="spellStart"/>
            <w:r w:rsidRPr="00F32542">
              <w:rPr>
                <w:rFonts w:ascii="Arial" w:eastAsia="Calibri" w:hAnsi="Arial" w:cs="Arial"/>
                <w:color w:val="000000"/>
                <w:sz w:val="20"/>
                <w:szCs w:val="20"/>
              </w:rPr>
              <w:t>Garfías</w:t>
            </w:r>
            <w:proofErr w:type="spellEnd"/>
            <w:r w:rsidRPr="00F32542">
              <w:rPr>
                <w:rFonts w:ascii="Arial" w:eastAsia="Calibri" w:hAnsi="Arial" w:cs="Arial"/>
                <w:color w:val="000000"/>
                <w:sz w:val="20"/>
                <w:szCs w:val="20"/>
              </w:rPr>
              <w:t xml:space="preserve"> García</w:t>
            </w:r>
          </w:p>
        </w:tc>
        <w:tc>
          <w:tcPr>
            <w:tcW w:w="1595" w:type="dxa"/>
            <w:vAlign w:val="center"/>
          </w:tcPr>
          <w:p w14:paraId="3BE7EC9F"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13,023</w:t>
            </w:r>
          </w:p>
        </w:tc>
        <w:tc>
          <w:tcPr>
            <w:tcW w:w="1199" w:type="dxa"/>
            <w:vAlign w:val="center"/>
          </w:tcPr>
          <w:p w14:paraId="4B6D5A77"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121,553</w:t>
            </w:r>
          </w:p>
        </w:tc>
        <w:tc>
          <w:tcPr>
            <w:tcW w:w="1178" w:type="dxa"/>
            <w:vAlign w:val="center"/>
          </w:tcPr>
          <w:p w14:paraId="3D3464BE" w14:textId="77777777" w:rsidR="00F94B48" w:rsidRPr="00F32542" w:rsidRDefault="00F94B48" w:rsidP="00C2724F">
            <w:pPr>
              <w:spacing w:after="0" w:line="240" w:lineRule="auto"/>
              <w:jc w:val="center"/>
              <w:rPr>
                <w:rFonts w:ascii="Arial" w:eastAsia="Calibri" w:hAnsi="Arial" w:cs="Arial"/>
                <w:color w:val="000000"/>
                <w:sz w:val="20"/>
                <w:szCs w:val="20"/>
              </w:rPr>
            </w:pPr>
            <w:r w:rsidRPr="00F32542">
              <w:rPr>
                <w:rFonts w:ascii="Arial" w:eastAsia="Calibri" w:hAnsi="Arial" w:cs="Arial"/>
                <w:color w:val="000000"/>
                <w:sz w:val="20"/>
                <w:szCs w:val="20"/>
              </w:rPr>
              <w:t>10.71</w:t>
            </w:r>
          </w:p>
        </w:tc>
      </w:tr>
    </w:tbl>
    <w:p w14:paraId="718752A5"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Como se observa, a partir de los argumentos y razones de la autoridad responsable sobre cómo desarrollaría la fórmula para obtener los porcentajes de la lista B del PRI, es posible conocer la votación local emitida por distrito y el porcentaje de votación de cada candidatura, la cual coincide con los resultados obtenidos en el acuerdo impugnado. </w:t>
      </w:r>
    </w:p>
    <w:p w14:paraId="6F7A8AE2"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Esto, máxime que las actas de cómputo distrital se encuentran publicadas en la página de internet de la autoridad responsable, las cuales han sido invocadas como hechos notorios. </w:t>
      </w:r>
    </w:p>
    <w:p w14:paraId="4B2F058C" w14:textId="77777777" w:rsidR="00F94B48" w:rsidRPr="00F32542" w:rsidRDefault="00F94B48" w:rsidP="00F94B48">
      <w:pPr>
        <w:spacing w:before="100" w:beforeAutospacing="1" w:after="100" w:afterAutospacing="1" w:line="360" w:lineRule="auto"/>
        <w:jc w:val="both"/>
        <w:rPr>
          <w:rFonts w:ascii="Arial" w:eastAsia="Calibri" w:hAnsi="Arial" w:cs="Times New Roman"/>
          <w:b/>
          <w:sz w:val="28"/>
        </w:rPr>
      </w:pPr>
      <w:r w:rsidRPr="00F32542">
        <w:rPr>
          <w:rFonts w:ascii="Arial" w:eastAsia="Calibri" w:hAnsi="Arial" w:cs="Arial"/>
          <w:b/>
          <w:sz w:val="28"/>
          <w:szCs w:val="28"/>
        </w:rPr>
        <w:lastRenderedPageBreak/>
        <w:t>Por ende, es infundado el agravio de Jacqueline Villarreal García, puesto que sí es posible conocer la votación local emitida, la votación por cada candidatura y el porcentaje distrital respectivo.</w:t>
      </w:r>
      <w:r w:rsidRPr="00F32542">
        <w:rPr>
          <w:rFonts w:ascii="Arial" w:eastAsia="Calibri" w:hAnsi="Arial" w:cs="Times New Roman"/>
          <w:b/>
          <w:sz w:val="28"/>
        </w:rPr>
        <w:t xml:space="preserve"> </w:t>
      </w:r>
    </w:p>
    <w:p w14:paraId="65F4B907" w14:textId="77777777" w:rsidR="00F94B48" w:rsidRPr="00F32542" w:rsidRDefault="007576C0" w:rsidP="00F94B48">
      <w:pPr>
        <w:spacing w:after="0" w:line="360" w:lineRule="auto"/>
        <w:jc w:val="both"/>
        <w:rPr>
          <w:rFonts w:ascii="Arial" w:eastAsia="Calibri" w:hAnsi="Arial" w:cs="Times New Roman"/>
          <w:b/>
          <w:sz w:val="28"/>
        </w:rPr>
      </w:pPr>
      <w:r w:rsidRPr="00F32542">
        <w:rPr>
          <w:rFonts w:ascii="Arial" w:eastAsia="Calibri" w:hAnsi="Arial" w:cs="Times New Roman"/>
          <w:b/>
          <w:sz w:val="28"/>
        </w:rPr>
        <w:t>XIV</w:t>
      </w:r>
      <w:r w:rsidR="00F94B48" w:rsidRPr="00F32542">
        <w:rPr>
          <w:rFonts w:ascii="Arial" w:eastAsia="Calibri" w:hAnsi="Arial" w:cs="Times New Roman"/>
          <w:b/>
          <w:sz w:val="28"/>
        </w:rPr>
        <w:t>. Recomposición del cómputo total de la elección de diputaciones por el principio de representación proporcional</w:t>
      </w:r>
    </w:p>
    <w:p w14:paraId="786B3454" w14:textId="77777777" w:rsidR="00F94B48" w:rsidRPr="00F32542" w:rsidRDefault="00F94B48" w:rsidP="00F94B48">
      <w:pPr>
        <w:spacing w:after="0" w:line="360" w:lineRule="auto"/>
        <w:jc w:val="both"/>
        <w:rPr>
          <w:rFonts w:ascii="Arial" w:eastAsia="Calibri" w:hAnsi="Arial" w:cs="Arial"/>
          <w:b/>
          <w:spacing w:val="4"/>
          <w:sz w:val="28"/>
        </w:rPr>
      </w:pPr>
    </w:p>
    <w:p w14:paraId="43C38535" w14:textId="77777777" w:rsidR="00F94B48" w:rsidRPr="00F32542" w:rsidRDefault="00F94B48" w:rsidP="00F94B48">
      <w:p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t xml:space="preserve">El cómputo total de la elección de diputaciones de representación proporcional no fue cuestionado, por vicios propios; sin embargo, es procedente modificarlo, en atención a las sentencias emitidas por este </w:t>
      </w:r>
      <w:r w:rsidRPr="00F32542">
        <w:rPr>
          <w:rFonts w:ascii="Arial" w:eastAsia="Calibri" w:hAnsi="Arial" w:cs="Arial"/>
          <w:i/>
          <w:spacing w:val="4"/>
          <w:sz w:val="28"/>
        </w:rPr>
        <w:t>Tribunal Electoral</w:t>
      </w:r>
      <w:r w:rsidRPr="00F32542">
        <w:rPr>
          <w:rFonts w:ascii="Arial" w:eastAsia="Calibri" w:hAnsi="Arial" w:cs="Arial"/>
          <w:spacing w:val="4"/>
          <w:sz w:val="28"/>
        </w:rPr>
        <w:t xml:space="preserve"> en las cuales fueron impugnados los cómputos distritales de la elección de diputaciones de mayoría relativa, así como de representación proporcional y en las cuales declaró la nulidad de la votación recibida en diversas casillas.</w:t>
      </w:r>
    </w:p>
    <w:p w14:paraId="3EDA247C" w14:textId="77777777" w:rsidR="00F94B48" w:rsidRPr="00F32542" w:rsidRDefault="00F94B48" w:rsidP="00F94B48">
      <w:pPr>
        <w:spacing w:after="0" w:line="360" w:lineRule="auto"/>
        <w:contextualSpacing/>
        <w:jc w:val="both"/>
        <w:rPr>
          <w:rFonts w:ascii="Arial" w:eastAsia="Calibri" w:hAnsi="Arial" w:cs="Arial"/>
          <w:spacing w:val="4"/>
          <w:sz w:val="28"/>
        </w:rPr>
      </w:pPr>
    </w:p>
    <w:p w14:paraId="51B687E8" w14:textId="77777777" w:rsidR="00F94B48" w:rsidRPr="00F32542" w:rsidRDefault="00F94B48" w:rsidP="00F94B48">
      <w:p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t xml:space="preserve">Al respecto, es preciso destacar que en la jurisprudencia </w:t>
      </w:r>
      <w:r w:rsidRPr="00F32542">
        <w:rPr>
          <w:rFonts w:ascii="Arial" w:eastAsia="Calibri" w:hAnsi="Arial" w:cs="Arial"/>
          <w:b/>
          <w:spacing w:val="4"/>
          <w:sz w:val="28"/>
        </w:rPr>
        <w:t>34/2009</w:t>
      </w:r>
      <w:r w:rsidRPr="00F32542">
        <w:rPr>
          <w:rFonts w:ascii="Arial" w:eastAsia="Calibri" w:hAnsi="Arial" w:cs="Arial"/>
          <w:spacing w:val="4"/>
          <w:sz w:val="28"/>
        </w:rPr>
        <w:t xml:space="preserve"> con rubro: “</w:t>
      </w:r>
      <w:r w:rsidRPr="00F32542">
        <w:rPr>
          <w:rFonts w:ascii="Arial" w:eastAsia="Calibri" w:hAnsi="Arial" w:cs="Arial"/>
          <w:b/>
          <w:spacing w:val="4"/>
          <w:sz w:val="26"/>
          <w:szCs w:val="26"/>
        </w:rPr>
        <w:t>NULIDAD DE LA VOTACIÓN RECIBIDA EN CASILLA. LA SENTENCIA QUE LA DECLARA SÓLO DEBE AFECTAR A LA ELECCIÓN IMPUGNADA</w:t>
      </w:r>
      <w:r w:rsidRPr="00F32542">
        <w:rPr>
          <w:rFonts w:ascii="Arial" w:eastAsia="Calibri" w:hAnsi="Arial" w:cs="Arial"/>
          <w:spacing w:val="4"/>
          <w:sz w:val="28"/>
        </w:rPr>
        <w:t>”</w:t>
      </w:r>
      <w:r w:rsidRPr="00F32542">
        <w:rPr>
          <w:rFonts w:ascii="Arial" w:eastAsia="Calibri" w:hAnsi="Arial" w:cs="Arial"/>
          <w:spacing w:val="4"/>
          <w:sz w:val="28"/>
          <w:vertAlign w:val="superscript"/>
        </w:rPr>
        <w:footnoteReference w:id="57"/>
      </w:r>
      <w:r w:rsidRPr="00F32542">
        <w:rPr>
          <w:rFonts w:ascii="Arial" w:eastAsia="Calibri" w:hAnsi="Arial" w:cs="Arial"/>
          <w:spacing w:val="4"/>
          <w:sz w:val="28"/>
        </w:rPr>
        <w:t xml:space="preserve">, la </w:t>
      </w:r>
      <w:r w:rsidRPr="00F32542">
        <w:rPr>
          <w:rFonts w:ascii="Arial" w:eastAsia="Calibri" w:hAnsi="Arial" w:cs="Arial"/>
          <w:i/>
          <w:spacing w:val="4"/>
          <w:sz w:val="28"/>
        </w:rPr>
        <w:t>Sala Superior</w:t>
      </w:r>
      <w:r w:rsidRPr="00F32542">
        <w:rPr>
          <w:rFonts w:ascii="Arial" w:eastAsia="Calibri" w:hAnsi="Arial" w:cs="Arial"/>
          <w:spacing w:val="4"/>
          <w:sz w:val="28"/>
        </w:rPr>
        <w:t xml:space="preserve"> consideró que la sentencia que declara la nulidad de la votación recibida en casilla, dictada en un medio de impugnación en el cual se controvierte la elección de diputaciones de mayoría relativa, sólo debe afectar a la elección impugnada. </w:t>
      </w:r>
    </w:p>
    <w:p w14:paraId="6288A778" w14:textId="77777777" w:rsidR="00F94B48" w:rsidRPr="00F32542" w:rsidRDefault="00F94B48" w:rsidP="00F94B48">
      <w:pPr>
        <w:spacing w:after="0" w:line="360" w:lineRule="auto"/>
        <w:contextualSpacing/>
        <w:jc w:val="both"/>
        <w:rPr>
          <w:rFonts w:ascii="Arial" w:eastAsia="Calibri" w:hAnsi="Arial" w:cs="Arial"/>
          <w:spacing w:val="4"/>
          <w:sz w:val="28"/>
        </w:rPr>
      </w:pPr>
    </w:p>
    <w:p w14:paraId="2F8D9EC8" w14:textId="77777777" w:rsidR="00F94B48" w:rsidRPr="00F32542" w:rsidRDefault="00F94B48" w:rsidP="00F94B48">
      <w:p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t xml:space="preserve">De manera que, dijo la </w:t>
      </w:r>
      <w:r w:rsidRPr="00F32542">
        <w:rPr>
          <w:rFonts w:ascii="Arial" w:eastAsia="Calibri" w:hAnsi="Arial" w:cs="Arial"/>
          <w:i/>
          <w:spacing w:val="4"/>
          <w:sz w:val="28"/>
        </w:rPr>
        <w:t>Sala Superior</w:t>
      </w:r>
      <w:r w:rsidRPr="00F32542">
        <w:rPr>
          <w:rFonts w:ascii="Arial" w:eastAsia="Calibri" w:hAnsi="Arial" w:cs="Arial"/>
          <w:spacing w:val="4"/>
          <w:sz w:val="28"/>
        </w:rPr>
        <w:t xml:space="preserve">, las consecuencias de tal resolución no pueden trascender al cómputo de la elección de diputaciones por el principio de representación proporcional, si éste </w:t>
      </w:r>
      <w:r w:rsidRPr="00F32542">
        <w:rPr>
          <w:rFonts w:ascii="Arial" w:eastAsia="Calibri" w:hAnsi="Arial" w:cs="Arial"/>
          <w:spacing w:val="4"/>
          <w:sz w:val="28"/>
        </w:rPr>
        <w:lastRenderedPageBreak/>
        <w:t>no fue el objeto de controversia, en atención al principio de congruencia de las sentencias y al sistema de nulidades establecido en la vigente legislación electoral local.</w:t>
      </w:r>
    </w:p>
    <w:p w14:paraId="67111F9E" w14:textId="77777777" w:rsidR="00F94B48" w:rsidRPr="00F32542" w:rsidRDefault="00F94B48" w:rsidP="00F94B48">
      <w:pPr>
        <w:spacing w:after="0" w:line="360" w:lineRule="auto"/>
        <w:contextualSpacing/>
        <w:jc w:val="both"/>
        <w:rPr>
          <w:rFonts w:ascii="Arial" w:eastAsia="Calibri" w:hAnsi="Arial" w:cs="Arial"/>
          <w:spacing w:val="4"/>
          <w:sz w:val="28"/>
        </w:rPr>
      </w:pPr>
    </w:p>
    <w:p w14:paraId="16F6DCBF" w14:textId="77777777" w:rsidR="00F94B48" w:rsidRPr="00F32542" w:rsidRDefault="00F94B48" w:rsidP="00F94B48">
      <w:p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t xml:space="preserve">Lo que implica que cuando sí es impugnado el cómputo de diputaciones de representación proporcional junto al de mayoría relativa, la declaración de nulidad de votación recibida en casilla impactará para ambos casos. </w:t>
      </w:r>
    </w:p>
    <w:p w14:paraId="177F57E4" w14:textId="77777777" w:rsidR="00F94B48" w:rsidRPr="00F32542" w:rsidRDefault="00F94B48" w:rsidP="00F94B48">
      <w:p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t xml:space="preserve"> </w:t>
      </w:r>
    </w:p>
    <w:p w14:paraId="0B5B8AC4" w14:textId="77777777" w:rsidR="00F94B48" w:rsidRPr="00F32542" w:rsidRDefault="00F94B48" w:rsidP="00F94B48">
      <w:p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t xml:space="preserve">En ese sentido, este Tribunal Electoral resolvió diversos juicios electorales promovidos en contra de los cómputos distritales de mayoría relativa de Diputaciones al Congreso de la Ciudad de México </w:t>
      </w:r>
      <w:r w:rsidRPr="00F32542">
        <w:rPr>
          <w:rFonts w:ascii="Arial" w:eastAsia="Calibri" w:hAnsi="Arial" w:cs="Arial"/>
          <w:b/>
          <w:spacing w:val="4"/>
          <w:sz w:val="28"/>
        </w:rPr>
        <w:t>y, en consecuencia, de representación proporcional,</w:t>
      </w:r>
      <w:r w:rsidRPr="00F32542">
        <w:rPr>
          <w:rFonts w:ascii="Arial" w:eastAsia="Calibri" w:hAnsi="Arial" w:cs="Arial"/>
          <w:spacing w:val="4"/>
          <w:sz w:val="28"/>
        </w:rPr>
        <w:t xml:space="preserve"> en los cuales, en las siguientes sentencias se determinó la nulidad de la votación recibida en casilla: </w:t>
      </w:r>
    </w:p>
    <w:p w14:paraId="51E738E0" w14:textId="77777777" w:rsidR="00F94B48" w:rsidRPr="00F32542" w:rsidRDefault="00F94B48" w:rsidP="00F94B48">
      <w:pPr>
        <w:spacing w:after="0" w:line="360" w:lineRule="auto"/>
        <w:contextualSpacing/>
        <w:jc w:val="both"/>
        <w:rPr>
          <w:rFonts w:ascii="Arial" w:eastAsia="Calibri" w:hAnsi="Arial" w:cs="Arial"/>
          <w:spacing w:val="4"/>
          <w:sz w:val="28"/>
        </w:rPr>
      </w:pPr>
    </w:p>
    <w:tbl>
      <w:tblPr>
        <w:tblStyle w:val="Tablaconcuadrcula44"/>
        <w:tblW w:w="0" w:type="auto"/>
        <w:jc w:val="center"/>
        <w:tblLook w:val="04A0" w:firstRow="1" w:lastRow="0" w:firstColumn="1" w:lastColumn="0" w:noHBand="0" w:noVBand="1"/>
      </w:tblPr>
      <w:tblGrid>
        <w:gridCol w:w="603"/>
        <w:gridCol w:w="1204"/>
        <w:gridCol w:w="3008"/>
        <w:gridCol w:w="1713"/>
        <w:gridCol w:w="1451"/>
      </w:tblGrid>
      <w:tr w:rsidR="00F94B48" w:rsidRPr="00F32542" w14:paraId="792495E2" w14:textId="77777777" w:rsidTr="009F5F68">
        <w:trPr>
          <w:trHeight w:val="243"/>
          <w:tblHeader/>
          <w:jc w:val="center"/>
        </w:trPr>
        <w:tc>
          <w:tcPr>
            <w:tcW w:w="603" w:type="dxa"/>
            <w:shd w:val="clear" w:color="auto" w:fill="AEAAAA"/>
            <w:vAlign w:val="center"/>
          </w:tcPr>
          <w:p w14:paraId="2E7DC1A4" w14:textId="77777777" w:rsidR="00F94B48" w:rsidRPr="00F32542" w:rsidRDefault="00F94B48" w:rsidP="009F5F68">
            <w:pPr>
              <w:spacing w:after="0" w:line="240" w:lineRule="auto"/>
              <w:contextualSpacing/>
              <w:jc w:val="center"/>
              <w:rPr>
                <w:rFonts w:ascii="Arial" w:eastAsia="Calibri" w:hAnsi="Arial" w:cs="Arial"/>
                <w:b/>
                <w:sz w:val="24"/>
                <w:szCs w:val="24"/>
              </w:rPr>
            </w:pPr>
            <w:r w:rsidRPr="00F32542">
              <w:rPr>
                <w:rFonts w:ascii="Arial" w:eastAsia="Calibri" w:hAnsi="Arial" w:cs="Arial"/>
                <w:b/>
                <w:sz w:val="24"/>
                <w:szCs w:val="24"/>
              </w:rPr>
              <w:t>No.</w:t>
            </w:r>
          </w:p>
        </w:tc>
        <w:tc>
          <w:tcPr>
            <w:tcW w:w="1204" w:type="dxa"/>
            <w:shd w:val="clear" w:color="auto" w:fill="AEAAAA"/>
            <w:vAlign w:val="center"/>
          </w:tcPr>
          <w:p w14:paraId="297A895F" w14:textId="77777777" w:rsidR="00F94B48" w:rsidRPr="00F32542" w:rsidRDefault="00F94B48" w:rsidP="009F5F68">
            <w:pPr>
              <w:spacing w:after="0" w:line="240" w:lineRule="auto"/>
              <w:contextualSpacing/>
              <w:jc w:val="center"/>
              <w:rPr>
                <w:rFonts w:ascii="Arial" w:eastAsia="Calibri" w:hAnsi="Arial" w:cs="Arial"/>
                <w:b/>
                <w:sz w:val="24"/>
                <w:szCs w:val="24"/>
              </w:rPr>
            </w:pPr>
            <w:r w:rsidRPr="00F32542">
              <w:rPr>
                <w:rFonts w:ascii="Arial" w:eastAsia="Calibri" w:hAnsi="Arial" w:cs="Arial"/>
                <w:b/>
                <w:sz w:val="24"/>
                <w:szCs w:val="24"/>
              </w:rPr>
              <w:t>Distrito electoral</w:t>
            </w:r>
          </w:p>
        </w:tc>
        <w:tc>
          <w:tcPr>
            <w:tcW w:w="3008" w:type="dxa"/>
            <w:shd w:val="clear" w:color="auto" w:fill="AEAAAA"/>
            <w:vAlign w:val="center"/>
          </w:tcPr>
          <w:p w14:paraId="5CF4BE5A" w14:textId="77777777" w:rsidR="00F94B48" w:rsidRPr="00F32542" w:rsidRDefault="00F94B48" w:rsidP="009F5F68">
            <w:pPr>
              <w:spacing w:after="0" w:line="240" w:lineRule="auto"/>
              <w:contextualSpacing/>
              <w:jc w:val="center"/>
              <w:rPr>
                <w:rFonts w:ascii="Arial" w:eastAsia="Calibri" w:hAnsi="Arial" w:cs="Arial"/>
                <w:b/>
                <w:sz w:val="24"/>
                <w:szCs w:val="24"/>
              </w:rPr>
            </w:pPr>
            <w:r w:rsidRPr="00F32542">
              <w:rPr>
                <w:rFonts w:ascii="Arial" w:eastAsia="Calibri" w:hAnsi="Arial" w:cs="Arial"/>
                <w:b/>
                <w:sz w:val="24"/>
                <w:szCs w:val="24"/>
              </w:rPr>
              <w:t>Expediente</w:t>
            </w:r>
          </w:p>
        </w:tc>
        <w:tc>
          <w:tcPr>
            <w:tcW w:w="1713" w:type="dxa"/>
            <w:shd w:val="clear" w:color="auto" w:fill="AEAAAA"/>
            <w:vAlign w:val="center"/>
          </w:tcPr>
          <w:p w14:paraId="34376F6B" w14:textId="77777777" w:rsidR="00F94B48" w:rsidRPr="00F32542" w:rsidRDefault="00F94B48" w:rsidP="009F5F68">
            <w:pPr>
              <w:spacing w:after="0" w:line="240" w:lineRule="auto"/>
              <w:contextualSpacing/>
              <w:jc w:val="center"/>
              <w:rPr>
                <w:rFonts w:ascii="Arial" w:eastAsia="Calibri" w:hAnsi="Arial" w:cs="Arial"/>
                <w:b/>
                <w:sz w:val="24"/>
                <w:szCs w:val="24"/>
              </w:rPr>
            </w:pPr>
            <w:r w:rsidRPr="00F32542">
              <w:rPr>
                <w:rFonts w:ascii="Arial" w:eastAsia="Calibri" w:hAnsi="Arial" w:cs="Arial"/>
                <w:b/>
                <w:sz w:val="24"/>
                <w:szCs w:val="24"/>
              </w:rPr>
              <w:t>Fecha de Resolución</w:t>
            </w:r>
          </w:p>
        </w:tc>
        <w:tc>
          <w:tcPr>
            <w:tcW w:w="1451" w:type="dxa"/>
            <w:shd w:val="clear" w:color="auto" w:fill="AEAAAA"/>
            <w:vAlign w:val="center"/>
          </w:tcPr>
          <w:p w14:paraId="4DBA24DA" w14:textId="77777777" w:rsidR="00F94B48" w:rsidRPr="00F32542" w:rsidRDefault="00F94B48" w:rsidP="009F5F68">
            <w:pPr>
              <w:spacing w:after="0" w:line="240" w:lineRule="auto"/>
              <w:contextualSpacing/>
              <w:jc w:val="center"/>
              <w:rPr>
                <w:rFonts w:ascii="Arial" w:eastAsia="Calibri" w:hAnsi="Arial" w:cs="Arial"/>
                <w:b/>
                <w:sz w:val="24"/>
                <w:szCs w:val="24"/>
              </w:rPr>
            </w:pPr>
            <w:r w:rsidRPr="00F32542">
              <w:rPr>
                <w:rFonts w:ascii="Arial" w:eastAsia="Calibri" w:hAnsi="Arial" w:cs="Arial"/>
                <w:b/>
                <w:sz w:val="24"/>
                <w:szCs w:val="24"/>
              </w:rPr>
              <w:t>Número de casillas anuladas</w:t>
            </w:r>
          </w:p>
        </w:tc>
      </w:tr>
      <w:tr w:rsidR="00F94B48" w:rsidRPr="00F32542" w14:paraId="3902C3A3" w14:textId="77777777" w:rsidTr="009F5F68">
        <w:tblPrEx>
          <w:jc w:val="left"/>
        </w:tblPrEx>
        <w:trPr>
          <w:trHeight w:val="770"/>
        </w:trPr>
        <w:tc>
          <w:tcPr>
            <w:tcW w:w="603" w:type="dxa"/>
            <w:vAlign w:val="center"/>
          </w:tcPr>
          <w:p w14:paraId="0B970560" w14:textId="77777777" w:rsidR="00F94B48" w:rsidRPr="00F32542" w:rsidRDefault="00F94B48" w:rsidP="009B6ED0">
            <w:pPr>
              <w:widowControl w:val="0"/>
              <w:numPr>
                <w:ilvl w:val="0"/>
                <w:numId w:val="19"/>
              </w:numPr>
              <w:spacing w:after="0" w:line="240" w:lineRule="auto"/>
              <w:ind w:left="0" w:firstLine="0"/>
              <w:jc w:val="center"/>
              <w:rPr>
                <w:rFonts w:ascii="Arial" w:eastAsia="Calibri" w:hAnsi="Arial" w:cs="Arial"/>
                <w:sz w:val="24"/>
                <w:szCs w:val="24"/>
              </w:rPr>
            </w:pPr>
          </w:p>
        </w:tc>
        <w:tc>
          <w:tcPr>
            <w:tcW w:w="1204" w:type="dxa"/>
            <w:vAlign w:val="center"/>
          </w:tcPr>
          <w:p w14:paraId="3BB5FA88"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1</w:t>
            </w:r>
          </w:p>
        </w:tc>
        <w:tc>
          <w:tcPr>
            <w:tcW w:w="3008" w:type="dxa"/>
            <w:vAlign w:val="center"/>
          </w:tcPr>
          <w:p w14:paraId="4F591842"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TECDMX-JEL-111/2021</w:t>
            </w:r>
          </w:p>
        </w:tc>
        <w:tc>
          <w:tcPr>
            <w:tcW w:w="1713" w:type="dxa"/>
            <w:vAlign w:val="center"/>
          </w:tcPr>
          <w:p w14:paraId="2804888D"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27-julio-2021</w:t>
            </w:r>
          </w:p>
        </w:tc>
        <w:tc>
          <w:tcPr>
            <w:tcW w:w="1451" w:type="dxa"/>
            <w:vAlign w:val="center"/>
          </w:tcPr>
          <w:p w14:paraId="50F74444"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5</w:t>
            </w:r>
          </w:p>
        </w:tc>
      </w:tr>
      <w:tr w:rsidR="00F94B48" w:rsidRPr="00F32542" w14:paraId="6BA29E52" w14:textId="77777777" w:rsidTr="009F5F68">
        <w:tblPrEx>
          <w:jc w:val="left"/>
        </w:tblPrEx>
        <w:trPr>
          <w:trHeight w:val="980"/>
        </w:trPr>
        <w:tc>
          <w:tcPr>
            <w:tcW w:w="603" w:type="dxa"/>
            <w:vAlign w:val="center"/>
          </w:tcPr>
          <w:p w14:paraId="3A182360" w14:textId="77777777" w:rsidR="00F94B48" w:rsidRPr="00F32542" w:rsidRDefault="00F94B48" w:rsidP="009B6ED0">
            <w:pPr>
              <w:widowControl w:val="0"/>
              <w:numPr>
                <w:ilvl w:val="0"/>
                <w:numId w:val="19"/>
              </w:numPr>
              <w:spacing w:after="0" w:line="240" w:lineRule="auto"/>
              <w:ind w:left="0" w:firstLine="0"/>
              <w:jc w:val="center"/>
              <w:rPr>
                <w:rFonts w:ascii="Arial" w:eastAsia="Calibri" w:hAnsi="Arial" w:cs="Arial"/>
                <w:sz w:val="24"/>
                <w:szCs w:val="24"/>
              </w:rPr>
            </w:pPr>
          </w:p>
        </w:tc>
        <w:tc>
          <w:tcPr>
            <w:tcW w:w="1204" w:type="dxa"/>
            <w:vAlign w:val="center"/>
          </w:tcPr>
          <w:p w14:paraId="4B11E793"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3</w:t>
            </w:r>
          </w:p>
        </w:tc>
        <w:tc>
          <w:tcPr>
            <w:tcW w:w="3008" w:type="dxa"/>
            <w:vAlign w:val="center"/>
          </w:tcPr>
          <w:p w14:paraId="08EDDA1B"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TECDMX-JEL-100/2021 y TECDMX-JEL-101/2021 acumulados</w:t>
            </w:r>
          </w:p>
        </w:tc>
        <w:tc>
          <w:tcPr>
            <w:tcW w:w="1713" w:type="dxa"/>
            <w:vAlign w:val="center"/>
          </w:tcPr>
          <w:p w14:paraId="27D50046"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30-julio-2021</w:t>
            </w:r>
          </w:p>
        </w:tc>
        <w:tc>
          <w:tcPr>
            <w:tcW w:w="1451" w:type="dxa"/>
            <w:vAlign w:val="center"/>
          </w:tcPr>
          <w:p w14:paraId="31783554"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5</w:t>
            </w:r>
          </w:p>
        </w:tc>
      </w:tr>
      <w:tr w:rsidR="00F94B48" w:rsidRPr="00F32542" w14:paraId="6880A2E6" w14:textId="77777777" w:rsidTr="009F5F68">
        <w:tblPrEx>
          <w:jc w:val="left"/>
        </w:tblPrEx>
        <w:trPr>
          <w:trHeight w:val="566"/>
        </w:trPr>
        <w:tc>
          <w:tcPr>
            <w:tcW w:w="603" w:type="dxa"/>
            <w:vAlign w:val="center"/>
          </w:tcPr>
          <w:p w14:paraId="58A0A294" w14:textId="77777777" w:rsidR="00F94B48" w:rsidRPr="00F32542" w:rsidRDefault="00F94B48" w:rsidP="009B6ED0">
            <w:pPr>
              <w:widowControl w:val="0"/>
              <w:numPr>
                <w:ilvl w:val="0"/>
                <w:numId w:val="19"/>
              </w:numPr>
              <w:spacing w:after="0" w:line="240" w:lineRule="auto"/>
              <w:ind w:left="0" w:firstLine="0"/>
              <w:jc w:val="center"/>
              <w:rPr>
                <w:rFonts w:ascii="Arial" w:eastAsia="Calibri" w:hAnsi="Arial" w:cs="Arial"/>
                <w:sz w:val="24"/>
                <w:szCs w:val="24"/>
              </w:rPr>
            </w:pPr>
          </w:p>
        </w:tc>
        <w:tc>
          <w:tcPr>
            <w:tcW w:w="1204" w:type="dxa"/>
            <w:vAlign w:val="center"/>
          </w:tcPr>
          <w:p w14:paraId="2589EC19"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4</w:t>
            </w:r>
          </w:p>
        </w:tc>
        <w:tc>
          <w:tcPr>
            <w:tcW w:w="3008" w:type="dxa"/>
            <w:vAlign w:val="center"/>
          </w:tcPr>
          <w:p w14:paraId="373336E0"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TECDMC-JEL-84/2021</w:t>
            </w:r>
          </w:p>
        </w:tc>
        <w:tc>
          <w:tcPr>
            <w:tcW w:w="1713" w:type="dxa"/>
            <w:vAlign w:val="center"/>
          </w:tcPr>
          <w:p w14:paraId="42CD0744"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27-julio-2021</w:t>
            </w:r>
          </w:p>
        </w:tc>
        <w:tc>
          <w:tcPr>
            <w:tcW w:w="1451" w:type="dxa"/>
            <w:vAlign w:val="center"/>
          </w:tcPr>
          <w:p w14:paraId="4E9C9804"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10</w:t>
            </w:r>
          </w:p>
        </w:tc>
      </w:tr>
      <w:tr w:rsidR="00F94B48" w:rsidRPr="00F32542" w14:paraId="5473A145" w14:textId="77777777" w:rsidTr="009F5F68">
        <w:tblPrEx>
          <w:jc w:val="left"/>
        </w:tblPrEx>
        <w:trPr>
          <w:trHeight w:val="702"/>
        </w:trPr>
        <w:tc>
          <w:tcPr>
            <w:tcW w:w="603" w:type="dxa"/>
            <w:vAlign w:val="center"/>
          </w:tcPr>
          <w:p w14:paraId="29F63C67" w14:textId="77777777" w:rsidR="00F94B48" w:rsidRPr="00F32542" w:rsidRDefault="00F94B48" w:rsidP="009B6ED0">
            <w:pPr>
              <w:widowControl w:val="0"/>
              <w:numPr>
                <w:ilvl w:val="0"/>
                <w:numId w:val="19"/>
              </w:numPr>
              <w:spacing w:after="0" w:line="240" w:lineRule="auto"/>
              <w:ind w:left="0" w:firstLine="0"/>
              <w:jc w:val="center"/>
              <w:rPr>
                <w:rFonts w:ascii="Arial" w:eastAsia="Calibri" w:hAnsi="Arial" w:cs="Arial"/>
                <w:sz w:val="24"/>
                <w:szCs w:val="24"/>
              </w:rPr>
            </w:pPr>
          </w:p>
        </w:tc>
        <w:tc>
          <w:tcPr>
            <w:tcW w:w="1204" w:type="dxa"/>
            <w:vAlign w:val="center"/>
          </w:tcPr>
          <w:p w14:paraId="66781601"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5</w:t>
            </w:r>
          </w:p>
        </w:tc>
        <w:tc>
          <w:tcPr>
            <w:tcW w:w="3008" w:type="dxa"/>
            <w:vAlign w:val="center"/>
          </w:tcPr>
          <w:p w14:paraId="27F1155B"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TECDMX-JEL-92/2021</w:t>
            </w:r>
          </w:p>
        </w:tc>
        <w:tc>
          <w:tcPr>
            <w:tcW w:w="1713" w:type="dxa"/>
            <w:vAlign w:val="center"/>
          </w:tcPr>
          <w:p w14:paraId="66CD1A99"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29-julio-2021</w:t>
            </w:r>
          </w:p>
        </w:tc>
        <w:tc>
          <w:tcPr>
            <w:tcW w:w="1451" w:type="dxa"/>
            <w:vAlign w:val="center"/>
          </w:tcPr>
          <w:p w14:paraId="658257EA"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7</w:t>
            </w:r>
          </w:p>
        </w:tc>
      </w:tr>
      <w:tr w:rsidR="00F94B48" w:rsidRPr="00F32542" w14:paraId="389532EA" w14:textId="77777777" w:rsidTr="009F5F68">
        <w:tblPrEx>
          <w:jc w:val="left"/>
        </w:tblPrEx>
        <w:trPr>
          <w:trHeight w:val="262"/>
        </w:trPr>
        <w:tc>
          <w:tcPr>
            <w:tcW w:w="603" w:type="dxa"/>
            <w:vAlign w:val="center"/>
          </w:tcPr>
          <w:p w14:paraId="72FEB82B" w14:textId="77777777" w:rsidR="00F94B48" w:rsidRPr="00F32542" w:rsidRDefault="00F94B48" w:rsidP="009B6ED0">
            <w:pPr>
              <w:widowControl w:val="0"/>
              <w:numPr>
                <w:ilvl w:val="0"/>
                <w:numId w:val="19"/>
              </w:numPr>
              <w:spacing w:after="0" w:line="240" w:lineRule="auto"/>
              <w:ind w:left="0" w:firstLine="0"/>
              <w:jc w:val="center"/>
              <w:rPr>
                <w:rFonts w:ascii="Arial" w:eastAsia="Calibri" w:hAnsi="Arial" w:cs="Arial"/>
                <w:sz w:val="24"/>
                <w:szCs w:val="24"/>
              </w:rPr>
            </w:pPr>
          </w:p>
        </w:tc>
        <w:tc>
          <w:tcPr>
            <w:tcW w:w="1204" w:type="dxa"/>
            <w:vAlign w:val="center"/>
          </w:tcPr>
          <w:p w14:paraId="30EC3D3D"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6</w:t>
            </w:r>
          </w:p>
        </w:tc>
        <w:tc>
          <w:tcPr>
            <w:tcW w:w="3008" w:type="dxa"/>
            <w:vAlign w:val="center"/>
          </w:tcPr>
          <w:p w14:paraId="71F60B20"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TECDMX-JEL-</w:t>
            </w:r>
            <w:r w:rsidRPr="00F32542">
              <w:rPr>
                <w:rFonts w:ascii="Arial" w:eastAsia="Times New Roman" w:hAnsi="Arial" w:cs="Arial"/>
                <w:color w:val="000000"/>
                <w:sz w:val="24"/>
                <w:szCs w:val="24"/>
                <w:lang w:eastAsia="es-MX"/>
              </w:rPr>
              <w:t>128/2021, TECDMX-JEL-159/2021 y TECDMX-JEL-160/2021</w:t>
            </w:r>
          </w:p>
        </w:tc>
        <w:tc>
          <w:tcPr>
            <w:tcW w:w="1713" w:type="dxa"/>
            <w:vAlign w:val="center"/>
          </w:tcPr>
          <w:p w14:paraId="0715ACC9"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22-julio-2021</w:t>
            </w:r>
          </w:p>
        </w:tc>
        <w:tc>
          <w:tcPr>
            <w:tcW w:w="1451" w:type="dxa"/>
            <w:vAlign w:val="center"/>
          </w:tcPr>
          <w:p w14:paraId="65924CB2"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2</w:t>
            </w:r>
          </w:p>
        </w:tc>
      </w:tr>
      <w:tr w:rsidR="00F94B48" w:rsidRPr="00F32542" w14:paraId="5078028F" w14:textId="77777777" w:rsidTr="009F5F68">
        <w:tblPrEx>
          <w:jc w:val="left"/>
        </w:tblPrEx>
        <w:trPr>
          <w:trHeight w:val="980"/>
        </w:trPr>
        <w:tc>
          <w:tcPr>
            <w:tcW w:w="603" w:type="dxa"/>
            <w:vAlign w:val="center"/>
          </w:tcPr>
          <w:p w14:paraId="4ECF0436" w14:textId="77777777" w:rsidR="00F94B48" w:rsidRPr="00F32542" w:rsidRDefault="00F94B48" w:rsidP="009B6ED0">
            <w:pPr>
              <w:widowControl w:val="0"/>
              <w:numPr>
                <w:ilvl w:val="0"/>
                <w:numId w:val="19"/>
              </w:numPr>
              <w:spacing w:after="0" w:line="240" w:lineRule="auto"/>
              <w:ind w:left="0" w:firstLine="0"/>
              <w:jc w:val="center"/>
              <w:rPr>
                <w:rFonts w:ascii="Arial" w:eastAsia="Calibri" w:hAnsi="Arial" w:cs="Arial"/>
                <w:sz w:val="24"/>
                <w:szCs w:val="24"/>
              </w:rPr>
            </w:pPr>
          </w:p>
        </w:tc>
        <w:tc>
          <w:tcPr>
            <w:tcW w:w="1204" w:type="dxa"/>
            <w:vAlign w:val="center"/>
          </w:tcPr>
          <w:p w14:paraId="76E17736"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7</w:t>
            </w:r>
          </w:p>
        </w:tc>
        <w:tc>
          <w:tcPr>
            <w:tcW w:w="3008" w:type="dxa"/>
            <w:vAlign w:val="center"/>
          </w:tcPr>
          <w:p w14:paraId="42A74C87"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TECDMX-JEL-</w:t>
            </w:r>
            <w:r w:rsidRPr="00F32542">
              <w:rPr>
                <w:rFonts w:ascii="Arial" w:eastAsia="Times New Roman" w:hAnsi="Arial" w:cs="Arial"/>
                <w:color w:val="000000"/>
                <w:sz w:val="24"/>
                <w:szCs w:val="24"/>
                <w:lang w:eastAsia="es-MX"/>
              </w:rPr>
              <w:t>124/2021 y TECDMX-JEL-126/2021 acumulado</w:t>
            </w:r>
          </w:p>
        </w:tc>
        <w:tc>
          <w:tcPr>
            <w:tcW w:w="1713" w:type="dxa"/>
            <w:vAlign w:val="center"/>
          </w:tcPr>
          <w:p w14:paraId="272F9EE7"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22-julio-2021</w:t>
            </w:r>
          </w:p>
        </w:tc>
        <w:tc>
          <w:tcPr>
            <w:tcW w:w="1451" w:type="dxa"/>
            <w:vAlign w:val="center"/>
          </w:tcPr>
          <w:p w14:paraId="68EFBECF"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2</w:t>
            </w:r>
          </w:p>
        </w:tc>
      </w:tr>
      <w:tr w:rsidR="00F94B48" w:rsidRPr="00F32542" w14:paraId="55C24314" w14:textId="77777777" w:rsidTr="009F5F68">
        <w:tblPrEx>
          <w:jc w:val="left"/>
        </w:tblPrEx>
        <w:trPr>
          <w:trHeight w:val="262"/>
        </w:trPr>
        <w:tc>
          <w:tcPr>
            <w:tcW w:w="603" w:type="dxa"/>
            <w:vAlign w:val="center"/>
          </w:tcPr>
          <w:p w14:paraId="27070F5A" w14:textId="77777777" w:rsidR="00F94B48" w:rsidRPr="00F32542" w:rsidRDefault="00F94B48" w:rsidP="009B6ED0">
            <w:pPr>
              <w:widowControl w:val="0"/>
              <w:numPr>
                <w:ilvl w:val="0"/>
                <w:numId w:val="19"/>
              </w:numPr>
              <w:spacing w:after="0" w:line="240" w:lineRule="auto"/>
              <w:ind w:left="0" w:firstLine="0"/>
              <w:jc w:val="center"/>
              <w:rPr>
                <w:rFonts w:ascii="Arial" w:eastAsia="Calibri" w:hAnsi="Arial" w:cs="Arial"/>
                <w:sz w:val="24"/>
                <w:szCs w:val="24"/>
              </w:rPr>
            </w:pPr>
          </w:p>
        </w:tc>
        <w:tc>
          <w:tcPr>
            <w:tcW w:w="1204" w:type="dxa"/>
            <w:vAlign w:val="center"/>
          </w:tcPr>
          <w:p w14:paraId="54E4BCA5"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9</w:t>
            </w:r>
          </w:p>
        </w:tc>
        <w:tc>
          <w:tcPr>
            <w:tcW w:w="3008" w:type="dxa"/>
            <w:vAlign w:val="center"/>
          </w:tcPr>
          <w:p w14:paraId="6625F4AF"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TECDMX-JEL-143/2021 y TECDMX-JEL-165/2021</w:t>
            </w:r>
          </w:p>
        </w:tc>
        <w:tc>
          <w:tcPr>
            <w:tcW w:w="1713" w:type="dxa"/>
            <w:vAlign w:val="center"/>
          </w:tcPr>
          <w:p w14:paraId="5928C93F"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27-julio-2021</w:t>
            </w:r>
          </w:p>
        </w:tc>
        <w:tc>
          <w:tcPr>
            <w:tcW w:w="1451" w:type="dxa"/>
            <w:vAlign w:val="center"/>
          </w:tcPr>
          <w:p w14:paraId="0CBD5067"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3</w:t>
            </w:r>
          </w:p>
        </w:tc>
      </w:tr>
      <w:tr w:rsidR="00F94B48" w:rsidRPr="00F32542" w14:paraId="1B9F31F9" w14:textId="77777777" w:rsidTr="009F5F68">
        <w:tblPrEx>
          <w:jc w:val="left"/>
        </w:tblPrEx>
        <w:trPr>
          <w:trHeight w:val="575"/>
        </w:trPr>
        <w:tc>
          <w:tcPr>
            <w:tcW w:w="603" w:type="dxa"/>
            <w:vAlign w:val="center"/>
          </w:tcPr>
          <w:p w14:paraId="189430EE" w14:textId="77777777" w:rsidR="00F94B48" w:rsidRPr="00F32542" w:rsidRDefault="00F94B48" w:rsidP="009B6ED0">
            <w:pPr>
              <w:widowControl w:val="0"/>
              <w:numPr>
                <w:ilvl w:val="0"/>
                <w:numId w:val="19"/>
              </w:numPr>
              <w:spacing w:after="0" w:line="240" w:lineRule="auto"/>
              <w:ind w:left="0" w:firstLine="0"/>
              <w:jc w:val="center"/>
              <w:rPr>
                <w:rFonts w:ascii="Arial" w:eastAsia="Calibri" w:hAnsi="Arial" w:cs="Arial"/>
                <w:sz w:val="24"/>
                <w:szCs w:val="24"/>
              </w:rPr>
            </w:pPr>
          </w:p>
        </w:tc>
        <w:tc>
          <w:tcPr>
            <w:tcW w:w="1204" w:type="dxa"/>
            <w:vAlign w:val="center"/>
          </w:tcPr>
          <w:p w14:paraId="0825EC10"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11</w:t>
            </w:r>
          </w:p>
        </w:tc>
        <w:tc>
          <w:tcPr>
            <w:tcW w:w="3008" w:type="dxa"/>
            <w:vAlign w:val="center"/>
          </w:tcPr>
          <w:p w14:paraId="31DDCDDF"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TECDMX-JEL-145/2021</w:t>
            </w:r>
          </w:p>
        </w:tc>
        <w:tc>
          <w:tcPr>
            <w:tcW w:w="1713" w:type="dxa"/>
            <w:vAlign w:val="center"/>
          </w:tcPr>
          <w:p w14:paraId="252FB65C"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29-julio-2021</w:t>
            </w:r>
          </w:p>
        </w:tc>
        <w:tc>
          <w:tcPr>
            <w:tcW w:w="1451" w:type="dxa"/>
            <w:vAlign w:val="center"/>
          </w:tcPr>
          <w:p w14:paraId="3273B2CD"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2</w:t>
            </w:r>
          </w:p>
        </w:tc>
      </w:tr>
      <w:tr w:rsidR="00F94B48" w:rsidRPr="00F32542" w14:paraId="7BC4369C" w14:textId="77777777" w:rsidTr="009F5F68">
        <w:tblPrEx>
          <w:jc w:val="left"/>
        </w:tblPrEx>
        <w:trPr>
          <w:trHeight w:val="262"/>
        </w:trPr>
        <w:tc>
          <w:tcPr>
            <w:tcW w:w="603" w:type="dxa"/>
            <w:vAlign w:val="center"/>
          </w:tcPr>
          <w:p w14:paraId="454CEC95" w14:textId="77777777" w:rsidR="00F94B48" w:rsidRPr="00F32542" w:rsidRDefault="00F94B48" w:rsidP="009B6ED0">
            <w:pPr>
              <w:widowControl w:val="0"/>
              <w:numPr>
                <w:ilvl w:val="0"/>
                <w:numId w:val="19"/>
              </w:numPr>
              <w:spacing w:after="0" w:line="240" w:lineRule="auto"/>
              <w:ind w:left="0" w:firstLine="0"/>
              <w:jc w:val="center"/>
              <w:rPr>
                <w:rFonts w:ascii="Arial" w:eastAsia="Calibri" w:hAnsi="Arial" w:cs="Arial"/>
                <w:sz w:val="24"/>
                <w:szCs w:val="24"/>
              </w:rPr>
            </w:pPr>
          </w:p>
        </w:tc>
        <w:tc>
          <w:tcPr>
            <w:tcW w:w="1204" w:type="dxa"/>
            <w:vAlign w:val="center"/>
          </w:tcPr>
          <w:p w14:paraId="331CE2C7"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18</w:t>
            </w:r>
          </w:p>
        </w:tc>
        <w:tc>
          <w:tcPr>
            <w:tcW w:w="3008" w:type="dxa"/>
            <w:vAlign w:val="center"/>
          </w:tcPr>
          <w:p w14:paraId="7634AD2E"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TECDMX-JEL-114/2021 y TECDMX-JEL-115/2021 acumulado</w:t>
            </w:r>
          </w:p>
        </w:tc>
        <w:tc>
          <w:tcPr>
            <w:tcW w:w="1713" w:type="dxa"/>
            <w:vAlign w:val="center"/>
          </w:tcPr>
          <w:p w14:paraId="5DE4A316"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29-julio-2021</w:t>
            </w:r>
          </w:p>
        </w:tc>
        <w:tc>
          <w:tcPr>
            <w:tcW w:w="1451" w:type="dxa"/>
            <w:vAlign w:val="center"/>
          </w:tcPr>
          <w:p w14:paraId="27517A0E"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5</w:t>
            </w:r>
          </w:p>
        </w:tc>
      </w:tr>
      <w:tr w:rsidR="00F94B48" w:rsidRPr="00F32542" w14:paraId="1744CD43" w14:textId="77777777" w:rsidTr="009F5F68">
        <w:tblPrEx>
          <w:jc w:val="left"/>
        </w:tblPrEx>
        <w:trPr>
          <w:trHeight w:val="262"/>
        </w:trPr>
        <w:tc>
          <w:tcPr>
            <w:tcW w:w="603" w:type="dxa"/>
            <w:vAlign w:val="center"/>
          </w:tcPr>
          <w:p w14:paraId="31700279" w14:textId="77777777" w:rsidR="00F94B48" w:rsidRPr="00F32542" w:rsidRDefault="00F94B48" w:rsidP="009B6ED0">
            <w:pPr>
              <w:widowControl w:val="0"/>
              <w:numPr>
                <w:ilvl w:val="0"/>
                <w:numId w:val="19"/>
              </w:numPr>
              <w:spacing w:after="0" w:line="240" w:lineRule="auto"/>
              <w:ind w:left="0" w:firstLine="0"/>
              <w:jc w:val="center"/>
              <w:rPr>
                <w:rFonts w:ascii="Arial" w:eastAsia="Calibri" w:hAnsi="Arial" w:cs="Arial"/>
                <w:sz w:val="24"/>
                <w:szCs w:val="24"/>
              </w:rPr>
            </w:pPr>
          </w:p>
        </w:tc>
        <w:tc>
          <w:tcPr>
            <w:tcW w:w="1204" w:type="dxa"/>
            <w:vAlign w:val="center"/>
          </w:tcPr>
          <w:p w14:paraId="311BA2EA"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21</w:t>
            </w:r>
          </w:p>
        </w:tc>
        <w:tc>
          <w:tcPr>
            <w:tcW w:w="3008" w:type="dxa"/>
            <w:vAlign w:val="center"/>
          </w:tcPr>
          <w:p w14:paraId="0C45C560"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TECDMX-JEL-98/2021 y acumulado TECDMX-JEL-153/2021</w:t>
            </w:r>
          </w:p>
        </w:tc>
        <w:tc>
          <w:tcPr>
            <w:tcW w:w="1713" w:type="dxa"/>
            <w:vAlign w:val="center"/>
          </w:tcPr>
          <w:p w14:paraId="6BB1A999"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22-julio-2021</w:t>
            </w:r>
          </w:p>
        </w:tc>
        <w:tc>
          <w:tcPr>
            <w:tcW w:w="1451" w:type="dxa"/>
            <w:vAlign w:val="center"/>
          </w:tcPr>
          <w:p w14:paraId="19C4357D"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10</w:t>
            </w:r>
          </w:p>
        </w:tc>
      </w:tr>
      <w:tr w:rsidR="00F94B48" w:rsidRPr="00F32542" w14:paraId="7D25E1F5" w14:textId="77777777" w:rsidTr="009F5F68">
        <w:tblPrEx>
          <w:jc w:val="left"/>
        </w:tblPrEx>
        <w:trPr>
          <w:trHeight w:val="262"/>
        </w:trPr>
        <w:tc>
          <w:tcPr>
            <w:tcW w:w="603" w:type="dxa"/>
            <w:vAlign w:val="center"/>
          </w:tcPr>
          <w:p w14:paraId="45833671" w14:textId="77777777" w:rsidR="00F94B48" w:rsidRPr="00F32542" w:rsidRDefault="00F94B48" w:rsidP="009B6ED0">
            <w:pPr>
              <w:widowControl w:val="0"/>
              <w:numPr>
                <w:ilvl w:val="0"/>
                <w:numId w:val="19"/>
              </w:numPr>
              <w:spacing w:after="0" w:line="240" w:lineRule="auto"/>
              <w:ind w:left="0" w:firstLine="0"/>
              <w:jc w:val="center"/>
              <w:rPr>
                <w:rFonts w:ascii="Arial" w:eastAsia="Calibri" w:hAnsi="Arial" w:cs="Arial"/>
                <w:sz w:val="24"/>
                <w:szCs w:val="24"/>
              </w:rPr>
            </w:pPr>
          </w:p>
        </w:tc>
        <w:tc>
          <w:tcPr>
            <w:tcW w:w="1204" w:type="dxa"/>
            <w:vAlign w:val="center"/>
          </w:tcPr>
          <w:p w14:paraId="55CC623E"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22</w:t>
            </w:r>
          </w:p>
        </w:tc>
        <w:tc>
          <w:tcPr>
            <w:tcW w:w="3008" w:type="dxa"/>
            <w:vAlign w:val="center"/>
          </w:tcPr>
          <w:p w14:paraId="1CE1D285"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TECDMX-JEL-119/2021 y acumulado TECDMX-JEL-151/2021</w:t>
            </w:r>
          </w:p>
        </w:tc>
        <w:tc>
          <w:tcPr>
            <w:tcW w:w="1713" w:type="dxa"/>
            <w:vAlign w:val="center"/>
          </w:tcPr>
          <w:p w14:paraId="1E5604AC"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22-julio-2021</w:t>
            </w:r>
          </w:p>
        </w:tc>
        <w:tc>
          <w:tcPr>
            <w:tcW w:w="1451" w:type="dxa"/>
            <w:vAlign w:val="center"/>
          </w:tcPr>
          <w:p w14:paraId="64FDF17B"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11</w:t>
            </w:r>
          </w:p>
        </w:tc>
      </w:tr>
      <w:tr w:rsidR="00F94B48" w:rsidRPr="00F32542" w14:paraId="04A12FC2" w14:textId="77777777" w:rsidTr="009F5F68">
        <w:tblPrEx>
          <w:jc w:val="left"/>
        </w:tblPrEx>
        <w:trPr>
          <w:trHeight w:val="243"/>
        </w:trPr>
        <w:tc>
          <w:tcPr>
            <w:tcW w:w="603" w:type="dxa"/>
            <w:vAlign w:val="center"/>
          </w:tcPr>
          <w:p w14:paraId="315A71E2" w14:textId="77777777" w:rsidR="00F94B48" w:rsidRPr="00F32542" w:rsidRDefault="00F94B48" w:rsidP="009B6ED0">
            <w:pPr>
              <w:widowControl w:val="0"/>
              <w:numPr>
                <w:ilvl w:val="0"/>
                <w:numId w:val="19"/>
              </w:numPr>
              <w:spacing w:after="0" w:line="240" w:lineRule="auto"/>
              <w:ind w:left="0" w:firstLine="0"/>
              <w:jc w:val="center"/>
              <w:rPr>
                <w:rFonts w:ascii="Arial" w:eastAsia="Calibri" w:hAnsi="Arial" w:cs="Arial"/>
                <w:sz w:val="24"/>
                <w:szCs w:val="24"/>
              </w:rPr>
            </w:pPr>
          </w:p>
        </w:tc>
        <w:tc>
          <w:tcPr>
            <w:tcW w:w="1204" w:type="dxa"/>
            <w:vAlign w:val="center"/>
          </w:tcPr>
          <w:p w14:paraId="75CFCAEF"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25</w:t>
            </w:r>
          </w:p>
        </w:tc>
        <w:tc>
          <w:tcPr>
            <w:tcW w:w="3008" w:type="dxa"/>
            <w:vAlign w:val="center"/>
          </w:tcPr>
          <w:p w14:paraId="3FA918E0"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TECDMX-JEL-131/2021</w:t>
            </w:r>
          </w:p>
        </w:tc>
        <w:tc>
          <w:tcPr>
            <w:tcW w:w="1713" w:type="dxa"/>
            <w:vAlign w:val="center"/>
          </w:tcPr>
          <w:p w14:paraId="552C3280"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29-julio-2021</w:t>
            </w:r>
          </w:p>
        </w:tc>
        <w:tc>
          <w:tcPr>
            <w:tcW w:w="1451" w:type="dxa"/>
            <w:vAlign w:val="center"/>
          </w:tcPr>
          <w:p w14:paraId="1B9A2C46"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6</w:t>
            </w:r>
          </w:p>
        </w:tc>
      </w:tr>
      <w:tr w:rsidR="00F94B48" w:rsidRPr="00F32542" w14:paraId="0DA970C6" w14:textId="77777777" w:rsidTr="009F5F68">
        <w:tblPrEx>
          <w:jc w:val="left"/>
        </w:tblPrEx>
        <w:trPr>
          <w:trHeight w:val="243"/>
        </w:trPr>
        <w:tc>
          <w:tcPr>
            <w:tcW w:w="603" w:type="dxa"/>
            <w:vAlign w:val="center"/>
          </w:tcPr>
          <w:p w14:paraId="36B1CD0A" w14:textId="77777777" w:rsidR="00F94B48" w:rsidRPr="00F32542" w:rsidRDefault="00F94B48" w:rsidP="009B6ED0">
            <w:pPr>
              <w:widowControl w:val="0"/>
              <w:numPr>
                <w:ilvl w:val="0"/>
                <w:numId w:val="19"/>
              </w:numPr>
              <w:spacing w:after="0" w:line="240" w:lineRule="auto"/>
              <w:ind w:left="0" w:firstLine="0"/>
              <w:jc w:val="center"/>
              <w:rPr>
                <w:rFonts w:ascii="Arial" w:eastAsia="Calibri" w:hAnsi="Arial" w:cs="Arial"/>
                <w:sz w:val="24"/>
                <w:szCs w:val="24"/>
              </w:rPr>
            </w:pPr>
          </w:p>
        </w:tc>
        <w:tc>
          <w:tcPr>
            <w:tcW w:w="1204" w:type="dxa"/>
            <w:vAlign w:val="center"/>
          </w:tcPr>
          <w:p w14:paraId="5E13CEE0"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28</w:t>
            </w:r>
          </w:p>
        </w:tc>
        <w:tc>
          <w:tcPr>
            <w:tcW w:w="3008" w:type="dxa"/>
            <w:vAlign w:val="center"/>
          </w:tcPr>
          <w:p w14:paraId="38F443D6"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TECDMX-JEL-135/2021</w:t>
            </w:r>
          </w:p>
        </w:tc>
        <w:tc>
          <w:tcPr>
            <w:tcW w:w="1713" w:type="dxa"/>
            <w:vAlign w:val="center"/>
          </w:tcPr>
          <w:p w14:paraId="0DDB4821"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29-julio-2021</w:t>
            </w:r>
          </w:p>
        </w:tc>
        <w:tc>
          <w:tcPr>
            <w:tcW w:w="1451" w:type="dxa"/>
            <w:vAlign w:val="center"/>
          </w:tcPr>
          <w:p w14:paraId="306AD63B"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10</w:t>
            </w:r>
          </w:p>
        </w:tc>
      </w:tr>
      <w:tr w:rsidR="00F94B48" w:rsidRPr="00F32542" w14:paraId="60C4C92B" w14:textId="77777777" w:rsidTr="009F5F68">
        <w:tblPrEx>
          <w:jc w:val="left"/>
        </w:tblPrEx>
        <w:trPr>
          <w:trHeight w:val="243"/>
        </w:trPr>
        <w:tc>
          <w:tcPr>
            <w:tcW w:w="603" w:type="dxa"/>
            <w:vAlign w:val="center"/>
          </w:tcPr>
          <w:p w14:paraId="38581F84" w14:textId="77777777" w:rsidR="00F94B48" w:rsidRPr="00F32542" w:rsidRDefault="00F94B48" w:rsidP="009B6ED0">
            <w:pPr>
              <w:widowControl w:val="0"/>
              <w:numPr>
                <w:ilvl w:val="0"/>
                <w:numId w:val="19"/>
              </w:numPr>
              <w:spacing w:after="0" w:line="240" w:lineRule="auto"/>
              <w:ind w:left="0" w:firstLine="0"/>
              <w:jc w:val="center"/>
              <w:rPr>
                <w:rFonts w:ascii="Arial" w:eastAsia="Calibri" w:hAnsi="Arial" w:cs="Arial"/>
                <w:sz w:val="24"/>
                <w:szCs w:val="24"/>
              </w:rPr>
            </w:pPr>
          </w:p>
        </w:tc>
        <w:tc>
          <w:tcPr>
            <w:tcW w:w="1204" w:type="dxa"/>
            <w:vAlign w:val="center"/>
          </w:tcPr>
          <w:p w14:paraId="27BDDEA6"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32</w:t>
            </w:r>
          </w:p>
        </w:tc>
        <w:tc>
          <w:tcPr>
            <w:tcW w:w="3008" w:type="dxa"/>
            <w:vAlign w:val="center"/>
          </w:tcPr>
          <w:p w14:paraId="3A135C06"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TECDMX-JEL-113/2021</w:t>
            </w:r>
          </w:p>
        </w:tc>
        <w:tc>
          <w:tcPr>
            <w:tcW w:w="1713" w:type="dxa"/>
            <w:vAlign w:val="center"/>
          </w:tcPr>
          <w:p w14:paraId="13BE243B"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22-julio-2021</w:t>
            </w:r>
          </w:p>
        </w:tc>
        <w:tc>
          <w:tcPr>
            <w:tcW w:w="1451" w:type="dxa"/>
            <w:vAlign w:val="center"/>
          </w:tcPr>
          <w:p w14:paraId="00809AF1" w14:textId="77777777" w:rsidR="00F94B48" w:rsidRPr="00F32542" w:rsidRDefault="00F94B48" w:rsidP="009F5F68">
            <w:pPr>
              <w:spacing w:after="0" w:line="240" w:lineRule="auto"/>
              <w:contextualSpacing/>
              <w:jc w:val="center"/>
              <w:rPr>
                <w:rFonts w:ascii="Arial" w:eastAsia="Calibri" w:hAnsi="Arial" w:cs="Arial"/>
                <w:sz w:val="24"/>
                <w:szCs w:val="24"/>
              </w:rPr>
            </w:pPr>
            <w:r w:rsidRPr="00F32542">
              <w:rPr>
                <w:rFonts w:ascii="Arial" w:eastAsia="Calibri" w:hAnsi="Arial" w:cs="Arial"/>
                <w:sz w:val="24"/>
                <w:szCs w:val="24"/>
              </w:rPr>
              <w:t>1</w:t>
            </w:r>
          </w:p>
        </w:tc>
      </w:tr>
    </w:tbl>
    <w:p w14:paraId="78666A9C" w14:textId="77777777" w:rsidR="00F94B48" w:rsidRPr="00F32542" w:rsidRDefault="00F94B48" w:rsidP="00F94B48">
      <w:pPr>
        <w:spacing w:after="0" w:line="360" w:lineRule="auto"/>
        <w:contextualSpacing/>
        <w:jc w:val="both"/>
        <w:rPr>
          <w:rFonts w:ascii="Arial" w:eastAsia="Calibri" w:hAnsi="Arial" w:cs="Arial"/>
          <w:spacing w:val="4"/>
          <w:sz w:val="28"/>
        </w:rPr>
      </w:pPr>
    </w:p>
    <w:p w14:paraId="0C14CEDF" w14:textId="77777777" w:rsidR="00F94B48" w:rsidRPr="00F32542" w:rsidRDefault="00F94B48" w:rsidP="00F94B48">
      <w:p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t xml:space="preserve">En las sentencias referidas, este </w:t>
      </w:r>
      <w:r w:rsidRPr="00F32542">
        <w:rPr>
          <w:rFonts w:ascii="Arial" w:eastAsia="Calibri" w:hAnsi="Arial" w:cs="Arial"/>
          <w:i/>
          <w:spacing w:val="4"/>
          <w:sz w:val="28"/>
        </w:rPr>
        <w:t>Tribunal Electoral</w:t>
      </w:r>
      <w:r w:rsidRPr="00F32542">
        <w:rPr>
          <w:rFonts w:ascii="Arial" w:eastAsia="Calibri" w:hAnsi="Arial" w:cs="Arial"/>
          <w:spacing w:val="4"/>
          <w:sz w:val="28"/>
        </w:rPr>
        <w:t xml:space="preserve"> ordenó que </w:t>
      </w:r>
      <w:r w:rsidRPr="00F32542">
        <w:rPr>
          <w:rFonts w:ascii="Arial" w:eastAsia="Calibri" w:hAnsi="Arial" w:cs="Arial"/>
          <w:sz w:val="28"/>
          <w:szCs w:val="28"/>
        </w:rPr>
        <w:t xml:space="preserve">la recomposición del cómputo distrital de la diputación local por el principio de mayoría relativa que resultó en cada </w:t>
      </w:r>
      <w:proofErr w:type="gramStart"/>
      <w:r w:rsidRPr="00F32542">
        <w:rPr>
          <w:rFonts w:ascii="Arial" w:eastAsia="Calibri" w:hAnsi="Arial" w:cs="Arial"/>
          <w:sz w:val="28"/>
          <w:szCs w:val="28"/>
        </w:rPr>
        <w:t>fallo,</w:t>
      </w:r>
      <w:proofErr w:type="gramEnd"/>
      <w:r w:rsidRPr="00F32542">
        <w:rPr>
          <w:rFonts w:ascii="Arial" w:eastAsia="Calibri" w:hAnsi="Arial" w:cs="Arial"/>
          <w:sz w:val="28"/>
          <w:szCs w:val="28"/>
        </w:rPr>
        <w:t xml:space="preserve"> se considerara para la resolución de los medios de impugnación relativos a la asignación de diputaciones por el principio de representación proporcional.</w:t>
      </w:r>
    </w:p>
    <w:p w14:paraId="1550FF94" w14:textId="77777777" w:rsidR="00F94B48" w:rsidRPr="00F32542" w:rsidRDefault="00F94B48" w:rsidP="00F94B48">
      <w:pPr>
        <w:spacing w:after="0" w:line="360" w:lineRule="auto"/>
        <w:contextualSpacing/>
        <w:jc w:val="both"/>
        <w:rPr>
          <w:rFonts w:ascii="Arial" w:eastAsia="Calibri" w:hAnsi="Arial" w:cs="Arial"/>
          <w:spacing w:val="4"/>
          <w:sz w:val="28"/>
        </w:rPr>
      </w:pPr>
    </w:p>
    <w:p w14:paraId="5F699DF1" w14:textId="77777777" w:rsidR="00F94B48" w:rsidRPr="00F32542" w:rsidRDefault="00F94B48" w:rsidP="00F94B48">
      <w:p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t>Por tanto, procede realizar la modificación al cómputo total de la elección de diputaciones de representación proporcional.</w:t>
      </w:r>
    </w:p>
    <w:p w14:paraId="71DD03D5" w14:textId="77777777" w:rsidR="00F94B48" w:rsidRPr="00F32542" w:rsidRDefault="00F94B48" w:rsidP="00F94B48">
      <w:pPr>
        <w:spacing w:after="0" w:line="360" w:lineRule="auto"/>
        <w:contextualSpacing/>
        <w:jc w:val="both"/>
        <w:rPr>
          <w:rFonts w:ascii="Arial" w:eastAsia="Calibri" w:hAnsi="Arial" w:cs="Arial"/>
          <w:spacing w:val="4"/>
          <w:sz w:val="28"/>
        </w:rPr>
      </w:pPr>
    </w:p>
    <w:p w14:paraId="46E9080D" w14:textId="77777777" w:rsidR="00F94B48" w:rsidRPr="00F32542" w:rsidRDefault="00F94B48" w:rsidP="00F94B48">
      <w:p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t xml:space="preserve">Para tal efecto, se tomará en cuenta el cómputo total de la citada elección cuyos resultados fueron señalados por el </w:t>
      </w:r>
      <w:r w:rsidRPr="00F32542">
        <w:rPr>
          <w:rFonts w:ascii="Arial" w:eastAsia="Calibri" w:hAnsi="Arial" w:cs="Arial"/>
          <w:i/>
          <w:spacing w:val="4"/>
          <w:sz w:val="28"/>
        </w:rPr>
        <w:t>Consejo General</w:t>
      </w:r>
      <w:r w:rsidRPr="00F32542">
        <w:rPr>
          <w:rFonts w:ascii="Arial" w:eastAsia="Calibri" w:hAnsi="Arial" w:cs="Arial"/>
          <w:spacing w:val="4"/>
          <w:sz w:val="28"/>
        </w:rPr>
        <w:t xml:space="preserve"> en el acuerdo impugnado (IECM/ACU-CG-324/2021). </w:t>
      </w:r>
    </w:p>
    <w:p w14:paraId="74E6B65B" w14:textId="77777777" w:rsidR="00F94B48" w:rsidRPr="00F32542" w:rsidRDefault="00F94B48" w:rsidP="00F94B48">
      <w:pPr>
        <w:spacing w:after="0" w:line="360" w:lineRule="auto"/>
        <w:contextualSpacing/>
        <w:jc w:val="both"/>
        <w:rPr>
          <w:rFonts w:ascii="Arial" w:eastAsia="Calibri" w:hAnsi="Arial" w:cs="Arial"/>
          <w:spacing w:val="4"/>
          <w:sz w:val="28"/>
        </w:rPr>
      </w:pPr>
    </w:p>
    <w:p w14:paraId="51EEC6E1" w14:textId="77777777" w:rsidR="00C2724F" w:rsidRPr="00F32542" w:rsidRDefault="00F94B48" w:rsidP="00F94B48">
      <w:p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t xml:space="preserve">Así, en primer lugar, a dicho cómputo se le descontará la votación de los distritos electorales </w:t>
      </w:r>
      <w:r w:rsidRPr="00F32542">
        <w:rPr>
          <w:rFonts w:ascii="Arial" w:eastAsia="Calibri" w:hAnsi="Arial" w:cs="Arial"/>
          <w:b/>
          <w:spacing w:val="4"/>
          <w:sz w:val="28"/>
        </w:rPr>
        <w:t xml:space="preserve">1, 3, 4, 5, 6, 7, 9, 11, 18, 21, 22, 25, 28 y 32 </w:t>
      </w:r>
      <w:r w:rsidRPr="00F32542">
        <w:rPr>
          <w:rFonts w:ascii="Arial" w:eastAsia="Calibri" w:hAnsi="Arial" w:cs="Arial"/>
          <w:spacing w:val="4"/>
          <w:sz w:val="28"/>
        </w:rPr>
        <w:t xml:space="preserve">cuyos resultados fueron modificados en el apartado correspondiente de las sentencias mencionadas, como </w:t>
      </w:r>
      <w:r w:rsidRPr="00F32542">
        <w:rPr>
          <w:rFonts w:ascii="Arial" w:eastAsia="Calibri" w:hAnsi="Arial" w:cs="Arial"/>
          <w:spacing w:val="4"/>
          <w:sz w:val="28"/>
        </w:rPr>
        <w:lastRenderedPageBreak/>
        <w:t xml:space="preserve">consecuencia de la nulidad de casillas que en cada caso declaró este </w:t>
      </w:r>
      <w:r w:rsidRPr="00F32542">
        <w:rPr>
          <w:rFonts w:ascii="Arial" w:eastAsia="Calibri" w:hAnsi="Arial" w:cs="Arial"/>
          <w:i/>
          <w:spacing w:val="4"/>
          <w:sz w:val="28"/>
        </w:rPr>
        <w:t>Tribunal Electoral</w:t>
      </w:r>
      <w:r w:rsidRPr="00F32542">
        <w:rPr>
          <w:rFonts w:ascii="Arial" w:eastAsia="Calibri" w:hAnsi="Arial" w:cs="Arial"/>
          <w:spacing w:val="4"/>
          <w:sz w:val="28"/>
        </w:rPr>
        <w:t xml:space="preserve">.  </w:t>
      </w:r>
    </w:p>
    <w:p w14:paraId="50508F76" w14:textId="77777777" w:rsidR="00C2724F" w:rsidRPr="00F32542" w:rsidRDefault="00C2724F" w:rsidP="00F94B48">
      <w:pPr>
        <w:spacing w:after="0" w:line="360" w:lineRule="auto"/>
        <w:contextualSpacing/>
        <w:jc w:val="both"/>
        <w:rPr>
          <w:rFonts w:ascii="Arial" w:eastAsia="Calibri" w:hAnsi="Arial" w:cs="Arial"/>
          <w:spacing w:val="4"/>
          <w:sz w:val="28"/>
        </w:rPr>
      </w:pPr>
    </w:p>
    <w:p w14:paraId="3D9C8705" w14:textId="77777777" w:rsidR="00F94B48" w:rsidRPr="00F32542" w:rsidRDefault="00C2724F" w:rsidP="00F94B48">
      <w:p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t xml:space="preserve">Ello, en términos de la información </w:t>
      </w:r>
      <w:r w:rsidR="00137439" w:rsidRPr="00F32542">
        <w:rPr>
          <w:rFonts w:ascii="Arial" w:eastAsia="Calibri" w:hAnsi="Arial" w:cs="Arial"/>
          <w:spacing w:val="4"/>
          <w:sz w:val="28"/>
        </w:rPr>
        <w:t>certificada por la Secretaría General de este Tribunal Electoral, en atención al requerimiento formulado por la Magistratura Instructora.</w:t>
      </w:r>
    </w:p>
    <w:p w14:paraId="38F4ACE6" w14:textId="77777777" w:rsidR="00F94B48" w:rsidRPr="00F32542" w:rsidRDefault="00F94B48" w:rsidP="00F94B48">
      <w:pPr>
        <w:spacing w:after="0" w:line="360" w:lineRule="auto"/>
        <w:contextualSpacing/>
        <w:jc w:val="both"/>
        <w:rPr>
          <w:rFonts w:ascii="Arial" w:eastAsia="Calibri" w:hAnsi="Arial" w:cs="Arial"/>
          <w:spacing w:val="4"/>
          <w:sz w:val="28"/>
        </w:rPr>
      </w:pPr>
    </w:p>
    <w:p w14:paraId="1D99C47B" w14:textId="77777777" w:rsidR="00F94B48" w:rsidRPr="00F32542" w:rsidRDefault="00F94B48" w:rsidP="00F94B48">
      <w:p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t xml:space="preserve">Posteriormente, a la cantidad que resulte de la resta mencionada, se adicionará el cómputo distrital recompuesto de los distritos electorales </w:t>
      </w:r>
      <w:r w:rsidRPr="00F32542">
        <w:rPr>
          <w:rFonts w:ascii="Arial" w:eastAsia="Calibri" w:hAnsi="Arial" w:cs="Arial"/>
          <w:b/>
          <w:spacing w:val="4"/>
          <w:sz w:val="28"/>
        </w:rPr>
        <w:t xml:space="preserve">1, 3, 4, 5, 6, 7, 9, 11, 18, 21, 22, 25, 28 y 32, </w:t>
      </w:r>
      <w:r w:rsidRPr="00F32542">
        <w:rPr>
          <w:rFonts w:ascii="Arial" w:eastAsia="Calibri" w:hAnsi="Arial" w:cs="Arial"/>
          <w:spacing w:val="4"/>
          <w:sz w:val="28"/>
        </w:rPr>
        <w:t xml:space="preserve">en los términos indicados en cada </w:t>
      </w:r>
      <w:proofErr w:type="gramStart"/>
      <w:r w:rsidRPr="00F32542">
        <w:rPr>
          <w:rFonts w:ascii="Arial" w:eastAsia="Calibri" w:hAnsi="Arial" w:cs="Arial"/>
          <w:spacing w:val="4"/>
          <w:sz w:val="28"/>
        </w:rPr>
        <w:t>una</w:t>
      </w:r>
      <w:proofErr w:type="gramEnd"/>
      <w:r w:rsidRPr="00F32542">
        <w:rPr>
          <w:rFonts w:ascii="Arial" w:eastAsia="Calibri" w:hAnsi="Arial" w:cs="Arial"/>
          <w:spacing w:val="4"/>
          <w:sz w:val="28"/>
        </w:rPr>
        <w:t xml:space="preserve"> de los fallos de este Órgano Colegiado, que quedaron precisados en el cuadro precedente. </w:t>
      </w:r>
    </w:p>
    <w:p w14:paraId="2F135CC1" w14:textId="77777777" w:rsidR="00F94B48" w:rsidRPr="00F32542" w:rsidRDefault="00F94B48" w:rsidP="00F94B48">
      <w:pPr>
        <w:spacing w:after="0" w:line="360" w:lineRule="auto"/>
        <w:contextualSpacing/>
        <w:jc w:val="both"/>
        <w:rPr>
          <w:rFonts w:ascii="Arial" w:eastAsia="Calibri" w:hAnsi="Arial" w:cs="Arial"/>
          <w:spacing w:val="4"/>
          <w:sz w:val="28"/>
        </w:rPr>
      </w:pPr>
    </w:p>
    <w:p w14:paraId="14DA2930" w14:textId="77777777" w:rsidR="00F94B48" w:rsidRPr="00F32542" w:rsidRDefault="00F94B48" w:rsidP="00F94B48">
      <w:p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t>El resultado de esa sumatoria será entonces el cómputo total recompuesto de la elección de diputaciones por el principio de representación proporcional.</w:t>
      </w:r>
    </w:p>
    <w:p w14:paraId="106ADE72" w14:textId="77777777" w:rsidR="00F94B48" w:rsidRPr="00F32542" w:rsidRDefault="00F94B48" w:rsidP="00F94B48">
      <w:pPr>
        <w:spacing w:after="0" w:line="360" w:lineRule="auto"/>
        <w:contextualSpacing/>
        <w:jc w:val="both"/>
        <w:rPr>
          <w:rFonts w:ascii="Arial" w:eastAsia="Calibri" w:hAnsi="Arial" w:cs="Arial"/>
          <w:spacing w:val="4"/>
          <w:sz w:val="28"/>
        </w:rPr>
      </w:pPr>
    </w:p>
    <w:p w14:paraId="6EE4843E" w14:textId="77777777" w:rsidR="00F94B48" w:rsidRPr="00F32542" w:rsidRDefault="00F94B48" w:rsidP="00F94B48">
      <w:p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t xml:space="preserve">Las operaciones mencionadas se contienen en los cuadros siguientes: </w:t>
      </w:r>
    </w:p>
    <w:p w14:paraId="4FB22DA4" w14:textId="77777777" w:rsidR="00F94B48" w:rsidRPr="00F32542" w:rsidRDefault="00F94B48" w:rsidP="00F94B48">
      <w:pPr>
        <w:spacing w:after="0" w:line="360" w:lineRule="auto"/>
        <w:contextualSpacing/>
        <w:jc w:val="both"/>
        <w:rPr>
          <w:rFonts w:ascii="Arial" w:eastAsia="Calibri" w:hAnsi="Arial" w:cs="Arial"/>
          <w:spacing w:val="4"/>
          <w:sz w:val="28"/>
        </w:rPr>
      </w:pPr>
    </w:p>
    <w:p w14:paraId="018DD4CF" w14:textId="77777777" w:rsidR="00F94B48" w:rsidRPr="00F32542" w:rsidRDefault="00F94B48" w:rsidP="009B6ED0">
      <w:pPr>
        <w:numPr>
          <w:ilvl w:val="0"/>
          <w:numId w:val="20"/>
        </w:num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t>Cuadro de resta de votación de los distritos en los que se anularon casillas</w:t>
      </w:r>
    </w:p>
    <w:p w14:paraId="3929AFB7" w14:textId="77777777" w:rsidR="00F94B48" w:rsidRPr="00F32542" w:rsidRDefault="00F94B48" w:rsidP="009B6ED0">
      <w:pPr>
        <w:numPr>
          <w:ilvl w:val="0"/>
          <w:numId w:val="20"/>
        </w:num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t>Cuadro de suma de votación recompuesta en términos de las sentencias de este Tribunal Electoral con motivo de la nulidad de casillas.</w:t>
      </w:r>
    </w:p>
    <w:p w14:paraId="0F46C0E6" w14:textId="77777777" w:rsidR="00F94B48" w:rsidRPr="00F32542" w:rsidRDefault="00F94B48" w:rsidP="009B6ED0">
      <w:pPr>
        <w:numPr>
          <w:ilvl w:val="0"/>
          <w:numId w:val="20"/>
        </w:num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t>Cómputo recompuesto de la elección de diputaciones de representación proporcional.</w:t>
      </w:r>
    </w:p>
    <w:p w14:paraId="2862E616" w14:textId="77777777" w:rsidR="00F94B48" w:rsidRPr="00F32542" w:rsidRDefault="00F94B48" w:rsidP="00F94B48">
      <w:pPr>
        <w:spacing w:after="0" w:line="360" w:lineRule="auto"/>
        <w:contextualSpacing/>
        <w:jc w:val="both"/>
        <w:rPr>
          <w:rFonts w:ascii="Arial" w:eastAsia="Calibri" w:hAnsi="Arial" w:cs="Arial"/>
          <w:spacing w:val="4"/>
          <w:sz w:val="28"/>
        </w:rPr>
      </w:pPr>
    </w:p>
    <w:p w14:paraId="7521AC1C" w14:textId="77777777" w:rsidR="00F94B48" w:rsidRPr="00F32542" w:rsidRDefault="00F94B48" w:rsidP="00F94B48">
      <w:pPr>
        <w:spacing w:after="0" w:line="360" w:lineRule="auto"/>
        <w:contextualSpacing/>
        <w:jc w:val="both"/>
        <w:rPr>
          <w:rFonts w:ascii="Arial" w:eastAsia="Calibri" w:hAnsi="Arial" w:cs="Arial"/>
          <w:spacing w:val="4"/>
          <w:sz w:val="28"/>
        </w:rPr>
      </w:pPr>
    </w:p>
    <w:p w14:paraId="27D4B160" w14:textId="77777777" w:rsidR="00F57B54" w:rsidRPr="00F32542" w:rsidRDefault="00F57B54" w:rsidP="00F57B54">
      <w:pPr>
        <w:spacing w:after="0" w:line="360" w:lineRule="auto"/>
        <w:contextualSpacing/>
        <w:jc w:val="both"/>
        <w:rPr>
          <w:rFonts w:ascii="Arial" w:eastAsia="Calibri" w:hAnsi="Arial" w:cs="Arial"/>
          <w:color w:val="000000" w:themeColor="text1"/>
          <w:spacing w:val="4"/>
          <w:sz w:val="28"/>
        </w:rPr>
        <w:sectPr w:rsidR="00F57B54" w:rsidRPr="00F32542" w:rsidSect="00F57B54">
          <w:headerReference w:type="even" r:id="rId12"/>
          <w:headerReference w:type="default" r:id="rId13"/>
          <w:footerReference w:type="even" r:id="rId14"/>
          <w:footerReference w:type="default" r:id="rId15"/>
          <w:headerReference w:type="first" r:id="rId16"/>
          <w:footerReference w:type="first" r:id="rId17"/>
          <w:type w:val="continuous"/>
          <w:pgSz w:w="12242" w:h="18722" w:code="124"/>
          <w:pgMar w:top="2552" w:right="1134" w:bottom="1985" w:left="2552" w:header="1366" w:footer="709" w:gutter="0"/>
          <w:cols w:space="708"/>
          <w:titlePg/>
          <w:docGrid w:linePitch="360"/>
        </w:sectPr>
      </w:pPr>
    </w:p>
    <w:p w14:paraId="25A56573" w14:textId="77777777" w:rsidR="00F57B54" w:rsidRPr="00F32542" w:rsidRDefault="00F57B54" w:rsidP="00F57B54">
      <w:pPr>
        <w:spacing w:after="0" w:line="360" w:lineRule="auto"/>
        <w:contextualSpacing/>
        <w:jc w:val="both"/>
        <w:rPr>
          <w:rFonts w:ascii="Arial" w:eastAsia="Calibri" w:hAnsi="Arial" w:cs="Arial"/>
          <w:color w:val="000000" w:themeColor="text1"/>
          <w:spacing w:val="4"/>
          <w:sz w:val="28"/>
        </w:rPr>
      </w:pPr>
    </w:p>
    <w:tbl>
      <w:tblPr>
        <w:tblStyle w:val="Tablaconcuadrcula25"/>
        <w:tblW w:w="0" w:type="auto"/>
        <w:jc w:val="center"/>
        <w:tblLook w:val="04A0" w:firstRow="1" w:lastRow="0" w:firstColumn="1" w:lastColumn="0" w:noHBand="0" w:noVBand="1"/>
      </w:tblPr>
      <w:tblGrid>
        <w:gridCol w:w="1009"/>
        <w:gridCol w:w="956"/>
        <w:gridCol w:w="791"/>
        <w:gridCol w:w="876"/>
        <w:gridCol w:w="750"/>
        <w:gridCol w:w="795"/>
        <w:gridCol w:w="857"/>
        <w:gridCol w:w="857"/>
        <w:gridCol w:w="762"/>
        <w:gridCol w:w="762"/>
        <w:gridCol w:w="795"/>
        <w:gridCol w:w="772"/>
        <w:gridCol w:w="832"/>
        <w:gridCol w:w="762"/>
        <w:gridCol w:w="760"/>
        <w:gridCol w:w="792"/>
        <w:gridCol w:w="1047"/>
      </w:tblGrid>
      <w:tr w:rsidR="00F57B54" w:rsidRPr="00F32542" w14:paraId="78CA58B4" w14:textId="77777777" w:rsidTr="00B65D24">
        <w:trPr>
          <w:jc w:val="center"/>
        </w:trPr>
        <w:tc>
          <w:tcPr>
            <w:tcW w:w="1009" w:type="dxa"/>
            <w:vMerge w:val="restart"/>
            <w:shd w:val="clear" w:color="auto" w:fill="AEAAAA"/>
            <w:vAlign w:val="center"/>
          </w:tcPr>
          <w:p w14:paraId="5531C1BF"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6"/>
                <w:szCs w:val="16"/>
              </w:rPr>
            </w:pPr>
            <w:r w:rsidRPr="00F32542">
              <w:rPr>
                <w:rFonts w:ascii="Arial" w:eastAsia="Calibri" w:hAnsi="Arial" w:cs="Arial"/>
                <w:b/>
                <w:color w:val="000000" w:themeColor="text1"/>
                <w:spacing w:val="4"/>
                <w:sz w:val="14"/>
                <w:szCs w:val="14"/>
              </w:rPr>
              <w:t>Opción política</w:t>
            </w:r>
          </w:p>
        </w:tc>
        <w:tc>
          <w:tcPr>
            <w:tcW w:w="956" w:type="dxa"/>
            <w:shd w:val="clear" w:color="auto" w:fill="AEAAAA"/>
            <w:vAlign w:val="center"/>
          </w:tcPr>
          <w:p w14:paraId="70E29579"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6"/>
                <w:szCs w:val="16"/>
              </w:rPr>
            </w:pPr>
            <w:r w:rsidRPr="00F32542">
              <w:rPr>
                <w:rFonts w:ascii="Arial" w:eastAsia="Calibri" w:hAnsi="Arial" w:cs="Arial"/>
                <w:b/>
                <w:color w:val="000000" w:themeColor="text1"/>
                <w:spacing w:val="4"/>
                <w:sz w:val="16"/>
                <w:szCs w:val="16"/>
              </w:rPr>
              <w:t>(A)</w:t>
            </w:r>
          </w:p>
        </w:tc>
        <w:tc>
          <w:tcPr>
            <w:tcW w:w="11163" w:type="dxa"/>
            <w:gridSpan w:val="14"/>
            <w:shd w:val="clear" w:color="auto" w:fill="AEAAAA"/>
            <w:vAlign w:val="center"/>
          </w:tcPr>
          <w:p w14:paraId="3F8D4209"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6"/>
                <w:szCs w:val="16"/>
              </w:rPr>
            </w:pPr>
            <w:r w:rsidRPr="00F32542">
              <w:rPr>
                <w:rFonts w:ascii="Arial" w:eastAsia="Calibri" w:hAnsi="Arial" w:cs="Arial"/>
                <w:b/>
                <w:color w:val="000000" w:themeColor="text1"/>
                <w:spacing w:val="4"/>
                <w:sz w:val="16"/>
                <w:szCs w:val="16"/>
              </w:rPr>
              <w:t>(B)</w:t>
            </w:r>
          </w:p>
        </w:tc>
        <w:tc>
          <w:tcPr>
            <w:tcW w:w="1047" w:type="dxa"/>
            <w:shd w:val="clear" w:color="auto" w:fill="AEAAAA"/>
            <w:vAlign w:val="center"/>
          </w:tcPr>
          <w:p w14:paraId="292B2F82" w14:textId="77777777" w:rsidR="00F57B54" w:rsidRPr="00F32542" w:rsidRDefault="00F57B54" w:rsidP="00F57B54">
            <w:pPr>
              <w:spacing w:after="0" w:line="240" w:lineRule="auto"/>
              <w:jc w:val="center"/>
              <w:rPr>
                <w:rFonts w:ascii="Arial" w:eastAsia="Calibri" w:hAnsi="Arial" w:cs="Arial"/>
                <w:b/>
                <w:color w:val="000000" w:themeColor="text1"/>
                <w:spacing w:val="4"/>
                <w:sz w:val="16"/>
                <w:szCs w:val="16"/>
              </w:rPr>
            </w:pPr>
            <w:r w:rsidRPr="00F32542">
              <w:rPr>
                <w:rFonts w:ascii="Arial" w:eastAsia="Calibri" w:hAnsi="Arial" w:cs="Arial"/>
                <w:b/>
                <w:color w:val="000000" w:themeColor="text1"/>
                <w:spacing w:val="4"/>
                <w:sz w:val="16"/>
                <w:szCs w:val="16"/>
              </w:rPr>
              <w:t>(A-B)</w:t>
            </w:r>
          </w:p>
        </w:tc>
      </w:tr>
      <w:tr w:rsidR="00F57B54" w:rsidRPr="00F32542" w14:paraId="145D26AA" w14:textId="77777777" w:rsidTr="00B65D24">
        <w:trPr>
          <w:jc w:val="center"/>
        </w:trPr>
        <w:tc>
          <w:tcPr>
            <w:tcW w:w="1009" w:type="dxa"/>
            <w:vMerge/>
            <w:shd w:val="clear" w:color="auto" w:fill="AEAAAA"/>
            <w:vAlign w:val="center"/>
          </w:tcPr>
          <w:p w14:paraId="05B9E05D"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tc>
        <w:tc>
          <w:tcPr>
            <w:tcW w:w="956" w:type="dxa"/>
            <w:shd w:val="clear" w:color="auto" w:fill="AEAAAA"/>
            <w:vAlign w:val="center"/>
          </w:tcPr>
          <w:p w14:paraId="46E103B6"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Cómputo total de la elección DRP</w:t>
            </w:r>
          </w:p>
        </w:tc>
        <w:tc>
          <w:tcPr>
            <w:tcW w:w="791" w:type="dxa"/>
            <w:shd w:val="clear" w:color="auto" w:fill="AEAAAA"/>
            <w:vAlign w:val="center"/>
          </w:tcPr>
          <w:p w14:paraId="4158323C"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6F8C0ED2"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6B21851F"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Distrito</w:t>
            </w:r>
          </w:p>
          <w:p w14:paraId="7FFCF9C2"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1</w:t>
            </w:r>
          </w:p>
        </w:tc>
        <w:tc>
          <w:tcPr>
            <w:tcW w:w="876" w:type="dxa"/>
            <w:shd w:val="clear" w:color="auto" w:fill="AEAAAA"/>
            <w:vAlign w:val="center"/>
          </w:tcPr>
          <w:p w14:paraId="27067F4A"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3F4DFE71"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2E27169C"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Distrito</w:t>
            </w:r>
          </w:p>
          <w:p w14:paraId="2C9B252E"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3</w:t>
            </w:r>
          </w:p>
        </w:tc>
        <w:tc>
          <w:tcPr>
            <w:tcW w:w="750" w:type="dxa"/>
            <w:shd w:val="clear" w:color="auto" w:fill="AEAAAA"/>
            <w:vAlign w:val="center"/>
          </w:tcPr>
          <w:p w14:paraId="56EE2CA0"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0A32EAF1"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5E6BD9D8" w14:textId="77777777" w:rsidR="00F57B54" w:rsidRPr="00F32542" w:rsidRDefault="00F57B54" w:rsidP="00F57B54">
            <w:pPr>
              <w:spacing w:after="0" w:line="240" w:lineRule="auto"/>
              <w:contextualSpacing/>
              <w:jc w:val="center"/>
              <w:rPr>
                <w:rFonts w:ascii="Arial" w:eastAsia="Calibri" w:hAnsi="Arial" w:cs="Arial"/>
                <w:b/>
                <w:color w:val="000000" w:themeColor="text1"/>
                <w:sz w:val="14"/>
                <w:szCs w:val="14"/>
              </w:rPr>
            </w:pPr>
            <w:r w:rsidRPr="00F32542">
              <w:rPr>
                <w:rFonts w:ascii="Arial" w:eastAsia="Calibri" w:hAnsi="Arial" w:cs="Arial"/>
                <w:b/>
                <w:color w:val="000000" w:themeColor="text1"/>
                <w:spacing w:val="4"/>
                <w:sz w:val="14"/>
                <w:szCs w:val="14"/>
              </w:rPr>
              <w:t>Distrito 4</w:t>
            </w:r>
          </w:p>
        </w:tc>
        <w:tc>
          <w:tcPr>
            <w:tcW w:w="795" w:type="dxa"/>
            <w:shd w:val="clear" w:color="auto" w:fill="AEAAAA"/>
            <w:vAlign w:val="center"/>
          </w:tcPr>
          <w:p w14:paraId="6A911972"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5B8A0C6B"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5A0B5530" w14:textId="77777777" w:rsidR="00F57B54" w:rsidRPr="00F32542" w:rsidRDefault="00F57B54" w:rsidP="00F57B54">
            <w:pPr>
              <w:spacing w:after="0" w:line="240" w:lineRule="auto"/>
              <w:jc w:val="center"/>
              <w:rPr>
                <w:rFonts w:ascii="Arial" w:eastAsia="Calibri" w:hAnsi="Arial" w:cs="Arial"/>
                <w:b/>
                <w:color w:val="000000" w:themeColor="text1"/>
                <w:sz w:val="14"/>
                <w:szCs w:val="14"/>
              </w:rPr>
            </w:pPr>
            <w:r w:rsidRPr="00F32542">
              <w:rPr>
                <w:rFonts w:ascii="Arial" w:eastAsia="Calibri" w:hAnsi="Arial" w:cs="Arial"/>
                <w:b/>
                <w:color w:val="000000" w:themeColor="text1"/>
                <w:spacing w:val="4"/>
                <w:sz w:val="14"/>
                <w:szCs w:val="14"/>
              </w:rPr>
              <w:t>Distrito 5</w:t>
            </w:r>
          </w:p>
        </w:tc>
        <w:tc>
          <w:tcPr>
            <w:tcW w:w="857" w:type="dxa"/>
            <w:shd w:val="clear" w:color="auto" w:fill="AEAAAA"/>
            <w:vAlign w:val="center"/>
          </w:tcPr>
          <w:p w14:paraId="7FCFF6FD"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68433EF8"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76D3A20F" w14:textId="77777777" w:rsidR="00F57B54" w:rsidRPr="00F32542" w:rsidRDefault="00F57B54" w:rsidP="00F57B54">
            <w:pPr>
              <w:spacing w:after="0" w:line="240" w:lineRule="auto"/>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Distrito</w:t>
            </w:r>
          </w:p>
          <w:p w14:paraId="2FFCFDDB" w14:textId="77777777" w:rsidR="00F57B54" w:rsidRPr="00F32542" w:rsidRDefault="00F57B54" w:rsidP="00F57B54">
            <w:pPr>
              <w:spacing w:after="0" w:line="240" w:lineRule="auto"/>
              <w:jc w:val="center"/>
              <w:rPr>
                <w:rFonts w:ascii="Arial" w:eastAsia="Calibri" w:hAnsi="Arial" w:cs="Arial"/>
                <w:b/>
                <w:color w:val="000000" w:themeColor="text1"/>
                <w:sz w:val="14"/>
                <w:szCs w:val="14"/>
              </w:rPr>
            </w:pPr>
            <w:r w:rsidRPr="00F32542">
              <w:rPr>
                <w:rFonts w:ascii="Arial" w:eastAsia="Calibri" w:hAnsi="Arial" w:cs="Arial"/>
                <w:b/>
                <w:color w:val="000000" w:themeColor="text1"/>
                <w:spacing w:val="4"/>
                <w:sz w:val="14"/>
                <w:szCs w:val="14"/>
              </w:rPr>
              <w:t xml:space="preserve"> 6</w:t>
            </w:r>
          </w:p>
        </w:tc>
        <w:tc>
          <w:tcPr>
            <w:tcW w:w="857" w:type="dxa"/>
            <w:shd w:val="clear" w:color="auto" w:fill="AEAAAA"/>
            <w:vAlign w:val="center"/>
          </w:tcPr>
          <w:p w14:paraId="17A37D53"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760B868E"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3335F8A3" w14:textId="77777777" w:rsidR="00F57B54" w:rsidRPr="00F32542" w:rsidRDefault="00F57B54" w:rsidP="00F57B54">
            <w:pPr>
              <w:spacing w:after="0" w:line="240" w:lineRule="auto"/>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Distrito</w:t>
            </w:r>
          </w:p>
          <w:p w14:paraId="38905337" w14:textId="77777777" w:rsidR="00F57B54" w:rsidRPr="00F32542" w:rsidRDefault="00F57B54" w:rsidP="00F57B54">
            <w:pPr>
              <w:spacing w:after="0" w:line="240" w:lineRule="auto"/>
              <w:jc w:val="center"/>
              <w:rPr>
                <w:rFonts w:ascii="Arial" w:eastAsia="Calibri" w:hAnsi="Arial" w:cs="Arial"/>
                <w:b/>
                <w:color w:val="000000" w:themeColor="text1"/>
                <w:sz w:val="14"/>
                <w:szCs w:val="14"/>
              </w:rPr>
            </w:pPr>
            <w:r w:rsidRPr="00F32542">
              <w:rPr>
                <w:rFonts w:ascii="Arial" w:eastAsia="Calibri" w:hAnsi="Arial" w:cs="Arial"/>
                <w:b/>
                <w:color w:val="000000" w:themeColor="text1"/>
                <w:spacing w:val="4"/>
                <w:sz w:val="14"/>
                <w:szCs w:val="14"/>
              </w:rPr>
              <w:t xml:space="preserve"> 7</w:t>
            </w:r>
          </w:p>
        </w:tc>
        <w:tc>
          <w:tcPr>
            <w:tcW w:w="762" w:type="dxa"/>
            <w:shd w:val="clear" w:color="auto" w:fill="AEAAAA"/>
            <w:vAlign w:val="center"/>
          </w:tcPr>
          <w:p w14:paraId="13D54232"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77592A23"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32B286D6" w14:textId="77777777" w:rsidR="00F57B54" w:rsidRPr="00F32542" w:rsidRDefault="00F57B54" w:rsidP="00F57B54">
            <w:pPr>
              <w:spacing w:after="0" w:line="240" w:lineRule="auto"/>
              <w:jc w:val="center"/>
              <w:rPr>
                <w:rFonts w:ascii="Arial" w:eastAsia="Calibri" w:hAnsi="Arial" w:cs="Arial"/>
                <w:b/>
                <w:color w:val="000000" w:themeColor="text1"/>
                <w:sz w:val="14"/>
                <w:szCs w:val="14"/>
              </w:rPr>
            </w:pPr>
            <w:r w:rsidRPr="00F32542">
              <w:rPr>
                <w:rFonts w:ascii="Arial" w:eastAsia="Calibri" w:hAnsi="Arial" w:cs="Arial"/>
                <w:b/>
                <w:color w:val="000000" w:themeColor="text1"/>
                <w:spacing w:val="4"/>
                <w:sz w:val="14"/>
                <w:szCs w:val="14"/>
              </w:rPr>
              <w:t>Distrito 9</w:t>
            </w:r>
          </w:p>
        </w:tc>
        <w:tc>
          <w:tcPr>
            <w:tcW w:w="762" w:type="dxa"/>
            <w:shd w:val="clear" w:color="auto" w:fill="AEAAAA"/>
            <w:vAlign w:val="center"/>
          </w:tcPr>
          <w:p w14:paraId="05EB9EFB"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3B3EB17D"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6F2BEBFD" w14:textId="77777777" w:rsidR="00F57B54" w:rsidRPr="00F32542" w:rsidRDefault="00F57B54" w:rsidP="00F57B54">
            <w:pPr>
              <w:spacing w:after="0" w:line="240" w:lineRule="auto"/>
              <w:jc w:val="center"/>
              <w:rPr>
                <w:rFonts w:ascii="Arial" w:eastAsia="Calibri" w:hAnsi="Arial" w:cs="Arial"/>
                <w:b/>
                <w:color w:val="000000" w:themeColor="text1"/>
                <w:sz w:val="14"/>
                <w:szCs w:val="14"/>
              </w:rPr>
            </w:pPr>
            <w:r w:rsidRPr="00F32542">
              <w:rPr>
                <w:rFonts w:ascii="Arial" w:eastAsia="Calibri" w:hAnsi="Arial" w:cs="Arial"/>
                <w:b/>
                <w:color w:val="000000" w:themeColor="text1"/>
                <w:spacing w:val="4"/>
                <w:sz w:val="14"/>
                <w:szCs w:val="14"/>
              </w:rPr>
              <w:t>Distrito 11</w:t>
            </w:r>
          </w:p>
        </w:tc>
        <w:tc>
          <w:tcPr>
            <w:tcW w:w="795" w:type="dxa"/>
            <w:shd w:val="clear" w:color="auto" w:fill="AEAAAA"/>
            <w:vAlign w:val="center"/>
          </w:tcPr>
          <w:p w14:paraId="0309321D"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12D436EA"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724B6136" w14:textId="77777777" w:rsidR="00F57B54" w:rsidRPr="00F32542" w:rsidRDefault="00F57B54" w:rsidP="00F57B54">
            <w:pPr>
              <w:spacing w:after="0" w:line="240" w:lineRule="auto"/>
              <w:jc w:val="center"/>
              <w:rPr>
                <w:rFonts w:ascii="Arial" w:eastAsia="Calibri" w:hAnsi="Arial" w:cs="Arial"/>
                <w:b/>
                <w:color w:val="000000" w:themeColor="text1"/>
                <w:sz w:val="14"/>
                <w:szCs w:val="14"/>
              </w:rPr>
            </w:pPr>
            <w:r w:rsidRPr="00F32542">
              <w:rPr>
                <w:rFonts w:ascii="Arial" w:eastAsia="Calibri" w:hAnsi="Arial" w:cs="Arial"/>
                <w:b/>
                <w:color w:val="000000" w:themeColor="text1"/>
                <w:spacing w:val="4"/>
                <w:sz w:val="14"/>
                <w:szCs w:val="14"/>
              </w:rPr>
              <w:t>Distrito 18</w:t>
            </w:r>
          </w:p>
        </w:tc>
        <w:tc>
          <w:tcPr>
            <w:tcW w:w="772" w:type="dxa"/>
            <w:shd w:val="clear" w:color="auto" w:fill="AEAAAA"/>
            <w:vAlign w:val="center"/>
          </w:tcPr>
          <w:p w14:paraId="50DD39EB"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5203DC63"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792AB101" w14:textId="77777777" w:rsidR="00F57B54" w:rsidRPr="00F32542" w:rsidRDefault="00F57B54" w:rsidP="00F57B54">
            <w:pPr>
              <w:spacing w:after="0" w:line="240" w:lineRule="auto"/>
              <w:jc w:val="center"/>
              <w:rPr>
                <w:rFonts w:ascii="Arial" w:eastAsia="Calibri" w:hAnsi="Arial" w:cs="Arial"/>
                <w:b/>
                <w:color w:val="000000" w:themeColor="text1"/>
                <w:sz w:val="14"/>
                <w:szCs w:val="14"/>
              </w:rPr>
            </w:pPr>
            <w:r w:rsidRPr="00F32542">
              <w:rPr>
                <w:rFonts w:ascii="Arial" w:eastAsia="Calibri" w:hAnsi="Arial" w:cs="Arial"/>
                <w:b/>
                <w:color w:val="000000" w:themeColor="text1"/>
                <w:spacing w:val="4"/>
                <w:sz w:val="14"/>
                <w:szCs w:val="14"/>
              </w:rPr>
              <w:t>Distrito 21</w:t>
            </w:r>
          </w:p>
        </w:tc>
        <w:tc>
          <w:tcPr>
            <w:tcW w:w="832" w:type="dxa"/>
            <w:shd w:val="clear" w:color="auto" w:fill="AEAAAA"/>
            <w:vAlign w:val="center"/>
          </w:tcPr>
          <w:p w14:paraId="75D57AE8"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19D906C0"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35E4BFF4" w14:textId="77777777" w:rsidR="00F57B54" w:rsidRPr="00F32542" w:rsidRDefault="00F57B54" w:rsidP="00F57B54">
            <w:pPr>
              <w:spacing w:after="0" w:line="240" w:lineRule="auto"/>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Distrito</w:t>
            </w:r>
          </w:p>
          <w:p w14:paraId="23A4C311" w14:textId="77777777" w:rsidR="00F57B54" w:rsidRPr="00F32542" w:rsidRDefault="00F57B54" w:rsidP="00F57B54">
            <w:pPr>
              <w:spacing w:after="0" w:line="240" w:lineRule="auto"/>
              <w:jc w:val="center"/>
              <w:rPr>
                <w:rFonts w:ascii="Arial" w:eastAsia="Calibri" w:hAnsi="Arial" w:cs="Arial"/>
                <w:b/>
                <w:color w:val="000000" w:themeColor="text1"/>
                <w:sz w:val="14"/>
                <w:szCs w:val="14"/>
              </w:rPr>
            </w:pPr>
            <w:r w:rsidRPr="00F32542">
              <w:rPr>
                <w:rFonts w:ascii="Arial" w:eastAsia="Calibri" w:hAnsi="Arial" w:cs="Arial"/>
                <w:b/>
                <w:color w:val="000000" w:themeColor="text1"/>
                <w:spacing w:val="4"/>
                <w:sz w:val="14"/>
                <w:szCs w:val="14"/>
              </w:rPr>
              <w:t>22</w:t>
            </w:r>
          </w:p>
        </w:tc>
        <w:tc>
          <w:tcPr>
            <w:tcW w:w="762" w:type="dxa"/>
            <w:shd w:val="clear" w:color="auto" w:fill="AEAAAA"/>
            <w:vAlign w:val="center"/>
          </w:tcPr>
          <w:p w14:paraId="02DC2B56"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537732A5"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1EDECAD3" w14:textId="77777777" w:rsidR="00F57B54" w:rsidRPr="00F32542" w:rsidRDefault="00F57B54" w:rsidP="00F57B54">
            <w:pPr>
              <w:spacing w:after="0" w:line="240" w:lineRule="auto"/>
              <w:jc w:val="center"/>
              <w:rPr>
                <w:rFonts w:ascii="Arial" w:eastAsia="Calibri" w:hAnsi="Arial" w:cs="Arial"/>
                <w:b/>
                <w:color w:val="000000" w:themeColor="text1"/>
                <w:sz w:val="14"/>
                <w:szCs w:val="14"/>
              </w:rPr>
            </w:pPr>
            <w:r w:rsidRPr="00F32542">
              <w:rPr>
                <w:rFonts w:ascii="Arial" w:eastAsia="Calibri" w:hAnsi="Arial" w:cs="Arial"/>
                <w:b/>
                <w:color w:val="000000" w:themeColor="text1"/>
                <w:spacing w:val="4"/>
                <w:sz w:val="14"/>
                <w:szCs w:val="14"/>
              </w:rPr>
              <w:t>Distrito 25</w:t>
            </w:r>
          </w:p>
        </w:tc>
        <w:tc>
          <w:tcPr>
            <w:tcW w:w="760" w:type="dxa"/>
            <w:shd w:val="clear" w:color="auto" w:fill="AEAAAA"/>
            <w:vAlign w:val="center"/>
          </w:tcPr>
          <w:p w14:paraId="6417B3D4"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7C5AA82D"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3CF2B039" w14:textId="77777777" w:rsidR="00F57B54" w:rsidRPr="00F32542" w:rsidRDefault="00F57B54" w:rsidP="00F57B54">
            <w:pPr>
              <w:spacing w:after="0" w:line="240" w:lineRule="auto"/>
              <w:jc w:val="center"/>
              <w:rPr>
                <w:rFonts w:ascii="Arial" w:eastAsia="Calibri" w:hAnsi="Arial" w:cs="Arial"/>
                <w:b/>
                <w:color w:val="000000" w:themeColor="text1"/>
                <w:sz w:val="14"/>
                <w:szCs w:val="14"/>
              </w:rPr>
            </w:pPr>
            <w:r w:rsidRPr="00F32542">
              <w:rPr>
                <w:rFonts w:ascii="Arial" w:eastAsia="Calibri" w:hAnsi="Arial" w:cs="Arial"/>
                <w:b/>
                <w:color w:val="000000" w:themeColor="text1"/>
                <w:spacing w:val="4"/>
                <w:sz w:val="14"/>
                <w:szCs w:val="14"/>
              </w:rPr>
              <w:t>Distrito 28</w:t>
            </w:r>
          </w:p>
        </w:tc>
        <w:tc>
          <w:tcPr>
            <w:tcW w:w="792" w:type="dxa"/>
            <w:shd w:val="clear" w:color="auto" w:fill="AEAAAA"/>
            <w:vAlign w:val="center"/>
          </w:tcPr>
          <w:p w14:paraId="455F4782"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73472708"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0BB151D3" w14:textId="77777777" w:rsidR="00F57B54" w:rsidRPr="00F32542" w:rsidRDefault="00F57B54" w:rsidP="00F57B54">
            <w:pPr>
              <w:spacing w:after="0" w:line="240" w:lineRule="auto"/>
              <w:jc w:val="center"/>
              <w:rPr>
                <w:rFonts w:ascii="Arial" w:eastAsia="Calibri" w:hAnsi="Arial" w:cs="Arial"/>
                <w:b/>
                <w:color w:val="000000" w:themeColor="text1"/>
                <w:sz w:val="14"/>
                <w:szCs w:val="14"/>
              </w:rPr>
            </w:pPr>
            <w:r w:rsidRPr="00F32542">
              <w:rPr>
                <w:rFonts w:ascii="Arial" w:eastAsia="Calibri" w:hAnsi="Arial" w:cs="Arial"/>
                <w:b/>
                <w:color w:val="000000" w:themeColor="text1"/>
                <w:spacing w:val="4"/>
                <w:sz w:val="14"/>
                <w:szCs w:val="14"/>
              </w:rPr>
              <w:t>Distrito 32</w:t>
            </w:r>
          </w:p>
        </w:tc>
        <w:tc>
          <w:tcPr>
            <w:tcW w:w="1047" w:type="dxa"/>
            <w:shd w:val="clear" w:color="auto" w:fill="AEAAAA"/>
            <w:vAlign w:val="center"/>
          </w:tcPr>
          <w:p w14:paraId="2C9CBF21" w14:textId="77777777" w:rsidR="00F57B54" w:rsidRPr="00F32542" w:rsidRDefault="00F57B54" w:rsidP="00F57B54">
            <w:pPr>
              <w:spacing w:after="0" w:line="240" w:lineRule="auto"/>
              <w:jc w:val="center"/>
              <w:rPr>
                <w:rFonts w:ascii="Arial" w:eastAsia="Calibri" w:hAnsi="Arial" w:cs="Arial"/>
                <w:b/>
                <w:color w:val="000000" w:themeColor="text1"/>
                <w:spacing w:val="4"/>
                <w:sz w:val="14"/>
                <w:szCs w:val="14"/>
              </w:rPr>
            </w:pPr>
            <w:proofErr w:type="gramStart"/>
            <w:r w:rsidRPr="00F32542">
              <w:rPr>
                <w:rFonts w:ascii="Arial" w:eastAsia="Calibri" w:hAnsi="Arial" w:cs="Arial"/>
                <w:b/>
                <w:color w:val="000000" w:themeColor="text1"/>
                <w:spacing w:val="4"/>
                <w:sz w:val="14"/>
                <w:szCs w:val="14"/>
              </w:rPr>
              <w:t>Votación resultado</w:t>
            </w:r>
            <w:proofErr w:type="gramEnd"/>
            <w:r w:rsidRPr="00F32542">
              <w:rPr>
                <w:rFonts w:ascii="Arial" w:eastAsia="Calibri" w:hAnsi="Arial" w:cs="Arial"/>
                <w:b/>
                <w:color w:val="000000" w:themeColor="text1"/>
                <w:spacing w:val="4"/>
                <w:sz w:val="14"/>
                <w:szCs w:val="14"/>
              </w:rPr>
              <w:t xml:space="preserve"> de la resta de la votación distrital anulada</w:t>
            </w:r>
          </w:p>
        </w:tc>
      </w:tr>
      <w:tr w:rsidR="00F57B54" w:rsidRPr="00F32542" w14:paraId="2B246FFF" w14:textId="77777777" w:rsidTr="00B65D24">
        <w:trPr>
          <w:jc w:val="center"/>
        </w:trPr>
        <w:tc>
          <w:tcPr>
            <w:tcW w:w="1009" w:type="dxa"/>
            <w:shd w:val="clear" w:color="auto" w:fill="AEAAAA"/>
            <w:vAlign w:val="center"/>
          </w:tcPr>
          <w:p w14:paraId="54A0FAC8" w14:textId="77777777" w:rsidR="00F57B54" w:rsidRPr="00F32542" w:rsidRDefault="00F57B54" w:rsidP="00F57B5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PAN</w:t>
            </w:r>
          </w:p>
        </w:tc>
        <w:tc>
          <w:tcPr>
            <w:tcW w:w="956" w:type="dxa"/>
            <w:tcBorders>
              <w:top w:val="nil"/>
              <w:left w:val="nil"/>
              <w:bottom w:val="single" w:sz="8" w:space="0" w:color="000000"/>
              <w:right w:val="single" w:sz="8" w:space="0" w:color="000000"/>
            </w:tcBorders>
            <w:shd w:val="clear" w:color="000000" w:fill="FFFFFF"/>
            <w:vAlign w:val="center"/>
          </w:tcPr>
          <w:p w14:paraId="3EC1BF3F" w14:textId="77777777" w:rsidR="00F57B54" w:rsidRPr="00F32542" w:rsidRDefault="00F57B54" w:rsidP="00F57B54">
            <w:pPr>
              <w:spacing w:after="0" w:line="24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1036816</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bottom"/>
          </w:tcPr>
          <w:p w14:paraId="29D29FA4"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9055</w:t>
            </w:r>
          </w:p>
        </w:tc>
        <w:tc>
          <w:tcPr>
            <w:tcW w:w="876" w:type="dxa"/>
            <w:tcBorders>
              <w:top w:val="nil"/>
              <w:left w:val="nil"/>
              <w:bottom w:val="single" w:sz="8" w:space="0" w:color="auto"/>
              <w:right w:val="single" w:sz="8" w:space="0" w:color="auto"/>
            </w:tcBorders>
            <w:shd w:val="clear" w:color="000000" w:fill="FFFFFF"/>
            <w:vAlign w:val="center"/>
          </w:tcPr>
          <w:p w14:paraId="1043228F"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29329</w:t>
            </w:r>
          </w:p>
        </w:tc>
        <w:tc>
          <w:tcPr>
            <w:tcW w:w="750" w:type="dxa"/>
            <w:tcBorders>
              <w:top w:val="nil"/>
              <w:left w:val="nil"/>
              <w:bottom w:val="single" w:sz="8" w:space="0" w:color="auto"/>
              <w:right w:val="single" w:sz="8" w:space="0" w:color="auto"/>
            </w:tcBorders>
            <w:shd w:val="clear" w:color="000000" w:fill="FFFFFF"/>
            <w:vAlign w:val="center"/>
          </w:tcPr>
          <w:p w14:paraId="7A918277"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19185</w:t>
            </w:r>
          </w:p>
        </w:tc>
        <w:tc>
          <w:tcPr>
            <w:tcW w:w="795" w:type="dxa"/>
            <w:tcBorders>
              <w:top w:val="single" w:sz="8" w:space="0" w:color="auto"/>
              <w:left w:val="nil"/>
              <w:bottom w:val="single" w:sz="8" w:space="0" w:color="auto"/>
              <w:right w:val="single" w:sz="8" w:space="0" w:color="auto"/>
            </w:tcBorders>
            <w:shd w:val="clear" w:color="auto" w:fill="auto"/>
            <w:vAlign w:val="center"/>
          </w:tcPr>
          <w:p w14:paraId="3B470A1D"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lang w:val="es-ES"/>
              </w:rPr>
              <w:t>48882</w:t>
            </w:r>
          </w:p>
        </w:tc>
        <w:tc>
          <w:tcPr>
            <w:tcW w:w="857" w:type="dxa"/>
            <w:tcBorders>
              <w:top w:val="nil"/>
              <w:left w:val="nil"/>
              <w:bottom w:val="single" w:sz="8" w:space="0" w:color="auto"/>
              <w:right w:val="single" w:sz="8" w:space="0" w:color="auto"/>
            </w:tcBorders>
            <w:shd w:val="clear" w:color="000000" w:fill="FFFFFF"/>
            <w:vAlign w:val="center"/>
          </w:tcPr>
          <w:p w14:paraId="2F5BD02E"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26808</w:t>
            </w:r>
          </w:p>
        </w:tc>
        <w:tc>
          <w:tcPr>
            <w:tcW w:w="857" w:type="dxa"/>
            <w:tcBorders>
              <w:top w:val="nil"/>
              <w:left w:val="nil"/>
              <w:bottom w:val="single" w:sz="8" w:space="0" w:color="auto"/>
              <w:right w:val="single" w:sz="8" w:space="0" w:color="auto"/>
            </w:tcBorders>
            <w:shd w:val="clear" w:color="000000" w:fill="FFFFFF"/>
            <w:vAlign w:val="center"/>
          </w:tcPr>
          <w:p w14:paraId="704E3FC9"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6411</w:t>
            </w:r>
          </w:p>
        </w:tc>
        <w:tc>
          <w:tcPr>
            <w:tcW w:w="762" w:type="dxa"/>
            <w:tcBorders>
              <w:top w:val="single" w:sz="4" w:space="0" w:color="auto"/>
              <w:left w:val="single" w:sz="4" w:space="0" w:color="auto"/>
              <w:bottom w:val="single" w:sz="4" w:space="0" w:color="auto"/>
              <w:right w:val="single" w:sz="4" w:space="0" w:color="auto"/>
            </w:tcBorders>
            <w:shd w:val="clear" w:color="000000" w:fill="FFFFFF"/>
            <w:vAlign w:val="bottom"/>
          </w:tcPr>
          <w:p w14:paraId="04F20260"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22248</w:t>
            </w:r>
          </w:p>
        </w:tc>
        <w:tc>
          <w:tcPr>
            <w:tcW w:w="762" w:type="dxa"/>
            <w:tcBorders>
              <w:top w:val="nil"/>
              <w:left w:val="nil"/>
              <w:bottom w:val="single" w:sz="8" w:space="0" w:color="auto"/>
              <w:right w:val="single" w:sz="8" w:space="0" w:color="auto"/>
            </w:tcBorders>
            <w:shd w:val="clear" w:color="000000" w:fill="FFFFFF"/>
            <w:vAlign w:val="center"/>
          </w:tcPr>
          <w:p w14:paraId="5351D632"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23837</w:t>
            </w:r>
          </w:p>
        </w:tc>
        <w:tc>
          <w:tcPr>
            <w:tcW w:w="795" w:type="dxa"/>
            <w:tcBorders>
              <w:top w:val="single" w:sz="8" w:space="0" w:color="auto"/>
              <w:left w:val="nil"/>
              <w:bottom w:val="single" w:sz="8" w:space="0" w:color="auto"/>
              <w:right w:val="single" w:sz="8" w:space="0" w:color="auto"/>
            </w:tcBorders>
            <w:shd w:val="clear" w:color="auto" w:fill="auto"/>
            <w:vAlign w:val="center"/>
          </w:tcPr>
          <w:p w14:paraId="05931449"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lang w:val="es-ES"/>
              </w:rPr>
              <w:t>26407</w:t>
            </w:r>
          </w:p>
        </w:tc>
        <w:tc>
          <w:tcPr>
            <w:tcW w:w="772" w:type="dxa"/>
            <w:tcBorders>
              <w:top w:val="single" w:sz="4" w:space="0" w:color="auto"/>
              <w:left w:val="single" w:sz="4" w:space="0" w:color="auto"/>
              <w:bottom w:val="single" w:sz="4" w:space="0" w:color="auto"/>
              <w:right w:val="single" w:sz="4" w:space="0" w:color="auto"/>
            </w:tcBorders>
            <w:shd w:val="clear" w:color="000000" w:fill="FFFFFF"/>
            <w:vAlign w:val="bottom"/>
          </w:tcPr>
          <w:p w14:paraId="767DD902"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14788</w:t>
            </w:r>
          </w:p>
        </w:tc>
        <w:tc>
          <w:tcPr>
            <w:tcW w:w="832" w:type="dxa"/>
            <w:tcBorders>
              <w:top w:val="nil"/>
              <w:left w:val="nil"/>
              <w:bottom w:val="single" w:sz="8" w:space="0" w:color="auto"/>
              <w:right w:val="single" w:sz="8" w:space="0" w:color="auto"/>
            </w:tcBorders>
            <w:shd w:val="clear" w:color="000000" w:fill="FFFFFF"/>
            <w:vAlign w:val="center"/>
          </w:tcPr>
          <w:p w14:paraId="54FB0D2C"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9542</w:t>
            </w:r>
          </w:p>
        </w:tc>
        <w:tc>
          <w:tcPr>
            <w:tcW w:w="762" w:type="dxa"/>
            <w:tcBorders>
              <w:top w:val="nil"/>
              <w:left w:val="nil"/>
              <w:bottom w:val="single" w:sz="8" w:space="0" w:color="auto"/>
              <w:right w:val="single" w:sz="8" w:space="0" w:color="auto"/>
            </w:tcBorders>
            <w:shd w:val="clear" w:color="000000" w:fill="FFFFFF"/>
            <w:vAlign w:val="center"/>
          </w:tcPr>
          <w:p w14:paraId="3E353D1B"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20218</w:t>
            </w:r>
          </w:p>
        </w:tc>
        <w:tc>
          <w:tcPr>
            <w:tcW w:w="760" w:type="dxa"/>
            <w:tcBorders>
              <w:top w:val="single" w:sz="8" w:space="0" w:color="auto"/>
              <w:left w:val="nil"/>
              <w:bottom w:val="single" w:sz="8" w:space="0" w:color="auto"/>
              <w:right w:val="single" w:sz="8" w:space="0" w:color="auto"/>
            </w:tcBorders>
            <w:shd w:val="clear" w:color="auto" w:fill="auto"/>
            <w:vAlign w:val="center"/>
          </w:tcPr>
          <w:p w14:paraId="1B7612C5"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19208</w:t>
            </w:r>
          </w:p>
        </w:tc>
        <w:tc>
          <w:tcPr>
            <w:tcW w:w="792" w:type="dxa"/>
            <w:tcBorders>
              <w:top w:val="nil"/>
              <w:left w:val="nil"/>
              <w:bottom w:val="single" w:sz="8" w:space="0" w:color="auto"/>
              <w:right w:val="single" w:sz="8" w:space="0" w:color="auto"/>
            </w:tcBorders>
            <w:shd w:val="clear" w:color="000000" w:fill="FFFFFF"/>
            <w:vAlign w:val="center"/>
          </w:tcPr>
          <w:p w14:paraId="1BBAE0DE"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27415</w:t>
            </w:r>
          </w:p>
        </w:tc>
        <w:tc>
          <w:tcPr>
            <w:tcW w:w="1047" w:type="dxa"/>
            <w:tcBorders>
              <w:top w:val="nil"/>
              <w:left w:val="nil"/>
              <w:bottom w:val="single" w:sz="8" w:space="0" w:color="auto"/>
              <w:right w:val="single" w:sz="8" w:space="0" w:color="auto"/>
            </w:tcBorders>
            <w:shd w:val="clear" w:color="auto" w:fill="auto"/>
            <w:vAlign w:val="center"/>
          </w:tcPr>
          <w:p w14:paraId="6B515B32"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733483</w:t>
            </w:r>
          </w:p>
        </w:tc>
      </w:tr>
      <w:tr w:rsidR="00F57B54" w:rsidRPr="00F32542" w14:paraId="13C61EB6" w14:textId="77777777" w:rsidTr="00B65D24">
        <w:trPr>
          <w:jc w:val="center"/>
        </w:trPr>
        <w:tc>
          <w:tcPr>
            <w:tcW w:w="1009" w:type="dxa"/>
            <w:shd w:val="clear" w:color="auto" w:fill="AEAAAA"/>
            <w:vAlign w:val="center"/>
          </w:tcPr>
          <w:p w14:paraId="2FE95398" w14:textId="77777777" w:rsidR="00F57B54" w:rsidRPr="00F32542" w:rsidRDefault="00F57B54" w:rsidP="00F57B5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PRI</w:t>
            </w:r>
          </w:p>
        </w:tc>
        <w:tc>
          <w:tcPr>
            <w:tcW w:w="956" w:type="dxa"/>
            <w:tcBorders>
              <w:top w:val="nil"/>
              <w:left w:val="nil"/>
              <w:bottom w:val="single" w:sz="8" w:space="0" w:color="000000"/>
              <w:right w:val="single" w:sz="8" w:space="0" w:color="000000"/>
            </w:tcBorders>
            <w:shd w:val="clear" w:color="000000" w:fill="FFFFFF"/>
            <w:vAlign w:val="center"/>
          </w:tcPr>
          <w:p w14:paraId="2538AC69"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584220</w:t>
            </w:r>
          </w:p>
        </w:tc>
        <w:tc>
          <w:tcPr>
            <w:tcW w:w="791" w:type="dxa"/>
            <w:tcBorders>
              <w:top w:val="nil"/>
              <w:left w:val="single" w:sz="4" w:space="0" w:color="auto"/>
              <w:bottom w:val="single" w:sz="4" w:space="0" w:color="auto"/>
              <w:right w:val="single" w:sz="4" w:space="0" w:color="auto"/>
            </w:tcBorders>
            <w:shd w:val="clear" w:color="000000" w:fill="FFFFFF"/>
            <w:vAlign w:val="bottom"/>
          </w:tcPr>
          <w:p w14:paraId="0A3B08D9"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8318</w:t>
            </w:r>
          </w:p>
        </w:tc>
        <w:tc>
          <w:tcPr>
            <w:tcW w:w="876" w:type="dxa"/>
            <w:tcBorders>
              <w:top w:val="nil"/>
              <w:left w:val="nil"/>
              <w:bottom w:val="single" w:sz="8" w:space="0" w:color="auto"/>
              <w:right w:val="single" w:sz="8" w:space="0" w:color="auto"/>
            </w:tcBorders>
            <w:shd w:val="clear" w:color="000000" w:fill="FFFFFF"/>
            <w:vAlign w:val="center"/>
          </w:tcPr>
          <w:p w14:paraId="15CF1200"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14889</w:t>
            </w:r>
          </w:p>
        </w:tc>
        <w:tc>
          <w:tcPr>
            <w:tcW w:w="750" w:type="dxa"/>
            <w:tcBorders>
              <w:top w:val="nil"/>
              <w:left w:val="nil"/>
              <w:bottom w:val="single" w:sz="8" w:space="0" w:color="auto"/>
              <w:right w:val="single" w:sz="8" w:space="0" w:color="auto"/>
            </w:tcBorders>
            <w:shd w:val="clear" w:color="000000" w:fill="FFFFFF"/>
            <w:vAlign w:val="center"/>
          </w:tcPr>
          <w:p w14:paraId="43F24113"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16343</w:t>
            </w:r>
          </w:p>
        </w:tc>
        <w:tc>
          <w:tcPr>
            <w:tcW w:w="795" w:type="dxa"/>
            <w:tcBorders>
              <w:top w:val="nil"/>
              <w:left w:val="nil"/>
              <w:bottom w:val="single" w:sz="8" w:space="0" w:color="auto"/>
              <w:right w:val="single" w:sz="8" w:space="0" w:color="auto"/>
            </w:tcBorders>
            <w:shd w:val="clear" w:color="auto" w:fill="auto"/>
            <w:vAlign w:val="center"/>
          </w:tcPr>
          <w:p w14:paraId="3FB73CC9"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lang w:val="es-ES"/>
              </w:rPr>
              <w:t>18292</w:t>
            </w:r>
          </w:p>
        </w:tc>
        <w:tc>
          <w:tcPr>
            <w:tcW w:w="857" w:type="dxa"/>
            <w:tcBorders>
              <w:top w:val="nil"/>
              <w:left w:val="nil"/>
              <w:bottom w:val="single" w:sz="8" w:space="0" w:color="auto"/>
              <w:right w:val="single" w:sz="8" w:space="0" w:color="auto"/>
            </w:tcBorders>
            <w:shd w:val="clear" w:color="000000" w:fill="FFFFFF"/>
            <w:vAlign w:val="center"/>
          </w:tcPr>
          <w:p w14:paraId="73A3BE69"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23807</w:t>
            </w:r>
          </w:p>
        </w:tc>
        <w:tc>
          <w:tcPr>
            <w:tcW w:w="857" w:type="dxa"/>
            <w:tcBorders>
              <w:top w:val="nil"/>
              <w:left w:val="nil"/>
              <w:bottom w:val="single" w:sz="8" w:space="0" w:color="auto"/>
              <w:right w:val="single" w:sz="8" w:space="0" w:color="auto"/>
            </w:tcBorders>
            <w:shd w:val="clear" w:color="000000" w:fill="FFFFFF"/>
            <w:vAlign w:val="center"/>
          </w:tcPr>
          <w:p w14:paraId="6BCCC8B7"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20951</w:t>
            </w:r>
          </w:p>
        </w:tc>
        <w:tc>
          <w:tcPr>
            <w:tcW w:w="762" w:type="dxa"/>
            <w:tcBorders>
              <w:top w:val="nil"/>
              <w:left w:val="single" w:sz="4" w:space="0" w:color="auto"/>
              <w:bottom w:val="single" w:sz="4" w:space="0" w:color="auto"/>
              <w:right w:val="single" w:sz="4" w:space="0" w:color="auto"/>
            </w:tcBorders>
            <w:shd w:val="clear" w:color="000000" w:fill="FFFFFF"/>
            <w:vAlign w:val="bottom"/>
          </w:tcPr>
          <w:p w14:paraId="2A3CF703"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27965</w:t>
            </w:r>
          </w:p>
        </w:tc>
        <w:tc>
          <w:tcPr>
            <w:tcW w:w="762" w:type="dxa"/>
            <w:tcBorders>
              <w:top w:val="nil"/>
              <w:left w:val="nil"/>
              <w:bottom w:val="single" w:sz="8" w:space="0" w:color="auto"/>
              <w:right w:val="single" w:sz="8" w:space="0" w:color="auto"/>
            </w:tcBorders>
            <w:shd w:val="clear" w:color="000000" w:fill="FFFFFF"/>
            <w:vAlign w:val="center"/>
          </w:tcPr>
          <w:p w14:paraId="7FDD0288"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18319</w:t>
            </w:r>
          </w:p>
        </w:tc>
        <w:tc>
          <w:tcPr>
            <w:tcW w:w="795" w:type="dxa"/>
            <w:tcBorders>
              <w:top w:val="nil"/>
              <w:left w:val="nil"/>
              <w:bottom w:val="single" w:sz="8" w:space="0" w:color="auto"/>
              <w:right w:val="single" w:sz="8" w:space="0" w:color="auto"/>
            </w:tcBorders>
            <w:shd w:val="clear" w:color="auto" w:fill="auto"/>
            <w:vAlign w:val="center"/>
          </w:tcPr>
          <w:p w14:paraId="5CB71071"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lang w:val="es-ES"/>
              </w:rPr>
              <w:t>18688</w:t>
            </w:r>
          </w:p>
        </w:tc>
        <w:tc>
          <w:tcPr>
            <w:tcW w:w="772" w:type="dxa"/>
            <w:tcBorders>
              <w:top w:val="nil"/>
              <w:left w:val="single" w:sz="4" w:space="0" w:color="auto"/>
              <w:bottom w:val="single" w:sz="4" w:space="0" w:color="auto"/>
              <w:right w:val="single" w:sz="4" w:space="0" w:color="auto"/>
            </w:tcBorders>
            <w:shd w:val="clear" w:color="000000" w:fill="FFFFFF"/>
            <w:vAlign w:val="bottom"/>
          </w:tcPr>
          <w:p w14:paraId="75FEB4C3"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12823</w:t>
            </w:r>
          </w:p>
        </w:tc>
        <w:tc>
          <w:tcPr>
            <w:tcW w:w="832" w:type="dxa"/>
            <w:tcBorders>
              <w:top w:val="nil"/>
              <w:left w:val="nil"/>
              <w:bottom w:val="single" w:sz="8" w:space="0" w:color="auto"/>
              <w:right w:val="single" w:sz="8" w:space="0" w:color="auto"/>
            </w:tcBorders>
            <w:shd w:val="clear" w:color="000000" w:fill="FFFFFF"/>
            <w:vAlign w:val="center"/>
          </w:tcPr>
          <w:p w14:paraId="47698464"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10089</w:t>
            </w:r>
          </w:p>
        </w:tc>
        <w:tc>
          <w:tcPr>
            <w:tcW w:w="762" w:type="dxa"/>
            <w:tcBorders>
              <w:top w:val="nil"/>
              <w:left w:val="nil"/>
              <w:bottom w:val="single" w:sz="8" w:space="0" w:color="auto"/>
              <w:right w:val="single" w:sz="8" w:space="0" w:color="auto"/>
            </w:tcBorders>
            <w:shd w:val="clear" w:color="000000" w:fill="FFFFFF"/>
            <w:vAlign w:val="center"/>
          </w:tcPr>
          <w:p w14:paraId="3608CB5E"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13272</w:t>
            </w:r>
          </w:p>
        </w:tc>
        <w:tc>
          <w:tcPr>
            <w:tcW w:w="760" w:type="dxa"/>
            <w:tcBorders>
              <w:top w:val="nil"/>
              <w:left w:val="nil"/>
              <w:bottom w:val="single" w:sz="8" w:space="0" w:color="auto"/>
              <w:right w:val="single" w:sz="8" w:space="0" w:color="auto"/>
            </w:tcBorders>
            <w:shd w:val="clear" w:color="auto" w:fill="auto"/>
            <w:vAlign w:val="center"/>
          </w:tcPr>
          <w:p w14:paraId="0A6EA33A"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12585</w:t>
            </w:r>
          </w:p>
        </w:tc>
        <w:tc>
          <w:tcPr>
            <w:tcW w:w="792" w:type="dxa"/>
            <w:tcBorders>
              <w:top w:val="nil"/>
              <w:left w:val="nil"/>
              <w:bottom w:val="single" w:sz="8" w:space="0" w:color="auto"/>
              <w:right w:val="single" w:sz="8" w:space="0" w:color="auto"/>
            </w:tcBorders>
            <w:shd w:val="clear" w:color="000000" w:fill="FFFFFF"/>
            <w:vAlign w:val="center"/>
          </w:tcPr>
          <w:p w14:paraId="5178A5E3"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15856</w:t>
            </w:r>
          </w:p>
        </w:tc>
        <w:tc>
          <w:tcPr>
            <w:tcW w:w="1047" w:type="dxa"/>
            <w:tcBorders>
              <w:top w:val="nil"/>
              <w:left w:val="nil"/>
              <w:bottom w:val="single" w:sz="8" w:space="0" w:color="auto"/>
              <w:right w:val="single" w:sz="8" w:space="0" w:color="auto"/>
            </w:tcBorders>
            <w:shd w:val="clear" w:color="auto" w:fill="auto"/>
            <w:vAlign w:val="center"/>
          </w:tcPr>
          <w:p w14:paraId="1C80C9B0"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352023</w:t>
            </w:r>
          </w:p>
        </w:tc>
      </w:tr>
      <w:tr w:rsidR="00F57B54" w:rsidRPr="00F32542" w14:paraId="0513E288" w14:textId="77777777" w:rsidTr="00B65D24">
        <w:trPr>
          <w:jc w:val="center"/>
        </w:trPr>
        <w:tc>
          <w:tcPr>
            <w:tcW w:w="1009" w:type="dxa"/>
            <w:shd w:val="clear" w:color="auto" w:fill="AEAAAA"/>
            <w:vAlign w:val="center"/>
          </w:tcPr>
          <w:p w14:paraId="3294E151" w14:textId="77777777" w:rsidR="00F57B54" w:rsidRPr="00F32542" w:rsidRDefault="00F57B54" w:rsidP="00F57B5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PRD</w:t>
            </w:r>
          </w:p>
        </w:tc>
        <w:tc>
          <w:tcPr>
            <w:tcW w:w="956" w:type="dxa"/>
            <w:tcBorders>
              <w:top w:val="nil"/>
              <w:left w:val="nil"/>
              <w:bottom w:val="single" w:sz="8" w:space="0" w:color="000000"/>
              <w:right w:val="single" w:sz="8" w:space="0" w:color="000000"/>
            </w:tcBorders>
            <w:shd w:val="clear" w:color="000000" w:fill="FFFFFF"/>
            <w:vAlign w:val="center"/>
          </w:tcPr>
          <w:p w14:paraId="1494B8EB"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209513</w:t>
            </w:r>
          </w:p>
        </w:tc>
        <w:tc>
          <w:tcPr>
            <w:tcW w:w="791" w:type="dxa"/>
            <w:tcBorders>
              <w:top w:val="nil"/>
              <w:left w:val="single" w:sz="4" w:space="0" w:color="auto"/>
              <w:bottom w:val="single" w:sz="4" w:space="0" w:color="auto"/>
              <w:right w:val="single" w:sz="4" w:space="0" w:color="auto"/>
            </w:tcBorders>
            <w:shd w:val="clear" w:color="000000" w:fill="FFFFFF"/>
            <w:vAlign w:val="bottom"/>
          </w:tcPr>
          <w:p w14:paraId="2886D6B4"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6632</w:t>
            </w:r>
          </w:p>
        </w:tc>
        <w:tc>
          <w:tcPr>
            <w:tcW w:w="876" w:type="dxa"/>
            <w:tcBorders>
              <w:top w:val="nil"/>
              <w:left w:val="nil"/>
              <w:bottom w:val="single" w:sz="8" w:space="0" w:color="auto"/>
              <w:right w:val="single" w:sz="8" w:space="0" w:color="auto"/>
            </w:tcBorders>
            <w:shd w:val="clear" w:color="000000" w:fill="FFFFFF"/>
            <w:vAlign w:val="center"/>
          </w:tcPr>
          <w:p w14:paraId="57E78E3B"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3332</w:t>
            </w:r>
          </w:p>
        </w:tc>
        <w:tc>
          <w:tcPr>
            <w:tcW w:w="750" w:type="dxa"/>
            <w:tcBorders>
              <w:top w:val="nil"/>
              <w:left w:val="nil"/>
              <w:bottom w:val="single" w:sz="8" w:space="0" w:color="auto"/>
              <w:right w:val="single" w:sz="8" w:space="0" w:color="auto"/>
            </w:tcBorders>
            <w:shd w:val="clear" w:color="000000" w:fill="FFFFFF"/>
            <w:vAlign w:val="center"/>
          </w:tcPr>
          <w:p w14:paraId="69485B47"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20502</w:t>
            </w:r>
          </w:p>
        </w:tc>
        <w:tc>
          <w:tcPr>
            <w:tcW w:w="795" w:type="dxa"/>
            <w:tcBorders>
              <w:top w:val="nil"/>
              <w:left w:val="nil"/>
              <w:bottom w:val="single" w:sz="8" w:space="0" w:color="auto"/>
              <w:right w:val="single" w:sz="8" w:space="0" w:color="auto"/>
            </w:tcBorders>
            <w:shd w:val="clear" w:color="auto" w:fill="auto"/>
            <w:vAlign w:val="center"/>
          </w:tcPr>
          <w:p w14:paraId="17E29793"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lang w:val="es-ES"/>
              </w:rPr>
              <w:t>3118</w:t>
            </w:r>
          </w:p>
        </w:tc>
        <w:tc>
          <w:tcPr>
            <w:tcW w:w="857" w:type="dxa"/>
            <w:tcBorders>
              <w:top w:val="nil"/>
              <w:left w:val="nil"/>
              <w:bottom w:val="single" w:sz="8" w:space="0" w:color="auto"/>
              <w:right w:val="single" w:sz="8" w:space="0" w:color="auto"/>
            </w:tcBorders>
            <w:shd w:val="clear" w:color="000000" w:fill="FFFFFF"/>
            <w:vAlign w:val="center"/>
          </w:tcPr>
          <w:p w14:paraId="6ADDA1A4"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15085</w:t>
            </w:r>
          </w:p>
        </w:tc>
        <w:tc>
          <w:tcPr>
            <w:tcW w:w="857" w:type="dxa"/>
            <w:tcBorders>
              <w:top w:val="nil"/>
              <w:left w:val="nil"/>
              <w:bottom w:val="single" w:sz="8" w:space="0" w:color="auto"/>
              <w:right w:val="single" w:sz="8" w:space="0" w:color="auto"/>
            </w:tcBorders>
            <w:shd w:val="clear" w:color="000000" w:fill="FFFFFF"/>
            <w:vAlign w:val="center"/>
          </w:tcPr>
          <w:p w14:paraId="538EF61B"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3784</w:t>
            </w:r>
          </w:p>
        </w:tc>
        <w:tc>
          <w:tcPr>
            <w:tcW w:w="762" w:type="dxa"/>
            <w:tcBorders>
              <w:top w:val="nil"/>
              <w:left w:val="single" w:sz="4" w:space="0" w:color="auto"/>
              <w:bottom w:val="single" w:sz="4" w:space="0" w:color="auto"/>
              <w:right w:val="single" w:sz="4" w:space="0" w:color="auto"/>
            </w:tcBorders>
            <w:shd w:val="clear" w:color="000000" w:fill="FFFFFF"/>
            <w:vAlign w:val="bottom"/>
          </w:tcPr>
          <w:p w14:paraId="2E844872"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3305</w:t>
            </w:r>
          </w:p>
        </w:tc>
        <w:tc>
          <w:tcPr>
            <w:tcW w:w="762" w:type="dxa"/>
            <w:tcBorders>
              <w:top w:val="nil"/>
              <w:left w:val="nil"/>
              <w:bottom w:val="single" w:sz="8" w:space="0" w:color="auto"/>
              <w:right w:val="single" w:sz="8" w:space="0" w:color="auto"/>
            </w:tcBorders>
            <w:shd w:val="clear" w:color="000000" w:fill="FFFFFF"/>
            <w:vAlign w:val="center"/>
          </w:tcPr>
          <w:p w14:paraId="23DC00B4"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8367</w:t>
            </w:r>
          </w:p>
        </w:tc>
        <w:tc>
          <w:tcPr>
            <w:tcW w:w="795" w:type="dxa"/>
            <w:tcBorders>
              <w:top w:val="nil"/>
              <w:left w:val="nil"/>
              <w:bottom w:val="single" w:sz="8" w:space="0" w:color="auto"/>
              <w:right w:val="single" w:sz="8" w:space="0" w:color="auto"/>
            </w:tcBorders>
            <w:shd w:val="clear" w:color="auto" w:fill="auto"/>
            <w:vAlign w:val="center"/>
          </w:tcPr>
          <w:p w14:paraId="4A13B136"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lang w:val="es-ES"/>
              </w:rPr>
              <w:t>13325</w:t>
            </w:r>
          </w:p>
        </w:tc>
        <w:tc>
          <w:tcPr>
            <w:tcW w:w="772" w:type="dxa"/>
            <w:tcBorders>
              <w:top w:val="nil"/>
              <w:left w:val="single" w:sz="4" w:space="0" w:color="auto"/>
              <w:bottom w:val="single" w:sz="4" w:space="0" w:color="auto"/>
              <w:right w:val="single" w:sz="4" w:space="0" w:color="auto"/>
            </w:tcBorders>
            <w:shd w:val="clear" w:color="000000" w:fill="FFFFFF"/>
            <w:vAlign w:val="bottom"/>
          </w:tcPr>
          <w:p w14:paraId="70824AD1"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8780</w:t>
            </w:r>
          </w:p>
        </w:tc>
        <w:tc>
          <w:tcPr>
            <w:tcW w:w="832" w:type="dxa"/>
            <w:tcBorders>
              <w:top w:val="nil"/>
              <w:left w:val="nil"/>
              <w:bottom w:val="single" w:sz="8" w:space="0" w:color="auto"/>
              <w:right w:val="single" w:sz="8" w:space="0" w:color="auto"/>
            </w:tcBorders>
            <w:shd w:val="clear" w:color="000000" w:fill="FFFFFF"/>
            <w:vAlign w:val="center"/>
          </w:tcPr>
          <w:p w14:paraId="517D2AD6"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7263</w:t>
            </w:r>
          </w:p>
        </w:tc>
        <w:tc>
          <w:tcPr>
            <w:tcW w:w="762" w:type="dxa"/>
            <w:tcBorders>
              <w:top w:val="nil"/>
              <w:left w:val="nil"/>
              <w:bottom w:val="single" w:sz="8" w:space="0" w:color="auto"/>
              <w:right w:val="single" w:sz="8" w:space="0" w:color="auto"/>
            </w:tcBorders>
            <w:shd w:val="clear" w:color="000000" w:fill="FFFFFF"/>
            <w:vAlign w:val="center"/>
          </w:tcPr>
          <w:p w14:paraId="49E137C5"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2625</w:t>
            </w:r>
          </w:p>
        </w:tc>
        <w:tc>
          <w:tcPr>
            <w:tcW w:w="760" w:type="dxa"/>
            <w:tcBorders>
              <w:top w:val="nil"/>
              <w:left w:val="nil"/>
              <w:bottom w:val="single" w:sz="8" w:space="0" w:color="auto"/>
              <w:right w:val="single" w:sz="8" w:space="0" w:color="auto"/>
            </w:tcBorders>
            <w:shd w:val="clear" w:color="auto" w:fill="auto"/>
            <w:vAlign w:val="center"/>
          </w:tcPr>
          <w:p w14:paraId="60256D36"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3271</w:t>
            </w:r>
          </w:p>
        </w:tc>
        <w:tc>
          <w:tcPr>
            <w:tcW w:w="792" w:type="dxa"/>
            <w:tcBorders>
              <w:top w:val="nil"/>
              <w:left w:val="nil"/>
              <w:bottom w:val="single" w:sz="8" w:space="0" w:color="auto"/>
              <w:right w:val="single" w:sz="8" w:space="0" w:color="auto"/>
            </w:tcBorders>
            <w:shd w:val="clear" w:color="000000" w:fill="FFFFFF"/>
            <w:vAlign w:val="center"/>
          </w:tcPr>
          <w:p w14:paraId="16DB98FF"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13144</w:t>
            </w:r>
          </w:p>
        </w:tc>
        <w:tc>
          <w:tcPr>
            <w:tcW w:w="1047" w:type="dxa"/>
            <w:tcBorders>
              <w:top w:val="nil"/>
              <w:left w:val="nil"/>
              <w:bottom w:val="single" w:sz="8" w:space="0" w:color="auto"/>
              <w:right w:val="single" w:sz="8" w:space="0" w:color="auto"/>
            </w:tcBorders>
            <w:shd w:val="clear" w:color="auto" w:fill="auto"/>
            <w:vAlign w:val="center"/>
          </w:tcPr>
          <w:p w14:paraId="01892317"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96980</w:t>
            </w:r>
          </w:p>
        </w:tc>
      </w:tr>
      <w:tr w:rsidR="00F57B54" w:rsidRPr="00F32542" w14:paraId="7D0F01A8" w14:textId="77777777" w:rsidTr="00B65D24">
        <w:trPr>
          <w:jc w:val="center"/>
        </w:trPr>
        <w:tc>
          <w:tcPr>
            <w:tcW w:w="1009" w:type="dxa"/>
            <w:shd w:val="clear" w:color="auto" w:fill="AEAAAA"/>
            <w:vAlign w:val="center"/>
          </w:tcPr>
          <w:p w14:paraId="66E61F39" w14:textId="77777777" w:rsidR="00F57B54" w:rsidRPr="00F32542" w:rsidRDefault="00F57B54" w:rsidP="00F57B5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PVEM</w:t>
            </w:r>
          </w:p>
        </w:tc>
        <w:tc>
          <w:tcPr>
            <w:tcW w:w="956" w:type="dxa"/>
            <w:tcBorders>
              <w:top w:val="nil"/>
              <w:left w:val="nil"/>
              <w:bottom w:val="single" w:sz="8" w:space="0" w:color="000000"/>
              <w:right w:val="single" w:sz="8" w:space="0" w:color="000000"/>
            </w:tcBorders>
            <w:shd w:val="clear" w:color="000000" w:fill="FFFFFF"/>
            <w:vAlign w:val="center"/>
          </w:tcPr>
          <w:p w14:paraId="2548AC4D"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126075</w:t>
            </w:r>
          </w:p>
        </w:tc>
        <w:tc>
          <w:tcPr>
            <w:tcW w:w="791" w:type="dxa"/>
            <w:tcBorders>
              <w:top w:val="nil"/>
              <w:left w:val="single" w:sz="4" w:space="0" w:color="auto"/>
              <w:bottom w:val="single" w:sz="4" w:space="0" w:color="auto"/>
              <w:right w:val="single" w:sz="4" w:space="0" w:color="auto"/>
            </w:tcBorders>
            <w:shd w:val="clear" w:color="000000" w:fill="FFFFFF"/>
            <w:vAlign w:val="bottom"/>
          </w:tcPr>
          <w:p w14:paraId="7006D159"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3227</w:t>
            </w:r>
          </w:p>
        </w:tc>
        <w:tc>
          <w:tcPr>
            <w:tcW w:w="876" w:type="dxa"/>
            <w:tcBorders>
              <w:top w:val="nil"/>
              <w:left w:val="nil"/>
              <w:bottom w:val="single" w:sz="8" w:space="0" w:color="auto"/>
              <w:right w:val="single" w:sz="8" w:space="0" w:color="auto"/>
            </w:tcBorders>
            <w:shd w:val="clear" w:color="000000" w:fill="FFFFFF"/>
            <w:vAlign w:val="center"/>
          </w:tcPr>
          <w:p w14:paraId="509A3932"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4759</w:t>
            </w:r>
          </w:p>
        </w:tc>
        <w:tc>
          <w:tcPr>
            <w:tcW w:w="750" w:type="dxa"/>
            <w:tcBorders>
              <w:top w:val="nil"/>
              <w:left w:val="nil"/>
              <w:bottom w:val="single" w:sz="8" w:space="0" w:color="auto"/>
              <w:right w:val="single" w:sz="8" w:space="0" w:color="auto"/>
            </w:tcBorders>
            <w:shd w:val="clear" w:color="000000" w:fill="FFFFFF"/>
            <w:vAlign w:val="center"/>
          </w:tcPr>
          <w:p w14:paraId="4791025D"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3456</w:t>
            </w:r>
          </w:p>
        </w:tc>
        <w:tc>
          <w:tcPr>
            <w:tcW w:w="795" w:type="dxa"/>
            <w:tcBorders>
              <w:top w:val="nil"/>
              <w:left w:val="nil"/>
              <w:bottom w:val="single" w:sz="8" w:space="0" w:color="auto"/>
              <w:right w:val="single" w:sz="8" w:space="0" w:color="auto"/>
            </w:tcBorders>
            <w:shd w:val="clear" w:color="auto" w:fill="auto"/>
            <w:vAlign w:val="center"/>
          </w:tcPr>
          <w:p w14:paraId="21148367"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lang w:val="es-ES"/>
              </w:rPr>
              <w:t>3890</w:t>
            </w:r>
          </w:p>
        </w:tc>
        <w:tc>
          <w:tcPr>
            <w:tcW w:w="857" w:type="dxa"/>
            <w:tcBorders>
              <w:top w:val="nil"/>
              <w:left w:val="nil"/>
              <w:bottom w:val="single" w:sz="8" w:space="0" w:color="auto"/>
              <w:right w:val="single" w:sz="8" w:space="0" w:color="auto"/>
            </w:tcBorders>
            <w:shd w:val="clear" w:color="000000" w:fill="FFFFFF"/>
            <w:vAlign w:val="center"/>
          </w:tcPr>
          <w:p w14:paraId="2B01C330"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3809</w:t>
            </w:r>
          </w:p>
        </w:tc>
        <w:tc>
          <w:tcPr>
            <w:tcW w:w="857" w:type="dxa"/>
            <w:tcBorders>
              <w:top w:val="nil"/>
              <w:left w:val="nil"/>
              <w:bottom w:val="single" w:sz="8" w:space="0" w:color="auto"/>
              <w:right w:val="single" w:sz="8" w:space="0" w:color="auto"/>
            </w:tcBorders>
            <w:shd w:val="clear" w:color="000000" w:fill="FFFFFF"/>
            <w:vAlign w:val="center"/>
          </w:tcPr>
          <w:p w14:paraId="7DA9C7D3"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6171</w:t>
            </w:r>
          </w:p>
        </w:tc>
        <w:tc>
          <w:tcPr>
            <w:tcW w:w="762" w:type="dxa"/>
            <w:tcBorders>
              <w:top w:val="nil"/>
              <w:left w:val="single" w:sz="4" w:space="0" w:color="auto"/>
              <w:bottom w:val="single" w:sz="4" w:space="0" w:color="auto"/>
              <w:right w:val="single" w:sz="4" w:space="0" w:color="auto"/>
            </w:tcBorders>
            <w:shd w:val="clear" w:color="000000" w:fill="FFFFFF"/>
            <w:vAlign w:val="bottom"/>
          </w:tcPr>
          <w:p w14:paraId="7563DD1D"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3322</w:t>
            </w:r>
          </w:p>
        </w:tc>
        <w:tc>
          <w:tcPr>
            <w:tcW w:w="762" w:type="dxa"/>
            <w:tcBorders>
              <w:top w:val="nil"/>
              <w:left w:val="nil"/>
              <w:bottom w:val="single" w:sz="8" w:space="0" w:color="auto"/>
              <w:right w:val="single" w:sz="8" w:space="0" w:color="auto"/>
            </w:tcBorders>
            <w:shd w:val="clear" w:color="000000" w:fill="FFFFFF"/>
            <w:vAlign w:val="center"/>
          </w:tcPr>
          <w:p w14:paraId="13269E4B"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5074</w:t>
            </w:r>
          </w:p>
        </w:tc>
        <w:tc>
          <w:tcPr>
            <w:tcW w:w="795" w:type="dxa"/>
            <w:tcBorders>
              <w:top w:val="nil"/>
              <w:left w:val="nil"/>
              <w:bottom w:val="single" w:sz="8" w:space="0" w:color="auto"/>
              <w:right w:val="single" w:sz="8" w:space="0" w:color="auto"/>
            </w:tcBorders>
            <w:shd w:val="clear" w:color="auto" w:fill="auto"/>
            <w:vAlign w:val="center"/>
          </w:tcPr>
          <w:p w14:paraId="4B93675B"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lang w:val="es-ES"/>
              </w:rPr>
              <w:t>3838</w:t>
            </w:r>
          </w:p>
        </w:tc>
        <w:tc>
          <w:tcPr>
            <w:tcW w:w="772" w:type="dxa"/>
            <w:tcBorders>
              <w:top w:val="nil"/>
              <w:left w:val="single" w:sz="4" w:space="0" w:color="auto"/>
              <w:bottom w:val="single" w:sz="4" w:space="0" w:color="auto"/>
              <w:right w:val="single" w:sz="4" w:space="0" w:color="auto"/>
            </w:tcBorders>
            <w:shd w:val="clear" w:color="000000" w:fill="FFFFFF"/>
            <w:vAlign w:val="bottom"/>
          </w:tcPr>
          <w:p w14:paraId="70F0EC2A"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3604</w:t>
            </w:r>
          </w:p>
        </w:tc>
        <w:tc>
          <w:tcPr>
            <w:tcW w:w="832" w:type="dxa"/>
            <w:tcBorders>
              <w:top w:val="nil"/>
              <w:left w:val="nil"/>
              <w:bottom w:val="single" w:sz="8" w:space="0" w:color="auto"/>
              <w:right w:val="single" w:sz="8" w:space="0" w:color="auto"/>
            </w:tcBorders>
            <w:shd w:val="clear" w:color="000000" w:fill="FFFFFF"/>
            <w:vAlign w:val="center"/>
          </w:tcPr>
          <w:p w14:paraId="65A10CDA"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3622</w:t>
            </w:r>
          </w:p>
        </w:tc>
        <w:tc>
          <w:tcPr>
            <w:tcW w:w="762" w:type="dxa"/>
            <w:tcBorders>
              <w:top w:val="nil"/>
              <w:left w:val="nil"/>
              <w:bottom w:val="single" w:sz="8" w:space="0" w:color="auto"/>
              <w:right w:val="single" w:sz="8" w:space="0" w:color="auto"/>
            </w:tcBorders>
            <w:shd w:val="clear" w:color="000000" w:fill="FFFFFF"/>
            <w:vAlign w:val="center"/>
          </w:tcPr>
          <w:p w14:paraId="6E77024D"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4219</w:t>
            </w:r>
          </w:p>
        </w:tc>
        <w:tc>
          <w:tcPr>
            <w:tcW w:w="760" w:type="dxa"/>
            <w:tcBorders>
              <w:top w:val="nil"/>
              <w:left w:val="nil"/>
              <w:bottom w:val="single" w:sz="8" w:space="0" w:color="auto"/>
              <w:right w:val="single" w:sz="8" w:space="0" w:color="auto"/>
            </w:tcBorders>
            <w:shd w:val="clear" w:color="auto" w:fill="auto"/>
            <w:vAlign w:val="center"/>
          </w:tcPr>
          <w:p w14:paraId="66A02E85"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3101</w:t>
            </w:r>
          </w:p>
        </w:tc>
        <w:tc>
          <w:tcPr>
            <w:tcW w:w="792" w:type="dxa"/>
            <w:tcBorders>
              <w:top w:val="nil"/>
              <w:left w:val="nil"/>
              <w:bottom w:val="single" w:sz="8" w:space="0" w:color="auto"/>
              <w:right w:val="single" w:sz="8" w:space="0" w:color="auto"/>
            </w:tcBorders>
            <w:shd w:val="clear" w:color="000000" w:fill="FFFFFF"/>
            <w:vAlign w:val="center"/>
          </w:tcPr>
          <w:p w14:paraId="2A25898C"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3174</w:t>
            </w:r>
          </w:p>
        </w:tc>
        <w:tc>
          <w:tcPr>
            <w:tcW w:w="1047" w:type="dxa"/>
            <w:tcBorders>
              <w:top w:val="nil"/>
              <w:left w:val="nil"/>
              <w:bottom w:val="single" w:sz="8" w:space="0" w:color="auto"/>
              <w:right w:val="single" w:sz="8" w:space="0" w:color="auto"/>
            </w:tcBorders>
            <w:shd w:val="clear" w:color="auto" w:fill="auto"/>
            <w:vAlign w:val="center"/>
          </w:tcPr>
          <w:p w14:paraId="7D1A828B"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70809</w:t>
            </w:r>
          </w:p>
        </w:tc>
      </w:tr>
      <w:tr w:rsidR="00F57B54" w:rsidRPr="00F32542" w14:paraId="7350DA41" w14:textId="77777777" w:rsidTr="00B65D24">
        <w:trPr>
          <w:jc w:val="center"/>
        </w:trPr>
        <w:tc>
          <w:tcPr>
            <w:tcW w:w="1009" w:type="dxa"/>
            <w:shd w:val="clear" w:color="auto" w:fill="AEAAAA"/>
            <w:vAlign w:val="center"/>
          </w:tcPr>
          <w:p w14:paraId="43BF9147" w14:textId="77777777" w:rsidR="00F57B54" w:rsidRPr="00F32542" w:rsidRDefault="00F57B54" w:rsidP="00F57B5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PT</w:t>
            </w:r>
          </w:p>
        </w:tc>
        <w:tc>
          <w:tcPr>
            <w:tcW w:w="956" w:type="dxa"/>
            <w:tcBorders>
              <w:top w:val="nil"/>
              <w:left w:val="nil"/>
              <w:bottom w:val="single" w:sz="8" w:space="0" w:color="000000"/>
              <w:right w:val="single" w:sz="8" w:space="0" w:color="000000"/>
            </w:tcBorders>
            <w:shd w:val="clear" w:color="000000" w:fill="FFFFFF"/>
            <w:vAlign w:val="center"/>
          </w:tcPr>
          <w:p w14:paraId="27352564"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86512</w:t>
            </w:r>
          </w:p>
        </w:tc>
        <w:tc>
          <w:tcPr>
            <w:tcW w:w="791" w:type="dxa"/>
            <w:tcBorders>
              <w:top w:val="nil"/>
              <w:left w:val="single" w:sz="4" w:space="0" w:color="auto"/>
              <w:bottom w:val="single" w:sz="4" w:space="0" w:color="auto"/>
              <w:right w:val="single" w:sz="4" w:space="0" w:color="auto"/>
            </w:tcBorders>
            <w:shd w:val="clear" w:color="000000" w:fill="FFFFFF"/>
            <w:vAlign w:val="bottom"/>
          </w:tcPr>
          <w:p w14:paraId="3CE82394"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2135</w:t>
            </w:r>
          </w:p>
        </w:tc>
        <w:tc>
          <w:tcPr>
            <w:tcW w:w="876" w:type="dxa"/>
            <w:tcBorders>
              <w:top w:val="nil"/>
              <w:left w:val="nil"/>
              <w:bottom w:val="single" w:sz="8" w:space="0" w:color="auto"/>
              <w:right w:val="single" w:sz="8" w:space="0" w:color="auto"/>
            </w:tcBorders>
            <w:shd w:val="clear" w:color="000000" w:fill="FFFFFF"/>
            <w:vAlign w:val="center"/>
          </w:tcPr>
          <w:p w14:paraId="30A9ABB9"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2383</w:t>
            </w:r>
          </w:p>
        </w:tc>
        <w:tc>
          <w:tcPr>
            <w:tcW w:w="750" w:type="dxa"/>
            <w:tcBorders>
              <w:top w:val="nil"/>
              <w:left w:val="nil"/>
              <w:bottom w:val="single" w:sz="8" w:space="0" w:color="auto"/>
              <w:right w:val="single" w:sz="8" w:space="0" w:color="auto"/>
            </w:tcBorders>
            <w:shd w:val="clear" w:color="000000" w:fill="FFFFFF"/>
            <w:vAlign w:val="center"/>
          </w:tcPr>
          <w:p w14:paraId="782DB291"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2893</w:t>
            </w:r>
          </w:p>
        </w:tc>
        <w:tc>
          <w:tcPr>
            <w:tcW w:w="795" w:type="dxa"/>
            <w:tcBorders>
              <w:top w:val="nil"/>
              <w:left w:val="nil"/>
              <w:bottom w:val="single" w:sz="8" w:space="0" w:color="auto"/>
              <w:right w:val="single" w:sz="8" w:space="0" w:color="auto"/>
            </w:tcBorders>
            <w:shd w:val="clear" w:color="auto" w:fill="auto"/>
            <w:vAlign w:val="center"/>
          </w:tcPr>
          <w:p w14:paraId="0C286721"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lang w:val="es-ES"/>
              </w:rPr>
              <w:t>2750</w:t>
            </w:r>
          </w:p>
        </w:tc>
        <w:tc>
          <w:tcPr>
            <w:tcW w:w="857" w:type="dxa"/>
            <w:tcBorders>
              <w:top w:val="nil"/>
              <w:left w:val="nil"/>
              <w:bottom w:val="single" w:sz="8" w:space="0" w:color="auto"/>
              <w:right w:val="single" w:sz="8" w:space="0" w:color="auto"/>
            </w:tcBorders>
            <w:shd w:val="clear" w:color="000000" w:fill="FFFFFF"/>
            <w:vAlign w:val="center"/>
          </w:tcPr>
          <w:p w14:paraId="0509199C"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2945</w:t>
            </w:r>
          </w:p>
        </w:tc>
        <w:tc>
          <w:tcPr>
            <w:tcW w:w="857" w:type="dxa"/>
            <w:tcBorders>
              <w:top w:val="nil"/>
              <w:left w:val="nil"/>
              <w:bottom w:val="single" w:sz="8" w:space="0" w:color="auto"/>
              <w:right w:val="single" w:sz="8" w:space="0" w:color="auto"/>
            </w:tcBorders>
            <w:shd w:val="clear" w:color="000000" w:fill="FFFFFF"/>
            <w:vAlign w:val="center"/>
          </w:tcPr>
          <w:p w14:paraId="49282720"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3579</w:t>
            </w:r>
          </w:p>
        </w:tc>
        <w:tc>
          <w:tcPr>
            <w:tcW w:w="762" w:type="dxa"/>
            <w:tcBorders>
              <w:top w:val="nil"/>
              <w:left w:val="single" w:sz="4" w:space="0" w:color="auto"/>
              <w:bottom w:val="single" w:sz="4" w:space="0" w:color="auto"/>
              <w:right w:val="single" w:sz="4" w:space="0" w:color="auto"/>
            </w:tcBorders>
            <w:shd w:val="clear" w:color="000000" w:fill="FFFFFF"/>
            <w:vAlign w:val="bottom"/>
          </w:tcPr>
          <w:p w14:paraId="2471CBF8"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2764</w:t>
            </w:r>
          </w:p>
        </w:tc>
        <w:tc>
          <w:tcPr>
            <w:tcW w:w="762" w:type="dxa"/>
            <w:tcBorders>
              <w:top w:val="nil"/>
              <w:left w:val="nil"/>
              <w:bottom w:val="single" w:sz="8" w:space="0" w:color="auto"/>
              <w:right w:val="single" w:sz="8" w:space="0" w:color="auto"/>
            </w:tcBorders>
            <w:shd w:val="clear" w:color="000000" w:fill="FFFFFF"/>
            <w:vAlign w:val="center"/>
          </w:tcPr>
          <w:p w14:paraId="3CAABEAA"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2828</w:t>
            </w:r>
          </w:p>
        </w:tc>
        <w:tc>
          <w:tcPr>
            <w:tcW w:w="795" w:type="dxa"/>
            <w:tcBorders>
              <w:top w:val="nil"/>
              <w:left w:val="nil"/>
              <w:bottom w:val="single" w:sz="8" w:space="0" w:color="auto"/>
              <w:right w:val="single" w:sz="8" w:space="0" w:color="auto"/>
            </w:tcBorders>
            <w:shd w:val="clear" w:color="auto" w:fill="auto"/>
            <w:vAlign w:val="center"/>
          </w:tcPr>
          <w:p w14:paraId="7D6143DD"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lang w:val="es-ES"/>
              </w:rPr>
              <w:t>2537</w:t>
            </w:r>
          </w:p>
        </w:tc>
        <w:tc>
          <w:tcPr>
            <w:tcW w:w="772" w:type="dxa"/>
            <w:tcBorders>
              <w:top w:val="nil"/>
              <w:left w:val="single" w:sz="4" w:space="0" w:color="auto"/>
              <w:bottom w:val="single" w:sz="4" w:space="0" w:color="auto"/>
              <w:right w:val="single" w:sz="4" w:space="0" w:color="auto"/>
            </w:tcBorders>
            <w:shd w:val="clear" w:color="000000" w:fill="FFFFFF"/>
            <w:vAlign w:val="bottom"/>
          </w:tcPr>
          <w:p w14:paraId="177579C3"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2997</w:t>
            </w:r>
          </w:p>
        </w:tc>
        <w:tc>
          <w:tcPr>
            <w:tcW w:w="832" w:type="dxa"/>
            <w:tcBorders>
              <w:top w:val="nil"/>
              <w:left w:val="nil"/>
              <w:bottom w:val="single" w:sz="8" w:space="0" w:color="auto"/>
              <w:right w:val="single" w:sz="8" w:space="0" w:color="auto"/>
            </w:tcBorders>
            <w:shd w:val="clear" w:color="000000" w:fill="FFFFFF"/>
            <w:vAlign w:val="center"/>
          </w:tcPr>
          <w:p w14:paraId="10CCE6B7"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2373</w:t>
            </w:r>
          </w:p>
        </w:tc>
        <w:tc>
          <w:tcPr>
            <w:tcW w:w="762" w:type="dxa"/>
            <w:tcBorders>
              <w:top w:val="nil"/>
              <w:left w:val="nil"/>
              <w:bottom w:val="single" w:sz="8" w:space="0" w:color="auto"/>
              <w:right w:val="single" w:sz="8" w:space="0" w:color="auto"/>
            </w:tcBorders>
            <w:shd w:val="clear" w:color="000000" w:fill="FFFFFF"/>
            <w:vAlign w:val="center"/>
          </w:tcPr>
          <w:p w14:paraId="1FBBA8CA"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3443</w:t>
            </w:r>
          </w:p>
        </w:tc>
        <w:tc>
          <w:tcPr>
            <w:tcW w:w="760" w:type="dxa"/>
            <w:tcBorders>
              <w:top w:val="nil"/>
              <w:left w:val="nil"/>
              <w:bottom w:val="single" w:sz="8" w:space="0" w:color="auto"/>
              <w:right w:val="single" w:sz="8" w:space="0" w:color="auto"/>
            </w:tcBorders>
            <w:shd w:val="clear" w:color="auto" w:fill="auto"/>
            <w:vAlign w:val="center"/>
          </w:tcPr>
          <w:p w14:paraId="7D470A99"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2588</w:t>
            </w:r>
          </w:p>
        </w:tc>
        <w:tc>
          <w:tcPr>
            <w:tcW w:w="792" w:type="dxa"/>
            <w:tcBorders>
              <w:top w:val="nil"/>
              <w:left w:val="nil"/>
              <w:bottom w:val="single" w:sz="8" w:space="0" w:color="auto"/>
              <w:right w:val="single" w:sz="8" w:space="0" w:color="auto"/>
            </w:tcBorders>
            <w:shd w:val="clear" w:color="000000" w:fill="FFFFFF"/>
            <w:vAlign w:val="center"/>
          </w:tcPr>
          <w:p w14:paraId="296E78C8"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3295</w:t>
            </w:r>
          </w:p>
        </w:tc>
        <w:tc>
          <w:tcPr>
            <w:tcW w:w="1047" w:type="dxa"/>
            <w:tcBorders>
              <w:top w:val="nil"/>
              <w:left w:val="nil"/>
              <w:bottom w:val="single" w:sz="8" w:space="0" w:color="auto"/>
              <w:right w:val="single" w:sz="8" w:space="0" w:color="auto"/>
            </w:tcBorders>
            <w:shd w:val="clear" w:color="auto" w:fill="auto"/>
            <w:vAlign w:val="center"/>
          </w:tcPr>
          <w:p w14:paraId="0E1C6B66"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47002</w:t>
            </w:r>
          </w:p>
        </w:tc>
      </w:tr>
      <w:tr w:rsidR="00F57B54" w:rsidRPr="00F32542" w14:paraId="1C38F3A6" w14:textId="77777777" w:rsidTr="00B65D24">
        <w:trPr>
          <w:jc w:val="center"/>
        </w:trPr>
        <w:tc>
          <w:tcPr>
            <w:tcW w:w="1009" w:type="dxa"/>
            <w:shd w:val="clear" w:color="auto" w:fill="AEAAAA"/>
            <w:vAlign w:val="center"/>
          </w:tcPr>
          <w:p w14:paraId="7FD1E446" w14:textId="77777777" w:rsidR="00F57B54" w:rsidRPr="00F32542" w:rsidRDefault="00F57B54" w:rsidP="00F57B5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MC</w:t>
            </w:r>
          </w:p>
        </w:tc>
        <w:tc>
          <w:tcPr>
            <w:tcW w:w="956" w:type="dxa"/>
            <w:tcBorders>
              <w:top w:val="nil"/>
              <w:left w:val="nil"/>
              <w:bottom w:val="single" w:sz="8" w:space="0" w:color="000000"/>
              <w:right w:val="single" w:sz="8" w:space="0" w:color="000000"/>
            </w:tcBorders>
            <w:shd w:val="clear" w:color="000000" w:fill="FFFFFF"/>
            <w:vAlign w:val="center"/>
          </w:tcPr>
          <w:p w14:paraId="322F4A97"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141057</w:t>
            </w:r>
          </w:p>
        </w:tc>
        <w:tc>
          <w:tcPr>
            <w:tcW w:w="791" w:type="dxa"/>
            <w:tcBorders>
              <w:top w:val="nil"/>
              <w:left w:val="single" w:sz="4" w:space="0" w:color="auto"/>
              <w:bottom w:val="single" w:sz="4" w:space="0" w:color="auto"/>
              <w:right w:val="single" w:sz="4" w:space="0" w:color="auto"/>
            </w:tcBorders>
            <w:shd w:val="clear" w:color="000000" w:fill="FFFFFF"/>
            <w:vAlign w:val="bottom"/>
          </w:tcPr>
          <w:p w14:paraId="5B4D51C1"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2821</w:t>
            </w:r>
          </w:p>
        </w:tc>
        <w:tc>
          <w:tcPr>
            <w:tcW w:w="876" w:type="dxa"/>
            <w:tcBorders>
              <w:top w:val="nil"/>
              <w:left w:val="nil"/>
              <w:bottom w:val="single" w:sz="8" w:space="0" w:color="auto"/>
              <w:right w:val="single" w:sz="8" w:space="0" w:color="auto"/>
            </w:tcBorders>
            <w:shd w:val="clear" w:color="000000" w:fill="FFFFFF"/>
            <w:vAlign w:val="center"/>
          </w:tcPr>
          <w:p w14:paraId="40463D38"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3156</w:t>
            </w:r>
          </w:p>
        </w:tc>
        <w:tc>
          <w:tcPr>
            <w:tcW w:w="750" w:type="dxa"/>
            <w:tcBorders>
              <w:top w:val="nil"/>
              <w:left w:val="nil"/>
              <w:bottom w:val="single" w:sz="8" w:space="0" w:color="auto"/>
              <w:right w:val="single" w:sz="8" w:space="0" w:color="auto"/>
            </w:tcBorders>
            <w:shd w:val="clear" w:color="000000" w:fill="FFFFFF"/>
            <w:vAlign w:val="center"/>
          </w:tcPr>
          <w:p w14:paraId="61A75A98"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4123</w:t>
            </w:r>
          </w:p>
        </w:tc>
        <w:tc>
          <w:tcPr>
            <w:tcW w:w="795" w:type="dxa"/>
            <w:tcBorders>
              <w:top w:val="nil"/>
              <w:left w:val="nil"/>
              <w:bottom w:val="single" w:sz="8" w:space="0" w:color="auto"/>
              <w:right w:val="single" w:sz="8" w:space="0" w:color="auto"/>
            </w:tcBorders>
            <w:shd w:val="clear" w:color="auto" w:fill="auto"/>
            <w:vAlign w:val="center"/>
          </w:tcPr>
          <w:p w14:paraId="6C4B5D78"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lang w:val="es-ES"/>
              </w:rPr>
              <w:t>4359</w:t>
            </w:r>
          </w:p>
        </w:tc>
        <w:tc>
          <w:tcPr>
            <w:tcW w:w="857" w:type="dxa"/>
            <w:tcBorders>
              <w:top w:val="nil"/>
              <w:left w:val="nil"/>
              <w:bottom w:val="single" w:sz="8" w:space="0" w:color="auto"/>
              <w:right w:val="single" w:sz="8" w:space="0" w:color="auto"/>
            </w:tcBorders>
            <w:shd w:val="clear" w:color="000000" w:fill="FFFFFF"/>
            <w:vAlign w:val="center"/>
          </w:tcPr>
          <w:p w14:paraId="224DC626"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4771</w:t>
            </w:r>
          </w:p>
        </w:tc>
        <w:tc>
          <w:tcPr>
            <w:tcW w:w="857" w:type="dxa"/>
            <w:tcBorders>
              <w:top w:val="nil"/>
              <w:left w:val="nil"/>
              <w:bottom w:val="single" w:sz="8" w:space="0" w:color="auto"/>
              <w:right w:val="single" w:sz="8" w:space="0" w:color="auto"/>
            </w:tcBorders>
            <w:shd w:val="clear" w:color="000000" w:fill="FFFFFF"/>
            <w:vAlign w:val="center"/>
          </w:tcPr>
          <w:p w14:paraId="1CB75588"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5114</w:t>
            </w:r>
          </w:p>
        </w:tc>
        <w:tc>
          <w:tcPr>
            <w:tcW w:w="762" w:type="dxa"/>
            <w:tcBorders>
              <w:top w:val="nil"/>
              <w:left w:val="single" w:sz="4" w:space="0" w:color="auto"/>
              <w:bottom w:val="single" w:sz="4" w:space="0" w:color="auto"/>
              <w:right w:val="single" w:sz="4" w:space="0" w:color="auto"/>
            </w:tcBorders>
            <w:shd w:val="clear" w:color="000000" w:fill="FFFFFF"/>
            <w:vAlign w:val="bottom"/>
          </w:tcPr>
          <w:p w14:paraId="4058FEF3"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3496</w:t>
            </w:r>
          </w:p>
        </w:tc>
        <w:tc>
          <w:tcPr>
            <w:tcW w:w="762" w:type="dxa"/>
            <w:tcBorders>
              <w:top w:val="nil"/>
              <w:left w:val="nil"/>
              <w:bottom w:val="single" w:sz="8" w:space="0" w:color="auto"/>
              <w:right w:val="single" w:sz="8" w:space="0" w:color="auto"/>
            </w:tcBorders>
            <w:shd w:val="clear" w:color="000000" w:fill="FFFFFF"/>
            <w:vAlign w:val="center"/>
          </w:tcPr>
          <w:p w14:paraId="31398120"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6099</w:t>
            </w:r>
          </w:p>
        </w:tc>
        <w:tc>
          <w:tcPr>
            <w:tcW w:w="795" w:type="dxa"/>
            <w:tcBorders>
              <w:top w:val="nil"/>
              <w:left w:val="nil"/>
              <w:bottom w:val="single" w:sz="8" w:space="0" w:color="auto"/>
              <w:right w:val="single" w:sz="8" w:space="0" w:color="auto"/>
            </w:tcBorders>
            <w:shd w:val="clear" w:color="auto" w:fill="auto"/>
            <w:vAlign w:val="center"/>
          </w:tcPr>
          <w:p w14:paraId="061B8218"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lang w:val="es-ES"/>
              </w:rPr>
              <w:t>3822</w:t>
            </w:r>
          </w:p>
        </w:tc>
        <w:tc>
          <w:tcPr>
            <w:tcW w:w="772" w:type="dxa"/>
            <w:tcBorders>
              <w:top w:val="nil"/>
              <w:left w:val="single" w:sz="4" w:space="0" w:color="auto"/>
              <w:bottom w:val="single" w:sz="4" w:space="0" w:color="auto"/>
              <w:right w:val="single" w:sz="4" w:space="0" w:color="auto"/>
            </w:tcBorders>
            <w:shd w:val="clear" w:color="000000" w:fill="FFFFFF"/>
            <w:vAlign w:val="bottom"/>
          </w:tcPr>
          <w:p w14:paraId="685A818C"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3047</w:t>
            </w:r>
          </w:p>
        </w:tc>
        <w:tc>
          <w:tcPr>
            <w:tcW w:w="832" w:type="dxa"/>
            <w:tcBorders>
              <w:top w:val="nil"/>
              <w:left w:val="nil"/>
              <w:bottom w:val="single" w:sz="8" w:space="0" w:color="auto"/>
              <w:right w:val="single" w:sz="8" w:space="0" w:color="auto"/>
            </w:tcBorders>
            <w:shd w:val="clear" w:color="000000" w:fill="FFFFFF"/>
            <w:vAlign w:val="center"/>
          </w:tcPr>
          <w:p w14:paraId="7328C5DA"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2920</w:t>
            </w:r>
          </w:p>
        </w:tc>
        <w:tc>
          <w:tcPr>
            <w:tcW w:w="762" w:type="dxa"/>
            <w:tcBorders>
              <w:top w:val="nil"/>
              <w:left w:val="nil"/>
              <w:bottom w:val="single" w:sz="8" w:space="0" w:color="auto"/>
              <w:right w:val="single" w:sz="8" w:space="0" w:color="auto"/>
            </w:tcBorders>
            <w:shd w:val="clear" w:color="000000" w:fill="FFFFFF"/>
            <w:vAlign w:val="center"/>
          </w:tcPr>
          <w:p w14:paraId="7E3B2EE8"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3771</w:t>
            </w:r>
          </w:p>
        </w:tc>
        <w:tc>
          <w:tcPr>
            <w:tcW w:w="760" w:type="dxa"/>
            <w:tcBorders>
              <w:top w:val="nil"/>
              <w:left w:val="nil"/>
              <w:bottom w:val="single" w:sz="8" w:space="0" w:color="auto"/>
              <w:right w:val="single" w:sz="8" w:space="0" w:color="auto"/>
            </w:tcBorders>
            <w:shd w:val="clear" w:color="auto" w:fill="auto"/>
            <w:vAlign w:val="center"/>
          </w:tcPr>
          <w:p w14:paraId="3F837E15"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3720</w:t>
            </w:r>
          </w:p>
        </w:tc>
        <w:tc>
          <w:tcPr>
            <w:tcW w:w="792" w:type="dxa"/>
            <w:tcBorders>
              <w:top w:val="nil"/>
              <w:left w:val="nil"/>
              <w:bottom w:val="single" w:sz="8" w:space="0" w:color="auto"/>
              <w:right w:val="single" w:sz="8" w:space="0" w:color="auto"/>
            </w:tcBorders>
            <w:shd w:val="clear" w:color="000000" w:fill="FFFFFF"/>
            <w:vAlign w:val="center"/>
          </w:tcPr>
          <w:p w14:paraId="3288B296"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4798</w:t>
            </w:r>
          </w:p>
        </w:tc>
        <w:tc>
          <w:tcPr>
            <w:tcW w:w="1047" w:type="dxa"/>
            <w:tcBorders>
              <w:top w:val="nil"/>
              <w:left w:val="nil"/>
              <w:bottom w:val="single" w:sz="8" w:space="0" w:color="auto"/>
              <w:right w:val="single" w:sz="8" w:space="0" w:color="auto"/>
            </w:tcBorders>
            <w:shd w:val="clear" w:color="auto" w:fill="auto"/>
            <w:vAlign w:val="center"/>
          </w:tcPr>
          <w:p w14:paraId="4137FEDB"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85040</w:t>
            </w:r>
          </w:p>
        </w:tc>
      </w:tr>
      <w:tr w:rsidR="00F57B54" w:rsidRPr="00F32542" w14:paraId="2BF4F870" w14:textId="77777777" w:rsidTr="00B65D24">
        <w:trPr>
          <w:jc w:val="center"/>
        </w:trPr>
        <w:tc>
          <w:tcPr>
            <w:tcW w:w="1009" w:type="dxa"/>
            <w:shd w:val="clear" w:color="auto" w:fill="AEAAAA" w:themeFill="background2" w:themeFillShade="BF"/>
            <w:vAlign w:val="center"/>
          </w:tcPr>
          <w:p w14:paraId="4FE7E3D9" w14:textId="77777777" w:rsidR="00F57B54" w:rsidRPr="00F32542" w:rsidRDefault="00F57B54" w:rsidP="00F57B5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MORENA</w:t>
            </w:r>
          </w:p>
        </w:tc>
        <w:tc>
          <w:tcPr>
            <w:tcW w:w="956" w:type="dxa"/>
            <w:tcBorders>
              <w:top w:val="nil"/>
              <w:left w:val="nil"/>
              <w:bottom w:val="single" w:sz="8" w:space="0" w:color="000000"/>
              <w:right w:val="single" w:sz="8" w:space="0" w:color="000000"/>
            </w:tcBorders>
            <w:shd w:val="clear" w:color="auto" w:fill="auto"/>
            <w:vAlign w:val="center"/>
          </w:tcPr>
          <w:p w14:paraId="0E1CCCAF"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1523516</w:t>
            </w:r>
          </w:p>
        </w:tc>
        <w:tc>
          <w:tcPr>
            <w:tcW w:w="791" w:type="dxa"/>
            <w:tcBorders>
              <w:top w:val="nil"/>
              <w:left w:val="single" w:sz="4" w:space="0" w:color="auto"/>
              <w:bottom w:val="single" w:sz="4" w:space="0" w:color="auto"/>
              <w:right w:val="single" w:sz="4" w:space="0" w:color="auto"/>
            </w:tcBorders>
            <w:shd w:val="clear" w:color="auto" w:fill="auto"/>
            <w:vAlign w:val="bottom"/>
          </w:tcPr>
          <w:p w14:paraId="01E508AE"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53747</w:t>
            </w:r>
          </w:p>
        </w:tc>
        <w:tc>
          <w:tcPr>
            <w:tcW w:w="876" w:type="dxa"/>
            <w:tcBorders>
              <w:top w:val="nil"/>
              <w:left w:val="nil"/>
              <w:bottom w:val="single" w:sz="8" w:space="0" w:color="auto"/>
              <w:right w:val="single" w:sz="8" w:space="0" w:color="auto"/>
            </w:tcBorders>
            <w:shd w:val="clear" w:color="auto" w:fill="auto"/>
            <w:vAlign w:val="center"/>
          </w:tcPr>
          <w:p w14:paraId="4A8AAA0A"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49863</w:t>
            </w:r>
          </w:p>
        </w:tc>
        <w:tc>
          <w:tcPr>
            <w:tcW w:w="750" w:type="dxa"/>
            <w:tcBorders>
              <w:top w:val="nil"/>
              <w:left w:val="nil"/>
              <w:bottom w:val="single" w:sz="8" w:space="0" w:color="auto"/>
              <w:right w:val="single" w:sz="8" w:space="0" w:color="auto"/>
            </w:tcBorders>
            <w:shd w:val="clear" w:color="auto" w:fill="auto"/>
            <w:vAlign w:val="center"/>
          </w:tcPr>
          <w:p w14:paraId="44AA2FA1"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56885</w:t>
            </w:r>
          </w:p>
        </w:tc>
        <w:tc>
          <w:tcPr>
            <w:tcW w:w="795" w:type="dxa"/>
            <w:tcBorders>
              <w:top w:val="nil"/>
              <w:left w:val="nil"/>
              <w:bottom w:val="single" w:sz="8" w:space="0" w:color="auto"/>
              <w:right w:val="single" w:sz="8" w:space="0" w:color="auto"/>
            </w:tcBorders>
            <w:shd w:val="clear" w:color="auto" w:fill="auto"/>
            <w:vAlign w:val="center"/>
          </w:tcPr>
          <w:p w14:paraId="4FF216D8"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lang w:val="es-ES"/>
              </w:rPr>
              <w:t>52544</w:t>
            </w:r>
          </w:p>
        </w:tc>
        <w:tc>
          <w:tcPr>
            <w:tcW w:w="857" w:type="dxa"/>
            <w:tcBorders>
              <w:top w:val="nil"/>
              <w:left w:val="nil"/>
              <w:bottom w:val="single" w:sz="8" w:space="0" w:color="auto"/>
              <w:right w:val="single" w:sz="8" w:space="0" w:color="auto"/>
            </w:tcBorders>
            <w:shd w:val="clear" w:color="auto" w:fill="auto"/>
            <w:vAlign w:val="center"/>
          </w:tcPr>
          <w:p w14:paraId="156330C4"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61569</w:t>
            </w:r>
          </w:p>
        </w:tc>
        <w:tc>
          <w:tcPr>
            <w:tcW w:w="857" w:type="dxa"/>
            <w:tcBorders>
              <w:top w:val="nil"/>
              <w:left w:val="nil"/>
              <w:bottom w:val="single" w:sz="8" w:space="0" w:color="auto"/>
              <w:right w:val="single" w:sz="8" w:space="0" w:color="auto"/>
            </w:tcBorders>
            <w:shd w:val="clear" w:color="auto" w:fill="auto"/>
            <w:vAlign w:val="center"/>
          </w:tcPr>
          <w:p w14:paraId="19528FF2"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42001</w:t>
            </w:r>
          </w:p>
        </w:tc>
        <w:tc>
          <w:tcPr>
            <w:tcW w:w="762" w:type="dxa"/>
            <w:tcBorders>
              <w:top w:val="nil"/>
              <w:left w:val="single" w:sz="4" w:space="0" w:color="auto"/>
              <w:bottom w:val="single" w:sz="4" w:space="0" w:color="auto"/>
              <w:right w:val="single" w:sz="4" w:space="0" w:color="auto"/>
            </w:tcBorders>
            <w:shd w:val="clear" w:color="auto" w:fill="auto"/>
            <w:vAlign w:val="bottom"/>
          </w:tcPr>
          <w:p w14:paraId="0F68E7FF"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43739</w:t>
            </w:r>
          </w:p>
        </w:tc>
        <w:tc>
          <w:tcPr>
            <w:tcW w:w="762" w:type="dxa"/>
            <w:tcBorders>
              <w:top w:val="nil"/>
              <w:left w:val="nil"/>
              <w:bottom w:val="single" w:sz="8" w:space="0" w:color="auto"/>
              <w:right w:val="single" w:sz="8" w:space="0" w:color="auto"/>
            </w:tcBorders>
            <w:shd w:val="clear" w:color="auto" w:fill="auto"/>
            <w:vAlign w:val="center"/>
          </w:tcPr>
          <w:p w14:paraId="4698D423"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59574</w:t>
            </w:r>
          </w:p>
        </w:tc>
        <w:tc>
          <w:tcPr>
            <w:tcW w:w="795" w:type="dxa"/>
            <w:tcBorders>
              <w:top w:val="nil"/>
              <w:left w:val="nil"/>
              <w:bottom w:val="single" w:sz="8" w:space="0" w:color="auto"/>
              <w:right w:val="single" w:sz="8" w:space="0" w:color="auto"/>
            </w:tcBorders>
            <w:shd w:val="clear" w:color="auto" w:fill="auto"/>
            <w:vAlign w:val="center"/>
          </w:tcPr>
          <w:p w14:paraId="700F2CE3"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lang w:val="es-ES"/>
              </w:rPr>
              <w:t>48872</w:t>
            </w:r>
          </w:p>
        </w:tc>
        <w:tc>
          <w:tcPr>
            <w:tcW w:w="772" w:type="dxa"/>
            <w:tcBorders>
              <w:top w:val="nil"/>
              <w:left w:val="single" w:sz="4" w:space="0" w:color="auto"/>
              <w:bottom w:val="single" w:sz="4" w:space="0" w:color="auto"/>
              <w:right w:val="single" w:sz="4" w:space="0" w:color="auto"/>
            </w:tcBorders>
            <w:shd w:val="clear" w:color="auto" w:fill="auto"/>
            <w:vAlign w:val="bottom"/>
          </w:tcPr>
          <w:p w14:paraId="1139E911"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45833</w:t>
            </w:r>
          </w:p>
        </w:tc>
        <w:tc>
          <w:tcPr>
            <w:tcW w:w="832" w:type="dxa"/>
            <w:tcBorders>
              <w:top w:val="nil"/>
              <w:left w:val="nil"/>
              <w:bottom w:val="single" w:sz="8" w:space="0" w:color="auto"/>
              <w:right w:val="single" w:sz="8" w:space="0" w:color="auto"/>
            </w:tcBorders>
            <w:shd w:val="clear" w:color="auto" w:fill="auto"/>
            <w:vAlign w:val="center"/>
          </w:tcPr>
          <w:p w14:paraId="75AEFA87"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45787</w:t>
            </w:r>
          </w:p>
        </w:tc>
        <w:tc>
          <w:tcPr>
            <w:tcW w:w="762" w:type="dxa"/>
            <w:tcBorders>
              <w:top w:val="nil"/>
              <w:left w:val="nil"/>
              <w:bottom w:val="single" w:sz="8" w:space="0" w:color="auto"/>
              <w:right w:val="single" w:sz="8" w:space="0" w:color="auto"/>
            </w:tcBorders>
            <w:shd w:val="clear" w:color="auto" w:fill="auto"/>
            <w:vAlign w:val="center"/>
          </w:tcPr>
          <w:p w14:paraId="54CE0693"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41378</w:t>
            </w:r>
          </w:p>
        </w:tc>
        <w:tc>
          <w:tcPr>
            <w:tcW w:w="760" w:type="dxa"/>
            <w:tcBorders>
              <w:top w:val="nil"/>
              <w:left w:val="nil"/>
              <w:bottom w:val="single" w:sz="8" w:space="0" w:color="auto"/>
              <w:right w:val="single" w:sz="8" w:space="0" w:color="auto"/>
            </w:tcBorders>
            <w:shd w:val="clear" w:color="auto" w:fill="auto"/>
            <w:vAlign w:val="center"/>
          </w:tcPr>
          <w:p w14:paraId="7EDF2737"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44644</w:t>
            </w:r>
          </w:p>
        </w:tc>
        <w:tc>
          <w:tcPr>
            <w:tcW w:w="792" w:type="dxa"/>
            <w:tcBorders>
              <w:top w:val="nil"/>
              <w:left w:val="nil"/>
              <w:bottom w:val="single" w:sz="8" w:space="0" w:color="auto"/>
              <w:right w:val="single" w:sz="8" w:space="0" w:color="auto"/>
            </w:tcBorders>
            <w:shd w:val="clear" w:color="auto" w:fill="auto"/>
            <w:vAlign w:val="center"/>
          </w:tcPr>
          <w:p w14:paraId="51F065CF"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56692</w:t>
            </w:r>
          </w:p>
        </w:tc>
        <w:tc>
          <w:tcPr>
            <w:tcW w:w="1047" w:type="dxa"/>
            <w:tcBorders>
              <w:top w:val="nil"/>
              <w:left w:val="nil"/>
              <w:bottom w:val="single" w:sz="8" w:space="0" w:color="auto"/>
              <w:right w:val="single" w:sz="8" w:space="0" w:color="auto"/>
            </w:tcBorders>
            <w:shd w:val="clear" w:color="auto" w:fill="auto"/>
            <w:vAlign w:val="center"/>
          </w:tcPr>
          <w:p w14:paraId="0E7EA7B8"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820388</w:t>
            </w:r>
          </w:p>
        </w:tc>
      </w:tr>
      <w:tr w:rsidR="00F57B54" w:rsidRPr="00F32542" w14:paraId="1CFF938D" w14:textId="77777777" w:rsidTr="00B65D24">
        <w:trPr>
          <w:jc w:val="center"/>
        </w:trPr>
        <w:tc>
          <w:tcPr>
            <w:tcW w:w="1009" w:type="dxa"/>
            <w:shd w:val="clear" w:color="auto" w:fill="AEAAAA"/>
            <w:vAlign w:val="center"/>
          </w:tcPr>
          <w:p w14:paraId="6FEBBC2C" w14:textId="77777777" w:rsidR="00F57B54" w:rsidRPr="00F32542" w:rsidRDefault="00F57B54" w:rsidP="00F57B5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ELIGE</w:t>
            </w:r>
          </w:p>
        </w:tc>
        <w:tc>
          <w:tcPr>
            <w:tcW w:w="956" w:type="dxa"/>
            <w:tcBorders>
              <w:top w:val="nil"/>
              <w:left w:val="nil"/>
              <w:bottom w:val="single" w:sz="8" w:space="0" w:color="000000"/>
              <w:right w:val="single" w:sz="8" w:space="0" w:color="000000"/>
            </w:tcBorders>
            <w:shd w:val="clear" w:color="000000" w:fill="FFFFFF"/>
            <w:vAlign w:val="center"/>
          </w:tcPr>
          <w:p w14:paraId="419EDBDF"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33713</w:t>
            </w:r>
          </w:p>
        </w:tc>
        <w:tc>
          <w:tcPr>
            <w:tcW w:w="791" w:type="dxa"/>
            <w:tcBorders>
              <w:top w:val="nil"/>
              <w:left w:val="single" w:sz="4" w:space="0" w:color="auto"/>
              <w:bottom w:val="single" w:sz="4" w:space="0" w:color="auto"/>
              <w:right w:val="single" w:sz="4" w:space="0" w:color="auto"/>
            </w:tcBorders>
            <w:shd w:val="clear" w:color="000000" w:fill="FFFFFF"/>
            <w:vAlign w:val="bottom"/>
          </w:tcPr>
          <w:p w14:paraId="0665C578"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1346</w:t>
            </w:r>
          </w:p>
        </w:tc>
        <w:tc>
          <w:tcPr>
            <w:tcW w:w="876" w:type="dxa"/>
            <w:tcBorders>
              <w:top w:val="nil"/>
              <w:left w:val="nil"/>
              <w:bottom w:val="single" w:sz="8" w:space="0" w:color="auto"/>
              <w:right w:val="single" w:sz="8" w:space="0" w:color="auto"/>
            </w:tcBorders>
            <w:shd w:val="clear" w:color="000000" w:fill="FFFFFF"/>
            <w:vAlign w:val="center"/>
          </w:tcPr>
          <w:p w14:paraId="09553CB4"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821</w:t>
            </w:r>
          </w:p>
        </w:tc>
        <w:tc>
          <w:tcPr>
            <w:tcW w:w="750" w:type="dxa"/>
            <w:tcBorders>
              <w:top w:val="nil"/>
              <w:left w:val="nil"/>
              <w:bottom w:val="single" w:sz="8" w:space="0" w:color="auto"/>
              <w:right w:val="single" w:sz="8" w:space="0" w:color="auto"/>
            </w:tcBorders>
            <w:shd w:val="clear" w:color="000000" w:fill="FFFFFF"/>
            <w:vAlign w:val="center"/>
          </w:tcPr>
          <w:p w14:paraId="26066A08"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1357</w:t>
            </w:r>
          </w:p>
        </w:tc>
        <w:tc>
          <w:tcPr>
            <w:tcW w:w="795" w:type="dxa"/>
            <w:tcBorders>
              <w:top w:val="nil"/>
              <w:left w:val="nil"/>
              <w:bottom w:val="single" w:sz="8" w:space="0" w:color="auto"/>
              <w:right w:val="single" w:sz="8" w:space="0" w:color="auto"/>
            </w:tcBorders>
            <w:shd w:val="clear" w:color="auto" w:fill="auto"/>
            <w:vAlign w:val="center"/>
          </w:tcPr>
          <w:p w14:paraId="5F1E87ED"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lang w:val="es-ES"/>
              </w:rPr>
              <w:t>1100</w:t>
            </w:r>
          </w:p>
        </w:tc>
        <w:tc>
          <w:tcPr>
            <w:tcW w:w="857" w:type="dxa"/>
            <w:tcBorders>
              <w:top w:val="nil"/>
              <w:left w:val="nil"/>
              <w:bottom w:val="single" w:sz="8" w:space="0" w:color="auto"/>
              <w:right w:val="single" w:sz="8" w:space="0" w:color="auto"/>
            </w:tcBorders>
            <w:shd w:val="clear" w:color="000000" w:fill="FFFFFF"/>
            <w:vAlign w:val="center"/>
          </w:tcPr>
          <w:p w14:paraId="315172D4"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1478</w:t>
            </w:r>
          </w:p>
        </w:tc>
        <w:tc>
          <w:tcPr>
            <w:tcW w:w="857" w:type="dxa"/>
            <w:tcBorders>
              <w:top w:val="nil"/>
              <w:left w:val="nil"/>
              <w:bottom w:val="single" w:sz="8" w:space="0" w:color="auto"/>
              <w:right w:val="single" w:sz="8" w:space="0" w:color="auto"/>
            </w:tcBorders>
            <w:shd w:val="clear" w:color="000000" w:fill="FFFFFF"/>
            <w:vAlign w:val="center"/>
          </w:tcPr>
          <w:p w14:paraId="1CAEFFCA"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1276</w:t>
            </w:r>
          </w:p>
        </w:tc>
        <w:tc>
          <w:tcPr>
            <w:tcW w:w="762" w:type="dxa"/>
            <w:tcBorders>
              <w:top w:val="nil"/>
              <w:left w:val="single" w:sz="4" w:space="0" w:color="auto"/>
              <w:bottom w:val="single" w:sz="4" w:space="0" w:color="auto"/>
              <w:right w:val="single" w:sz="4" w:space="0" w:color="auto"/>
            </w:tcBorders>
            <w:shd w:val="clear" w:color="000000" w:fill="FFFFFF"/>
            <w:vAlign w:val="bottom"/>
          </w:tcPr>
          <w:p w14:paraId="0097BAE2"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783</w:t>
            </w:r>
          </w:p>
        </w:tc>
        <w:tc>
          <w:tcPr>
            <w:tcW w:w="762" w:type="dxa"/>
            <w:tcBorders>
              <w:top w:val="nil"/>
              <w:left w:val="nil"/>
              <w:bottom w:val="single" w:sz="8" w:space="0" w:color="auto"/>
              <w:right w:val="single" w:sz="8" w:space="0" w:color="auto"/>
            </w:tcBorders>
            <w:shd w:val="clear" w:color="000000" w:fill="FFFFFF"/>
            <w:vAlign w:val="center"/>
          </w:tcPr>
          <w:p w14:paraId="57E9230D"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1031</w:t>
            </w:r>
          </w:p>
        </w:tc>
        <w:tc>
          <w:tcPr>
            <w:tcW w:w="795" w:type="dxa"/>
            <w:tcBorders>
              <w:top w:val="nil"/>
              <w:left w:val="nil"/>
              <w:bottom w:val="single" w:sz="8" w:space="0" w:color="auto"/>
              <w:right w:val="single" w:sz="8" w:space="0" w:color="auto"/>
            </w:tcBorders>
            <w:shd w:val="clear" w:color="auto" w:fill="auto"/>
            <w:vAlign w:val="center"/>
          </w:tcPr>
          <w:p w14:paraId="25F29759"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lang w:val="es-ES"/>
              </w:rPr>
              <w:t>1339</w:t>
            </w:r>
          </w:p>
        </w:tc>
        <w:tc>
          <w:tcPr>
            <w:tcW w:w="772" w:type="dxa"/>
            <w:tcBorders>
              <w:top w:val="nil"/>
              <w:left w:val="single" w:sz="4" w:space="0" w:color="auto"/>
              <w:bottom w:val="single" w:sz="4" w:space="0" w:color="auto"/>
              <w:right w:val="single" w:sz="4" w:space="0" w:color="auto"/>
            </w:tcBorders>
            <w:shd w:val="clear" w:color="000000" w:fill="FFFFFF"/>
            <w:vAlign w:val="bottom"/>
          </w:tcPr>
          <w:p w14:paraId="66A4E64E"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810</w:t>
            </w:r>
          </w:p>
        </w:tc>
        <w:tc>
          <w:tcPr>
            <w:tcW w:w="832" w:type="dxa"/>
            <w:tcBorders>
              <w:top w:val="nil"/>
              <w:left w:val="nil"/>
              <w:bottom w:val="single" w:sz="8" w:space="0" w:color="auto"/>
              <w:right w:val="single" w:sz="8" w:space="0" w:color="auto"/>
            </w:tcBorders>
            <w:shd w:val="clear" w:color="000000" w:fill="FFFFFF"/>
            <w:vAlign w:val="center"/>
          </w:tcPr>
          <w:p w14:paraId="5F242848"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890</w:t>
            </w:r>
          </w:p>
        </w:tc>
        <w:tc>
          <w:tcPr>
            <w:tcW w:w="762" w:type="dxa"/>
            <w:tcBorders>
              <w:top w:val="nil"/>
              <w:left w:val="nil"/>
              <w:bottom w:val="single" w:sz="8" w:space="0" w:color="auto"/>
              <w:right w:val="single" w:sz="8" w:space="0" w:color="auto"/>
            </w:tcBorders>
            <w:shd w:val="clear" w:color="000000" w:fill="FFFFFF"/>
            <w:vAlign w:val="center"/>
          </w:tcPr>
          <w:p w14:paraId="092A4C38"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713</w:t>
            </w:r>
          </w:p>
        </w:tc>
        <w:tc>
          <w:tcPr>
            <w:tcW w:w="760" w:type="dxa"/>
            <w:tcBorders>
              <w:top w:val="nil"/>
              <w:left w:val="nil"/>
              <w:bottom w:val="single" w:sz="8" w:space="0" w:color="auto"/>
              <w:right w:val="single" w:sz="8" w:space="0" w:color="auto"/>
            </w:tcBorders>
            <w:shd w:val="clear" w:color="auto" w:fill="auto"/>
            <w:vAlign w:val="center"/>
          </w:tcPr>
          <w:p w14:paraId="36BAAFB3"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717</w:t>
            </w:r>
          </w:p>
        </w:tc>
        <w:tc>
          <w:tcPr>
            <w:tcW w:w="792" w:type="dxa"/>
            <w:tcBorders>
              <w:top w:val="nil"/>
              <w:left w:val="nil"/>
              <w:bottom w:val="single" w:sz="8" w:space="0" w:color="auto"/>
              <w:right w:val="single" w:sz="8" w:space="0" w:color="auto"/>
            </w:tcBorders>
            <w:shd w:val="clear" w:color="000000" w:fill="FFFFFF"/>
            <w:vAlign w:val="center"/>
          </w:tcPr>
          <w:p w14:paraId="32F33813"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1464</w:t>
            </w:r>
          </w:p>
        </w:tc>
        <w:tc>
          <w:tcPr>
            <w:tcW w:w="1047" w:type="dxa"/>
            <w:tcBorders>
              <w:top w:val="nil"/>
              <w:left w:val="nil"/>
              <w:bottom w:val="single" w:sz="8" w:space="0" w:color="auto"/>
              <w:right w:val="single" w:sz="8" w:space="0" w:color="auto"/>
            </w:tcBorders>
            <w:shd w:val="clear" w:color="auto" w:fill="auto"/>
            <w:vAlign w:val="center"/>
          </w:tcPr>
          <w:p w14:paraId="37BB06C5"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18588</w:t>
            </w:r>
          </w:p>
        </w:tc>
      </w:tr>
      <w:tr w:rsidR="00F57B54" w:rsidRPr="00F32542" w14:paraId="420E15A2" w14:textId="77777777" w:rsidTr="00B65D24">
        <w:trPr>
          <w:jc w:val="center"/>
        </w:trPr>
        <w:tc>
          <w:tcPr>
            <w:tcW w:w="1009" w:type="dxa"/>
            <w:shd w:val="clear" w:color="auto" w:fill="AEAAAA"/>
            <w:vAlign w:val="center"/>
          </w:tcPr>
          <w:p w14:paraId="13CC55DA" w14:textId="77777777" w:rsidR="00F57B54" w:rsidRPr="00F32542" w:rsidRDefault="00F57B54" w:rsidP="00F57B5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PES</w:t>
            </w:r>
          </w:p>
        </w:tc>
        <w:tc>
          <w:tcPr>
            <w:tcW w:w="956" w:type="dxa"/>
            <w:tcBorders>
              <w:top w:val="nil"/>
              <w:left w:val="nil"/>
              <w:bottom w:val="single" w:sz="8" w:space="0" w:color="000000"/>
              <w:right w:val="single" w:sz="8" w:space="0" w:color="000000"/>
            </w:tcBorders>
            <w:shd w:val="clear" w:color="000000" w:fill="FFFFFF"/>
            <w:vAlign w:val="center"/>
          </w:tcPr>
          <w:p w14:paraId="21064691"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73074</w:t>
            </w:r>
          </w:p>
        </w:tc>
        <w:tc>
          <w:tcPr>
            <w:tcW w:w="791" w:type="dxa"/>
            <w:tcBorders>
              <w:top w:val="nil"/>
              <w:left w:val="single" w:sz="4" w:space="0" w:color="auto"/>
              <w:bottom w:val="single" w:sz="4" w:space="0" w:color="auto"/>
              <w:right w:val="single" w:sz="4" w:space="0" w:color="auto"/>
            </w:tcBorders>
            <w:shd w:val="clear" w:color="000000" w:fill="FFFFFF"/>
            <w:vAlign w:val="bottom"/>
          </w:tcPr>
          <w:p w14:paraId="08CDEF43"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4858</w:t>
            </w:r>
          </w:p>
        </w:tc>
        <w:tc>
          <w:tcPr>
            <w:tcW w:w="876" w:type="dxa"/>
            <w:tcBorders>
              <w:top w:val="nil"/>
              <w:left w:val="nil"/>
              <w:bottom w:val="single" w:sz="8" w:space="0" w:color="auto"/>
              <w:right w:val="single" w:sz="8" w:space="0" w:color="auto"/>
            </w:tcBorders>
            <w:shd w:val="clear" w:color="000000" w:fill="FFFFFF"/>
            <w:vAlign w:val="center"/>
          </w:tcPr>
          <w:p w14:paraId="5F6094DC"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2129</w:t>
            </w:r>
          </w:p>
        </w:tc>
        <w:tc>
          <w:tcPr>
            <w:tcW w:w="750" w:type="dxa"/>
            <w:tcBorders>
              <w:top w:val="nil"/>
              <w:left w:val="nil"/>
              <w:bottom w:val="single" w:sz="8" w:space="0" w:color="auto"/>
              <w:right w:val="single" w:sz="8" w:space="0" w:color="auto"/>
            </w:tcBorders>
            <w:shd w:val="clear" w:color="000000" w:fill="FFFFFF"/>
            <w:vAlign w:val="center"/>
          </w:tcPr>
          <w:p w14:paraId="173BAC9E"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1998</w:t>
            </w:r>
          </w:p>
        </w:tc>
        <w:tc>
          <w:tcPr>
            <w:tcW w:w="795" w:type="dxa"/>
            <w:tcBorders>
              <w:top w:val="nil"/>
              <w:left w:val="nil"/>
              <w:bottom w:val="single" w:sz="8" w:space="0" w:color="auto"/>
              <w:right w:val="single" w:sz="8" w:space="0" w:color="auto"/>
            </w:tcBorders>
            <w:shd w:val="clear" w:color="auto" w:fill="auto"/>
            <w:vAlign w:val="center"/>
          </w:tcPr>
          <w:p w14:paraId="6759E411"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lang w:val="es-ES"/>
              </w:rPr>
              <w:t>2226</w:t>
            </w:r>
          </w:p>
        </w:tc>
        <w:tc>
          <w:tcPr>
            <w:tcW w:w="857" w:type="dxa"/>
            <w:tcBorders>
              <w:top w:val="nil"/>
              <w:left w:val="nil"/>
              <w:bottom w:val="single" w:sz="8" w:space="0" w:color="auto"/>
              <w:right w:val="single" w:sz="8" w:space="0" w:color="auto"/>
            </w:tcBorders>
            <w:shd w:val="clear" w:color="000000" w:fill="FFFFFF"/>
            <w:vAlign w:val="center"/>
          </w:tcPr>
          <w:p w14:paraId="7E8F42A1"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2541</w:t>
            </w:r>
          </w:p>
        </w:tc>
        <w:tc>
          <w:tcPr>
            <w:tcW w:w="857" w:type="dxa"/>
            <w:tcBorders>
              <w:top w:val="nil"/>
              <w:left w:val="nil"/>
              <w:bottom w:val="single" w:sz="8" w:space="0" w:color="auto"/>
              <w:right w:val="single" w:sz="8" w:space="0" w:color="auto"/>
            </w:tcBorders>
            <w:shd w:val="clear" w:color="000000" w:fill="FFFFFF"/>
            <w:vAlign w:val="center"/>
          </w:tcPr>
          <w:p w14:paraId="58FC0E40"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7275</w:t>
            </w:r>
          </w:p>
        </w:tc>
        <w:tc>
          <w:tcPr>
            <w:tcW w:w="762" w:type="dxa"/>
            <w:tcBorders>
              <w:top w:val="nil"/>
              <w:left w:val="single" w:sz="4" w:space="0" w:color="auto"/>
              <w:bottom w:val="single" w:sz="4" w:space="0" w:color="auto"/>
              <w:right w:val="single" w:sz="4" w:space="0" w:color="auto"/>
            </w:tcBorders>
            <w:shd w:val="clear" w:color="000000" w:fill="FFFFFF"/>
            <w:vAlign w:val="bottom"/>
          </w:tcPr>
          <w:p w14:paraId="58BB9F84"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3366</w:t>
            </w:r>
          </w:p>
        </w:tc>
        <w:tc>
          <w:tcPr>
            <w:tcW w:w="762" w:type="dxa"/>
            <w:tcBorders>
              <w:top w:val="nil"/>
              <w:left w:val="nil"/>
              <w:bottom w:val="single" w:sz="8" w:space="0" w:color="auto"/>
              <w:right w:val="single" w:sz="8" w:space="0" w:color="auto"/>
            </w:tcBorders>
            <w:shd w:val="clear" w:color="000000" w:fill="FFFFFF"/>
            <w:vAlign w:val="center"/>
          </w:tcPr>
          <w:p w14:paraId="30E364DE"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2580</w:t>
            </w:r>
          </w:p>
        </w:tc>
        <w:tc>
          <w:tcPr>
            <w:tcW w:w="795" w:type="dxa"/>
            <w:tcBorders>
              <w:top w:val="nil"/>
              <w:left w:val="nil"/>
              <w:bottom w:val="single" w:sz="8" w:space="0" w:color="auto"/>
              <w:right w:val="single" w:sz="8" w:space="0" w:color="auto"/>
            </w:tcBorders>
            <w:shd w:val="clear" w:color="auto" w:fill="auto"/>
            <w:vAlign w:val="center"/>
          </w:tcPr>
          <w:p w14:paraId="1EA1714A"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lang w:val="es-ES"/>
              </w:rPr>
              <w:t>1991</w:t>
            </w:r>
          </w:p>
        </w:tc>
        <w:tc>
          <w:tcPr>
            <w:tcW w:w="772" w:type="dxa"/>
            <w:tcBorders>
              <w:top w:val="nil"/>
              <w:left w:val="single" w:sz="4" w:space="0" w:color="auto"/>
              <w:bottom w:val="single" w:sz="4" w:space="0" w:color="auto"/>
              <w:right w:val="single" w:sz="4" w:space="0" w:color="auto"/>
            </w:tcBorders>
            <w:shd w:val="clear" w:color="000000" w:fill="FFFFFF"/>
            <w:vAlign w:val="bottom"/>
          </w:tcPr>
          <w:p w14:paraId="3283F927"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1901</w:t>
            </w:r>
          </w:p>
        </w:tc>
        <w:tc>
          <w:tcPr>
            <w:tcW w:w="832" w:type="dxa"/>
            <w:tcBorders>
              <w:top w:val="nil"/>
              <w:left w:val="nil"/>
              <w:bottom w:val="single" w:sz="8" w:space="0" w:color="auto"/>
              <w:right w:val="single" w:sz="8" w:space="0" w:color="auto"/>
            </w:tcBorders>
            <w:shd w:val="clear" w:color="000000" w:fill="FFFFFF"/>
            <w:vAlign w:val="center"/>
          </w:tcPr>
          <w:p w14:paraId="0BFA1BC5"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1438</w:t>
            </w:r>
          </w:p>
        </w:tc>
        <w:tc>
          <w:tcPr>
            <w:tcW w:w="762" w:type="dxa"/>
            <w:tcBorders>
              <w:top w:val="nil"/>
              <w:left w:val="nil"/>
              <w:bottom w:val="single" w:sz="8" w:space="0" w:color="auto"/>
              <w:right w:val="single" w:sz="8" w:space="0" w:color="auto"/>
            </w:tcBorders>
            <w:shd w:val="clear" w:color="000000" w:fill="FFFFFF"/>
            <w:vAlign w:val="center"/>
          </w:tcPr>
          <w:p w14:paraId="15081CCD"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1905</w:t>
            </w:r>
          </w:p>
        </w:tc>
        <w:tc>
          <w:tcPr>
            <w:tcW w:w="760" w:type="dxa"/>
            <w:tcBorders>
              <w:top w:val="nil"/>
              <w:left w:val="nil"/>
              <w:bottom w:val="single" w:sz="8" w:space="0" w:color="auto"/>
              <w:right w:val="single" w:sz="8" w:space="0" w:color="auto"/>
            </w:tcBorders>
            <w:shd w:val="clear" w:color="auto" w:fill="auto"/>
            <w:vAlign w:val="center"/>
          </w:tcPr>
          <w:p w14:paraId="73459BD8"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1679</w:t>
            </w:r>
          </w:p>
        </w:tc>
        <w:tc>
          <w:tcPr>
            <w:tcW w:w="792" w:type="dxa"/>
            <w:tcBorders>
              <w:top w:val="nil"/>
              <w:left w:val="nil"/>
              <w:bottom w:val="single" w:sz="8" w:space="0" w:color="auto"/>
              <w:right w:val="single" w:sz="8" w:space="0" w:color="auto"/>
            </w:tcBorders>
            <w:shd w:val="clear" w:color="000000" w:fill="FFFFFF"/>
            <w:vAlign w:val="center"/>
          </w:tcPr>
          <w:p w14:paraId="50789039"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1520</w:t>
            </w:r>
          </w:p>
        </w:tc>
        <w:tc>
          <w:tcPr>
            <w:tcW w:w="1047" w:type="dxa"/>
            <w:tcBorders>
              <w:top w:val="nil"/>
              <w:left w:val="nil"/>
              <w:bottom w:val="single" w:sz="8" w:space="0" w:color="auto"/>
              <w:right w:val="single" w:sz="8" w:space="0" w:color="auto"/>
            </w:tcBorders>
            <w:shd w:val="clear" w:color="auto" w:fill="auto"/>
            <w:vAlign w:val="center"/>
          </w:tcPr>
          <w:p w14:paraId="3C41C422"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35667</w:t>
            </w:r>
          </w:p>
        </w:tc>
      </w:tr>
      <w:tr w:rsidR="00F57B54" w:rsidRPr="00F32542" w14:paraId="40341BA9" w14:textId="77777777" w:rsidTr="00B65D24">
        <w:trPr>
          <w:jc w:val="center"/>
        </w:trPr>
        <w:tc>
          <w:tcPr>
            <w:tcW w:w="1009" w:type="dxa"/>
            <w:shd w:val="clear" w:color="auto" w:fill="AEAAAA"/>
            <w:vAlign w:val="center"/>
          </w:tcPr>
          <w:p w14:paraId="3160B40E" w14:textId="77777777" w:rsidR="00F57B54" w:rsidRPr="00F32542" w:rsidRDefault="00F57B54" w:rsidP="00F57B5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RSP</w:t>
            </w:r>
          </w:p>
        </w:tc>
        <w:tc>
          <w:tcPr>
            <w:tcW w:w="956" w:type="dxa"/>
            <w:tcBorders>
              <w:top w:val="nil"/>
              <w:left w:val="nil"/>
              <w:bottom w:val="single" w:sz="8" w:space="0" w:color="000000"/>
              <w:right w:val="single" w:sz="8" w:space="0" w:color="000000"/>
            </w:tcBorders>
            <w:shd w:val="clear" w:color="000000" w:fill="FFFFFF"/>
            <w:vAlign w:val="center"/>
          </w:tcPr>
          <w:p w14:paraId="65E84C82"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29762</w:t>
            </w:r>
          </w:p>
        </w:tc>
        <w:tc>
          <w:tcPr>
            <w:tcW w:w="791" w:type="dxa"/>
            <w:tcBorders>
              <w:top w:val="nil"/>
              <w:left w:val="single" w:sz="4" w:space="0" w:color="auto"/>
              <w:bottom w:val="single" w:sz="4" w:space="0" w:color="auto"/>
              <w:right w:val="single" w:sz="4" w:space="0" w:color="auto"/>
            </w:tcBorders>
            <w:shd w:val="clear" w:color="000000" w:fill="FFFFFF"/>
            <w:vAlign w:val="bottom"/>
          </w:tcPr>
          <w:p w14:paraId="1BCC05C0"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1356</w:t>
            </w:r>
          </w:p>
        </w:tc>
        <w:tc>
          <w:tcPr>
            <w:tcW w:w="876" w:type="dxa"/>
            <w:tcBorders>
              <w:top w:val="nil"/>
              <w:left w:val="nil"/>
              <w:bottom w:val="single" w:sz="8" w:space="0" w:color="auto"/>
              <w:right w:val="single" w:sz="8" w:space="0" w:color="auto"/>
            </w:tcBorders>
            <w:shd w:val="clear" w:color="000000" w:fill="FFFFFF"/>
            <w:vAlign w:val="center"/>
          </w:tcPr>
          <w:p w14:paraId="7D054726"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816</w:t>
            </w:r>
          </w:p>
        </w:tc>
        <w:tc>
          <w:tcPr>
            <w:tcW w:w="750" w:type="dxa"/>
            <w:tcBorders>
              <w:top w:val="nil"/>
              <w:left w:val="nil"/>
              <w:bottom w:val="single" w:sz="8" w:space="0" w:color="auto"/>
              <w:right w:val="single" w:sz="8" w:space="0" w:color="auto"/>
            </w:tcBorders>
            <w:shd w:val="clear" w:color="000000" w:fill="FFFFFF"/>
            <w:vAlign w:val="center"/>
          </w:tcPr>
          <w:p w14:paraId="4E878A0B"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1336</w:t>
            </w:r>
          </w:p>
        </w:tc>
        <w:tc>
          <w:tcPr>
            <w:tcW w:w="795" w:type="dxa"/>
            <w:tcBorders>
              <w:top w:val="nil"/>
              <w:left w:val="nil"/>
              <w:bottom w:val="single" w:sz="8" w:space="0" w:color="auto"/>
              <w:right w:val="single" w:sz="8" w:space="0" w:color="auto"/>
            </w:tcBorders>
            <w:shd w:val="clear" w:color="auto" w:fill="auto"/>
            <w:vAlign w:val="center"/>
          </w:tcPr>
          <w:p w14:paraId="40C7B0F9"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lang w:val="es-ES"/>
              </w:rPr>
              <w:t>2223</w:t>
            </w:r>
          </w:p>
        </w:tc>
        <w:tc>
          <w:tcPr>
            <w:tcW w:w="857" w:type="dxa"/>
            <w:tcBorders>
              <w:top w:val="nil"/>
              <w:left w:val="nil"/>
              <w:bottom w:val="single" w:sz="8" w:space="0" w:color="auto"/>
              <w:right w:val="single" w:sz="8" w:space="0" w:color="auto"/>
            </w:tcBorders>
            <w:shd w:val="clear" w:color="000000" w:fill="FFFFFF"/>
            <w:vAlign w:val="center"/>
          </w:tcPr>
          <w:p w14:paraId="47DD064A"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1280</w:t>
            </w:r>
          </w:p>
        </w:tc>
        <w:tc>
          <w:tcPr>
            <w:tcW w:w="857" w:type="dxa"/>
            <w:tcBorders>
              <w:top w:val="nil"/>
              <w:left w:val="nil"/>
              <w:bottom w:val="single" w:sz="8" w:space="0" w:color="auto"/>
              <w:right w:val="single" w:sz="8" w:space="0" w:color="auto"/>
            </w:tcBorders>
            <w:shd w:val="clear" w:color="000000" w:fill="FFFFFF"/>
            <w:vAlign w:val="center"/>
          </w:tcPr>
          <w:p w14:paraId="054729D1"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1215</w:t>
            </w:r>
          </w:p>
        </w:tc>
        <w:tc>
          <w:tcPr>
            <w:tcW w:w="762" w:type="dxa"/>
            <w:tcBorders>
              <w:top w:val="nil"/>
              <w:left w:val="single" w:sz="4" w:space="0" w:color="auto"/>
              <w:bottom w:val="single" w:sz="4" w:space="0" w:color="auto"/>
              <w:right w:val="single" w:sz="4" w:space="0" w:color="auto"/>
            </w:tcBorders>
            <w:shd w:val="clear" w:color="000000" w:fill="FFFFFF"/>
            <w:vAlign w:val="bottom"/>
          </w:tcPr>
          <w:p w14:paraId="161BDDBE"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1050</w:t>
            </w:r>
          </w:p>
        </w:tc>
        <w:tc>
          <w:tcPr>
            <w:tcW w:w="762" w:type="dxa"/>
            <w:tcBorders>
              <w:top w:val="nil"/>
              <w:left w:val="nil"/>
              <w:bottom w:val="single" w:sz="8" w:space="0" w:color="auto"/>
              <w:right w:val="single" w:sz="8" w:space="0" w:color="auto"/>
            </w:tcBorders>
            <w:shd w:val="clear" w:color="000000" w:fill="FFFFFF"/>
            <w:vAlign w:val="center"/>
          </w:tcPr>
          <w:p w14:paraId="461678F2"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982</w:t>
            </w:r>
          </w:p>
        </w:tc>
        <w:tc>
          <w:tcPr>
            <w:tcW w:w="795" w:type="dxa"/>
            <w:tcBorders>
              <w:top w:val="nil"/>
              <w:left w:val="nil"/>
              <w:bottom w:val="single" w:sz="8" w:space="0" w:color="auto"/>
              <w:right w:val="single" w:sz="8" w:space="0" w:color="auto"/>
            </w:tcBorders>
            <w:shd w:val="clear" w:color="auto" w:fill="auto"/>
            <w:vAlign w:val="center"/>
          </w:tcPr>
          <w:p w14:paraId="672ABB39"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lang w:val="es-ES"/>
              </w:rPr>
              <w:t>879</w:t>
            </w:r>
          </w:p>
        </w:tc>
        <w:tc>
          <w:tcPr>
            <w:tcW w:w="772" w:type="dxa"/>
            <w:tcBorders>
              <w:top w:val="nil"/>
              <w:left w:val="single" w:sz="4" w:space="0" w:color="auto"/>
              <w:bottom w:val="single" w:sz="4" w:space="0" w:color="auto"/>
              <w:right w:val="single" w:sz="4" w:space="0" w:color="auto"/>
            </w:tcBorders>
            <w:shd w:val="clear" w:color="000000" w:fill="FFFFFF"/>
            <w:vAlign w:val="bottom"/>
          </w:tcPr>
          <w:p w14:paraId="6D5D5558"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727</w:t>
            </w:r>
          </w:p>
        </w:tc>
        <w:tc>
          <w:tcPr>
            <w:tcW w:w="832" w:type="dxa"/>
            <w:tcBorders>
              <w:top w:val="nil"/>
              <w:left w:val="nil"/>
              <w:bottom w:val="single" w:sz="8" w:space="0" w:color="auto"/>
              <w:right w:val="single" w:sz="8" w:space="0" w:color="auto"/>
            </w:tcBorders>
            <w:shd w:val="clear" w:color="000000" w:fill="FFFFFF"/>
            <w:vAlign w:val="center"/>
          </w:tcPr>
          <w:p w14:paraId="309FF06E"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729</w:t>
            </w:r>
          </w:p>
        </w:tc>
        <w:tc>
          <w:tcPr>
            <w:tcW w:w="762" w:type="dxa"/>
            <w:tcBorders>
              <w:top w:val="nil"/>
              <w:left w:val="nil"/>
              <w:bottom w:val="single" w:sz="8" w:space="0" w:color="auto"/>
              <w:right w:val="single" w:sz="8" w:space="0" w:color="auto"/>
            </w:tcBorders>
            <w:shd w:val="clear" w:color="000000" w:fill="FFFFFF"/>
            <w:vAlign w:val="center"/>
          </w:tcPr>
          <w:p w14:paraId="02D76F53"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1246</w:t>
            </w:r>
          </w:p>
        </w:tc>
        <w:tc>
          <w:tcPr>
            <w:tcW w:w="760" w:type="dxa"/>
            <w:tcBorders>
              <w:top w:val="nil"/>
              <w:left w:val="nil"/>
              <w:bottom w:val="single" w:sz="8" w:space="0" w:color="auto"/>
              <w:right w:val="single" w:sz="8" w:space="0" w:color="auto"/>
            </w:tcBorders>
            <w:shd w:val="clear" w:color="auto" w:fill="auto"/>
            <w:vAlign w:val="center"/>
          </w:tcPr>
          <w:p w14:paraId="1DD681F2"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565</w:t>
            </w:r>
          </w:p>
        </w:tc>
        <w:tc>
          <w:tcPr>
            <w:tcW w:w="792" w:type="dxa"/>
            <w:tcBorders>
              <w:top w:val="nil"/>
              <w:left w:val="nil"/>
              <w:bottom w:val="single" w:sz="8" w:space="0" w:color="auto"/>
              <w:right w:val="single" w:sz="8" w:space="0" w:color="auto"/>
            </w:tcBorders>
            <w:shd w:val="clear" w:color="000000" w:fill="FFFFFF"/>
            <w:vAlign w:val="center"/>
          </w:tcPr>
          <w:p w14:paraId="4943DCA2"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826</w:t>
            </w:r>
          </w:p>
        </w:tc>
        <w:tc>
          <w:tcPr>
            <w:tcW w:w="1047" w:type="dxa"/>
            <w:tcBorders>
              <w:top w:val="nil"/>
              <w:left w:val="nil"/>
              <w:bottom w:val="single" w:sz="8" w:space="0" w:color="auto"/>
              <w:right w:val="single" w:sz="8" w:space="0" w:color="auto"/>
            </w:tcBorders>
            <w:shd w:val="clear" w:color="auto" w:fill="auto"/>
            <w:vAlign w:val="center"/>
          </w:tcPr>
          <w:p w14:paraId="4B741AC7"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14532</w:t>
            </w:r>
          </w:p>
        </w:tc>
      </w:tr>
      <w:tr w:rsidR="00F57B54" w:rsidRPr="00F32542" w14:paraId="34E19268" w14:textId="77777777" w:rsidTr="00B65D24">
        <w:trPr>
          <w:jc w:val="center"/>
        </w:trPr>
        <w:tc>
          <w:tcPr>
            <w:tcW w:w="1009" w:type="dxa"/>
            <w:shd w:val="clear" w:color="auto" w:fill="AEAAAA"/>
            <w:vAlign w:val="center"/>
          </w:tcPr>
          <w:p w14:paraId="2A15F44B" w14:textId="77777777" w:rsidR="00F57B54" w:rsidRPr="00F32542" w:rsidRDefault="00F57B54" w:rsidP="00F57B54">
            <w:pPr>
              <w:spacing w:after="0" w:line="240" w:lineRule="auto"/>
              <w:jc w:val="center"/>
              <w:rPr>
                <w:rFonts w:ascii="Arial" w:eastAsia="Calibri" w:hAnsi="Arial" w:cs="Arial"/>
                <w:color w:val="000000" w:themeColor="text1"/>
                <w:sz w:val="16"/>
                <w:szCs w:val="16"/>
              </w:rPr>
            </w:pPr>
            <w:proofErr w:type="spellStart"/>
            <w:r w:rsidRPr="00F32542">
              <w:rPr>
                <w:rFonts w:ascii="Arial" w:eastAsia="Calibri" w:hAnsi="Arial" w:cs="Arial"/>
                <w:color w:val="000000" w:themeColor="text1"/>
                <w:sz w:val="16"/>
                <w:szCs w:val="16"/>
              </w:rPr>
              <w:t>FxM</w:t>
            </w:r>
            <w:proofErr w:type="spellEnd"/>
          </w:p>
        </w:tc>
        <w:tc>
          <w:tcPr>
            <w:tcW w:w="956" w:type="dxa"/>
            <w:tcBorders>
              <w:top w:val="nil"/>
              <w:left w:val="nil"/>
              <w:bottom w:val="single" w:sz="8" w:space="0" w:color="000000"/>
              <w:right w:val="single" w:sz="8" w:space="0" w:color="000000"/>
            </w:tcBorders>
            <w:shd w:val="clear" w:color="000000" w:fill="FFFFFF"/>
            <w:vAlign w:val="center"/>
          </w:tcPr>
          <w:p w14:paraId="2749A92E"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80442</w:t>
            </w:r>
          </w:p>
        </w:tc>
        <w:tc>
          <w:tcPr>
            <w:tcW w:w="791" w:type="dxa"/>
            <w:tcBorders>
              <w:top w:val="nil"/>
              <w:left w:val="single" w:sz="4" w:space="0" w:color="auto"/>
              <w:bottom w:val="single" w:sz="4" w:space="0" w:color="auto"/>
              <w:right w:val="single" w:sz="4" w:space="0" w:color="auto"/>
            </w:tcBorders>
            <w:shd w:val="clear" w:color="000000" w:fill="FFFFFF"/>
            <w:vAlign w:val="bottom"/>
          </w:tcPr>
          <w:p w14:paraId="4FEC0B92"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1645</w:t>
            </w:r>
          </w:p>
        </w:tc>
        <w:tc>
          <w:tcPr>
            <w:tcW w:w="876" w:type="dxa"/>
            <w:tcBorders>
              <w:top w:val="nil"/>
              <w:left w:val="nil"/>
              <w:bottom w:val="single" w:sz="8" w:space="0" w:color="auto"/>
              <w:right w:val="single" w:sz="8" w:space="0" w:color="auto"/>
            </w:tcBorders>
            <w:shd w:val="clear" w:color="000000" w:fill="FFFFFF"/>
            <w:vAlign w:val="center"/>
          </w:tcPr>
          <w:p w14:paraId="2D84D348"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8543</w:t>
            </w:r>
          </w:p>
        </w:tc>
        <w:tc>
          <w:tcPr>
            <w:tcW w:w="750" w:type="dxa"/>
            <w:tcBorders>
              <w:top w:val="nil"/>
              <w:left w:val="nil"/>
              <w:bottom w:val="single" w:sz="8" w:space="0" w:color="auto"/>
              <w:right w:val="single" w:sz="8" w:space="0" w:color="auto"/>
            </w:tcBorders>
            <w:shd w:val="clear" w:color="000000" w:fill="FFFFFF"/>
            <w:vAlign w:val="center"/>
          </w:tcPr>
          <w:p w14:paraId="5BAA3291"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1930</w:t>
            </w:r>
          </w:p>
        </w:tc>
        <w:tc>
          <w:tcPr>
            <w:tcW w:w="795" w:type="dxa"/>
            <w:tcBorders>
              <w:top w:val="nil"/>
              <w:left w:val="nil"/>
              <w:bottom w:val="single" w:sz="8" w:space="0" w:color="auto"/>
              <w:right w:val="single" w:sz="8" w:space="0" w:color="auto"/>
            </w:tcBorders>
            <w:shd w:val="clear" w:color="auto" w:fill="auto"/>
            <w:vAlign w:val="center"/>
          </w:tcPr>
          <w:p w14:paraId="2B62D478"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lang w:val="es-ES"/>
              </w:rPr>
              <w:t>3543</w:t>
            </w:r>
          </w:p>
        </w:tc>
        <w:tc>
          <w:tcPr>
            <w:tcW w:w="857" w:type="dxa"/>
            <w:tcBorders>
              <w:top w:val="nil"/>
              <w:left w:val="nil"/>
              <w:bottom w:val="single" w:sz="8" w:space="0" w:color="auto"/>
              <w:right w:val="single" w:sz="8" w:space="0" w:color="auto"/>
            </w:tcBorders>
            <w:shd w:val="clear" w:color="000000" w:fill="FFFFFF"/>
            <w:vAlign w:val="center"/>
          </w:tcPr>
          <w:p w14:paraId="097DD9BC"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2322</w:t>
            </w:r>
          </w:p>
        </w:tc>
        <w:tc>
          <w:tcPr>
            <w:tcW w:w="857" w:type="dxa"/>
            <w:tcBorders>
              <w:top w:val="nil"/>
              <w:left w:val="nil"/>
              <w:bottom w:val="single" w:sz="8" w:space="0" w:color="auto"/>
              <w:right w:val="single" w:sz="8" w:space="0" w:color="auto"/>
            </w:tcBorders>
            <w:shd w:val="clear" w:color="000000" w:fill="FFFFFF"/>
            <w:vAlign w:val="center"/>
          </w:tcPr>
          <w:p w14:paraId="3C16C87B"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2794</w:t>
            </w:r>
          </w:p>
        </w:tc>
        <w:tc>
          <w:tcPr>
            <w:tcW w:w="762" w:type="dxa"/>
            <w:tcBorders>
              <w:top w:val="nil"/>
              <w:left w:val="single" w:sz="4" w:space="0" w:color="auto"/>
              <w:bottom w:val="single" w:sz="4" w:space="0" w:color="auto"/>
              <w:right w:val="single" w:sz="4" w:space="0" w:color="auto"/>
            </w:tcBorders>
            <w:shd w:val="clear" w:color="000000" w:fill="FFFFFF"/>
            <w:vAlign w:val="bottom"/>
          </w:tcPr>
          <w:p w14:paraId="5115DF97"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1672</w:t>
            </w:r>
          </w:p>
        </w:tc>
        <w:tc>
          <w:tcPr>
            <w:tcW w:w="762" w:type="dxa"/>
            <w:tcBorders>
              <w:top w:val="nil"/>
              <w:left w:val="nil"/>
              <w:bottom w:val="single" w:sz="8" w:space="0" w:color="auto"/>
              <w:right w:val="single" w:sz="8" w:space="0" w:color="auto"/>
            </w:tcBorders>
            <w:shd w:val="clear" w:color="000000" w:fill="FFFFFF"/>
            <w:vAlign w:val="center"/>
          </w:tcPr>
          <w:p w14:paraId="4F2F7394"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2487</w:t>
            </w:r>
          </w:p>
        </w:tc>
        <w:tc>
          <w:tcPr>
            <w:tcW w:w="795" w:type="dxa"/>
            <w:tcBorders>
              <w:top w:val="nil"/>
              <w:left w:val="nil"/>
              <w:bottom w:val="single" w:sz="8" w:space="0" w:color="auto"/>
              <w:right w:val="single" w:sz="8" w:space="0" w:color="auto"/>
            </w:tcBorders>
            <w:shd w:val="clear" w:color="auto" w:fill="auto"/>
            <w:vAlign w:val="center"/>
          </w:tcPr>
          <w:p w14:paraId="6A71D8CB"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3066</w:t>
            </w:r>
          </w:p>
        </w:tc>
        <w:tc>
          <w:tcPr>
            <w:tcW w:w="772" w:type="dxa"/>
            <w:tcBorders>
              <w:top w:val="nil"/>
              <w:left w:val="single" w:sz="4" w:space="0" w:color="auto"/>
              <w:bottom w:val="single" w:sz="4" w:space="0" w:color="auto"/>
              <w:right w:val="single" w:sz="4" w:space="0" w:color="auto"/>
            </w:tcBorders>
            <w:shd w:val="clear" w:color="000000" w:fill="FFFFFF"/>
            <w:vAlign w:val="bottom"/>
          </w:tcPr>
          <w:p w14:paraId="2C96D065"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1306</w:t>
            </w:r>
          </w:p>
        </w:tc>
        <w:tc>
          <w:tcPr>
            <w:tcW w:w="832" w:type="dxa"/>
            <w:tcBorders>
              <w:top w:val="nil"/>
              <w:left w:val="nil"/>
              <w:bottom w:val="single" w:sz="8" w:space="0" w:color="auto"/>
              <w:right w:val="single" w:sz="8" w:space="0" w:color="auto"/>
            </w:tcBorders>
            <w:shd w:val="clear" w:color="000000" w:fill="FFFFFF"/>
            <w:vAlign w:val="center"/>
          </w:tcPr>
          <w:p w14:paraId="30C574B4"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1202</w:t>
            </w:r>
          </w:p>
        </w:tc>
        <w:tc>
          <w:tcPr>
            <w:tcW w:w="762" w:type="dxa"/>
            <w:tcBorders>
              <w:top w:val="nil"/>
              <w:left w:val="nil"/>
              <w:bottom w:val="single" w:sz="8" w:space="0" w:color="auto"/>
              <w:right w:val="single" w:sz="8" w:space="0" w:color="auto"/>
            </w:tcBorders>
            <w:shd w:val="clear" w:color="000000" w:fill="FFFFFF"/>
            <w:vAlign w:val="center"/>
          </w:tcPr>
          <w:p w14:paraId="221AF835"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1498</w:t>
            </w:r>
          </w:p>
        </w:tc>
        <w:tc>
          <w:tcPr>
            <w:tcW w:w="760" w:type="dxa"/>
            <w:tcBorders>
              <w:top w:val="nil"/>
              <w:left w:val="nil"/>
              <w:bottom w:val="single" w:sz="8" w:space="0" w:color="auto"/>
              <w:right w:val="single" w:sz="8" w:space="0" w:color="auto"/>
            </w:tcBorders>
            <w:shd w:val="clear" w:color="auto" w:fill="auto"/>
            <w:vAlign w:val="center"/>
          </w:tcPr>
          <w:p w14:paraId="7FB0C26C"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1302</w:t>
            </w:r>
          </w:p>
        </w:tc>
        <w:tc>
          <w:tcPr>
            <w:tcW w:w="792" w:type="dxa"/>
            <w:tcBorders>
              <w:top w:val="nil"/>
              <w:left w:val="nil"/>
              <w:bottom w:val="single" w:sz="8" w:space="0" w:color="auto"/>
              <w:right w:val="single" w:sz="8" w:space="0" w:color="auto"/>
            </w:tcBorders>
            <w:shd w:val="clear" w:color="000000" w:fill="FFFFFF"/>
            <w:vAlign w:val="center"/>
          </w:tcPr>
          <w:p w14:paraId="3B1F99C7"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2061</w:t>
            </w:r>
          </w:p>
        </w:tc>
        <w:tc>
          <w:tcPr>
            <w:tcW w:w="1047" w:type="dxa"/>
            <w:tcBorders>
              <w:top w:val="nil"/>
              <w:left w:val="nil"/>
              <w:bottom w:val="single" w:sz="8" w:space="0" w:color="auto"/>
              <w:right w:val="single" w:sz="8" w:space="0" w:color="auto"/>
            </w:tcBorders>
            <w:shd w:val="clear" w:color="auto" w:fill="auto"/>
            <w:vAlign w:val="center"/>
          </w:tcPr>
          <w:p w14:paraId="465B3A8A"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45071</w:t>
            </w:r>
          </w:p>
        </w:tc>
      </w:tr>
      <w:tr w:rsidR="00F57B54" w:rsidRPr="00F32542" w14:paraId="69D7F4D3" w14:textId="77777777" w:rsidTr="00B65D24">
        <w:trPr>
          <w:jc w:val="center"/>
        </w:trPr>
        <w:tc>
          <w:tcPr>
            <w:tcW w:w="1009" w:type="dxa"/>
            <w:shd w:val="clear" w:color="auto" w:fill="AEAAAA"/>
            <w:vAlign w:val="center"/>
          </w:tcPr>
          <w:p w14:paraId="4CBA6431" w14:textId="77777777" w:rsidR="00F57B54" w:rsidRPr="00F32542" w:rsidRDefault="00F57B54" w:rsidP="00F57B5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C. sin partido</w:t>
            </w:r>
          </w:p>
        </w:tc>
        <w:tc>
          <w:tcPr>
            <w:tcW w:w="956" w:type="dxa"/>
            <w:tcBorders>
              <w:top w:val="nil"/>
              <w:left w:val="nil"/>
              <w:bottom w:val="single" w:sz="8" w:space="0" w:color="auto"/>
              <w:right w:val="single" w:sz="8" w:space="0" w:color="auto"/>
            </w:tcBorders>
            <w:shd w:val="clear" w:color="000000" w:fill="FFFFFF"/>
            <w:vAlign w:val="center"/>
          </w:tcPr>
          <w:p w14:paraId="25A27F6C"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13077</w:t>
            </w:r>
          </w:p>
        </w:tc>
        <w:tc>
          <w:tcPr>
            <w:tcW w:w="791" w:type="dxa"/>
            <w:tcBorders>
              <w:top w:val="nil"/>
              <w:left w:val="nil"/>
              <w:bottom w:val="single" w:sz="8" w:space="0" w:color="auto"/>
              <w:right w:val="single" w:sz="8" w:space="0" w:color="auto"/>
            </w:tcBorders>
            <w:shd w:val="clear" w:color="000000" w:fill="FFFFFF"/>
            <w:vAlign w:val="center"/>
          </w:tcPr>
          <w:p w14:paraId="65FF20FB"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0</w:t>
            </w:r>
          </w:p>
        </w:tc>
        <w:tc>
          <w:tcPr>
            <w:tcW w:w="876" w:type="dxa"/>
            <w:tcBorders>
              <w:top w:val="nil"/>
              <w:left w:val="nil"/>
              <w:bottom w:val="single" w:sz="8" w:space="0" w:color="auto"/>
              <w:right w:val="single" w:sz="8" w:space="0" w:color="auto"/>
            </w:tcBorders>
            <w:shd w:val="clear" w:color="000000" w:fill="FFFFFF"/>
            <w:vAlign w:val="center"/>
          </w:tcPr>
          <w:p w14:paraId="07A139B8"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0</w:t>
            </w:r>
          </w:p>
        </w:tc>
        <w:tc>
          <w:tcPr>
            <w:tcW w:w="750" w:type="dxa"/>
            <w:tcBorders>
              <w:top w:val="nil"/>
              <w:left w:val="nil"/>
              <w:bottom w:val="single" w:sz="8" w:space="0" w:color="auto"/>
              <w:right w:val="single" w:sz="8" w:space="0" w:color="auto"/>
            </w:tcBorders>
            <w:shd w:val="clear" w:color="000000" w:fill="FFFFFF"/>
            <w:vAlign w:val="center"/>
          </w:tcPr>
          <w:p w14:paraId="4F2FF6F9"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0</w:t>
            </w:r>
          </w:p>
        </w:tc>
        <w:tc>
          <w:tcPr>
            <w:tcW w:w="795" w:type="dxa"/>
            <w:tcBorders>
              <w:top w:val="nil"/>
              <w:left w:val="nil"/>
              <w:bottom w:val="single" w:sz="8" w:space="0" w:color="auto"/>
              <w:right w:val="single" w:sz="8" w:space="0" w:color="auto"/>
            </w:tcBorders>
            <w:shd w:val="clear" w:color="000000" w:fill="FFFFFF"/>
            <w:vAlign w:val="center"/>
          </w:tcPr>
          <w:p w14:paraId="7E2291F5"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957</w:t>
            </w:r>
          </w:p>
        </w:tc>
        <w:tc>
          <w:tcPr>
            <w:tcW w:w="857" w:type="dxa"/>
            <w:tcBorders>
              <w:top w:val="nil"/>
              <w:left w:val="nil"/>
              <w:bottom w:val="single" w:sz="8" w:space="0" w:color="auto"/>
              <w:right w:val="single" w:sz="8" w:space="0" w:color="auto"/>
            </w:tcBorders>
            <w:shd w:val="clear" w:color="000000" w:fill="FFFFFF"/>
            <w:vAlign w:val="center"/>
          </w:tcPr>
          <w:p w14:paraId="0F466C9A"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0</w:t>
            </w:r>
          </w:p>
        </w:tc>
        <w:tc>
          <w:tcPr>
            <w:tcW w:w="857" w:type="dxa"/>
            <w:tcBorders>
              <w:top w:val="nil"/>
              <w:left w:val="nil"/>
              <w:bottom w:val="single" w:sz="8" w:space="0" w:color="auto"/>
              <w:right w:val="single" w:sz="8" w:space="0" w:color="auto"/>
            </w:tcBorders>
            <w:shd w:val="clear" w:color="000000" w:fill="FFFFFF"/>
            <w:vAlign w:val="center"/>
          </w:tcPr>
          <w:p w14:paraId="1BC10885"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0</w:t>
            </w:r>
          </w:p>
        </w:tc>
        <w:tc>
          <w:tcPr>
            <w:tcW w:w="762" w:type="dxa"/>
            <w:tcBorders>
              <w:top w:val="nil"/>
              <w:left w:val="nil"/>
              <w:bottom w:val="single" w:sz="8" w:space="0" w:color="auto"/>
              <w:right w:val="single" w:sz="8" w:space="0" w:color="auto"/>
            </w:tcBorders>
            <w:shd w:val="clear" w:color="000000" w:fill="FFFFFF"/>
            <w:vAlign w:val="center"/>
          </w:tcPr>
          <w:p w14:paraId="57708F1C"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1607</w:t>
            </w:r>
          </w:p>
        </w:tc>
        <w:tc>
          <w:tcPr>
            <w:tcW w:w="762" w:type="dxa"/>
            <w:tcBorders>
              <w:top w:val="nil"/>
              <w:left w:val="nil"/>
              <w:bottom w:val="single" w:sz="8" w:space="0" w:color="auto"/>
              <w:right w:val="single" w:sz="8" w:space="0" w:color="auto"/>
            </w:tcBorders>
            <w:shd w:val="clear" w:color="000000" w:fill="FFFFFF"/>
            <w:vAlign w:val="center"/>
          </w:tcPr>
          <w:p w14:paraId="142F193D"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0</w:t>
            </w:r>
          </w:p>
        </w:tc>
        <w:tc>
          <w:tcPr>
            <w:tcW w:w="795" w:type="dxa"/>
            <w:tcBorders>
              <w:top w:val="nil"/>
              <w:left w:val="nil"/>
              <w:bottom w:val="single" w:sz="8" w:space="0" w:color="auto"/>
              <w:right w:val="single" w:sz="8" w:space="0" w:color="auto"/>
            </w:tcBorders>
            <w:shd w:val="clear" w:color="000000" w:fill="FFFFFF"/>
            <w:vAlign w:val="center"/>
          </w:tcPr>
          <w:p w14:paraId="6DE7FA7F"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0</w:t>
            </w:r>
          </w:p>
        </w:tc>
        <w:tc>
          <w:tcPr>
            <w:tcW w:w="772" w:type="dxa"/>
            <w:tcBorders>
              <w:top w:val="nil"/>
              <w:left w:val="nil"/>
              <w:bottom w:val="single" w:sz="8" w:space="0" w:color="auto"/>
              <w:right w:val="single" w:sz="8" w:space="0" w:color="auto"/>
            </w:tcBorders>
            <w:shd w:val="clear" w:color="000000" w:fill="FFFFFF"/>
            <w:vAlign w:val="center"/>
          </w:tcPr>
          <w:p w14:paraId="7781C2F5"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0</w:t>
            </w:r>
          </w:p>
        </w:tc>
        <w:tc>
          <w:tcPr>
            <w:tcW w:w="832" w:type="dxa"/>
            <w:tcBorders>
              <w:top w:val="nil"/>
              <w:left w:val="nil"/>
              <w:bottom w:val="single" w:sz="8" w:space="0" w:color="auto"/>
              <w:right w:val="single" w:sz="8" w:space="0" w:color="auto"/>
            </w:tcBorders>
            <w:shd w:val="clear" w:color="000000" w:fill="FFFFFF"/>
            <w:vAlign w:val="center"/>
          </w:tcPr>
          <w:p w14:paraId="482135B4"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0</w:t>
            </w:r>
          </w:p>
        </w:tc>
        <w:tc>
          <w:tcPr>
            <w:tcW w:w="762" w:type="dxa"/>
            <w:tcBorders>
              <w:top w:val="nil"/>
              <w:left w:val="nil"/>
              <w:bottom w:val="single" w:sz="8" w:space="0" w:color="auto"/>
              <w:right w:val="single" w:sz="8" w:space="0" w:color="auto"/>
            </w:tcBorders>
            <w:shd w:val="clear" w:color="000000" w:fill="FFFFFF"/>
            <w:vAlign w:val="center"/>
          </w:tcPr>
          <w:p w14:paraId="3D16083E"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2318</w:t>
            </w:r>
          </w:p>
        </w:tc>
        <w:tc>
          <w:tcPr>
            <w:tcW w:w="760" w:type="dxa"/>
            <w:tcBorders>
              <w:top w:val="nil"/>
              <w:left w:val="nil"/>
              <w:bottom w:val="single" w:sz="8" w:space="0" w:color="auto"/>
              <w:right w:val="single" w:sz="8" w:space="0" w:color="auto"/>
            </w:tcBorders>
            <w:shd w:val="clear" w:color="auto" w:fill="auto"/>
            <w:vAlign w:val="center"/>
          </w:tcPr>
          <w:p w14:paraId="114701CD"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1812</w:t>
            </w:r>
          </w:p>
        </w:tc>
        <w:tc>
          <w:tcPr>
            <w:tcW w:w="792" w:type="dxa"/>
            <w:tcBorders>
              <w:top w:val="nil"/>
              <w:left w:val="nil"/>
              <w:bottom w:val="single" w:sz="8" w:space="0" w:color="auto"/>
              <w:right w:val="single" w:sz="8" w:space="0" w:color="auto"/>
            </w:tcBorders>
            <w:shd w:val="clear" w:color="000000" w:fill="FFFFFF"/>
            <w:vAlign w:val="center"/>
          </w:tcPr>
          <w:p w14:paraId="6C1CCFB1"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0</w:t>
            </w:r>
          </w:p>
        </w:tc>
        <w:tc>
          <w:tcPr>
            <w:tcW w:w="1047" w:type="dxa"/>
            <w:tcBorders>
              <w:top w:val="nil"/>
              <w:left w:val="nil"/>
              <w:bottom w:val="single" w:sz="8" w:space="0" w:color="auto"/>
              <w:right w:val="single" w:sz="8" w:space="0" w:color="auto"/>
            </w:tcBorders>
            <w:shd w:val="clear" w:color="auto" w:fill="auto"/>
            <w:vAlign w:val="center"/>
          </w:tcPr>
          <w:p w14:paraId="28589850"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6383</w:t>
            </w:r>
          </w:p>
        </w:tc>
      </w:tr>
      <w:tr w:rsidR="00F57B54" w:rsidRPr="00F32542" w14:paraId="56D3F9A6" w14:textId="77777777" w:rsidTr="00B65D24">
        <w:trPr>
          <w:jc w:val="center"/>
        </w:trPr>
        <w:tc>
          <w:tcPr>
            <w:tcW w:w="1009" w:type="dxa"/>
            <w:shd w:val="clear" w:color="auto" w:fill="AEAAAA"/>
            <w:vAlign w:val="center"/>
          </w:tcPr>
          <w:p w14:paraId="1CD83299" w14:textId="77777777" w:rsidR="00F57B54" w:rsidRPr="00F32542" w:rsidRDefault="00F57B54" w:rsidP="00F57B5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C. no registradas</w:t>
            </w:r>
          </w:p>
        </w:tc>
        <w:tc>
          <w:tcPr>
            <w:tcW w:w="956" w:type="dxa"/>
            <w:tcBorders>
              <w:top w:val="nil"/>
              <w:left w:val="nil"/>
              <w:bottom w:val="single" w:sz="8" w:space="0" w:color="auto"/>
              <w:right w:val="single" w:sz="8" w:space="0" w:color="auto"/>
            </w:tcBorders>
            <w:shd w:val="clear" w:color="000000" w:fill="FFFFFF"/>
            <w:vAlign w:val="center"/>
          </w:tcPr>
          <w:p w14:paraId="2D19D94C"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5945</w:t>
            </w:r>
          </w:p>
        </w:tc>
        <w:tc>
          <w:tcPr>
            <w:tcW w:w="791" w:type="dxa"/>
            <w:tcBorders>
              <w:top w:val="nil"/>
              <w:left w:val="nil"/>
              <w:bottom w:val="single" w:sz="8" w:space="0" w:color="auto"/>
              <w:right w:val="single" w:sz="8" w:space="0" w:color="auto"/>
            </w:tcBorders>
            <w:shd w:val="clear" w:color="000000" w:fill="FFFFFF"/>
            <w:vAlign w:val="center"/>
          </w:tcPr>
          <w:p w14:paraId="53B1F78C"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150</w:t>
            </w:r>
          </w:p>
        </w:tc>
        <w:tc>
          <w:tcPr>
            <w:tcW w:w="876" w:type="dxa"/>
            <w:tcBorders>
              <w:top w:val="nil"/>
              <w:left w:val="nil"/>
              <w:bottom w:val="single" w:sz="8" w:space="0" w:color="auto"/>
              <w:right w:val="single" w:sz="8" w:space="0" w:color="auto"/>
            </w:tcBorders>
            <w:shd w:val="clear" w:color="000000" w:fill="FFFFFF"/>
            <w:vAlign w:val="center"/>
          </w:tcPr>
          <w:p w14:paraId="6D72A5E0"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158</w:t>
            </w:r>
          </w:p>
        </w:tc>
        <w:tc>
          <w:tcPr>
            <w:tcW w:w="750" w:type="dxa"/>
            <w:tcBorders>
              <w:top w:val="nil"/>
              <w:left w:val="nil"/>
              <w:bottom w:val="single" w:sz="8" w:space="0" w:color="auto"/>
              <w:right w:val="single" w:sz="8" w:space="0" w:color="auto"/>
            </w:tcBorders>
            <w:shd w:val="clear" w:color="000000" w:fill="FFFFFF"/>
            <w:vAlign w:val="center"/>
          </w:tcPr>
          <w:p w14:paraId="6252716B"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151</w:t>
            </w:r>
          </w:p>
        </w:tc>
        <w:tc>
          <w:tcPr>
            <w:tcW w:w="795" w:type="dxa"/>
            <w:tcBorders>
              <w:top w:val="nil"/>
              <w:left w:val="nil"/>
              <w:bottom w:val="single" w:sz="8" w:space="0" w:color="auto"/>
              <w:right w:val="single" w:sz="8" w:space="0" w:color="auto"/>
            </w:tcBorders>
            <w:shd w:val="clear" w:color="000000" w:fill="FFFFFF"/>
            <w:vAlign w:val="center"/>
          </w:tcPr>
          <w:p w14:paraId="0FD5F735"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187</w:t>
            </w:r>
          </w:p>
        </w:tc>
        <w:tc>
          <w:tcPr>
            <w:tcW w:w="857" w:type="dxa"/>
            <w:tcBorders>
              <w:top w:val="nil"/>
              <w:left w:val="nil"/>
              <w:bottom w:val="single" w:sz="8" w:space="0" w:color="auto"/>
              <w:right w:val="single" w:sz="8" w:space="0" w:color="auto"/>
            </w:tcBorders>
            <w:shd w:val="clear" w:color="000000" w:fill="FFFFFF"/>
            <w:vAlign w:val="center"/>
          </w:tcPr>
          <w:p w14:paraId="1E795DDC"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224</w:t>
            </w:r>
          </w:p>
        </w:tc>
        <w:tc>
          <w:tcPr>
            <w:tcW w:w="857" w:type="dxa"/>
            <w:tcBorders>
              <w:top w:val="nil"/>
              <w:left w:val="nil"/>
              <w:bottom w:val="single" w:sz="8" w:space="0" w:color="auto"/>
              <w:right w:val="single" w:sz="8" w:space="0" w:color="auto"/>
            </w:tcBorders>
            <w:shd w:val="clear" w:color="000000" w:fill="FFFFFF"/>
            <w:vAlign w:val="center"/>
          </w:tcPr>
          <w:p w14:paraId="31127DD7"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110</w:t>
            </w:r>
          </w:p>
        </w:tc>
        <w:tc>
          <w:tcPr>
            <w:tcW w:w="762" w:type="dxa"/>
            <w:tcBorders>
              <w:top w:val="nil"/>
              <w:left w:val="nil"/>
              <w:bottom w:val="single" w:sz="8" w:space="0" w:color="auto"/>
              <w:right w:val="single" w:sz="8" w:space="0" w:color="auto"/>
            </w:tcBorders>
            <w:shd w:val="clear" w:color="000000" w:fill="FFFFFF"/>
            <w:vAlign w:val="center"/>
          </w:tcPr>
          <w:p w14:paraId="2D726E6F"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431</w:t>
            </w:r>
          </w:p>
        </w:tc>
        <w:tc>
          <w:tcPr>
            <w:tcW w:w="762" w:type="dxa"/>
            <w:tcBorders>
              <w:top w:val="nil"/>
              <w:left w:val="nil"/>
              <w:bottom w:val="single" w:sz="8" w:space="0" w:color="auto"/>
              <w:right w:val="single" w:sz="8" w:space="0" w:color="auto"/>
            </w:tcBorders>
            <w:shd w:val="clear" w:color="000000" w:fill="FFFFFF"/>
            <w:vAlign w:val="center"/>
          </w:tcPr>
          <w:p w14:paraId="1A035D30"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230</w:t>
            </w:r>
          </w:p>
        </w:tc>
        <w:tc>
          <w:tcPr>
            <w:tcW w:w="795" w:type="dxa"/>
            <w:tcBorders>
              <w:top w:val="nil"/>
              <w:left w:val="nil"/>
              <w:bottom w:val="single" w:sz="8" w:space="0" w:color="auto"/>
              <w:right w:val="single" w:sz="8" w:space="0" w:color="auto"/>
            </w:tcBorders>
            <w:shd w:val="clear" w:color="000000" w:fill="FFFFFF"/>
            <w:vAlign w:val="center"/>
          </w:tcPr>
          <w:p w14:paraId="0E1AAB25"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152</w:t>
            </w:r>
          </w:p>
        </w:tc>
        <w:tc>
          <w:tcPr>
            <w:tcW w:w="772" w:type="dxa"/>
            <w:tcBorders>
              <w:top w:val="nil"/>
              <w:left w:val="nil"/>
              <w:bottom w:val="single" w:sz="8" w:space="0" w:color="auto"/>
              <w:right w:val="single" w:sz="8" w:space="0" w:color="auto"/>
            </w:tcBorders>
            <w:shd w:val="clear" w:color="000000" w:fill="FFFFFF"/>
            <w:vAlign w:val="center"/>
          </w:tcPr>
          <w:p w14:paraId="30246077"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122</w:t>
            </w:r>
          </w:p>
        </w:tc>
        <w:tc>
          <w:tcPr>
            <w:tcW w:w="832" w:type="dxa"/>
            <w:tcBorders>
              <w:top w:val="nil"/>
              <w:left w:val="nil"/>
              <w:bottom w:val="single" w:sz="8" w:space="0" w:color="auto"/>
              <w:right w:val="single" w:sz="8" w:space="0" w:color="auto"/>
            </w:tcBorders>
            <w:shd w:val="clear" w:color="000000" w:fill="FFFFFF"/>
            <w:vAlign w:val="center"/>
          </w:tcPr>
          <w:p w14:paraId="7E958DA4"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77</w:t>
            </w:r>
          </w:p>
        </w:tc>
        <w:tc>
          <w:tcPr>
            <w:tcW w:w="762" w:type="dxa"/>
            <w:tcBorders>
              <w:top w:val="nil"/>
              <w:left w:val="nil"/>
              <w:bottom w:val="single" w:sz="8" w:space="0" w:color="auto"/>
              <w:right w:val="single" w:sz="8" w:space="0" w:color="auto"/>
            </w:tcBorders>
            <w:shd w:val="clear" w:color="000000" w:fill="FFFFFF"/>
            <w:vAlign w:val="center"/>
          </w:tcPr>
          <w:p w14:paraId="4A67D9AB"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185</w:t>
            </w:r>
          </w:p>
        </w:tc>
        <w:tc>
          <w:tcPr>
            <w:tcW w:w="760" w:type="dxa"/>
            <w:tcBorders>
              <w:top w:val="nil"/>
              <w:left w:val="nil"/>
              <w:bottom w:val="single" w:sz="8" w:space="0" w:color="auto"/>
              <w:right w:val="single" w:sz="8" w:space="0" w:color="auto"/>
            </w:tcBorders>
            <w:shd w:val="clear" w:color="auto" w:fill="auto"/>
            <w:vAlign w:val="center"/>
          </w:tcPr>
          <w:p w14:paraId="0D16502A"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144</w:t>
            </w:r>
          </w:p>
        </w:tc>
        <w:tc>
          <w:tcPr>
            <w:tcW w:w="792" w:type="dxa"/>
            <w:tcBorders>
              <w:top w:val="nil"/>
              <w:left w:val="nil"/>
              <w:bottom w:val="single" w:sz="8" w:space="0" w:color="auto"/>
              <w:right w:val="single" w:sz="8" w:space="0" w:color="auto"/>
            </w:tcBorders>
            <w:shd w:val="clear" w:color="000000" w:fill="FFFFFF"/>
            <w:vAlign w:val="center"/>
          </w:tcPr>
          <w:p w14:paraId="2C0E02F9"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557</w:t>
            </w:r>
          </w:p>
        </w:tc>
        <w:tc>
          <w:tcPr>
            <w:tcW w:w="1047" w:type="dxa"/>
            <w:tcBorders>
              <w:top w:val="nil"/>
              <w:left w:val="nil"/>
              <w:bottom w:val="single" w:sz="8" w:space="0" w:color="auto"/>
              <w:right w:val="single" w:sz="8" w:space="0" w:color="auto"/>
            </w:tcBorders>
            <w:shd w:val="clear" w:color="auto" w:fill="auto"/>
            <w:vAlign w:val="center"/>
          </w:tcPr>
          <w:p w14:paraId="3094C846"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3067</w:t>
            </w:r>
          </w:p>
        </w:tc>
      </w:tr>
      <w:tr w:rsidR="00F57B54" w:rsidRPr="00F32542" w14:paraId="5A57946E" w14:textId="77777777" w:rsidTr="00B65D24">
        <w:trPr>
          <w:jc w:val="center"/>
        </w:trPr>
        <w:tc>
          <w:tcPr>
            <w:tcW w:w="1009" w:type="dxa"/>
            <w:shd w:val="clear" w:color="auto" w:fill="AEAAAA"/>
            <w:vAlign w:val="center"/>
          </w:tcPr>
          <w:p w14:paraId="1D1D3571" w14:textId="77777777" w:rsidR="00F57B54" w:rsidRPr="00F32542" w:rsidRDefault="00F57B54" w:rsidP="00F57B5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Votos nulos</w:t>
            </w:r>
          </w:p>
        </w:tc>
        <w:tc>
          <w:tcPr>
            <w:tcW w:w="956" w:type="dxa"/>
            <w:tcBorders>
              <w:top w:val="nil"/>
              <w:left w:val="nil"/>
              <w:bottom w:val="single" w:sz="8" w:space="0" w:color="auto"/>
              <w:right w:val="single" w:sz="8" w:space="0" w:color="auto"/>
            </w:tcBorders>
            <w:shd w:val="clear" w:color="000000" w:fill="FFFFFF"/>
            <w:vAlign w:val="center"/>
          </w:tcPr>
          <w:p w14:paraId="0497E541"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124932</w:t>
            </w:r>
          </w:p>
        </w:tc>
        <w:tc>
          <w:tcPr>
            <w:tcW w:w="791" w:type="dxa"/>
            <w:tcBorders>
              <w:top w:val="nil"/>
              <w:left w:val="nil"/>
              <w:bottom w:val="single" w:sz="8" w:space="0" w:color="auto"/>
              <w:right w:val="single" w:sz="8" w:space="0" w:color="auto"/>
            </w:tcBorders>
            <w:shd w:val="clear" w:color="000000" w:fill="FFFFFF"/>
            <w:vAlign w:val="center"/>
          </w:tcPr>
          <w:p w14:paraId="5242A0BD"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4071</w:t>
            </w:r>
          </w:p>
        </w:tc>
        <w:tc>
          <w:tcPr>
            <w:tcW w:w="876" w:type="dxa"/>
            <w:tcBorders>
              <w:top w:val="nil"/>
              <w:left w:val="nil"/>
              <w:bottom w:val="single" w:sz="8" w:space="0" w:color="auto"/>
              <w:right w:val="single" w:sz="8" w:space="0" w:color="auto"/>
            </w:tcBorders>
            <w:shd w:val="clear" w:color="000000" w:fill="FFFFFF"/>
            <w:vAlign w:val="center"/>
          </w:tcPr>
          <w:p w14:paraId="611D605A"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3677</w:t>
            </w:r>
          </w:p>
        </w:tc>
        <w:tc>
          <w:tcPr>
            <w:tcW w:w="750" w:type="dxa"/>
            <w:tcBorders>
              <w:top w:val="nil"/>
              <w:left w:val="nil"/>
              <w:bottom w:val="single" w:sz="8" w:space="0" w:color="auto"/>
              <w:right w:val="single" w:sz="8" w:space="0" w:color="auto"/>
            </w:tcBorders>
            <w:shd w:val="clear" w:color="000000" w:fill="FFFFFF"/>
            <w:vAlign w:val="center"/>
          </w:tcPr>
          <w:p w14:paraId="3F0659E7"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4571</w:t>
            </w:r>
          </w:p>
        </w:tc>
        <w:tc>
          <w:tcPr>
            <w:tcW w:w="795" w:type="dxa"/>
            <w:tcBorders>
              <w:top w:val="nil"/>
              <w:left w:val="nil"/>
              <w:bottom w:val="single" w:sz="8" w:space="0" w:color="auto"/>
              <w:right w:val="single" w:sz="8" w:space="0" w:color="auto"/>
            </w:tcBorders>
            <w:shd w:val="clear" w:color="000000" w:fill="FFFFFF"/>
            <w:vAlign w:val="center"/>
          </w:tcPr>
          <w:p w14:paraId="71B3BA66"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4505</w:t>
            </w:r>
          </w:p>
        </w:tc>
        <w:tc>
          <w:tcPr>
            <w:tcW w:w="857" w:type="dxa"/>
            <w:tcBorders>
              <w:top w:val="nil"/>
              <w:left w:val="nil"/>
              <w:bottom w:val="single" w:sz="8" w:space="0" w:color="auto"/>
              <w:right w:val="single" w:sz="8" w:space="0" w:color="auto"/>
            </w:tcBorders>
            <w:shd w:val="clear" w:color="000000" w:fill="FFFFFF"/>
            <w:vAlign w:val="center"/>
          </w:tcPr>
          <w:p w14:paraId="1702BFD6"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4247</w:t>
            </w:r>
          </w:p>
        </w:tc>
        <w:tc>
          <w:tcPr>
            <w:tcW w:w="857" w:type="dxa"/>
            <w:tcBorders>
              <w:top w:val="nil"/>
              <w:left w:val="nil"/>
              <w:bottom w:val="single" w:sz="8" w:space="0" w:color="auto"/>
              <w:right w:val="single" w:sz="8" w:space="0" w:color="auto"/>
            </w:tcBorders>
            <w:shd w:val="clear" w:color="000000" w:fill="FFFFFF"/>
            <w:vAlign w:val="center"/>
          </w:tcPr>
          <w:p w14:paraId="5F86340E"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4428</w:t>
            </w:r>
          </w:p>
        </w:tc>
        <w:tc>
          <w:tcPr>
            <w:tcW w:w="762" w:type="dxa"/>
            <w:tcBorders>
              <w:top w:val="nil"/>
              <w:left w:val="nil"/>
              <w:bottom w:val="single" w:sz="8" w:space="0" w:color="auto"/>
              <w:right w:val="single" w:sz="8" w:space="0" w:color="auto"/>
            </w:tcBorders>
            <w:shd w:val="clear" w:color="000000" w:fill="FFFFFF"/>
            <w:vAlign w:val="center"/>
          </w:tcPr>
          <w:p w14:paraId="3A87E995"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3956</w:t>
            </w:r>
          </w:p>
        </w:tc>
        <w:tc>
          <w:tcPr>
            <w:tcW w:w="762" w:type="dxa"/>
            <w:tcBorders>
              <w:top w:val="nil"/>
              <w:left w:val="nil"/>
              <w:bottom w:val="single" w:sz="8" w:space="0" w:color="auto"/>
              <w:right w:val="single" w:sz="8" w:space="0" w:color="auto"/>
            </w:tcBorders>
            <w:shd w:val="clear" w:color="000000" w:fill="FFFFFF"/>
            <w:vAlign w:val="center"/>
          </w:tcPr>
          <w:p w14:paraId="0B18D392"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3842</w:t>
            </w:r>
          </w:p>
        </w:tc>
        <w:tc>
          <w:tcPr>
            <w:tcW w:w="795" w:type="dxa"/>
            <w:tcBorders>
              <w:top w:val="nil"/>
              <w:left w:val="nil"/>
              <w:bottom w:val="single" w:sz="8" w:space="0" w:color="auto"/>
              <w:right w:val="single" w:sz="8" w:space="0" w:color="auto"/>
            </w:tcBorders>
            <w:shd w:val="clear" w:color="000000" w:fill="FFFFFF"/>
            <w:vAlign w:val="center"/>
          </w:tcPr>
          <w:p w14:paraId="527944BB"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4096</w:t>
            </w:r>
          </w:p>
        </w:tc>
        <w:tc>
          <w:tcPr>
            <w:tcW w:w="772" w:type="dxa"/>
            <w:tcBorders>
              <w:top w:val="nil"/>
              <w:left w:val="nil"/>
              <w:bottom w:val="single" w:sz="8" w:space="0" w:color="auto"/>
              <w:right w:val="single" w:sz="8" w:space="0" w:color="auto"/>
            </w:tcBorders>
            <w:shd w:val="clear" w:color="000000" w:fill="FFFFFF"/>
            <w:vAlign w:val="center"/>
          </w:tcPr>
          <w:p w14:paraId="114E98B9"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3622</w:t>
            </w:r>
          </w:p>
        </w:tc>
        <w:tc>
          <w:tcPr>
            <w:tcW w:w="832" w:type="dxa"/>
            <w:tcBorders>
              <w:top w:val="nil"/>
              <w:left w:val="nil"/>
              <w:bottom w:val="single" w:sz="8" w:space="0" w:color="auto"/>
              <w:right w:val="single" w:sz="8" w:space="0" w:color="auto"/>
            </w:tcBorders>
            <w:shd w:val="clear" w:color="000000" w:fill="FFFFFF"/>
            <w:vAlign w:val="center"/>
          </w:tcPr>
          <w:p w14:paraId="0F459C12"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3282</w:t>
            </w:r>
          </w:p>
        </w:tc>
        <w:tc>
          <w:tcPr>
            <w:tcW w:w="762" w:type="dxa"/>
            <w:tcBorders>
              <w:top w:val="nil"/>
              <w:left w:val="nil"/>
              <w:bottom w:val="single" w:sz="8" w:space="0" w:color="auto"/>
              <w:right w:val="single" w:sz="8" w:space="0" w:color="auto"/>
            </w:tcBorders>
            <w:shd w:val="clear" w:color="000000" w:fill="FFFFFF"/>
            <w:vAlign w:val="center"/>
          </w:tcPr>
          <w:p w14:paraId="7C810E1D"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3395</w:t>
            </w:r>
          </w:p>
        </w:tc>
        <w:tc>
          <w:tcPr>
            <w:tcW w:w="760" w:type="dxa"/>
            <w:tcBorders>
              <w:top w:val="nil"/>
              <w:left w:val="nil"/>
              <w:bottom w:val="single" w:sz="8" w:space="0" w:color="auto"/>
              <w:right w:val="single" w:sz="8" w:space="0" w:color="auto"/>
            </w:tcBorders>
            <w:shd w:val="clear" w:color="auto" w:fill="auto"/>
            <w:vAlign w:val="center"/>
          </w:tcPr>
          <w:p w14:paraId="7E077BD9"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3461</w:t>
            </w:r>
          </w:p>
        </w:tc>
        <w:tc>
          <w:tcPr>
            <w:tcW w:w="792" w:type="dxa"/>
            <w:tcBorders>
              <w:top w:val="nil"/>
              <w:left w:val="nil"/>
              <w:bottom w:val="single" w:sz="8" w:space="0" w:color="auto"/>
              <w:right w:val="single" w:sz="8" w:space="0" w:color="auto"/>
            </w:tcBorders>
            <w:shd w:val="clear" w:color="000000" w:fill="FFFFFF"/>
            <w:vAlign w:val="center"/>
          </w:tcPr>
          <w:p w14:paraId="002723DB"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4035</w:t>
            </w:r>
          </w:p>
        </w:tc>
        <w:tc>
          <w:tcPr>
            <w:tcW w:w="1047" w:type="dxa"/>
            <w:tcBorders>
              <w:top w:val="nil"/>
              <w:left w:val="nil"/>
              <w:bottom w:val="single" w:sz="8" w:space="0" w:color="auto"/>
              <w:right w:val="single" w:sz="8" w:space="0" w:color="auto"/>
            </w:tcBorders>
            <w:shd w:val="clear" w:color="auto" w:fill="auto"/>
            <w:vAlign w:val="center"/>
          </w:tcPr>
          <w:p w14:paraId="78972AF3"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69744</w:t>
            </w:r>
          </w:p>
        </w:tc>
      </w:tr>
      <w:tr w:rsidR="00F57B54" w:rsidRPr="00F32542" w14:paraId="5141603E" w14:textId="77777777" w:rsidTr="00B65D24">
        <w:trPr>
          <w:jc w:val="center"/>
        </w:trPr>
        <w:tc>
          <w:tcPr>
            <w:tcW w:w="1009" w:type="dxa"/>
            <w:shd w:val="clear" w:color="auto" w:fill="AEAAAA"/>
            <w:vAlign w:val="center"/>
          </w:tcPr>
          <w:p w14:paraId="6CE61441" w14:textId="77777777" w:rsidR="00F57B54" w:rsidRPr="00F32542" w:rsidRDefault="00F57B54" w:rsidP="00F57B54">
            <w:pPr>
              <w:spacing w:after="0" w:line="240" w:lineRule="auto"/>
              <w:jc w:val="center"/>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Votación total emitida</w:t>
            </w:r>
          </w:p>
        </w:tc>
        <w:tc>
          <w:tcPr>
            <w:tcW w:w="956" w:type="dxa"/>
            <w:tcBorders>
              <w:top w:val="nil"/>
              <w:left w:val="nil"/>
              <w:bottom w:val="single" w:sz="8" w:space="0" w:color="auto"/>
              <w:right w:val="single" w:sz="8" w:space="0" w:color="auto"/>
            </w:tcBorders>
            <w:shd w:val="clear" w:color="000000" w:fill="FFFFFF"/>
            <w:vAlign w:val="center"/>
          </w:tcPr>
          <w:p w14:paraId="51A3E8B7" w14:textId="77777777" w:rsidR="00F57B54" w:rsidRPr="00F32542" w:rsidRDefault="00F57B54" w:rsidP="00F57B54">
            <w:pPr>
              <w:spacing w:after="0" w:line="360" w:lineRule="auto"/>
              <w:jc w:val="right"/>
              <w:rPr>
                <w:rFonts w:ascii="Arial" w:eastAsia="Calibri" w:hAnsi="Arial" w:cs="Arial"/>
                <w:b/>
                <w:bCs/>
                <w:color w:val="000000" w:themeColor="text1"/>
                <w:sz w:val="16"/>
                <w:szCs w:val="16"/>
              </w:rPr>
            </w:pPr>
            <w:r w:rsidRPr="00F32542">
              <w:rPr>
                <w:rFonts w:ascii="Arial" w:eastAsia="Calibri" w:hAnsi="Arial" w:cs="Arial"/>
                <w:b/>
                <w:bCs/>
                <w:color w:val="000000" w:themeColor="text1"/>
                <w:sz w:val="16"/>
                <w:szCs w:val="16"/>
              </w:rPr>
              <w:t>4068654</w:t>
            </w:r>
          </w:p>
        </w:tc>
        <w:tc>
          <w:tcPr>
            <w:tcW w:w="791" w:type="dxa"/>
            <w:tcBorders>
              <w:top w:val="nil"/>
              <w:left w:val="nil"/>
              <w:bottom w:val="single" w:sz="8" w:space="0" w:color="auto"/>
              <w:right w:val="single" w:sz="8" w:space="0" w:color="auto"/>
            </w:tcBorders>
            <w:shd w:val="clear" w:color="000000" w:fill="FFFFFF"/>
            <w:vAlign w:val="center"/>
          </w:tcPr>
          <w:p w14:paraId="18238BED"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99361</w:t>
            </w:r>
          </w:p>
        </w:tc>
        <w:tc>
          <w:tcPr>
            <w:tcW w:w="876" w:type="dxa"/>
            <w:tcBorders>
              <w:top w:val="nil"/>
              <w:left w:val="nil"/>
              <w:bottom w:val="single" w:sz="8" w:space="0" w:color="auto"/>
              <w:right w:val="single" w:sz="8" w:space="0" w:color="auto"/>
            </w:tcBorders>
            <w:shd w:val="clear" w:color="000000" w:fill="FFFFFF"/>
            <w:vAlign w:val="center"/>
          </w:tcPr>
          <w:p w14:paraId="26BBB59A"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123855</w:t>
            </w:r>
          </w:p>
        </w:tc>
        <w:tc>
          <w:tcPr>
            <w:tcW w:w="750" w:type="dxa"/>
            <w:tcBorders>
              <w:top w:val="nil"/>
              <w:left w:val="nil"/>
              <w:bottom w:val="single" w:sz="8" w:space="0" w:color="auto"/>
              <w:right w:val="single" w:sz="8" w:space="0" w:color="auto"/>
            </w:tcBorders>
            <w:shd w:val="clear" w:color="000000" w:fill="FFFFFF"/>
            <w:vAlign w:val="center"/>
          </w:tcPr>
          <w:p w14:paraId="0A3298C2"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134730</w:t>
            </w:r>
          </w:p>
        </w:tc>
        <w:tc>
          <w:tcPr>
            <w:tcW w:w="795" w:type="dxa"/>
            <w:tcBorders>
              <w:top w:val="nil"/>
              <w:left w:val="nil"/>
              <w:bottom w:val="single" w:sz="8" w:space="0" w:color="auto"/>
              <w:right w:val="single" w:sz="8" w:space="0" w:color="auto"/>
            </w:tcBorders>
            <w:shd w:val="clear" w:color="000000" w:fill="FFFFFF"/>
            <w:vAlign w:val="center"/>
          </w:tcPr>
          <w:p w14:paraId="521B0CB6"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148576</w:t>
            </w:r>
          </w:p>
        </w:tc>
        <w:tc>
          <w:tcPr>
            <w:tcW w:w="857" w:type="dxa"/>
            <w:tcBorders>
              <w:top w:val="nil"/>
              <w:left w:val="nil"/>
              <w:bottom w:val="single" w:sz="8" w:space="0" w:color="auto"/>
              <w:right w:val="single" w:sz="8" w:space="0" w:color="auto"/>
            </w:tcBorders>
            <w:shd w:val="clear" w:color="000000" w:fill="FFFFFF"/>
            <w:vAlign w:val="center"/>
          </w:tcPr>
          <w:p w14:paraId="72C391D5"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150886</w:t>
            </w:r>
          </w:p>
        </w:tc>
        <w:tc>
          <w:tcPr>
            <w:tcW w:w="857" w:type="dxa"/>
            <w:tcBorders>
              <w:top w:val="nil"/>
              <w:left w:val="nil"/>
              <w:bottom w:val="single" w:sz="8" w:space="0" w:color="auto"/>
              <w:right w:val="single" w:sz="8" w:space="0" w:color="auto"/>
            </w:tcBorders>
            <w:shd w:val="clear" w:color="000000" w:fill="FFFFFF"/>
            <w:vAlign w:val="center"/>
          </w:tcPr>
          <w:p w14:paraId="53BE91E9"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105109</w:t>
            </w:r>
          </w:p>
        </w:tc>
        <w:tc>
          <w:tcPr>
            <w:tcW w:w="762" w:type="dxa"/>
            <w:tcBorders>
              <w:top w:val="nil"/>
              <w:left w:val="nil"/>
              <w:bottom w:val="single" w:sz="8" w:space="0" w:color="auto"/>
              <w:right w:val="single" w:sz="8" w:space="0" w:color="auto"/>
            </w:tcBorders>
            <w:shd w:val="clear" w:color="000000" w:fill="FFFFFF"/>
            <w:vAlign w:val="center"/>
          </w:tcPr>
          <w:p w14:paraId="50F08976"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119704</w:t>
            </w:r>
          </w:p>
        </w:tc>
        <w:tc>
          <w:tcPr>
            <w:tcW w:w="762" w:type="dxa"/>
            <w:tcBorders>
              <w:top w:val="nil"/>
              <w:left w:val="nil"/>
              <w:bottom w:val="single" w:sz="8" w:space="0" w:color="auto"/>
              <w:right w:val="single" w:sz="8" w:space="0" w:color="auto"/>
            </w:tcBorders>
            <w:shd w:val="clear" w:color="000000" w:fill="FFFFFF"/>
            <w:vAlign w:val="center"/>
          </w:tcPr>
          <w:p w14:paraId="36D64A56"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135250</w:t>
            </w:r>
          </w:p>
        </w:tc>
        <w:tc>
          <w:tcPr>
            <w:tcW w:w="795" w:type="dxa"/>
            <w:tcBorders>
              <w:top w:val="nil"/>
              <w:left w:val="nil"/>
              <w:bottom w:val="single" w:sz="8" w:space="0" w:color="auto"/>
              <w:right w:val="single" w:sz="8" w:space="0" w:color="auto"/>
            </w:tcBorders>
            <w:shd w:val="clear" w:color="000000" w:fill="FFFFFF"/>
            <w:vAlign w:val="center"/>
          </w:tcPr>
          <w:p w14:paraId="55EE903F"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129012</w:t>
            </w:r>
          </w:p>
        </w:tc>
        <w:tc>
          <w:tcPr>
            <w:tcW w:w="772" w:type="dxa"/>
            <w:tcBorders>
              <w:top w:val="nil"/>
              <w:left w:val="nil"/>
              <w:bottom w:val="single" w:sz="8" w:space="0" w:color="auto"/>
              <w:right w:val="single" w:sz="8" w:space="0" w:color="auto"/>
            </w:tcBorders>
            <w:shd w:val="clear" w:color="000000" w:fill="FFFFFF"/>
            <w:vAlign w:val="center"/>
          </w:tcPr>
          <w:p w14:paraId="3C2093E8"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100360</w:t>
            </w:r>
          </w:p>
        </w:tc>
        <w:tc>
          <w:tcPr>
            <w:tcW w:w="832" w:type="dxa"/>
            <w:tcBorders>
              <w:top w:val="nil"/>
              <w:left w:val="nil"/>
              <w:bottom w:val="single" w:sz="8" w:space="0" w:color="auto"/>
              <w:right w:val="single" w:sz="8" w:space="0" w:color="auto"/>
            </w:tcBorders>
            <w:shd w:val="clear" w:color="000000" w:fill="FFFFFF"/>
            <w:vAlign w:val="center"/>
          </w:tcPr>
          <w:p w14:paraId="48D70F03"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89214</w:t>
            </w:r>
          </w:p>
        </w:tc>
        <w:tc>
          <w:tcPr>
            <w:tcW w:w="762" w:type="dxa"/>
            <w:tcBorders>
              <w:top w:val="nil"/>
              <w:left w:val="nil"/>
              <w:bottom w:val="single" w:sz="8" w:space="0" w:color="auto"/>
              <w:right w:val="single" w:sz="8" w:space="0" w:color="auto"/>
            </w:tcBorders>
            <w:shd w:val="clear" w:color="000000" w:fill="FFFFFF"/>
            <w:vAlign w:val="center"/>
          </w:tcPr>
          <w:p w14:paraId="7D67B6DC"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100186</w:t>
            </w:r>
          </w:p>
        </w:tc>
        <w:tc>
          <w:tcPr>
            <w:tcW w:w="760" w:type="dxa"/>
            <w:tcBorders>
              <w:top w:val="nil"/>
              <w:left w:val="nil"/>
              <w:bottom w:val="single" w:sz="8" w:space="0" w:color="auto"/>
              <w:right w:val="single" w:sz="8" w:space="0" w:color="auto"/>
            </w:tcBorders>
            <w:shd w:val="clear" w:color="auto" w:fill="auto"/>
            <w:vAlign w:val="center"/>
          </w:tcPr>
          <w:p w14:paraId="0EDF0EC9"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98797</w:t>
            </w:r>
          </w:p>
        </w:tc>
        <w:tc>
          <w:tcPr>
            <w:tcW w:w="792" w:type="dxa"/>
            <w:tcBorders>
              <w:top w:val="nil"/>
              <w:left w:val="nil"/>
              <w:bottom w:val="single" w:sz="8" w:space="0" w:color="auto"/>
              <w:right w:val="single" w:sz="8" w:space="0" w:color="auto"/>
            </w:tcBorders>
            <w:shd w:val="clear" w:color="000000" w:fill="FFFFFF"/>
            <w:vAlign w:val="center"/>
          </w:tcPr>
          <w:p w14:paraId="1E46E80C" w14:textId="77777777" w:rsidR="00F57B54" w:rsidRPr="00F32542" w:rsidRDefault="00F57B54" w:rsidP="00F57B54">
            <w:pPr>
              <w:spacing w:after="0" w:line="360" w:lineRule="auto"/>
              <w:jc w:val="right"/>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134837</w:t>
            </w:r>
          </w:p>
        </w:tc>
        <w:tc>
          <w:tcPr>
            <w:tcW w:w="1047" w:type="dxa"/>
            <w:tcBorders>
              <w:top w:val="nil"/>
              <w:left w:val="nil"/>
              <w:bottom w:val="single" w:sz="8" w:space="0" w:color="auto"/>
              <w:right w:val="single" w:sz="8" w:space="0" w:color="auto"/>
            </w:tcBorders>
            <w:shd w:val="clear" w:color="auto" w:fill="auto"/>
            <w:vAlign w:val="center"/>
          </w:tcPr>
          <w:p w14:paraId="2140E296" w14:textId="77777777" w:rsidR="00F57B54" w:rsidRPr="00F32542" w:rsidRDefault="00F57B54" w:rsidP="00F57B54">
            <w:pPr>
              <w:spacing w:after="0" w:line="360" w:lineRule="auto"/>
              <w:jc w:val="right"/>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2398777</w:t>
            </w:r>
          </w:p>
        </w:tc>
      </w:tr>
    </w:tbl>
    <w:p w14:paraId="54161CDD" w14:textId="77777777" w:rsidR="00F57B54" w:rsidRPr="00F32542" w:rsidRDefault="00F57B54" w:rsidP="00F57B54">
      <w:pPr>
        <w:spacing w:after="0" w:line="360" w:lineRule="auto"/>
        <w:contextualSpacing/>
        <w:jc w:val="both"/>
        <w:rPr>
          <w:rFonts w:ascii="Arial" w:eastAsia="Calibri" w:hAnsi="Arial" w:cs="Arial"/>
          <w:color w:val="000000" w:themeColor="text1"/>
          <w:spacing w:val="4"/>
          <w:sz w:val="28"/>
        </w:rPr>
      </w:pPr>
    </w:p>
    <w:p w14:paraId="6F5E2B2A" w14:textId="77777777" w:rsidR="00F57B54" w:rsidRPr="00F32542" w:rsidRDefault="00F57B54" w:rsidP="00F57B54">
      <w:pPr>
        <w:spacing w:after="0" w:line="360" w:lineRule="auto"/>
        <w:contextualSpacing/>
        <w:jc w:val="both"/>
        <w:rPr>
          <w:rFonts w:ascii="Arial" w:eastAsia="Calibri" w:hAnsi="Arial" w:cs="Arial"/>
          <w:color w:val="000000" w:themeColor="text1"/>
          <w:spacing w:val="4"/>
          <w:sz w:val="28"/>
        </w:rPr>
      </w:pPr>
    </w:p>
    <w:tbl>
      <w:tblPr>
        <w:tblStyle w:val="Tablaconcuadrcula25"/>
        <w:tblW w:w="14596" w:type="dxa"/>
        <w:jc w:val="center"/>
        <w:tblLayout w:type="fixed"/>
        <w:tblLook w:val="04A0" w:firstRow="1" w:lastRow="0" w:firstColumn="1" w:lastColumn="0" w:noHBand="0" w:noVBand="1"/>
      </w:tblPr>
      <w:tblGrid>
        <w:gridCol w:w="970"/>
        <w:gridCol w:w="937"/>
        <w:gridCol w:w="780"/>
        <w:gridCol w:w="779"/>
        <w:gridCol w:w="779"/>
        <w:gridCol w:w="779"/>
        <w:gridCol w:w="779"/>
        <w:gridCol w:w="779"/>
        <w:gridCol w:w="779"/>
        <w:gridCol w:w="856"/>
        <w:gridCol w:w="850"/>
        <w:gridCol w:w="709"/>
        <w:gridCol w:w="851"/>
        <w:gridCol w:w="850"/>
        <w:gridCol w:w="709"/>
        <w:gridCol w:w="850"/>
        <w:gridCol w:w="1560"/>
      </w:tblGrid>
      <w:tr w:rsidR="00F57B54" w:rsidRPr="00F32542" w14:paraId="5D5777D5" w14:textId="77777777" w:rsidTr="00B65D24">
        <w:trPr>
          <w:jc w:val="center"/>
        </w:trPr>
        <w:tc>
          <w:tcPr>
            <w:tcW w:w="970" w:type="dxa"/>
            <w:vMerge w:val="restart"/>
            <w:shd w:val="clear" w:color="auto" w:fill="AEAAAA"/>
            <w:vAlign w:val="center"/>
          </w:tcPr>
          <w:p w14:paraId="0AAAE525"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6"/>
                <w:szCs w:val="16"/>
              </w:rPr>
            </w:pPr>
            <w:r w:rsidRPr="00F32542">
              <w:rPr>
                <w:rFonts w:ascii="Arial" w:eastAsia="Calibri" w:hAnsi="Arial" w:cs="Arial"/>
                <w:b/>
                <w:color w:val="000000" w:themeColor="text1"/>
                <w:spacing w:val="4"/>
                <w:sz w:val="16"/>
                <w:szCs w:val="16"/>
              </w:rPr>
              <w:lastRenderedPageBreak/>
              <w:t>Opción política</w:t>
            </w:r>
          </w:p>
        </w:tc>
        <w:tc>
          <w:tcPr>
            <w:tcW w:w="937" w:type="dxa"/>
            <w:shd w:val="clear" w:color="auto" w:fill="AEAAAA"/>
            <w:vAlign w:val="center"/>
          </w:tcPr>
          <w:p w14:paraId="59256BB8" w14:textId="77777777" w:rsidR="00F57B54" w:rsidRPr="00F32542" w:rsidRDefault="00F57B54" w:rsidP="00F57B54">
            <w:pPr>
              <w:spacing w:after="0" w:line="240" w:lineRule="auto"/>
              <w:jc w:val="center"/>
              <w:rPr>
                <w:rFonts w:ascii="Arial" w:eastAsia="Calibri" w:hAnsi="Arial" w:cs="Arial"/>
                <w:b/>
                <w:color w:val="000000" w:themeColor="text1"/>
                <w:spacing w:val="4"/>
                <w:sz w:val="16"/>
                <w:szCs w:val="16"/>
              </w:rPr>
            </w:pPr>
            <w:r w:rsidRPr="00F32542">
              <w:rPr>
                <w:rFonts w:ascii="Arial" w:eastAsia="Calibri" w:hAnsi="Arial" w:cs="Arial"/>
                <w:b/>
                <w:color w:val="000000" w:themeColor="text1"/>
                <w:spacing w:val="4"/>
                <w:sz w:val="16"/>
                <w:szCs w:val="16"/>
              </w:rPr>
              <w:t>(A)</w:t>
            </w:r>
          </w:p>
        </w:tc>
        <w:tc>
          <w:tcPr>
            <w:tcW w:w="11129" w:type="dxa"/>
            <w:gridSpan w:val="14"/>
            <w:shd w:val="clear" w:color="auto" w:fill="AEAAAA"/>
            <w:vAlign w:val="center"/>
          </w:tcPr>
          <w:p w14:paraId="0BA2634A" w14:textId="77777777" w:rsidR="00F57B54" w:rsidRPr="00F32542" w:rsidRDefault="00F57B54" w:rsidP="00F57B54">
            <w:pPr>
              <w:spacing w:after="0" w:line="240" w:lineRule="auto"/>
              <w:jc w:val="center"/>
              <w:rPr>
                <w:rFonts w:ascii="Arial" w:eastAsia="Calibri" w:hAnsi="Arial" w:cs="Arial"/>
                <w:b/>
                <w:color w:val="000000" w:themeColor="text1"/>
                <w:spacing w:val="4"/>
                <w:sz w:val="16"/>
                <w:szCs w:val="16"/>
              </w:rPr>
            </w:pPr>
            <w:r w:rsidRPr="00F32542">
              <w:rPr>
                <w:rFonts w:ascii="Arial" w:eastAsia="Calibri" w:hAnsi="Arial" w:cs="Arial"/>
                <w:b/>
                <w:color w:val="000000" w:themeColor="text1"/>
                <w:spacing w:val="4"/>
                <w:sz w:val="16"/>
                <w:szCs w:val="16"/>
              </w:rPr>
              <w:t>(B)</w:t>
            </w:r>
          </w:p>
        </w:tc>
        <w:tc>
          <w:tcPr>
            <w:tcW w:w="1560" w:type="dxa"/>
            <w:shd w:val="clear" w:color="auto" w:fill="AEAAAA"/>
            <w:vAlign w:val="center"/>
          </w:tcPr>
          <w:p w14:paraId="6FC7C181" w14:textId="77777777" w:rsidR="00F57B54" w:rsidRPr="00F32542" w:rsidRDefault="00F57B54" w:rsidP="00F57B54">
            <w:pPr>
              <w:spacing w:after="0" w:line="240" w:lineRule="auto"/>
              <w:jc w:val="center"/>
              <w:rPr>
                <w:rFonts w:ascii="Arial" w:eastAsia="Calibri" w:hAnsi="Arial" w:cs="Arial"/>
                <w:b/>
                <w:color w:val="000000" w:themeColor="text1"/>
                <w:spacing w:val="4"/>
                <w:sz w:val="16"/>
                <w:szCs w:val="16"/>
              </w:rPr>
            </w:pPr>
            <w:r w:rsidRPr="00F32542">
              <w:rPr>
                <w:rFonts w:ascii="Arial" w:eastAsia="Calibri" w:hAnsi="Arial" w:cs="Arial"/>
                <w:b/>
                <w:color w:val="000000" w:themeColor="text1"/>
                <w:spacing w:val="4"/>
                <w:sz w:val="16"/>
                <w:szCs w:val="16"/>
              </w:rPr>
              <w:t>(A-B)</w:t>
            </w:r>
          </w:p>
        </w:tc>
      </w:tr>
      <w:tr w:rsidR="00F57B54" w:rsidRPr="00F32542" w14:paraId="30674B24" w14:textId="77777777" w:rsidTr="00B65D24">
        <w:trPr>
          <w:jc w:val="center"/>
        </w:trPr>
        <w:tc>
          <w:tcPr>
            <w:tcW w:w="970" w:type="dxa"/>
            <w:vMerge/>
            <w:shd w:val="clear" w:color="auto" w:fill="AEAAAA"/>
            <w:vAlign w:val="center"/>
          </w:tcPr>
          <w:p w14:paraId="7F9D1DE3" w14:textId="77777777" w:rsidR="00F57B54" w:rsidRPr="00F32542" w:rsidRDefault="00F57B54" w:rsidP="00F57B54">
            <w:pPr>
              <w:spacing w:after="0" w:line="240" w:lineRule="auto"/>
              <w:contextualSpacing/>
              <w:jc w:val="center"/>
              <w:rPr>
                <w:rFonts w:ascii="Arial" w:eastAsia="Calibri" w:hAnsi="Arial" w:cs="Arial"/>
                <w:color w:val="000000" w:themeColor="text1"/>
                <w:spacing w:val="4"/>
                <w:sz w:val="16"/>
                <w:szCs w:val="16"/>
              </w:rPr>
            </w:pPr>
          </w:p>
        </w:tc>
        <w:tc>
          <w:tcPr>
            <w:tcW w:w="937" w:type="dxa"/>
            <w:tcBorders>
              <w:bottom w:val="single" w:sz="4" w:space="0" w:color="auto"/>
            </w:tcBorders>
            <w:shd w:val="clear" w:color="auto" w:fill="AEAAAA"/>
            <w:vAlign w:val="center"/>
          </w:tcPr>
          <w:p w14:paraId="499082CD" w14:textId="77777777" w:rsidR="00F57B54" w:rsidRPr="00F32542" w:rsidRDefault="00F57B54" w:rsidP="00F57B54">
            <w:pPr>
              <w:spacing w:after="0" w:line="240" w:lineRule="auto"/>
              <w:jc w:val="center"/>
              <w:rPr>
                <w:rFonts w:ascii="Arial" w:eastAsia="Calibri" w:hAnsi="Arial" w:cs="Arial"/>
                <w:b/>
                <w:color w:val="000000" w:themeColor="text1"/>
                <w:spacing w:val="4"/>
                <w:sz w:val="14"/>
                <w:szCs w:val="14"/>
              </w:rPr>
            </w:pPr>
            <w:proofErr w:type="gramStart"/>
            <w:r w:rsidRPr="00F32542">
              <w:rPr>
                <w:rFonts w:ascii="Arial" w:eastAsia="Calibri" w:hAnsi="Arial" w:cs="Arial"/>
                <w:b/>
                <w:color w:val="000000" w:themeColor="text1"/>
                <w:spacing w:val="4"/>
                <w:sz w:val="14"/>
                <w:szCs w:val="14"/>
              </w:rPr>
              <w:t>Votación resultado</w:t>
            </w:r>
            <w:proofErr w:type="gramEnd"/>
            <w:r w:rsidRPr="00F32542">
              <w:rPr>
                <w:rFonts w:ascii="Arial" w:eastAsia="Calibri" w:hAnsi="Arial" w:cs="Arial"/>
                <w:b/>
                <w:color w:val="000000" w:themeColor="text1"/>
                <w:spacing w:val="4"/>
                <w:sz w:val="14"/>
                <w:szCs w:val="14"/>
              </w:rPr>
              <w:t xml:space="preserve"> de la resta de la votación distrital anulada</w:t>
            </w:r>
          </w:p>
        </w:tc>
        <w:tc>
          <w:tcPr>
            <w:tcW w:w="780" w:type="dxa"/>
            <w:tcBorders>
              <w:bottom w:val="single" w:sz="4" w:space="0" w:color="auto"/>
            </w:tcBorders>
            <w:shd w:val="clear" w:color="auto" w:fill="AEAAAA"/>
            <w:vAlign w:val="center"/>
          </w:tcPr>
          <w:p w14:paraId="47F6DDB2"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64A3CCBB"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7AF1FE51"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Distrito</w:t>
            </w:r>
          </w:p>
          <w:p w14:paraId="30B66835"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1</w:t>
            </w:r>
          </w:p>
        </w:tc>
        <w:tc>
          <w:tcPr>
            <w:tcW w:w="779" w:type="dxa"/>
            <w:tcBorders>
              <w:bottom w:val="single" w:sz="4" w:space="0" w:color="auto"/>
            </w:tcBorders>
            <w:shd w:val="clear" w:color="auto" w:fill="AEAAAA"/>
            <w:vAlign w:val="center"/>
          </w:tcPr>
          <w:p w14:paraId="60C8799E"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05EE7D5E"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294C1FE5"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Distrito</w:t>
            </w:r>
          </w:p>
          <w:p w14:paraId="68705620"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3</w:t>
            </w:r>
          </w:p>
        </w:tc>
        <w:tc>
          <w:tcPr>
            <w:tcW w:w="779" w:type="dxa"/>
            <w:tcBorders>
              <w:bottom w:val="single" w:sz="4" w:space="0" w:color="auto"/>
            </w:tcBorders>
            <w:shd w:val="clear" w:color="auto" w:fill="AEAAAA"/>
            <w:vAlign w:val="center"/>
          </w:tcPr>
          <w:p w14:paraId="38A503D5"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2D90E609"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2AD5B113" w14:textId="77777777" w:rsidR="00F57B54" w:rsidRPr="00F32542" w:rsidRDefault="00F57B54" w:rsidP="00F57B54">
            <w:pPr>
              <w:spacing w:after="0" w:line="240" w:lineRule="auto"/>
              <w:contextualSpacing/>
              <w:jc w:val="center"/>
              <w:rPr>
                <w:rFonts w:ascii="Arial" w:eastAsia="Calibri" w:hAnsi="Arial" w:cs="Arial"/>
                <w:b/>
                <w:color w:val="000000" w:themeColor="text1"/>
                <w:sz w:val="14"/>
                <w:szCs w:val="14"/>
              </w:rPr>
            </w:pPr>
            <w:r w:rsidRPr="00F32542">
              <w:rPr>
                <w:rFonts w:ascii="Arial" w:eastAsia="Calibri" w:hAnsi="Arial" w:cs="Arial"/>
                <w:b/>
                <w:color w:val="000000" w:themeColor="text1"/>
                <w:spacing w:val="4"/>
                <w:sz w:val="14"/>
                <w:szCs w:val="14"/>
              </w:rPr>
              <w:t>Distrito 4</w:t>
            </w:r>
          </w:p>
        </w:tc>
        <w:tc>
          <w:tcPr>
            <w:tcW w:w="779" w:type="dxa"/>
            <w:tcBorders>
              <w:bottom w:val="single" w:sz="4" w:space="0" w:color="auto"/>
              <w:right w:val="single" w:sz="4" w:space="0" w:color="auto"/>
            </w:tcBorders>
            <w:shd w:val="clear" w:color="auto" w:fill="AEAAAA"/>
            <w:vAlign w:val="center"/>
          </w:tcPr>
          <w:p w14:paraId="62F6FC85"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38425342"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6380D5C1" w14:textId="77777777" w:rsidR="00F57B54" w:rsidRPr="00F32542" w:rsidRDefault="00F57B54" w:rsidP="00F57B54">
            <w:pPr>
              <w:spacing w:after="0" w:line="240" w:lineRule="auto"/>
              <w:jc w:val="center"/>
              <w:rPr>
                <w:rFonts w:ascii="Arial" w:eastAsia="Calibri" w:hAnsi="Arial" w:cs="Arial"/>
                <w:b/>
                <w:color w:val="000000" w:themeColor="text1"/>
                <w:sz w:val="14"/>
                <w:szCs w:val="14"/>
              </w:rPr>
            </w:pPr>
            <w:r w:rsidRPr="00F32542">
              <w:rPr>
                <w:rFonts w:ascii="Arial" w:eastAsia="Calibri" w:hAnsi="Arial" w:cs="Arial"/>
                <w:b/>
                <w:color w:val="000000" w:themeColor="text1"/>
                <w:spacing w:val="4"/>
                <w:sz w:val="14"/>
                <w:szCs w:val="14"/>
              </w:rPr>
              <w:t>Distrito 5</w:t>
            </w:r>
          </w:p>
        </w:tc>
        <w:tc>
          <w:tcPr>
            <w:tcW w:w="779" w:type="dxa"/>
            <w:tcBorders>
              <w:left w:val="single" w:sz="4" w:space="0" w:color="auto"/>
              <w:bottom w:val="single" w:sz="4" w:space="0" w:color="auto"/>
              <w:right w:val="single" w:sz="4" w:space="0" w:color="auto"/>
            </w:tcBorders>
            <w:shd w:val="clear" w:color="auto" w:fill="AEAAAA"/>
            <w:vAlign w:val="center"/>
          </w:tcPr>
          <w:p w14:paraId="60953197"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569C5DF2"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47CD02ED" w14:textId="77777777" w:rsidR="00F57B54" w:rsidRPr="00F32542" w:rsidRDefault="00F57B54" w:rsidP="00F57B54">
            <w:pPr>
              <w:spacing w:after="0" w:line="240" w:lineRule="auto"/>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Distrito</w:t>
            </w:r>
          </w:p>
          <w:p w14:paraId="1EF61B29" w14:textId="77777777" w:rsidR="00F57B54" w:rsidRPr="00F32542" w:rsidRDefault="00F57B54" w:rsidP="00F57B54">
            <w:pPr>
              <w:spacing w:after="0" w:line="240" w:lineRule="auto"/>
              <w:jc w:val="center"/>
              <w:rPr>
                <w:rFonts w:ascii="Arial" w:eastAsia="Calibri" w:hAnsi="Arial" w:cs="Arial"/>
                <w:b/>
                <w:color w:val="000000" w:themeColor="text1"/>
                <w:sz w:val="14"/>
                <w:szCs w:val="14"/>
              </w:rPr>
            </w:pPr>
            <w:r w:rsidRPr="00F32542">
              <w:rPr>
                <w:rFonts w:ascii="Arial" w:eastAsia="Calibri" w:hAnsi="Arial" w:cs="Arial"/>
                <w:b/>
                <w:color w:val="000000" w:themeColor="text1"/>
                <w:spacing w:val="4"/>
                <w:sz w:val="14"/>
                <w:szCs w:val="14"/>
              </w:rPr>
              <w:t xml:space="preserve"> 6</w:t>
            </w:r>
          </w:p>
        </w:tc>
        <w:tc>
          <w:tcPr>
            <w:tcW w:w="779" w:type="dxa"/>
            <w:tcBorders>
              <w:left w:val="single" w:sz="4" w:space="0" w:color="auto"/>
              <w:bottom w:val="single" w:sz="4" w:space="0" w:color="auto"/>
              <w:right w:val="single" w:sz="4" w:space="0" w:color="auto"/>
            </w:tcBorders>
            <w:shd w:val="clear" w:color="auto" w:fill="AEAAAA"/>
            <w:vAlign w:val="center"/>
          </w:tcPr>
          <w:p w14:paraId="627CBE4C"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669D519C"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3C50AC02" w14:textId="77777777" w:rsidR="00F57B54" w:rsidRPr="00F32542" w:rsidRDefault="00F57B54" w:rsidP="00F57B54">
            <w:pPr>
              <w:spacing w:after="0" w:line="240" w:lineRule="auto"/>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Distrito</w:t>
            </w:r>
          </w:p>
          <w:p w14:paraId="7DE39680" w14:textId="77777777" w:rsidR="00F57B54" w:rsidRPr="00F32542" w:rsidRDefault="00F57B54" w:rsidP="00F57B54">
            <w:pPr>
              <w:spacing w:after="0" w:line="240" w:lineRule="auto"/>
              <w:jc w:val="center"/>
              <w:rPr>
                <w:rFonts w:ascii="Arial" w:eastAsia="Calibri" w:hAnsi="Arial" w:cs="Arial"/>
                <w:b/>
                <w:color w:val="000000" w:themeColor="text1"/>
                <w:sz w:val="14"/>
                <w:szCs w:val="14"/>
              </w:rPr>
            </w:pPr>
            <w:r w:rsidRPr="00F32542">
              <w:rPr>
                <w:rFonts w:ascii="Arial" w:eastAsia="Calibri" w:hAnsi="Arial" w:cs="Arial"/>
                <w:b/>
                <w:color w:val="000000" w:themeColor="text1"/>
                <w:spacing w:val="4"/>
                <w:sz w:val="14"/>
                <w:szCs w:val="14"/>
              </w:rPr>
              <w:t xml:space="preserve"> 7</w:t>
            </w:r>
          </w:p>
        </w:tc>
        <w:tc>
          <w:tcPr>
            <w:tcW w:w="779" w:type="dxa"/>
            <w:tcBorders>
              <w:left w:val="single" w:sz="4" w:space="0" w:color="auto"/>
              <w:bottom w:val="single" w:sz="4" w:space="0" w:color="auto"/>
              <w:right w:val="single" w:sz="4" w:space="0" w:color="auto"/>
            </w:tcBorders>
            <w:shd w:val="clear" w:color="auto" w:fill="AEAAAA"/>
            <w:vAlign w:val="center"/>
          </w:tcPr>
          <w:p w14:paraId="1F119B2C"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017AA567"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59281FA8" w14:textId="77777777" w:rsidR="00F57B54" w:rsidRPr="00F32542" w:rsidRDefault="00F57B54" w:rsidP="00F57B54">
            <w:pPr>
              <w:spacing w:after="0" w:line="240" w:lineRule="auto"/>
              <w:jc w:val="center"/>
              <w:rPr>
                <w:rFonts w:ascii="Arial" w:eastAsia="Calibri" w:hAnsi="Arial" w:cs="Arial"/>
                <w:b/>
                <w:color w:val="000000" w:themeColor="text1"/>
                <w:sz w:val="14"/>
                <w:szCs w:val="14"/>
              </w:rPr>
            </w:pPr>
            <w:r w:rsidRPr="00F32542">
              <w:rPr>
                <w:rFonts w:ascii="Arial" w:eastAsia="Calibri" w:hAnsi="Arial" w:cs="Arial"/>
                <w:b/>
                <w:color w:val="000000" w:themeColor="text1"/>
                <w:spacing w:val="4"/>
                <w:sz w:val="14"/>
                <w:szCs w:val="14"/>
              </w:rPr>
              <w:t>Distrito 9</w:t>
            </w:r>
          </w:p>
        </w:tc>
        <w:tc>
          <w:tcPr>
            <w:tcW w:w="856" w:type="dxa"/>
            <w:tcBorders>
              <w:left w:val="single" w:sz="4" w:space="0" w:color="auto"/>
              <w:bottom w:val="single" w:sz="4" w:space="0" w:color="auto"/>
              <w:right w:val="single" w:sz="4" w:space="0" w:color="auto"/>
            </w:tcBorders>
            <w:shd w:val="clear" w:color="auto" w:fill="AEAAAA"/>
            <w:vAlign w:val="center"/>
          </w:tcPr>
          <w:p w14:paraId="7353558F"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5F0638F9"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0CC48333" w14:textId="77777777" w:rsidR="00F57B54" w:rsidRPr="00F32542" w:rsidRDefault="00F57B54" w:rsidP="00F57B54">
            <w:pPr>
              <w:spacing w:after="0" w:line="240" w:lineRule="auto"/>
              <w:jc w:val="center"/>
              <w:rPr>
                <w:rFonts w:ascii="Arial" w:eastAsia="Calibri" w:hAnsi="Arial" w:cs="Arial"/>
                <w:b/>
                <w:color w:val="000000" w:themeColor="text1"/>
                <w:sz w:val="14"/>
                <w:szCs w:val="14"/>
              </w:rPr>
            </w:pPr>
            <w:r w:rsidRPr="00F32542">
              <w:rPr>
                <w:rFonts w:ascii="Arial" w:eastAsia="Calibri" w:hAnsi="Arial" w:cs="Arial"/>
                <w:b/>
                <w:color w:val="000000" w:themeColor="text1"/>
                <w:spacing w:val="4"/>
                <w:sz w:val="14"/>
                <w:szCs w:val="14"/>
              </w:rPr>
              <w:t>Distrito 11</w:t>
            </w:r>
          </w:p>
        </w:tc>
        <w:tc>
          <w:tcPr>
            <w:tcW w:w="850" w:type="dxa"/>
            <w:tcBorders>
              <w:left w:val="single" w:sz="4" w:space="0" w:color="auto"/>
              <w:bottom w:val="single" w:sz="4" w:space="0" w:color="auto"/>
              <w:right w:val="single" w:sz="4" w:space="0" w:color="auto"/>
            </w:tcBorders>
            <w:shd w:val="clear" w:color="auto" w:fill="AEAAAA"/>
            <w:vAlign w:val="center"/>
          </w:tcPr>
          <w:p w14:paraId="69E9EDBA"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4E51ED3C"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3806E985" w14:textId="77777777" w:rsidR="00F57B54" w:rsidRPr="00F32542" w:rsidRDefault="00F57B54" w:rsidP="00F57B54">
            <w:pPr>
              <w:spacing w:after="0" w:line="240" w:lineRule="auto"/>
              <w:jc w:val="center"/>
              <w:rPr>
                <w:rFonts w:ascii="Arial" w:eastAsia="Calibri" w:hAnsi="Arial" w:cs="Arial"/>
                <w:b/>
                <w:color w:val="000000" w:themeColor="text1"/>
                <w:sz w:val="14"/>
                <w:szCs w:val="14"/>
              </w:rPr>
            </w:pPr>
            <w:r w:rsidRPr="00F32542">
              <w:rPr>
                <w:rFonts w:ascii="Arial" w:eastAsia="Calibri" w:hAnsi="Arial" w:cs="Arial"/>
                <w:b/>
                <w:color w:val="000000" w:themeColor="text1"/>
                <w:spacing w:val="4"/>
                <w:sz w:val="14"/>
                <w:szCs w:val="14"/>
              </w:rPr>
              <w:t>Distrito 18</w:t>
            </w:r>
          </w:p>
        </w:tc>
        <w:tc>
          <w:tcPr>
            <w:tcW w:w="709" w:type="dxa"/>
            <w:tcBorders>
              <w:left w:val="single" w:sz="4" w:space="0" w:color="auto"/>
              <w:bottom w:val="single" w:sz="4" w:space="0" w:color="auto"/>
              <w:right w:val="single" w:sz="4" w:space="0" w:color="auto"/>
            </w:tcBorders>
            <w:shd w:val="clear" w:color="auto" w:fill="AEAAAA"/>
            <w:vAlign w:val="center"/>
          </w:tcPr>
          <w:p w14:paraId="7C395B2B"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3F6B883E"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1B5683AC" w14:textId="77777777" w:rsidR="00F57B54" w:rsidRPr="00F32542" w:rsidRDefault="00F57B54" w:rsidP="00F57B54">
            <w:pPr>
              <w:spacing w:after="0" w:line="240" w:lineRule="auto"/>
              <w:jc w:val="center"/>
              <w:rPr>
                <w:rFonts w:ascii="Arial" w:eastAsia="Calibri" w:hAnsi="Arial" w:cs="Arial"/>
                <w:b/>
                <w:color w:val="000000" w:themeColor="text1"/>
                <w:sz w:val="14"/>
                <w:szCs w:val="14"/>
              </w:rPr>
            </w:pPr>
            <w:r w:rsidRPr="00F32542">
              <w:rPr>
                <w:rFonts w:ascii="Arial" w:eastAsia="Calibri" w:hAnsi="Arial" w:cs="Arial"/>
                <w:b/>
                <w:color w:val="000000" w:themeColor="text1"/>
                <w:spacing w:val="4"/>
                <w:sz w:val="14"/>
                <w:szCs w:val="14"/>
              </w:rPr>
              <w:t>Distrito 21</w:t>
            </w:r>
          </w:p>
        </w:tc>
        <w:tc>
          <w:tcPr>
            <w:tcW w:w="851" w:type="dxa"/>
            <w:tcBorders>
              <w:left w:val="single" w:sz="4" w:space="0" w:color="auto"/>
              <w:bottom w:val="single" w:sz="4" w:space="0" w:color="auto"/>
              <w:right w:val="single" w:sz="4" w:space="0" w:color="auto"/>
            </w:tcBorders>
            <w:shd w:val="clear" w:color="auto" w:fill="AEAAAA"/>
            <w:vAlign w:val="center"/>
          </w:tcPr>
          <w:p w14:paraId="61062C75"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44E46F94"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0A9949E6" w14:textId="77777777" w:rsidR="00F57B54" w:rsidRPr="00F32542" w:rsidRDefault="00F57B54" w:rsidP="00F57B54">
            <w:pPr>
              <w:spacing w:after="0" w:line="240" w:lineRule="auto"/>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Distrito</w:t>
            </w:r>
          </w:p>
          <w:p w14:paraId="35B4BAD2" w14:textId="77777777" w:rsidR="00F57B54" w:rsidRPr="00F32542" w:rsidRDefault="00F57B54" w:rsidP="00F57B54">
            <w:pPr>
              <w:spacing w:after="0" w:line="240" w:lineRule="auto"/>
              <w:jc w:val="center"/>
              <w:rPr>
                <w:rFonts w:ascii="Arial" w:eastAsia="Calibri" w:hAnsi="Arial" w:cs="Arial"/>
                <w:b/>
                <w:color w:val="000000" w:themeColor="text1"/>
                <w:sz w:val="14"/>
                <w:szCs w:val="14"/>
              </w:rPr>
            </w:pPr>
            <w:r w:rsidRPr="00F32542">
              <w:rPr>
                <w:rFonts w:ascii="Arial" w:eastAsia="Calibri" w:hAnsi="Arial" w:cs="Arial"/>
                <w:b/>
                <w:color w:val="000000" w:themeColor="text1"/>
                <w:spacing w:val="4"/>
                <w:sz w:val="14"/>
                <w:szCs w:val="14"/>
              </w:rPr>
              <w:t>22</w:t>
            </w:r>
          </w:p>
        </w:tc>
        <w:tc>
          <w:tcPr>
            <w:tcW w:w="850" w:type="dxa"/>
            <w:tcBorders>
              <w:left w:val="single" w:sz="4" w:space="0" w:color="auto"/>
              <w:bottom w:val="single" w:sz="4" w:space="0" w:color="auto"/>
              <w:right w:val="single" w:sz="4" w:space="0" w:color="auto"/>
            </w:tcBorders>
            <w:shd w:val="clear" w:color="auto" w:fill="AEAAAA"/>
            <w:vAlign w:val="center"/>
          </w:tcPr>
          <w:p w14:paraId="716FE1F4"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6C3C3B69"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5DC00907" w14:textId="77777777" w:rsidR="00F57B54" w:rsidRPr="00F32542" w:rsidRDefault="00F57B54" w:rsidP="00F57B54">
            <w:pPr>
              <w:spacing w:after="0" w:line="240" w:lineRule="auto"/>
              <w:jc w:val="center"/>
              <w:rPr>
                <w:rFonts w:ascii="Arial" w:eastAsia="Calibri" w:hAnsi="Arial" w:cs="Arial"/>
                <w:b/>
                <w:color w:val="000000" w:themeColor="text1"/>
                <w:sz w:val="14"/>
                <w:szCs w:val="14"/>
              </w:rPr>
            </w:pPr>
            <w:r w:rsidRPr="00F32542">
              <w:rPr>
                <w:rFonts w:ascii="Arial" w:eastAsia="Calibri" w:hAnsi="Arial" w:cs="Arial"/>
                <w:b/>
                <w:color w:val="000000" w:themeColor="text1"/>
                <w:spacing w:val="4"/>
                <w:sz w:val="14"/>
                <w:szCs w:val="14"/>
              </w:rPr>
              <w:t>Distrito 25</w:t>
            </w:r>
          </w:p>
        </w:tc>
        <w:tc>
          <w:tcPr>
            <w:tcW w:w="709" w:type="dxa"/>
            <w:tcBorders>
              <w:left w:val="single" w:sz="4" w:space="0" w:color="auto"/>
              <w:bottom w:val="single" w:sz="4" w:space="0" w:color="auto"/>
            </w:tcBorders>
            <w:shd w:val="clear" w:color="auto" w:fill="AEAAAA"/>
            <w:vAlign w:val="center"/>
          </w:tcPr>
          <w:p w14:paraId="2B274250"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1C27B8B4"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3AE5895D" w14:textId="77777777" w:rsidR="00F57B54" w:rsidRPr="00F32542" w:rsidRDefault="00F57B54" w:rsidP="00F57B54">
            <w:pPr>
              <w:spacing w:after="0" w:line="240" w:lineRule="auto"/>
              <w:jc w:val="center"/>
              <w:rPr>
                <w:rFonts w:ascii="Arial" w:eastAsia="Calibri" w:hAnsi="Arial" w:cs="Arial"/>
                <w:b/>
                <w:color w:val="000000" w:themeColor="text1"/>
                <w:sz w:val="14"/>
                <w:szCs w:val="14"/>
              </w:rPr>
            </w:pPr>
            <w:r w:rsidRPr="00F32542">
              <w:rPr>
                <w:rFonts w:ascii="Arial" w:eastAsia="Calibri" w:hAnsi="Arial" w:cs="Arial"/>
                <w:b/>
                <w:color w:val="000000" w:themeColor="text1"/>
                <w:spacing w:val="4"/>
                <w:sz w:val="14"/>
                <w:szCs w:val="14"/>
              </w:rPr>
              <w:t>Distrito 28</w:t>
            </w:r>
          </w:p>
        </w:tc>
        <w:tc>
          <w:tcPr>
            <w:tcW w:w="850" w:type="dxa"/>
            <w:shd w:val="clear" w:color="auto" w:fill="AEAAAA"/>
            <w:vAlign w:val="center"/>
          </w:tcPr>
          <w:p w14:paraId="12D38290"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w:t>
            </w:r>
          </w:p>
          <w:p w14:paraId="5744969E" w14:textId="77777777" w:rsidR="00F57B54" w:rsidRPr="00F32542" w:rsidRDefault="00F57B54" w:rsidP="00F57B54">
            <w:pPr>
              <w:spacing w:after="0" w:line="240" w:lineRule="auto"/>
              <w:contextualSpacing/>
              <w:jc w:val="center"/>
              <w:rPr>
                <w:rFonts w:ascii="Arial" w:eastAsia="Calibri" w:hAnsi="Arial" w:cs="Arial"/>
                <w:b/>
                <w:color w:val="000000" w:themeColor="text1"/>
                <w:spacing w:val="4"/>
                <w:sz w:val="14"/>
                <w:szCs w:val="14"/>
              </w:rPr>
            </w:pPr>
          </w:p>
          <w:p w14:paraId="7D531019" w14:textId="77777777" w:rsidR="00F57B54" w:rsidRPr="00F32542" w:rsidRDefault="00F57B54" w:rsidP="00F57B54">
            <w:pPr>
              <w:spacing w:after="0" w:line="240" w:lineRule="auto"/>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Distrito</w:t>
            </w:r>
          </w:p>
          <w:p w14:paraId="769D9414" w14:textId="77777777" w:rsidR="00F57B54" w:rsidRPr="00F32542" w:rsidRDefault="00F57B54" w:rsidP="00F57B54">
            <w:pPr>
              <w:spacing w:after="0" w:line="240" w:lineRule="auto"/>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32</w:t>
            </w:r>
          </w:p>
        </w:tc>
        <w:tc>
          <w:tcPr>
            <w:tcW w:w="1560" w:type="dxa"/>
            <w:shd w:val="clear" w:color="auto" w:fill="AEAAAA"/>
            <w:vAlign w:val="center"/>
          </w:tcPr>
          <w:p w14:paraId="1646ACFE" w14:textId="77777777" w:rsidR="00F57B54" w:rsidRPr="00F32542" w:rsidRDefault="00F57B54" w:rsidP="00F57B54">
            <w:pPr>
              <w:spacing w:after="0" w:line="240" w:lineRule="auto"/>
              <w:jc w:val="center"/>
              <w:rPr>
                <w:rFonts w:ascii="Arial" w:eastAsia="Calibri" w:hAnsi="Arial" w:cs="Arial"/>
                <w:b/>
                <w:color w:val="000000" w:themeColor="text1"/>
                <w:spacing w:val="4"/>
                <w:sz w:val="14"/>
                <w:szCs w:val="14"/>
              </w:rPr>
            </w:pPr>
            <w:r w:rsidRPr="00F32542">
              <w:rPr>
                <w:rFonts w:ascii="Arial" w:eastAsia="Calibri" w:hAnsi="Arial" w:cs="Arial"/>
                <w:b/>
                <w:color w:val="000000" w:themeColor="text1"/>
                <w:spacing w:val="4"/>
                <w:sz w:val="14"/>
                <w:szCs w:val="14"/>
              </w:rPr>
              <w:t xml:space="preserve">Cómputo total de la elección de diputaciones de representación </w:t>
            </w:r>
            <w:proofErr w:type="gramStart"/>
            <w:r w:rsidRPr="00F32542">
              <w:rPr>
                <w:rFonts w:ascii="Arial" w:eastAsia="Calibri" w:hAnsi="Arial" w:cs="Arial"/>
                <w:b/>
                <w:color w:val="000000" w:themeColor="text1"/>
                <w:spacing w:val="4"/>
                <w:sz w:val="14"/>
                <w:szCs w:val="14"/>
              </w:rPr>
              <w:t>proporcional  recompuesto</w:t>
            </w:r>
            <w:proofErr w:type="gramEnd"/>
          </w:p>
        </w:tc>
      </w:tr>
      <w:tr w:rsidR="00B65D24" w:rsidRPr="00F32542" w14:paraId="117A118C" w14:textId="77777777" w:rsidTr="00B65D24">
        <w:trPr>
          <w:jc w:val="center"/>
        </w:trPr>
        <w:tc>
          <w:tcPr>
            <w:tcW w:w="970" w:type="dxa"/>
            <w:tcBorders>
              <w:right w:val="single" w:sz="4" w:space="0" w:color="auto"/>
            </w:tcBorders>
            <w:shd w:val="clear" w:color="auto" w:fill="AEAAAA"/>
            <w:vAlign w:val="center"/>
          </w:tcPr>
          <w:p w14:paraId="05BA66C5" w14:textId="77777777" w:rsidR="00B65D24" w:rsidRPr="00F32542" w:rsidRDefault="00B65D24" w:rsidP="00B65D2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PAN</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5B053A01" w14:textId="77777777" w:rsidR="00B65D24" w:rsidRPr="00F32542" w:rsidRDefault="00B65D24" w:rsidP="00B65D24">
            <w:pPr>
              <w:spacing w:after="0" w:line="240" w:lineRule="auto"/>
              <w:jc w:val="center"/>
              <w:rPr>
                <w:rFonts w:ascii="Arial" w:eastAsia="Calibri" w:hAnsi="Arial" w:cs="Arial"/>
                <w:color w:val="000000" w:themeColor="text1"/>
                <w:sz w:val="16"/>
                <w:szCs w:val="16"/>
              </w:rPr>
            </w:pPr>
            <w:r w:rsidRPr="00F32542">
              <w:rPr>
                <w:rFonts w:ascii="Arial" w:hAnsi="Arial" w:cs="Arial"/>
                <w:sz w:val="16"/>
                <w:szCs w:val="16"/>
              </w:rPr>
              <w:t>733,483</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tcPr>
          <w:p w14:paraId="728F192B"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8912</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76C57A88"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29052</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10FAB39D"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18803</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7CC9396A"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color w:val="000000"/>
                <w:sz w:val="16"/>
                <w:szCs w:val="16"/>
              </w:rPr>
              <w:t>48377</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4EAC9E3A"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26722</w:t>
            </w:r>
          </w:p>
        </w:tc>
        <w:tc>
          <w:tcPr>
            <w:tcW w:w="779" w:type="dxa"/>
            <w:tcBorders>
              <w:top w:val="nil"/>
              <w:left w:val="single" w:sz="4" w:space="0" w:color="auto"/>
              <w:bottom w:val="single" w:sz="8" w:space="0" w:color="auto"/>
              <w:right w:val="single" w:sz="8" w:space="0" w:color="auto"/>
            </w:tcBorders>
            <w:shd w:val="clear" w:color="000000" w:fill="FFFFFF"/>
            <w:vAlign w:val="center"/>
          </w:tcPr>
          <w:p w14:paraId="4F3F07B0"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6371</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bottom"/>
          </w:tcPr>
          <w:p w14:paraId="4016C500"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22105</w:t>
            </w:r>
          </w:p>
        </w:tc>
        <w:tc>
          <w:tcPr>
            <w:tcW w:w="856" w:type="dxa"/>
            <w:tcBorders>
              <w:top w:val="single" w:sz="8" w:space="0" w:color="auto"/>
              <w:left w:val="single" w:sz="8" w:space="0" w:color="auto"/>
              <w:bottom w:val="single" w:sz="8" w:space="0" w:color="auto"/>
              <w:right w:val="single" w:sz="8" w:space="0" w:color="auto"/>
            </w:tcBorders>
            <w:shd w:val="clear" w:color="auto" w:fill="auto"/>
            <w:vAlign w:val="center"/>
          </w:tcPr>
          <w:p w14:paraId="44907794"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23,741</w:t>
            </w:r>
          </w:p>
        </w:tc>
        <w:tc>
          <w:tcPr>
            <w:tcW w:w="850" w:type="dxa"/>
            <w:tcBorders>
              <w:top w:val="single" w:sz="8" w:space="0" w:color="auto"/>
              <w:left w:val="nil"/>
              <w:bottom w:val="single" w:sz="8" w:space="0" w:color="auto"/>
              <w:right w:val="single" w:sz="8" w:space="0" w:color="auto"/>
            </w:tcBorders>
            <w:shd w:val="clear" w:color="auto" w:fill="auto"/>
            <w:vAlign w:val="center"/>
          </w:tcPr>
          <w:p w14:paraId="754835CA"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26,230</w:t>
            </w:r>
          </w:p>
        </w:tc>
        <w:tc>
          <w:tcPr>
            <w:tcW w:w="709" w:type="dxa"/>
            <w:tcBorders>
              <w:top w:val="nil"/>
              <w:left w:val="nil"/>
              <w:bottom w:val="single" w:sz="8" w:space="0" w:color="auto"/>
              <w:right w:val="single" w:sz="8" w:space="0" w:color="auto"/>
            </w:tcBorders>
            <w:shd w:val="clear" w:color="000000" w:fill="FFFFFF"/>
            <w:vAlign w:val="center"/>
          </w:tcPr>
          <w:p w14:paraId="6E447C18"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14,523</w:t>
            </w:r>
          </w:p>
        </w:tc>
        <w:tc>
          <w:tcPr>
            <w:tcW w:w="851" w:type="dxa"/>
            <w:tcBorders>
              <w:top w:val="nil"/>
              <w:left w:val="nil"/>
              <w:bottom w:val="single" w:sz="8" w:space="0" w:color="auto"/>
              <w:right w:val="single" w:sz="8" w:space="0" w:color="auto"/>
            </w:tcBorders>
            <w:shd w:val="clear" w:color="000000" w:fill="FFFFFF"/>
            <w:vAlign w:val="center"/>
          </w:tcPr>
          <w:p w14:paraId="54598C58"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9263</w:t>
            </w:r>
          </w:p>
        </w:tc>
        <w:tc>
          <w:tcPr>
            <w:tcW w:w="850" w:type="dxa"/>
            <w:tcBorders>
              <w:top w:val="single" w:sz="8" w:space="0" w:color="auto"/>
              <w:left w:val="nil"/>
              <w:bottom w:val="single" w:sz="8" w:space="0" w:color="auto"/>
              <w:right w:val="single" w:sz="8" w:space="0" w:color="auto"/>
            </w:tcBorders>
            <w:shd w:val="clear" w:color="000000" w:fill="FFFFFF"/>
            <w:vAlign w:val="center"/>
          </w:tcPr>
          <w:p w14:paraId="0A69EDE7" w14:textId="77777777" w:rsidR="00B65D24" w:rsidRPr="00F32542" w:rsidRDefault="00B65D24" w:rsidP="00B65D24">
            <w:pPr>
              <w:spacing w:after="0" w:line="360" w:lineRule="auto"/>
              <w:jc w:val="center"/>
              <w:rPr>
                <w:rFonts w:ascii="Arial" w:eastAsia="Calibri" w:hAnsi="Arial" w:cs="Arial"/>
                <w:bCs/>
                <w:color w:val="000000" w:themeColor="text1"/>
                <w:sz w:val="16"/>
                <w:szCs w:val="16"/>
              </w:rPr>
            </w:pPr>
            <w:r w:rsidRPr="00F32542">
              <w:rPr>
                <w:rFonts w:ascii="Arial" w:hAnsi="Arial" w:cs="Arial"/>
                <w:sz w:val="16"/>
                <w:szCs w:val="16"/>
              </w:rPr>
              <w:t>19884</w:t>
            </w:r>
          </w:p>
        </w:tc>
        <w:tc>
          <w:tcPr>
            <w:tcW w:w="709" w:type="dxa"/>
            <w:tcBorders>
              <w:top w:val="single" w:sz="8" w:space="0" w:color="auto"/>
              <w:left w:val="nil"/>
              <w:bottom w:val="single" w:sz="8" w:space="0" w:color="auto"/>
              <w:right w:val="single" w:sz="8" w:space="0" w:color="auto"/>
            </w:tcBorders>
            <w:shd w:val="clear" w:color="auto" w:fill="auto"/>
            <w:vAlign w:val="center"/>
          </w:tcPr>
          <w:p w14:paraId="1CD879E8"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18,777</w:t>
            </w:r>
          </w:p>
        </w:tc>
        <w:tc>
          <w:tcPr>
            <w:tcW w:w="850" w:type="dxa"/>
            <w:tcBorders>
              <w:top w:val="nil"/>
              <w:left w:val="nil"/>
              <w:bottom w:val="single" w:sz="8" w:space="0" w:color="auto"/>
              <w:right w:val="single" w:sz="8" w:space="0" w:color="auto"/>
            </w:tcBorders>
            <w:shd w:val="clear" w:color="auto" w:fill="auto"/>
            <w:vAlign w:val="center"/>
          </w:tcPr>
          <w:p w14:paraId="37C97B98"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27374</w:t>
            </w:r>
          </w:p>
        </w:tc>
        <w:tc>
          <w:tcPr>
            <w:tcW w:w="1560" w:type="dxa"/>
            <w:tcBorders>
              <w:top w:val="nil"/>
              <w:left w:val="nil"/>
              <w:bottom w:val="single" w:sz="8" w:space="0" w:color="auto"/>
              <w:right w:val="single" w:sz="8" w:space="0" w:color="auto"/>
            </w:tcBorders>
            <w:shd w:val="clear" w:color="auto" w:fill="auto"/>
            <w:vAlign w:val="center"/>
          </w:tcPr>
          <w:p w14:paraId="4797468B"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1,033,617</w:t>
            </w:r>
          </w:p>
        </w:tc>
      </w:tr>
      <w:tr w:rsidR="00B65D24" w:rsidRPr="00F32542" w14:paraId="7681234C" w14:textId="77777777" w:rsidTr="00B65D24">
        <w:trPr>
          <w:jc w:val="center"/>
        </w:trPr>
        <w:tc>
          <w:tcPr>
            <w:tcW w:w="970" w:type="dxa"/>
            <w:tcBorders>
              <w:right w:val="single" w:sz="4" w:space="0" w:color="auto"/>
            </w:tcBorders>
            <w:shd w:val="clear" w:color="auto" w:fill="AEAAAA"/>
            <w:vAlign w:val="center"/>
          </w:tcPr>
          <w:p w14:paraId="12FFF38A" w14:textId="77777777" w:rsidR="00B65D24" w:rsidRPr="00F32542" w:rsidRDefault="00B65D24" w:rsidP="00B65D2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PRI</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002EBA25"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352,023</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tcPr>
          <w:p w14:paraId="1BA7DC16"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8213</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11B2E5C7"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14743</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1725C47C"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15969</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1EEF7D93"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color w:val="000000"/>
                <w:sz w:val="16"/>
                <w:szCs w:val="16"/>
              </w:rPr>
              <w:t>18085</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64B1308A"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23730</w:t>
            </w:r>
          </w:p>
        </w:tc>
        <w:tc>
          <w:tcPr>
            <w:tcW w:w="779" w:type="dxa"/>
            <w:tcBorders>
              <w:top w:val="nil"/>
              <w:left w:val="single" w:sz="4" w:space="0" w:color="auto"/>
              <w:bottom w:val="single" w:sz="8" w:space="0" w:color="auto"/>
              <w:right w:val="single" w:sz="8" w:space="0" w:color="auto"/>
            </w:tcBorders>
            <w:shd w:val="clear" w:color="000000" w:fill="FFFFFF"/>
            <w:vAlign w:val="center"/>
          </w:tcPr>
          <w:p w14:paraId="7CA00A8D"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20834</w:t>
            </w:r>
          </w:p>
        </w:tc>
        <w:tc>
          <w:tcPr>
            <w:tcW w:w="779" w:type="dxa"/>
            <w:tcBorders>
              <w:top w:val="nil"/>
              <w:left w:val="single" w:sz="4" w:space="0" w:color="auto"/>
              <w:bottom w:val="single" w:sz="4" w:space="0" w:color="auto"/>
              <w:right w:val="single" w:sz="4" w:space="0" w:color="auto"/>
            </w:tcBorders>
            <w:shd w:val="clear" w:color="000000" w:fill="FFFFFF"/>
            <w:vAlign w:val="bottom"/>
          </w:tcPr>
          <w:p w14:paraId="22C1BD0F"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27780</w:t>
            </w:r>
          </w:p>
        </w:tc>
        <w:tc>
          <w:tcPr>
            <w:tcW w:w="856" w:type="dxa"/>
            <w:tcBorders>
              <w:top w:val="nil"/>
              <w:left w:val="single" w:sz="8" w:space="0" w:color="auto"/>
              <w:bottom w:val="single" w:sz="8" w:space="0" w:color="auto"/>
              <w:right w:val="single" w:sz="8" w:space="0" w:color="auto"/>
            </w:tcBorders>
            <w:shd w:val="clear" w:color="auto" w:fill="auto"/>
            <w:vAlign w:val="center"/>
          </w:tcPr>
          <w:p w14:paraId="7D7EA969"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18,251</w:t>
            </w:r>
          </w:p>
        </w:tc>
        <w:tc>
          <w:tcPr>
            <w:tcW w:w="850" w:type="dxa"/>
            <w:tcBorders>
              <w:top w:val="nil"/>
              <w:left w:val="nil"/>
              <w:bottom w:val="single" w:sz="8" w:space="0" w:color="auto"/>
              <w:right w:val="single" w:sz="8" w:space="0" w:color="auto"/>
            </w:tcBorders>
            <w:shd w:val="clear" w:color="auto" w:fill="auto"/>
            <w:vAlign w:val="center"/>
          </w:tcPr>
          <w:p w14:paraId="7F360D7D"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18,573</w:t>
            </w:r>
          </w:p>
        </w:tc>
        <w:tc>
          <w:tcPr>
            <w:tcW w:w="709" w:type="dxa"/>
            <w:tcBorders>
              <w:top w:val="nil"/>
              <w:left w:val="nil"/>
              <w:bottom w:val="single" w:sz="8" w:space="0" w:color="auto"/>
              <w:right w:val="single" w:sz="8" w:space="0" w:color="auto"/>
            </w:tcBorders>
            <w:shd w:val="clear" w:color="000000" w:fill="FFFFFF"/>
            <w:vAlign w:val="center"/>
          </w:tcPr>
          <w:p w14:paraId="57B0676D"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12,562</w:t>
            </w:r>
          </w:p>
        </w:tc>
        <w:tc>
          <w:tcPr>
            <w:tcW w:w="851" w:type="dxa"/>
            <w:tcBorders>
              <w:top w:val="nil"/>
              <w:left w:val="nil"/>
              <w:bottom w:val="single" w:sz="8" w:space="0" w:color="auto"/>
              <w:right w:val="single" w:sz="8" w:space="0" w:color="auto"/>
            </w:tcBorders>
            <w:shd w:val="clear" w:color="000000" w:fill="FFFFFF"/>
            <w:vAlign w:val="center"/>
          </w:tcPr>
          <w:p w14:paraId="257C938C"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9762</w:t>
            </w:r>
          </w:p>
        </w:tc>
        <w:tc>
          <w:tcPr>
            <w:tcW w:w="850" w:type="dxa"/>
            <w:tcBorders>
              <w:top w:val="nil"/>
              <w:left w:val="nil"/>
              <w:bottom w:val="single" w:sz="8" w:space="0" w:color="auto"/>
              <w:right w:val="single" w:sz="8" w:space="0" w:color="auto"/>
            </w:tcBorders>
            <w:shd w:val="clear" w:color="000000" w:fill="FFFFFF"/>
            <w:vAlign w:val="center"/>
          </w:tcPr>
          <w:p w14:paraId="37351842" w14:textId="77777777" w:rsidR="00B65D24" w:rsidRPr="00F32542" w:rsidRDefault="00B65D24" w:rsidP="00B65D24">
            <w:pPr>
              <w:spacing w:after="0" w:line="360" w:lineRule="auto"/>
              <w:jc w:val="center"/>
              <w:rPr>
                <w:rFonts w:ascii="Arial" w:eastAsia="Calibri" w:hAnsi="Arial" w:cs="Arial"/>
                <w:bCs/>
                <w:color w:val="000000" w:themeColor="text1"/>
                <w:sz w:val="16"/>
                <w:szCs w:val="16"/>
              </w:rPr>
            </w:pPr>
            <w:r w:rsidRPr="00F32542">
              <w:rPr>
                <w:rFonts w:ascii="Arial" w:hAnsi="Arial" w:cs="Arial"/>
                <w:sz w:val="16"/>
                <w:szCs w:val="16"/>
              </w:rPr>
              <w:t>13049</w:t>
            </w:r>
          </w:p>
        </w:tc>
        <w:tc>
          <w:tcPr>
            <w:tcW w:w="709" w:type="dxa"/>
            <w:tcBorders>
              <w:top w:val="nil"/>
              <w:left w:val="nil"/>
              <w:bottom w:val="single" w:sz="8" w:space="0" w:color="auto"/>
              <w:right w:val="single" w:sz="8" w:space="0" w:color="auto"/>
            </w:tcBorders>
            <w:shd w:val="clear" w:color="auto" w:fill="auto"/>
            <w:vAlign w:val="center"/>
          </w:tcPr>
          <w:p w14:paraId="0AF070E0"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12,274</w:t>
            </w:r>
          </w:p>
        </w:tc>
        <w:tc>
          <w:tcPr>
            <w:tcW w:w="850" w:type="dxa"/>
            <w:tcBorders>
              <w:top w:val="nil"/>
              <w:left w:val="nil"/>
              <w:bottom w:val="single" w:sz="8" w:space="0" w:color="auto"/>
              <w:right w:val="single" w:sz="8" w:space="0" w:color="auto"/>
            </w:tcBorders>
            <w:shd w:val="clear" w:color="auto" w:fill="auto"/>
            <w:vAlign w:val="center"/>
          </w:tcPr>
          <w:p w14:paraId="4526ED22"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15827</w:t>
            </w:r>
          </w:p>
        </w:tc>
        <w:tc>
          <w:tcPr>
            <w:tcW w:w="1560" w:type="dxa"/>
            <w:tcBorders>
              <w:top w:val="nil"/>
              <w:left w:val="nil"/>
              <w:bottom w:val="single" w:sz="8" w:space="0" w:color="auto"/>
              <w:right w:val="single" w:sz="8" w:space="0" w:color="auto"/>
            </w:tcBorders>
            <w:shd w:val="clear" w:color="auto" w:fill="auto"/>
            <w:vAlign w:val="center"/>
          </w:tcPr>
          <w:p w14:paraId="01640E31"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581,675</w:t>
            </w:r>
          </w:p>
        </w:tc>
      </w:tr>
      <w:tr w:rsidR="00B65D24" w:rsidRPr="00F32542" w14:paraId="2B450C4F" w14:textId="77777777" w:rsidTr="00B65D24">
        <w:trPr>
          <w:jc w:val="center"/>
        </w:trPr>
        <w:tc>
          <w:tcPr>
            <w:tcW w:w="970" w:type="dxa"/>
            <w:tcBorders>
              <w:right w:val="single" w:sz="4" w:space="0" w:color="auto"/>
            </w:tcBorders>
            <w:shd w:val="clear" w:color="auto" w:fill="AEAAAA"/>
            <w:vAlign w:val="center"/>
          </w:tcPr>
          <w:p w14:paraId="53340EF9" w14:textId="77777777" w:rsidR="00B65D24" w:rsidRPr="00F32542" w:rsidRDefault="00B65D24" w:rsidP="00B65D2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PRD</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0F2F4F49"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96,980</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tcPr>
          <w:p w14:paraId="25015B6B"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6510</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401CDEAE"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3359</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2E9785A4"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20034</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05EEA28C"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color w:val="000000"/>
                <w:sz w:val="16"/>
                <w:szCs w:val="16"/>
              </w:rPr>
              <w:t>3064</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2EDE90A7"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15025</w:t>
            </w:r>
          </w:p>
        </w:tc>
        <w:tc>
          <w:tcPr>
            <w:tcW w:w="779" w:type="dxa"/>
            <w:tcBorders>
              <w:top w:val="nil"/>
              <w:left w:val="single" w:sz="4" w:space="0" w:color="auto"/>
              <w:bottom w:val="single" w:sz="8" w:space="0" w:color="auto"/>
              <w:right w:val="single" w:sz="8" w:space="0" w:color="auto"/>
            </w:tcBorders>
            <w:shd w:val="clear" w:color="000000" w:fill="FFFFFF"/>
            <w:vAlign w:val="center"/>
          </w:tcPr>
          <w:p w14:paraId="2B602E8F"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3765</w:t>
            </w:r>
          </w:p>
        </w:tc>
        <w:tc>
          <w:tcPr>
            <w:tcW w:w="779" w:type="dxa"/>
            <w:tcBorders>
              <w:top w:val="nil"/>
              <w:left w:val="single" w:sz="4" w:space="0" w:color="auto"/>
              <w:bottom w:val="single" w:sz="4" w:space="0" w:color="auto"/>
              <w:right w:val="single" w:sz="4" w:space="0" w:color="auto"/>
            </w:tcBorders>
            <w:shd w:val="clear" w:color="000000" w:fill="FFFFFF"/>
            <w:vAlign w:val="bottom"/>
          </w:tcPr>
          <w:p w14:paraId="23E70043"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3281</w:t>
            </w:r>
          </w:p>
        </w:tc>
        <w:tc>
          <w:tcPr>
            <w:tcW w:w="856" w:type="dxa"/>
            <w:tcBorders>
              <w:top w:val="nil"/>
              <w:left w:val="single" w:sz="8" w:space="0" w:color="auto"/>
              <w:bottom w:val="single" w:sz="8" w:space="0" w:color="auto"/>
              <w:right w:val="single" w:sz="8" w:space="0" w:color="auto"/>
            </w:tcBorders>
            <w:shd w:val="clear" w:color="auto" w:fill="auto"/>
            <w:vAlign w:val="center"/>
          </w:tcPr>
          <w:p w14:paraId="7001DBC9"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8,325</w:t>
            </w:r>
          </w:p>
        </w:tc>
        <w:tc>
          <w:tcPr>
            <w:tcW w:w="850" w:type="dxa"/>
            <w:tcBorders>
              <w:top w:val="nil"/>
              <w:left w:val="nil"/>
              <w:bottom w:val="single" w:sz="8" w:space="0" w:color="auto"/>
              <w:right w:val="single" w:sz="8" w:space="0" w:color="auto"/>
            </w:tcBorders>
            <w:shd w:val="clear" w:color="auto" w:fill="auto"/>
            <w:vAlign w:val="center"/>
          </w:tcPr>
          <w:p w14:paraId="125998DF"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13,129</w:t>
            </w:r>
          </w:p>
        </w:tc>
        <w:tc>
          <w:tcPr>
            <w:tcW w:w="709" w:type="dxa"/>
            <w:tcBorders>
              <w:top w:val="nil"/>
              <w:left w:val="nil"/>
              <w:bottom w:val="single" w:sz="8" w:space="0" w:color="auto"/>
              <w:right w:val="single" w:sz="8" w:space="0" w:color="auto"/>
            </w:tcBorders>
            <w:shd w:val="clear" w:color="000000" w:fill="FFFFFF"/>
            <w:vAlign w:val="center"/>
          </w:tcPr>
          <w:p w14:paraId="124A5764"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8,546</w:t>
            </w:r>
          </w:p>
        </w:tc>
        <w:tc>
          <w:tcPr>
            <w:tcW w:w="851" w:type="dxa"/>
            <w:tcBorders>
              <w:top w:val="nil"/>
              <w:left w:val="nil"/>
              <w:bottom w:val="single" w:sz="8" w:space="0" w:color="auto"/>
              <w:right w:val="single" w:sz="8" w:space="0" w:color="auto"/>
            </w:tcBorders>
            <w:shd w:val="clear" w:color="000000" w:fill="FFFFFF"/>
            <w:vAlign w:val="center"/>
          </w:tcPr>
          <w:p w14:paraId="49074988"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6944</w:t>
            </w:r>
          </w:p>
        </w:tc>
        <w:tc>
          <w:tcPr>
            <w:tcW w:w="850" w:type="dxa"/>
            <w:tcBorders>
              <w:top w:val="nil"/>
              <w:left w:val="nil"/>
              <w:bottom w:val="single" w:sz="8" w:space="0" w:color="auto"/>
              <w:right w:val="single" w:sz="8" w:space="0" w:color="auto"/>
            </w:tcBorders>
            <w:shd w:val="clear" w:color="000000" w:fill="FFFFFF"/>
            <w:vAlign w:val="center"/>
          </w:tcPr>
          <w:p w14:paraId="379CB4B5" w14:textId="77777777" w:rsidR="00B65D24" w:rsidRPr="00F32542" w:rsidRDefault="00B65D24" w:rsidP="00B65D24">
            <w:pPr>
              <w:spacing w:after="0" w:line="360" w:lineRule="auto"/>
              <w:jc w:val="center"/>
              <w:rPr>
                <w:rFonts w:ascii="Arial" w:eastAsia="Calibri" w:hAnsi="Arial" w:cs="Arial"/>
                <w:bCs/>
                <w:color w:val="000000" w:themeColor="text1"/>
                <w:sz w:val="16"/>
                <w:szCs w:val="16"/>
              </w:rPr>
            </w:pPr>
            <w:r w:rsidRPr="00F32542">
              <w:rPr>
                <w:rFonts w:ascii="Arial" w:hAnsi="Arial" w:cs="Arial"/>
                <w:sz w:val="16"/>
                <w:szCs w:val="16"/>
              </w:rPr>
              <w:t>2636</w:t>
            </w:r>
          </w:p>
        </w:tc>
        <w:tc>
          <w:tcPr>
            <w:tcW w:w="709" w:type="dxa"/>
            <w:tcBorders>
              <w:top w:val="nil"/>
              <w:left w:val="nil"/>
              <w:bottom w:val="single" w:sz="8" w:space="0" w:color="auto"/>
              <w:right w:val="single" w:sz="8" w:space="0" w:color="auto"/>
            </w:tcBorders>
            <w:shd w:val="clear" w:color="auto" w:fill="auto"/>
            <w:vAlign w:val="center"/>
          </w:tcPr>
          <w:p w14:paraId="11CD567A"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3,183</w:t>
            </w:r>
          </w:p>
        </w:tc>
        <w:tc>
          <w:tcPr>
            <w:tcW w:w="850" w:type="dxa"/>
            <w:tcBorders>
              <w:top w:val="nil"/>
              <w:left w:val="nil"/>
              <w:bottom w:val="single" w:sz="8" w:space="0" w:color="auto"/>
              <w:right w:val="single" w:sz="8" w:space="0" w:color="auto"/>
            </w:tcBorders>
            <w:shd w:val="clear" w:color="auto" w:fill="auto"/>
            <w:vAlign w:val="center"/>
          </w:tcPr>
          <w:p w14:paraId="0D7B4E2E"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13114</w:t>
            </w:r>
          </w:p>
        </w:tc>
        <w:tc>
          <w:tcPr>
            <w:tcW w:w="1560" w:type="dxa"/>
            <w:tcBorders>
              <w:top w:val="nil"/>
              <w:left w:val="nil"/>
              <w:bottom w:val="single" w:sz="8" w:space="0" w:color="auto"/>
              <w:right w:val="single" w:sz="8" w:space="0" w:color="auto"/>
            </w:tcBorders>
            <w:shd w:val="clear" w:color="auto" w:fill="auto"/>
            <w:vAlign w:val="center"/>
          </w:tcPr>
          <w:p w14:paraId="4E72F59B"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207,895</w:t>
            </w:r>
          </w:p>
        </w:tc>
      </w:tr>
      <w:tr w:rsidR="00B65D24" w:rsidRPr="00F32542" w14:paraId="233D92F3" w14:textId="77777777" w:rsidTr="00B65D24">
        <w:trPr>
          <w:jc w:val="center"/>
        </w:trPr>
        <w:tc>
          <w:tcPr>
            <w:tcW w:w="970" w:type="dxa"/>
            <w:tcBorders>
              <w:right w:val="single" w:sz="4" w:space="0" w:color="auto"/>
            </w:tcBorders>
            <w:shd w:val="clear" w:color="auto" w:fill="AEAAAA"/>
            <w:vAlign w:val="center"/>
          </w:tcPr>
          <w:p w14:paraId="12F5F3BD" w14:textId="77777777" w:rsidR="00B65D24" w:rsidRPr="00F32542" w:rsidRDefault="00B65D24" w:rsidP="00B65D2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PVEM</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0094669E"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70,809</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tcPr>
          <w:p w14:paraId="58315D6A"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3165</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78D9972E"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4718</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4E89A5B0"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3381</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11A63306"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color w:val="000000"/>
                <w:sz w:val="16"/>
                <w:szCs w:val="16"/>
              </w:rPr>
              <w:t>3813</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300017BE"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3794</w:t>
            </w:r>
          </w:p>
        </w:tc>
        <w:tc>
          <w:tcPr>
            <w:tcW w:w="779" w:type="dxa"/>
            <w:tcBorders>
              <w:top w:val="nil"/>
              <w:left w:val="single" w:sz="4" w:space="0" w:color="auto"/>
              <w:bottom w:val="single" w:sz="8" w:space="0" w:color="auto"/>
              <w:right w:val="single" w:sz="8" w:space="0" w:color="auto"/>
            </w:tcBorders>
            <w:shd w:val="clear" w:color="000000" w:fill="FFFFFF"/>
            <w:vAlign w:val="center"/>
          </w:tcPr>
          <w:p w14:paraId="0E9B8E19"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6141</w:t>
            </w:r>
          </w:p>
        </w:tc>
        <w:tc>
          <w:tcPr>
            <w:tcW w:w="779" w:type="dxa"/>
            <w:tcBorders>
              <w:top w:val="nil"/>
              <w:left w:val="single" w:sz="4" w:space="0" w:color="auto"/>
              <w:bottom w:val="single" w:sz="4" w:space="0" w:color="auto"/>
              <w:right w:val="single" w:sz="4" w:space="0" w:color="auto"/>
            </w:tcBorders>
            <w:shd w:val="clear" w:color="000000" w:fill="FFFFFF"/>
            <w:vAlign w:val="bottom"/>
          </w:tcPr>
          <w:p w14:paraId="00A6FFCC"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3302</w:t>
            </w:r>
          </w:p>
        </w:tc>
        <w:tc>
          <w:tcPr>
            <w:tcW w:w="856" w:type="dxa"/>
            <w:tcBorders>
              <w:top w:val="nil"/>
              <w:left w:val="single" w:sz="8" w:space="0" w:color="auto"/>
              <w:bottom w:val="single" w:sz="8" w:space="0" w:color="auto"/>
              <w:right w:val="single" w:sz="8" w:space="0" w:color="auto"/>
            </w:tcBorders>
            <w:shd w:val="clear" w:color="auto" w:fill="auto"/>
            <w:vAlign w:val="center"/>
          </w:tcPr>
          <w:p w14:paraId="21AFD6C1"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5,060</w:t>
            </w:r>
          </w:p>
        </w:tc>
        <w:tc>
          <w:tcPr>
            <w:tcW w:w="850" w:type="dxa"/>
            <w:tcBorders>
              <w:top w:val="nil"/>
              <w:left w:val="nil"/>
              <w:bottom w:val="single" w:sz="8" w:space="0" w:color="auto"/>
              <w:right w:val="single" w:sz="8" w:space="0" w:color="auto"/>
            </w:tcBorders>
            <w:shd w:val="clear" w:color="auto" w:fill="auto"/>
            <w:vAlign w:val="center"/>
          </w:tcPr>
          <w:p w14:paraId="71CE72F1"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3,788</w:t>
            </w:r>
          </w:p>
        </w:tc>
        <w:tc>
          <w:tcPr>
            <w:tcW w:w="709" w:type="dxa"/>
            <w:tcBorders>
              <w:top w:val="nil"/>
              <w:left w:val="nil"/>
              <w:bottom w:val="single" w:sz="8" w:space="0" w:color="auto"/>
              <w:right w:val="single" w:sz="8" w:space="0" w:color="auto"/>
            </w:tcBorders>
            <w:shd w:val="clear" w:color="000000" w:fill="FFFFFF"/>
            <w:vAlign w:val="center"/>
          </w:tcPr>
          <w:p w14:paraId="181C822C"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3,504</w:t>
            </w:r>
          </w:p>
        </w:tc>
        <w:tc>
          <w:tcPr>
            <w:tcW w:w="851" w:type="dxa"/>
            <w:tcBorders>
              <w:top w:val="nil"/>
              <w:left w:val="nil"/>
              <w:bottom w:val="single" w:sz="8" w:space="0" w:color="auto"/>
              <w:right w:val="single" w:sz="8" w:space="0" w:color="auto"/>
            </w:tcBorders>
            <w:shd w:val="clear" w:color="000000" w:fill="FFFFFF"/>
            <w:vAlign w:val="center"/>
          </w:tcPr>
          <w:p w14:paraId="18BAA289"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3521</w:t>
            </w:r>
          </w:p>
        </w:tc>
        <w:tc>
          <w:tcPr>
            <w:tcW w:w="850" w:type="dxa"/>
            <w:tcBorders>
              <w:top w:val="nil"/>
              <w:left w:val="nil"/>
              <w:bottom w:val="single" w:sz="8" w:space="0" w:color="auto"/>
              <w:right w:val="single" w:sz="8" w:space="0" w:color="auto"/>
            </w:tcBorders>
            <w:shd w:val="clear" w:color="000000" w:fill="FFFFFF"/>
            <w:vAlign w:val="center"/>
          </w:tcPr>
          <w:p w14:paraId="4AFA1F5C" w14:textId="77777777" w:rsidR="00B65D24" w:rsidRPr="00F32542" w:rsidRDefault="00B65D24" w:rsidP="00B65D24">
            <w:pPr>
              <w:spacing w:after="0" w:line="360" w:lineRule="auto"/>
              <w:jc w:val="center"/>
              <w:rPr>
                <w:rFonts w:ascii="Arial" w:eastAsia="Calibri" w:hAnsi="Arial" w:cs="Arial"/>
                <w:bCs/>
                <w:color w:val="000000" w:themeColor="text1"/>
                <w:sz w:val="16"/>
                <w:szCs w:val="16"/>
              </w:rPr>
            </w:pPr>
            <w:r w:rsidRPr="00F32542">
              <w:rPr>
                <w:rFonts w:ascii="Arial" w:hAnsi="Arial" w:cs="Arial"/>
                <w:sz w:val="16"/>
                <w:szCs w:val="16"/>
              </w:rPr>
              <w:t>4136</w:t>
            </w:r>
          </w:p>
        </w:tc>
        <w:tc>
          <w:tcPr>
            <w:tcW w:w="709" w:type="dxa"/>
            <w:tcBorders>
              <w:top w:val="nil"/>
              <w:left w:val="nil"/>
              <w:bottom w:val="single" w:sz="8" w:space="0" w:color="auto"/>
              <w:right w:val="single" w:sz="8" w:space="0" w:color="auto"/>
            </w:tcBorders>
            <w:shd w:val="clear" w:color="auto" w:fill="auto"/>
            <w:vAlign w:val="center"/>
          </w:tcPr>
          <w:p w14:paraId="7891F219"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2,997</w:t>
            </w:r>
          </w:p>
        </w:tc>
        <w:tc>
          <w:tcPr>
            <w:tcW w:w="850" w:type="dxa"/>
            <w:tcBorders>
              <w:top w:val="nil"/>
              <w:left w:val="nil"/>
              <w:bottom w:val="single" w:sz="8" w:space="0" w:color="auto"/>
              <w:right w:val="single" w:sz="8" w:space="0" w:color="auto"/>
            </w:tcBorders>
            <w:shd w:val="clear" w:color="auto" w:fill="auto"/>
            <w:vAlign w:val="center"/>
          </w:tcPr>
          <w:p w14:paraId="12019595"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3167</w:t>
            </w:r>
          </w:p>
        </w:tc>
        <w:tc>
          <w:tcPr>
            <w:tcW w:w="1560" w:type="dxa"/>
            <w:tcBorders>
              <w:top w:val="nil"/>
              <w:left w:val="nil"/>
              <w:bottom w:val="single" w:sz="8" w:space="0" w:color="auto"/>
              <w:right w:val="single" w:sz="8" w:space="0" w:color="auto"/>
            </w:tcBorders>
            <w:shd w:val="clear" w:color="auto" w:fill="auto"/>
            <w:vAlign w:val="center"/>
          </w:tcPr>
          <w:p w14:paraId="61D42934"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125,296</w:t>
            </w:r>
          </w:p>
        </w:tc>
      </w:tr>
      <w:tr w:rsidR="00B65D24" w:rsidRPr="00F32542" w14:paraId="435AB2B2" w14:textId="77777777" w:rsidTr="00B65D24">
        <w:trPr>
          <w:jc w:val="center"/>
        </w:trPr>
        <w:tc>
          <w:tcPr>
            <w:tcW w:w="970" w:type="dxa"/>
            <w:tcBorders>
              <w:right w:val="single" w:sz="4" w:space="0" w:color="auto"/>
            </w:tcBorders>
            <w:shd w:val="clear" w:color="auto" w:fill="AEAAAA"/>
            <w:vAlign w:val="center"/>
          </w:tcPr>
          <w:p w14:paraId="0C3B2CB4" w14:textId="77777777" w:rsidR="00B65D24" w:rsidRPr="00F32542" w:rsidRDefault="00B65D24" w:rsidP="00B65D2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PT</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552EA040"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47,002</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tcPr>
          <w:p w14:paraId="78C68D31"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2105</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742377C0"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2343</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0FB5F0C5"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2743</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51E27E52"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color w:val="000000"/>
                <w:sz w:val="16"/>
                <w:szCs w:val="16"/>
              </w:rPr>
              <w:t>2692</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7914F7F0"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2930</w:t>
            </w:r>
          </w:p>
        </w:tc>
        <w:tc>
          <w:tcPr>
            <w:tcW w:w="779" w:type="dxa"/>
            <w:tcBorders>
              <w:top w:val="nil"/>
              <w:left w:val="single" w:sz="4" w:space="0" w:color="auto"/>
              <w:bottom w:val="single" w:sz="8" w:space="0" w:color="auto"/>
              <w:right w:val="single" w:sz="8" w:space="0" w:color="auto"/>
            </w:tcBorders>
            <w:shd w:val="clear" w:color="000000" w:fill="FFFFFF"/>
            <w:vAlign w:val="center"/>
          </w:tcPr>
          <w:p w14:paraId="34789E76"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3556</w:t>
            </w:r>
          </w:p>
        </w:tc>
        <w:tc>
          <w:tcPr>
            <w:tcW w:w="779" w:type="dxa"/>
            <w:tcBorders>
              <w:top w:val="nil"/>
              <w:left w:val="single" w:sz="4" w:space="0" w:color="auto"/>
              <w:bottom w:val="single" w:sz="4" w:space="0" w:color="auto"/>
              <w:right w:val="single" w:sz="4" w:space="0" w:color="auto"/>
            </w:tcBorders>
            <w:shd w:val="clear" w:color="000000" w:fill="FFFFFF"/>
            <w:vAlign w:val="bottom"/>
          </w:tcPr>
          <w:p w14:paraId="1263DA7B"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2749</w:t>
            </w:r>
          </w:p>
        </w:tc>
        <w:tc>
          <w:tcPr>
            <w:tcW w:w="856" w:type="dxa"/>
            <w:tcBorders>
              <w:top w:val="nil"/>
              <w:left w:val="single" w:sz="8" w:space="0" w:color="auto"/>
              <w:bottom w:val="single" w:sz="8" w:space="0" w:color="auto"/>
              <w:right w:val="single" w:sz="8" w:space="0" w:color="auto"/>
            </w:tcBorders>
            <w:shd w:val="clear" w:color="auto" w:fill="auto"/>
            <w:vAlign w:val="center"/>
          </w:tcPr>
          <w:p w14:paraId="1BC14A59"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2,812</w:t>
            </w:r>
          </w:p>
        </w:tc>
        <w:tc>
          <w:tcPr>
            <w:tcW w:w="850" w:type="dxa"/>
            <w:tcBorders>
              <w:top w:val="nil"/>
              <w:left w:val="nil"/>
              <w:bottom w:val="single" w:sz="8" w:space="0" w:color="auto"/>
              <w:right w:val="single" w:sz="8" w:space="0" w:color="auto"/>
            </w:tcBorders>
            <w:shd w:val="clear" w:color="auto" w:fill="auto"/>
            <w:vAlign w:val="center"/>
          </w:tcPr>
          <w:p w14:paraId="614DEB82"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2,488</w:t>
            </w:r>
          </w:p>
        </w:tc>
        <w:tc>
          <w:tcPr>
            <w:tcW w:w="709" w:type="dxa"/>
            <w:tcBorders>
              <w:top w:val="nil"/>
              <w:left w:val="nil"/>
              <w:bottom w:val="single" w:sz="8" w:space="0" w:color="auto"/>
              <w:right w:val="single" w:sz="8" w:space="0" w:color="auto"/>
            </w:tcBorders>
            <w:shd w:val="clear" w:color="000000" w:fill="FFFFFF"/>
            <w:vAlign w:val="center"/>
          </w:tcPr>
          <w:p w14:paraId="0550B664"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2,883</w:t>
            </w:r>
          </w:p>
        </w:tc>
        <w:tc>
          <w:tcPr>
            <w:tcW w:w="851" w:type="dxa"/>
            <w:tcBorders>
              <w:top w:val="nil"/>
              <w:left w:val="nil"/>
              <w:bottom w:val="single" w:sz="8" w:space="0" w:color="auto"/>
              <w:right w:val="single" w:sz="8" w:space="0" w:color="auto"/>
            </w:tcBorders>
            <w:shd w:val="clear" w:color="000000" w:fill="FFFFFF"/>
            <w:vAlign w:val="center"/>
          </w:tcPr>
          <w:p w14:paraId="0471DDD8"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2316</w:t>
            </w:r>
          </w:p>
        </w:tc>
        <w:tc>
          <w:tcPr>
            <w:tcW w:w="850" w:type="dxa"/>
            <w:tcBorders>
              <w:top w:val="nil"/>
              <w:left w:val="nil"/>
              <w:bottom w:val="single" w:sz="8" w:space="0" w:color="auto"/>
              <w:right w:val="single" w:sz="8" w:space="0" w:color="auto"/>
            </w:tcBorders>
            <w:shd w:val="clear" w:color="000000" w:fill="FFFFFF"/>
            <w:vAlign w:val="center"/>
          </w:tcPr>
          <w:p w14:paraId="1F584DD6" w14:textId="77777777" w:rsidR="00B65D24" w:rsidRPr="00F32542" w:rsidRDefault="00B65D24" w:rsidP="00B65D24">
            <w:pPr>
              <w:spacing w:after="0" w:line="360" w:lineRule="auto"/>
              <w:jc w:val="center"/>
              <w:rPr>
                <w:rFonts w:ascii="Arial" w:eastAsia="Calibri" w:hAnsi="Arial" w:cs="Arial"/>
                <w:bCs/>
                <w:color w:val="000000" w:themeColor="text1"/>
                <w:sz w:val="16"/>
                <w:szCs w:val="16"/>
              </w:rPr>
            </w:pPr>
            <w:r w:rsidRPr="00F32542">
              <w:rPr>
                <w:rFonts w:ascii="Arial" w:hAnsi="Arial" w:cs="Arial"/>
                <w:sz w:val="16"/>
                <w:szCs w:val="16"/>
              </w:rPr>
              <w:t>3370</w:t>
            </w:r>
          </w:p>
        </w:tc>
        <w:tc>
          <w:tcPr>
            <w:tcW w:w="709" w:type="dxa"/>
            <w:tcBorders>
              <w:top w:val="nil"/>
              <w:left w:val="nil"/>
              <w:bottom w:val="single" w:sz="8" w:space="0" w:color="auto"/>
              <w:right w:val="single" w:sz="8" w:space="0" w:color="auto"/>
            </w:tcBorders>
            <w:shd w:val="clear" w:color="auto" w:fill="auto"/>
            <w:vAlign w:val="center"/>
          </w:tcPr>
          <w:p w14:paraId="19AEBE38"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2,517</w:t>
            </w:r>
          </w:p>
        </w:tc>
        <w:tc>
          <w:tcPr>
            <w:tcW w:w="850" w:type="dxa"/>
            <w:tcBorders>
              <w:top w:val="nil"/>
              <w:left w:val="nil"/>
              <w:bottom w:val="single" w:sz="8" w:space="0" w:color="auto"/>
              <w:right w:val="single" w:sz="8" w:space="0" w:color="auto"/>
            </w:tcBorders>
            <w:shd w:val="clear" w:color="auto" w:fill="auto"/>
            <w:vAlign w:val="center"/>
          </w:tcPr>
          <w:p w14:paraId="5FC43C04"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3288</w:t>
            </w:r>
          </w:p>
        </w:tc>
        <w:tc>
          <w:tcPr>
            <w:tcW w:w="1560" w:type="dxa"/>
            <w:tcBorders>
              <w:top w:val="nil"/>
              <w:left w:val="nil"/>
              <w:bottom w:val="single" w:sz="8" w:space="0" w:color="auto"/>
              <w:right w:val="single" w:sz="8" w:space="0" w:color="auto"/>
            </w:tcBorders>
            <w:shd w:val="clear" w:color="auto" w:fill="auto"/>
            <w:vAlign w:val="center"/>
          </w:tcPr>
          <w:p w14:paraId="063F3ED9"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85,794</w:t>
            </w:r>
          </w:p>
        </w:tc>
      </w:tr>
      <w:tr w:rsidR="00B65D24" w:rsidRPr="00F32542" w14:paraId="1264A6E4" w14:textId="77777777" w:rsidTr="00B65D24">
        <w:trPr>
          <w:jc w:val="center"/>
        </w:trPr>
        <w:tc>
          <w:tcPr>
            <w:tcW w:w="970" w:type="dxa"/>
            <w:tcBorders>
              <w:right w:val="single" w:sz="4" w:space="0" w:color="auto"/>
            </w:tcBorders>
            <w:shd w:val="clear" w:color="auto" w:fill="AEAAAA"/>
            <w:vAlign w:val="center"/>
          </w:tcPr>
          <w:p w14:paraId="0986226C" w14:textId="77777777" w:rsidR="00B65D24" w:rsidRPr="00F32542" w:rsidRDefault="00B65D24" w:rsidP="00B65D2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MC</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79E32ED8"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85,040</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tcPr>
          <w:p w14:paraId="1B891BB8"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2774</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75F91012"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3118</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6EEA8583"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4014</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3610DFE9"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color w:val="000000"/>
                <w:sz w:val="16"/>
                <w:szCs w:val="16"/>
              </w:rPr>
              <w:t>4312</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406AC815"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4758</w:t>
            </w:r>
          </w:p>
        </w:tc>
        <w:tc>
          <w:tcPr>
            <w:tcW w:w="779" w:type="dxa"/>
            <w:tcBorders>
              <w:top w:val="nil"/>
              <w:left w:val="single" w:sz="4" w:space="0" w:color="auto"/>
              <w:bottom w:val="single" w:sz="8" w:space="0" w:color="auto"/>
              <w:right w:val="single" w:sz="8" w:space="0" w:color="auto"/>
            </w:tcBorders>
            <w:shd w:val="clear" w:color="000000" w:fill="FFFFFF"/>
            <w:vAlign w:val="center"/>
          </w:tcPr>
          <w:p w14:paraId="5B8AB0AF"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5090</w:t>
            </w:r>
          </w:p>
        </w:tc>
        <w:tc>
          <w:tcPr>
            <w:tcW w:w="779" w:type="dxa"/>
            <w:tcBorders>
              <w:top w:val="nil"/>
              <w:left w:val="single" w:sz="4" w:space="0" w:color="auto"/>
              <w:bottom w:val="single" w:sz="4" w:space="0" w:color="auto"/>
              <w:right w:val="single" w:sz="4" w:space="0" w:color="auto"/>
            </w:tcBorders>
            <w:shd w:val="clear" w:color="000000" w:fill="FFFFFF"/>
            <w:vAlign w:val="bottom"/>
          </w:tcPr>
          <w:p w14:paraId="72A9085B"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3479</w:t>
            </w:r>
          </w:p>
        </w:tc>
        <w:tc>
          <w:tcPr>
            <w:tcW w:w="856" w:type="dxa"/>
            <w:tcBorders>
              <w:top w:val="nil"/>
              <w:left w:val="single" w:sz="8" w:space="0" w:color="auto"/>
              <w:bottom w:val="single" w:sz="8" w:space="0" w:color="auto"/>
              <w:right w:val="single" w:sz="8" w:space="0" w:color="auto"/>
            </w:tcBorders>
            <w:shd w:val="clear" w:color="auto" w:fill="auto"/>
            <w:vAlign w:val="center"/>
          </w:tcPr>
          <w:p w14:paraId="59B282A5"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6,059</w:t>
            </w:r>
          </w:p>
        </w:tc>
        <w:tc>
          <w:tcPr>
            <w:tcW w:w="850" w:type="dxa"/>
            <w:tcBorders>
              <w:top w:val="nil"/>
              <w:left w:val="nil"/>
              <w:bottom w:val="single" w:sz="8" w:space="0" w:color="auto"/>
              <w:right w:val="single" w:sz="8" w:space="0" w:color="auto"/>
            </w:tcBorders>
            <w:shd w:val="clear" w:color="auto" w:fill="auto"/>
            <w:vAlign w:val="center"/>
          </w:tcPr>
          <w:p w14:paraId="304AC9E3"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3,778</w:t>
            </w:r>
          </w:p>
        </w:tc>
        <w:tc>
          <w:tcPr>
            <w:tcW w:w="709" w:type="dxa"/>
            <w:tcBorders>
              <w:top w:val="nil"/>
              <w:left w:val="nil"/>
              <w:bottom w:val="single" w:sz="8" w:space="0" w:color="auto"/>
              <w:right w:val="single" w:sz="8" w:space="0" w:color="auto"/>
            </w:tcBorders>
            <w:shd w:val="clear" w:color="000000" w:fill="FFFFFF"/>
            <w:vAlign w:val="center"/>
          </w:tcPr>
          <w:p w14:paraId="402FCA0E"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2,994</w:t>
            </w:r>
          </w:p>
        </w:tc>
        <w:tc>
          <w:tcPr>
            <w:tcW w:w="851" w:type="dxa"/>
            <w:tcBorders>
              <w:top w:val="nil"/>
              <w:left w:val="nil"/>
              <w:bottom w:val="single" w:sz="8" w:space="0" w:color="auto"/>
              <w:right w:val="single" w:sz="8" w:space="0" w:color="auto"/>
            </w:tcBorders>
            <w:shd w:val="clear" w:color="000000" w:fill="FFFFFF"/>
            <w:vAlign w:val="center"/>
          </w:tcPr>
          <w:p w14:paraId="04674498"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2828</w:t>
            </w:r>
          </w:p>
        </w:tc>
        <w:tc>
          <w:tcPr>
            <w:tcW w:w="850" w:type="dxa"/>
            <w:tcBorders>
              <w:top w:val="nil"/>
              <w:left w:val="nil"/>
              <w:bottom w:val="single" w:sz="8" w:space="0" w:color="auto"/>
              <w:right w:val="single" w:sz="8" w:space="0" w:color="auto"/>
            </w:tcBorders>
            <w:shd w:val="clear" w:color="000000" w:fill="FFFFFF"/>
            <w:vAlign w:val="center"/>
          </w:tcPr>
          <w:p w14:paraId="08BF35F7" w14:textId="77777777" w:rsidR="00B65D24" w:rsidRPr="00F32542" w:rsidRDefault="00B65D24" w:rsidP="00B65D24">
            <w:pPr>
              <w:spacing w:after="0" w:line="360" w:lineRule="auto"/>
              <w:jc w:val="center"/>
              <w:rPr>
                <w:rFonts w:ascii="Arial" w:eastAsia="Calibri" w:hAnsi="Arial" w:cs="Arial"/>
                <w:bCs/>
                <w:color w:val="000000" w:themeColor="text1"/>
                <w:sz w:val="16"/>
                <w:szCs w:val="16"/>
              </w:rPr>
            </w:pPr>
            <w:r w:rsidRPr="00F32542">
              <w:rPr>
                <w:rFonts w:ascii="Arial" w:hAnsi="Arial" w:cs="Arial"/>
                <w:sz w:val="16"/>
                <w:szCs w:val="16"/>
              </w:rPr>
              <w:t>3704</w:t>
            </w:r>
          </w:p>
        </w:tc>
        <w:tc>
          <w:tcPr>
            <w:tcW w:w="709" w:type="dxa"/>
            <w:tcBorders>
              <w:top w:val="nil"/>
              <w:left w:val="nil"/>
              <w:bottom w:val="single" w:sz="8" w:space="0" w:color="auto"/>
              <w:right w:val="single" w:sz="8" w:space="0" w:color="auto"/>
            </w:tcBorders>
            <w:shd w:val="clear" w:color="auto" w:fill="auto"/>
            <w:vAlign w:val="center"/>
          </w:tcPr>
          <w:p w14:paraId="2A8607CB"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3,592</w:t>
            </w:r>
          </w:p>
        </w:tc>
        <w:tc>
          <w:tcPr>
            <w:tcW w:w="850" w:type="dxa"/>
            <w:tcBorders>
              <w:top w:val="nil"/>
              <w:left w:val="nil"/>
              <w:bottom w:val="single" w:sz="8" w:space="0" w:color="auto"/>
              <w:right w:val="single" w:sz="8" w:space="0" w:color="auto"/>
            </w:tcBorders>
            <w:shd w:val="clear" w:color="auto" w:fill="auto"/>
            <w:vAlign w:val="center"/>
          </w:tcPr>
          <w:p w14:paraId="72E5C006"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4784</w:t>
            </w:r>
          </w:p>
        </w:tc>
        <w:tc>
          <w:tcPr>
            <w:tcW w:w="1560" w:type="dxa"/>
            <w:tcBorders>
              <w:top w:val="nil"/>
              <w:left w:val="nil"/>
              <w:bottom w:val="single" w:sz="8" w:space="0" w:color="auto"/>
              <w:right w:val="single" w:sz="8" w:space="0" w:color="auto"/>
            </w:tcBorders>
            <w:shd w:val="clear" w:color="auto" w:fill="auto"/>
            <w:vAlign w:val="center"/>
          </w:tcPr>
          <w:p w14:paraId="730498BE"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140,324</w:t>
            </w:r>
          </w:p>
        </w:tc>
      </w:tr>
      <w:tr w:rsidR="00B65D24" w:rsidRPr="00F32542" w14:paraId="6B6CED22" w14:textId="77777777" w:rsidTr="00B65D24">
        <w:trPr>
          <w:jc w:val="center"/>
        </w:trPr>
        <w:tc>
          <w:tcPr>
            <w:tcW w:w="970" w:type="dxa"/>
            <w:tcBorders>
              <w:right w:val="single" w:sz="4" w:space="0" w:color="auto"/>
            </w:tcBorders>
            <w:shd w:val="clear" w:color="auto" w:fill="AEAAAA"/>
            <w:vAlign w:val="center"/>
          </w:tcPr>
          <w:p w14:paraId="3A6321AA" w14:textId="77777777" w:rsidR="00B65D24" w:rsidRPr="00F32542" w:rsidRDefault="00B65D24" w:rsidP="00B65D2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MORENA</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080F5060"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820,388</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tcPr>
          <w:p w14:paraId="4E8B2FA4"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53071</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4CAF8C55"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49260</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05A765FC"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55568</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02002481"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color w:val="000000"/>
                <w:sz w:val="16"/>
                <w:szCs w:val="16"/>
              </w:rPr>
              <w:t>51629</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5A8525EE"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61276</w:t>
            </w:r>
          </w:p>
        </w:tc>
        <w:tc>
          <w:tcPr>
            <w:tcW w:w="779" w:type="dxa"/>
            <w:tcBorders>
              <w:top w:val="nil"/>
              <w:left w:val="single" w:sz="4" w:space="0" w:color="auto"/>
              <w:bottom w:val="single" w:sz="8" w:space="0" w:color="auto"/>
              <w:right w:val="single" w:sz="8" w:space="0" w:color="auto"/>
            </w:tcBorders>
            <w:shd w:val="clear" w:color="000000" w:fill="FFFFFF"/>
            <w:vAlign w:val="center"/>
          </w:tcPr>
          <w:p w14:paraId="410CF6BA"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41778</w:t>
            </w:r>
          </w:p>
        </w:tc>
        <w:tc>
          <w:tcPr>
            <w:tcW w:w="779" w:type="dxa"/>
            <w:tcBorders>
              <w:top w:val="nil"/>
              <w:left w:val="single" w:sz="4" w:space="0" w:color="auto"/>
              <w:bottom w:val="single" w:sz="4" w:space="0" w:color="auto"/>
              <w:right w:val="single" w:sz="4" w:space="0" w:color="auto"/>
            </w:tcBorders>
            <w:shd w:val="clear" w:color="000000" w:fill="FFFFFF"/>
            <w:vAlign w:val="bottom"/>
          </w:tcPr>
          <w:p w14:paraId="29621131"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43357</w:t>
            </w:r>
          </w:p>
        </w:tc>
        <w:tc>
          <w:tcPr>
            <w:tcW w:w="856" w:type="dxa"/>
            <w:tcBorders>
              <w:top w:val="nil"/>
              <w:left w:val="single" w:sz="8" w:space="0" w:color="auto"/>
              <w:bottom w:val="single" w:sz="8" w:space="0" w:color="auto"/>
              <w:right w:val="single" w:sz="8" w:space="0" w:color="auto"/>
            </w:tcBorders>
            <w:shd w:val="clear" w:color="auto" w:fill="auto"/>
            <w:vAlign w:val="center"/>
          </w:tcPr>
          <w:p w14:paraId="323A538D"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59,281</w:t>
            </w:r>
          </w:p>
        </w:tc>
        <w:tc>
          <w:tcPr>
            <w:tcW w:w="850" w:type="dxa"/>
            <w:tcBorders>
              <w:top w:val="nil"/>
              <w:left w:val="nil"/>
              <w:bottom w:val="single" w:sz="8" w:space="0" w:color="auto"/>
              <w:right w:val="single" w:sz="8" w:space="0" w:color="auto"/>
            </w:tcBorders>
            <w:shd w:val="clear" w:color="auto" w:fill="auto"/>
            <w:vAlign w:val="center"/>
          </w:tcPr>
          <w:p w14:paraId="02A41E65"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48,315</w:t>
            </w:r>
          </w:p>
        </w:tc>
        <w:tc>
          <w:tcPr>
            <w:tcW w:w="709" w:type="dxa"/>
            <w:tcBorders>
              <w:top w:val="nil"/>
              <w:left w:val="nil"/>
              <w:bottom w:val="single" w:sz="8" w:space="0" w:color="auto"/>
              <w:right w:val="single" w:sz="8" w:space="0" w:color="auto"/>
            </w:tcBorders>
            <w:shd w:val="clear" w:color="000000" w:fill="FFFFFF"/>
            <w:vAlign w:val="center"/>
          </w:tcPr>
          <w:p w14:paraId="6D2EB7D2"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44,517</w:t>
            </w:r>
          </w:p>
        </w:tc>
        <w:tc>
          <w:tcPr>
            <w:tcW w:w="851" w:type="dxa"/>
            <w:tcBorders>
              <w:top w:val="nil"/>
              <w:left w:val="nil"/>
              <w:bottom w:val="single" w:sz="8" w:space="0" w:color="auto"/>
              <w:right w:val="single" w:sz="8" w:space="0" w:color="auto"/>
            </w:tcBorders>
            <w:shd w:val="clear" w:color="000000" w:fill="FFFFFF"/>
            <w:vAlign w:val="center"/>
          </w:tcPr>
          <w:p w14:paraId="344ED6CC"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44288</w:t>
            </w:r>
          </w:p>
        </w:tc>
        <w:tc>
          <w:tcPr>
            <w:tcW w:w="850" w:type="dxa"/>
            <w:tcBorders>
              <w:top w:val="nil"/>
              <w:left w:val="nil"/>
              <w:bottom w:val="single" w:sz="8" w:space="0" w:color="auto"/>
              <w:right w:val="single" w:sz="8" w:space="0" w:color="auto"/>
            </w:tcBorders>
            <w:shd w:val="clear" w:color="000000" w:fill="FFFFFF"/>
            <w:vAlign w:val="center"/>
          </w:tcPr>
          <w:p w14:paraId="4F93230E" w14:textId="77777777" w:rsidR="00B65D24" w:rsidRPr="00F32542" w:rsidRDefault="00B65D24" w:rsidP="00B65D24">
            <w:pPr>
              <w:spacing w:after="0" w:line="360" w:lineRule="auto"/>
              <w:jc w:val="center"/>
              <w:rPr>
                <w:rFonts w:ascii="Arial" w:eastAsia="Calibri" w:hAnsi="Arial" w:cs="Arial"/>
                <w:bCs/>
                <w:color w:val="000000" w:themeColor="text1"/>
                <w:sz w:val="16"/>
                <w:szCs w:val="16"/>
              </w:rPr>
            </w:pPr>
            <w:r w:rsidRPr="00F32542">
              <w:rPr>
                <w:rFonts w:ascii="Arial" w:hAnsi="Arial" w:cs="Arial"/>
                <w:sz w:val="16"/>
                <w:szCs w:val="16"/>
              </w:rPr>
              <w:t>40655</w:t>
            </w:r>
          </w:p>
        </w:tc>
        <w:tc>
          <w:tcPr>
            <w:tcW w:w="709" w:type="dxa"/>
            <w:tcBorders>
              <w:top w:val="nil"/>
              <w:left w:val="nil"/>
              <w:bottom w:val="single" w:sz="8" w:space="0" w:color="auto"/>
              <w:right w:val="single" w:sz="8" w:space="0" w:color="auto"/>
            </w:tcBorders>
            <w:shd w:val="clear" w:color="auto" w:fill="auto"/>
            <w:vAlign w:val="center"/>
          </w:tcPr>
          <w:p w14:paraId="5AB4ACD9"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43,354</w:t>
            </w:r>
          </w:p>
        </w:tc>
        <w:tc>
          <w:tcPr>
            <w:tcW w:w="850" w:type="dxa"/>
            <w:tcBorders>
              <w:top w:val="nil"/>
              <w:left w:val="nil"/>
              <w:bottom w:val="single" w:sz="8" w:space="0" w:color="auto"/>
              <w:right w:val="single" w:sz="8" w:space="0" w:color="auto"/>
            </w:tcBorders>
            <w:shd w:val="clear" w:color="auto" w:fill="auto"/>
            <w:vAlign w:val="center"/>
          </w:tcPr>
          <w:p w14:paraId="6057D5B9"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56588</w:t>
            </w:r>
          </w:p>
        </w:tc>
        <w:tc>
          <w:tcPr>
            <w:tcW w:w="1560" w:type="dxa"/>
            <w:tcBorders>
              <w:top w:val="nil"/>
              <w:left w:val="nil"/>
              <w:bottom w:val="single" w:sz="8" w:space="0" w:color="auto"/>
              <w:right w:val="single" w:sz="8" w:space="0" w:color="auto"/>
            </w:tcBorders>
            <w:shd w:val="clear" w:color="auto" w:fill="auto"/>
            <w:vAlign w:val="center"/>
          </w:tcPr>
          <w:p w14:paraId="24AF12B2"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1,513,325</w:t>
            </w:r>
          </w:p>
        </w:tc>
      </w:tr>
      <w:tr w:rsidR="00B65D24" w:rsidRPr="00F32542" w14:paraId="6140480C" w14:textId="77777777" w:rsidTr="00B65D24">
        <w:trPr>
          <w:jc w:val="center"/>
        </w:trPr>
        <w:tc>
          <w:tcPr>
            <w:tcW w:w="970" w:type="dxa"/>
            <w:tcBorders>
              <w:right w:val="single" w:sz="4" w:space="0" w:color="auto"/>
            </w:tcBorders>
            <w:shd w:val="clear" w:color="auto" w:fill="AEAAAA"/>
            <w:vAlign w:val="center"/>
          </w:tcPr>
          <w:p w14:paraId="4CD23394" w14:textId="77777777" w:rsidR="00B65D24" w:rsidRPr="00F32542" w:rsidRDefault="00B65D24" w:rsidP="00B65D2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ELIGE</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371182EB"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18,588</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tcPr>
          <w:p w14:paraId="35D83628"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1325</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42A26CA1"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814</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6C2E3CFE"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1329</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44E6DAAD"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color w:val="000000"/>
                <w:sz w:val="16"/>
                <w:szCs w:val="16"/>
              </w:rPr>
              <w:t>1084</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6760092B"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1475</w:t>
            </w:r>
          </w:p>
        </w:tc>
        <w:tc>
          <w:tcPr>
            <w:tcW w:w="779" w:type="dxa"/>
            <w:tcBorders>
              <w:top w:val="nil"/>
              <w:left w:val="single" w:sz="4" w:space="0" w:color="auto"/>
              <w:bottom w:val="single" w:sz="8" w:space="0" w:color="auto"/>
              <w:right w:val="single" w:sz="8" w:space="0" w:color="auto"/>
            </w:tcBorders>
            <w:shd w:val="clear" w:color="000000" w:fill="FFFFFF"/>
            <w:vAlign w:val="center"/>
          </w:tcPr>
          <w:p w14:paraId="6A4CAD28"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1274</w:t>
            </w:r>
          </w:p>
        </w:tc>
        <w:tc>
          <w:tcPr>
            <w:tcW w:w="779" w:type="dxa"/>
            <w:tcBorders>
              <w:top w:val="nil"/>
              <w:left w:val="single" w:sz="4" w:space="0" w:color="auto"/>
              <w:bottom w:val="single" w:sz="4" w:space="0" w:color="auto"/>
              <w:right w:val="single" w:sz="4" w:space="0" w:color="auto"/>
            </w:tcBorders>
            <w:shd w:val="clear" w:color="000000" w:fill="FFFFFF"/>
            <w:vAlign w:val="bottom"/>
          </w:tcPr>
          <w:p w14:paraId="1A9BBF03"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780</w:t>
            </w:r>
          </w:p>
        </w:tc>
        <w:tc>
          <w:tcPr>
            <w:tcW w:w="856" w:type="dxa"/>
            <w:tcBorders>
              <w:top w:val="nil"/>
              <w:left w:val="single" w:sz="8" w:space="0" w:color="auto"/>
              <w:bottom w:val="single" w:sz="8" w:space="0" w:color="auto"/>
              <w:right w:val="single" w:sz="8" w:space="0" w:color="auto"/>
            </w:tcBorders>
            <w:shd w:val="clear" w:color="auto" w:fill="auto"/>
            <w:vAlign w:val="center"/>
          </w:tcPr>
          <w:p w14:paraId="63FB83A5"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1,027</w:t>
            </w:r>
          </w:p>
        </w:tc>
        <w:tc>
          <w:tcPr>
            <w:tcW w:w="850" w:type="dxa"/>
            <w:tcBorders>
              <w:top w:val="nil"/>
              <w:left w:val="nil"/>
              <w:bottom w:val="single" w:sz="8" w:space="0" w:color="auto"/>
              <w:right w:val="single" w:sz="8" w:space="0" w:color="auto"/>
            </w:tcBorders>
            <w:shd w:val="clear" w:color="auto" w:fill="auto"/>
            <w:vAlign w:val="center"/>
          </w:tcPr>
          <w:p w14:paraId="42F63B91"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1,327</w:t>
            </w:r>
          </w:p>
        </w:tc>
        <w:tc>
          <w:tcPr>
            <w:tcW w:w="709" w:type="dxa"/>
            <w:tcBorders>
              <w:top w:val="nil"/>
              <w:left w:val="nil"/>
              <w:bottom w:val="single" w:sz="8" w:space="0" w:color="auto"/>
              <w:right w:val="single" w:sz="8" w:space="0" w:color="auto"/>
            </w:tcBorders>
            <w:shd w:val="clear" w:color="000000" w:fill="FFFFFF"/>
            <w:vAlign w:val="center"/>
          </w:tcPr>
          <w:p w14:paraId="7B57EF5B"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796</w:t>
            </w:r>
          </w:p>
        </w:tc>
        <w:tc>
          <w:tcPr>
            <w:tcW w:w="851" w:type="dxa"/>
            <w:tcBorders>
              <w:top w:val="nil"/>
              <w:left w:val="nil"/>
              <w:bottom w:val="single" w:sz="8" w:space="0" w:color="auto"/>
              <w:right w:val="single" w:sz="8" w:space="0" w:color="auto"/>
            </w:tcBorders>
            <w:shd w:val="clear" w:color="000000" w:fill="FFFFFF"/>
            <w:vAlign w:val="center"/>
          </w:tcPr>
          <w:p w14:paraId="77867369"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854</w:t>
            </w:r>
          </w:p>
        </w:tc>
        <w:tc>
          <w:tcPr>
            <w:tcW w:w="850" w:type="dxa"/>
            <w:tcBorders>
              <w:top w:val="nil"/>
              <w:left w:val="nil"/>
              <w:bottom w:val="single" w:sz="8" w:space="0" w:color="auto"/>
              <w:right w:val="single" w:sz="8" w:space="0" w:color="auto"/>
            </w:tcBorders>
            <w:shd w:val="clear" w:color="000000" w:fill="FFFFFF"/>
            <w:vAlign w:val="center"/>
          </w:tcPr>
          <w:p w14:paraId="7C067EFF" w14:textId="77777777" w:rsidR="00B65D24" w:rsidRPr="00F32542" w:rsidRDefault="00B65D24" w:rsidP="00B65D24">
            <w:pPr>
              <w:spacing w:after="0" w:line="360" w:lineRule="auto"/>
              <w:jc w:val="center"/>
              <w:rPr>
                <w:rFonts w:ascii="Arial" w:eastAsia="Calibri" w:hAnsi="Arial" w:cs="Arial"/>
                <w:bCs/>
                <w:color w:val="000000" w:themeColor="text1"/>
                <w:sz w:val="16"/>
                <w:szCs w:val="16"/>
              </w:rPr>
            </w:pPr>
            <w:r w:rsidRPr="00F32542">
              <w:rPr>
                <w:rFonts w:ascii="Arial" w:hAnsi="Arial" w:cs="Arial"/>
                <w:sz w:val="16"/>
                <w:szCs w:val="16"/>
              </w:rPr>
              <w:t>708</w:t>
            </w:r>
          </w:p>
        </w:tc>
        <w:tc>
          <w:tcPr>
            <w:tcW w:w="709" w:type="dxa"/>
            <w:tcBorders>
              <w:top w:val="nil"/>
              <w:left w:val="nil"/>
              <w:bottom w:val="single" w:sz="8" w:space="0" w:color="auto"/>
              <w:right w:val="single" w:sz="8" w:space="0" w:color="auto"/>
            </w:tcBorders>
            <w:shd w:val="clear" w:color="auto" w:fill="auto"/>
            <w:vAlign w:val="center"/>
          </w:tcPr>
          <w:p w14:paraId="20430695"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700</w:t>
            </w:r>
          </w:p>
        </w:tc>
        <w:tc>
          <w:tcPr>
            <w:tcW w:w="850" w:type="dxa"/>
            <w:tcBorders>
              <w:top w:val="nil"/>
              <w:left w:val="nil"/>
              <w:bottom w:val="single" w:sz="8" w:space="0" w:color="auto"/>
              <w:right w:val="single" w:sz="8" w:space="0" w:color="auto"/>
            </w:tcBorders>
            <w:shd w:val="clear" w:color="auto" w:fill="auto"/>
            <w:vAlign w:val="center"/>
          </w:tcPr>
          <w:p w14:paraId="4660450A"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1462</w:t>
            </w:r>
          </w:p>
        </w:tc>
        <w:tc>
          <w:tcPr>
            <w:tcW w:w="1560" w:type="dxa"/>
            <w:tcBorders>
              <w:top w:val="nil"/>
              <w:left w:val="nil"/>
              <w:bottom w:val="single" w:sz="8" w:space="0" w:color="auto"/>
              <w:right w:val="single" w:sz="8" w:space="0" w:color="auto"/>
            </w:tcBorders>
            <w:shd w:val="clear" w:color="auto" w:fill="auto"/>
            <w:vAlign w:val="center"/>
          </w:tcPr>
          <w:p w14:paraId="76457256"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33,543</w:t>
            </w:r>
          </w:p>
        </w:tc>
      </w:tr>
      <w:tr w:rsidR="00B65D24" w:rsidRPr="00F32542" w14:paraId="0A041EF7" w14:textId="77777777" w:rsidTr="00B65D24">
        <w:trPr>
          <w:jc w:val="center"/>
        </w:trPr>
        <w:tc>
          <w:tcPr>
            <w:tcW w:w="970" w:type="dxa"/>
            <w:tcBorders>
              <w:right w:val="single" w:sz="4" w:space="0" w:color="auto"/>
            </w:tcBorders>
            <w:shd w:val="clear" w:color="auto" w:fill="AEAAAA"/>
            <w:vAlign w:val="center"/>
          </w:tcPr>
          <w:p w14:paraId="7A18E978" w14:textId="77777777" w:rsidR="00B65D24" w:rsidRPr="00F32542" w:rsidRDefault="00B65D24" w:rsidP="00B65D2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PES</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28C19D20"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35,667</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tcPr>
          <w:p w14:paraId="26B5AA45"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4799</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2251E426"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2100</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3AAA396E"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1955</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2F6A1092"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color w:val="000000"/>
                <w:sz w:val="16"/>
                <w:szCs w:val="16"/>
              </w:rPr>
              <w:t>2186</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130A8231"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2528</w:t>
            </w:r>
          </w:p>
        </w:tc>
        <w:tc>
          <w:tcPr>
            <w:tcW w:w="779" w:type="dxa"/>
            <w:tcBorders>
              <w:top w:val="nil"/>
              <w:left w:val="single" w:sz="4" w:space="0" w:color="auto"/>
              <w:bottom w:val="single" w:sz="8" w:space="0" w:color="auto"/>
              <w:right w:val="single" w:sz="8" w:space="0" w:color="auto"/>
            </w:tcBorders>
            <w:shd w:val="clear" w:color="000000" w:fill="FFFFFF"/>
            <w:vAlign w:val="center"/>
          </w:tcPr>
          <w:p w14:paraId="15313A6A"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7216</w:t>
            </w:r>
          </w:p>
        </w:tc>
        <w:tc>
          <w:tcPr>
            <w:tcW w:w="779" w:type="dxa"/>
            <w:tcBorders>
              <w:top w:val="nil"/>
              <w:left w:val="single" w:sz="4" w:space="0" w:color="auto"/>
              <w:bottom w:val="single" w:sz="4" w:space="0" w:color="auto"/>
              <w:right w:val="single" w:sz="4" w:space="0" w:color="auto"/>
            </w:tcBorders>
            <w:shd w:val="clear" w:color="000000" w:fill="FFFFFF"/>
            <w:vAlign w:val="bottom"/>
          </w:tcPr>
          <w:p w14:paraId="1C9AB938"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3358</w:t>
            </w:r>
          </w:p>
        </w:tc>
        <w:tc>
          <w:tcPr>
            <w:tcW w:w="856" w:type="dxa"/>
            <w:tcBorders>
              <w:top w:val="nil"/>
              <w:left w:val="single" w:sz="8" w:space="0" w:color="auto"/>
              <w:bottom w:val="single" w:sz="8" w:space="0" w:color="auto"/>
              <w:right w:val="single" w:sz="8" w:space="0" w:color="auto"/>
            </w:tcBorders>
            <w:shd w:val="clear" w:color="auto" w:fill="auto"/>
            <w:vAlign w:val="center"/>
          </w:tcPr>
          <w:p w14:paraId="76C06279"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2,569</w:t>
            </w:r>
          </w:p>
        </w:tc>
        <w:tc>
          <w:tcPr>
            <w:tcW w:w="850" w:type="dxa"/>
            <w:tcBorders>
              <w:top w:val="nil"/>
              <w:left w:val="nil"/>
              <w:bottom w:val="single" w:sz="8" w:space="0" w:color="auto"/>
              <w:right w:val="single" w:sz="8" w:space="0" w:color="auto"/>
            </w:tcBorders>
            <w:shd w:val="clear" w:color="auto" w:fill="auto"/>
            <w:vAlign w:val="center"/>
          </w:tcPr>
          <w:p w14:paraId="4D8EA096"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1,976</w:t>
            </w:r>
          </w:p>
        </w:tc>
        <w:tc>
          <w:tcPr>
            <w:tcW w:w="709" w:type="dxa"/>
            <w:tcBorders>
              <w:top w:val="nil"/>
              <w:left w:val="nil"/>
              <w:bottom w:val="single" w:sz="8" w:space="0" w:color="auto"/>
              <w:right w:val="single" w:sz="8" w:space="0" w:color="auto"/>
            </w:tcBorders>
            <w:shd w:val="clear" w:color="000000" w:fill="FFFFFF"/>
            <w:vAlign w:val="center"/>
          </w:tcPr>
          <w:p w14:paraId="73B3723B"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1,855</w:t>
            </w:r>
          </w:p>
        </w:tc>
        <w:tc>
          <w:tcPr>
            <w:tcW w:w="851" w:type="dxa"/>
            <w:tcBorders>
              <w:top w:val="nil"/>
              <w:left w:val="nil"/>
              <w:bottom w:val="single" w:sz="8" w:space="0" w:color="auto"/>
              <w:right w:val="single" w:sz="8" w:space="0" w:color="auto"/>
            </w:tcBorders>
            <w:shd w:val="clear" w:color="000000" w:fill="FFFFFF"/>
            <w:vAlign w:val="center"/>
          </w:tcPr>
          <w:p w14:paraId="4632362C"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1389</w:t>
            </w:r>
          </w:p>
        </w:tc>
        <w:tc>
          <w:tcPr>
            <w:tcW w:w="850" w:type="dxa"/>
            <w:tcBorders>
              <w:top w:val="nil"/>
              <w:left w:val="nil"/>
              <w:bottom w:val="single" w:sz="8" w:space="0" w:color="auto"/>
              <w:right w:val="single" w:sz="8" w:space="0" w:color="auto"/>
            </w:tcBorders>
            <w:shd w:val="clear" w:color="000000" w:fill="FFFFFF"/>
            <w:vAlign w:val="center"/>
          </w:tcPr>
          <w:p w14:paraId="0F550FD4" w14:textId="77777777" w:rsidR="00B65D24" w:rsidRPr="00F32542" w:rsidRDefault="00B65D24" w:rsidP="00B65D24">
            <w:pPr>
              <w:spacing w:after="0" w:line="360" w:lineRule="auto"/>
              <w:jc w:val="center"/>
              <w:rPr>
                <w:rFonts w:ascii="Arial" w:eastAsia="Calibri" w:hAnsi="Arial" w:cs="Arial"/>
                <w:bCs/>
                <w:color w:val="000000" w:themeColor="text1"/>
                <w:sz w:val="16"/>
                <w:szCs w:val="16"/>
              </w:rPr>
            </w:pPr>
            <w:r w:rsidRPr="00F32542">
              <w:rPr>
                <w:rFonts w:ascii="Arial" w:hAnsi="Arial" w:cs="Arial"/>
                <w:sz w:val="16"/>
                <w:szCs w:val="16"/>
              </w:rPr>
              <w:t>1873</w:t>
            </w:r>
          </w:p>
        </w:tc>
        <w:tc>
          <w:tcPr>
            <w:tcW w:w="709" w:type="dxa"/>
            <w:tcBorders>
              <w:top w:val="nil"/>
              <w:left w:val="nil"/>
              <w:bottom w:val="single" w:sz="8" w:space="0" w:color="auto"/>
              <w:right w:val="single" w:sz="8" w:space="0" w:color="auto"/>
            </w:tcBorders>
            <w:shd w:val="clear" w:color="auto" w:fill="auto"/>
            <w:vAlign w:val="center"/>
          </w:tcPr>
          <w:p w14:paraId="4D4CE353"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1623</w:t>
            </w:r>
          </w:p>
        </w:tc>
        <w:tc>
          <w:tcPr>
            <w:tcW w:w="850" w:type="dxa"/>
            <w:tcBorders>
              <w:top w:val="nil"/>
              <w:left w:val="nil"/>
              <w:bottom w:val="single" w:sz="8" w:space="0" w:color="auto"/>
              <w:right w:val="single" w:sz="8" w:space="0" w:color="auto"/>
            </w:tcBorders>
            <w:shd w:val="clear" w:color="auto" w:fill="auto"/>
            <w:vAlign w:val="center"/>
          </w:tcPr>
          <w:p w14:paraId="19B9C08B"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1512</w:t>
            </w:r>
          </w:p>
        </w:tc>
        <w:tc>
          <w:tcPr>
            <w:tcW w:w="1560" w:type="dxa"/>
            <w:tcBorders>
              <w:top w:val="nil"/>
              <w:left w:val="nil"/>
              <w:bottom w:val="single" w:sz="8" w:space="0" w:color="auto"/>
              <w:right w:val="single" w:sz="8" w:space="0" w:color="auto"/>
            </w:tcBorders>
            <w:shd w:val="clear" w:color="auto" w:fill="auto"/>
            <w:vAlign w:val="center"/>
          </w:tcPr>
          <w:p w14:paraId="061C62BA"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72,606</w:t>
            </w:r>
          </w:p>
        </w:tc>
      </w:tr>
      <w:tr w:rsidR="00B65D24" w:rsidRPr="00F32542" w14:paraId="2FF99DAC" w14:textId="77777777" w:rsidTr="00B65D24">
        <w:trPr>
          <w:jc w:val="center"/>
        </w:trPr>
        <w:tc>
          <w:tcPr>
            <w:tcW w:w="970" w:type="dxa"/>
            <w:tcBorders>
              <w:right w:val="single" w:sz="4" w:space="0" w:color="auto"/>
            </w:tcBorders>
            <w:shd w:val="clear" w:color="auto" w:fill="AEAAAA"/>
            <w:vAlign w:val="center"/>
          </w:tcPr>
          <w:p w14:paraId="5B248F58" w14:textId="77777777" w:rsidR="00B65D24" w:rsidRPr="00F32542" w:rsidRDefault="00B65D24" w:rsidP="00B65D2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RSP</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249C03DA"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14,532</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tcPr>
          <w:p w14:paraId="104C96B8"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1325</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653EC01F"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805</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335D56B4"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1300</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1ED41162"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color w:val="000000"/>
                <w:sz w:val="16"/>
                <w:szCs w:val="16"/>
              </w:rPr>
              <w:t>2183</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48AB95D9"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1274</w:t>
            </w:r>
          </w:p>
        </w:tc>
        <w:tc>
          <w:tcPr>
            <w:tcW w:w="779" w:type="dxa"/>
            <w:tcBorders>
              <w:top w:val="nil"/>
              <w:left w:val="single" w:sz="4" w:space="0" w:color="auto"/>
              <w:bottom w:val="single" w:sz="8" w:space="0" w:color="auto"/>
              <w:right w:val="single" w:sz="8" w:space="0" w:color="auto"/>
            </w:tcBorders>
            <w:shd w:val="clear" w:color="000000" w:fill="FFFFFF"/>
            <w:vAlign w:val="center"/>
          </w:tcPr>
          <w:p w14:paraId="79A076FA"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1204</w:t>
            </w:r>
          </w:p>
        </w:tc>
        <w:tc>
          <w:tcPr>
            <w:tcW w:w="779" w:type="dxa"/>
            <w:tcBorders>
              <w:top w:val="nil"/>
              <w:left w:val="single" w:sz="4" w:space="0" w:color="auto"/>
              <w:bottom w:val="single" w:sz="4" w:space="0" w:color="auto"/>
              <w:right w:val="single" w:sz="4" w:space="0" w:color="auto"/>
            </w:tcBorders>
            <w:shd w:val="clear" w:color="000000" w:fill="FFFFFF"/>
            <w:vAlign w:val="bottom"/>
          </w:tcPr>
          <w:p w14:paraId="1C014A29"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1045</w:t>
            </w:r>
          </w:p>
        </w:tc>
        <w:tc>
          <w:tcPr>
            <w:tcW w:w="856" w:type="dxa"/>
            <w:tcBorders>
              <w:top w:val="nil"/>
              <w:left w:val="single" w:sz="8" w:space="0" w:color="auto"/>
              <w:bottom w:val="single" w:sz="8" w:space="0" w:color="auto"/>
              <w:right w:val="single" w:sz="8" w:space="0" w:color="auto"/>
            </w:tcBorders>
            <w:shd w:val="clear" w:color="auto" w:fill="auto"/>
            <w:vAlign w:val="center"/>
          </w:tcPr>
          <w:p w14:paraId="7886CBC0"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979</w:t>
            </w:r>
          </w:p>
        </w:tc>
        <w:tc>
          <w:tcPr>
            <w:tcW w:w="850" w:type="dxa"/>
            <w:tcBorders>
              <w:top w:val="nil"/>
              <w:left w:val="nil"/>
              <w:bottom w:val="single" w:sz="8" w:space="0" w:color="auto"/>
              <w:right w:val="single" w:sz="8" w:space="0" w:color="auto"/>
            </w:tcBorders>
            <w:shd w:val="clear" w:color="auto" w:fill="auto"/>
            <w:vAlign w:val="center"/>
          </w:tcPr>
          <w:p w14:paraId="6643822E"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871</w:t>
            </w:r>
          </w:p>
        </w:tc>
        <w:tc>
          <w:tcPr>
            <w:tcW w:w="709" w:type="dxa"/>
            <w:tcBorders>
              <w:top w:val="nil"/>
              <w:left w:val="nil"/>
              <w:bottom w:val="single" w:sz="8" w:space="0" w:color="auto"/>
              <w:right w:val="single" w:sz="8" w:space="0" w:color="auto"/>
            </w:tcBorders>
            <w:shd w:val="clear" w:color="000000" w:fill="FFFFFF"/>
            <w:vAlign w:val="center"/>
          </w:tcPr>
          <w:p w14:paraId="46E5FB3F"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708</w:t>
            </w:r>
          </w:p>
        </w:tc>
        <w:tc>
          <w:tcPr>
            <w:tcW w:w="851" w:type="dxa"/>
            <w:tcBorders>
              <w:top w:val="nil"/>
              <w:left w:val="nil"/>
              <w:bottom w:val="single" w:sz="8" w:space="0" w:color="auto"/>
              <w:right w:val="single" w:sz="8" w:space="0" w:color="auto"/>
            </w:tcBorders>
            <w:shd w:val="clear" w:color="000000" w:fill="FFFFFF"/>
            <w:vAlign w:val="center"/>
          </w:tcPr>
          <w:p w14:paraId="7FE4863C"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702</w:t>
            </w:r>
          </w:p>
        </w:tc>
        <w:tc>
          <w:tcPr>
            <w:tcW w:w="850" w:type="dxa"/>
            <w:tcBorders>
              <w:top w:val="nil"/>
              <w:left w:val="nil"/>
              <w:bottom w:val="single" w:sz="8" w:space="0" w:color="auto"/>
              <w:right w:val="single" w:sz="8" w:space="0" w:color="auto"/>
            </w:tcBorders>
            <w:shd w:val="clear" w:color="000000" w:fill="FFFFFF"/>
            <w:vAlign w:val="center"/>
          </w:tcPr>
          <w:p w14:paraId="7CFEB0A4" w14:textId="77777777" w:rsidR="00B65D24" w:rsidRPr="00F32542" w:rsidRDefault="00B65D24" w:rsidP="00B65D24">
            <w:pPr>
              <w:spacing w:after="0" w:line="360" w:lineRule="auto"/>
              <w:jc w:val="center"/>
              <w:rPr>
                <w:rFonts w:ascii="Arial" w:eastAsia="Calibri" w:hAnsi="Arial" w:cs="Arial"/>
                <w:bCs/>
                <w:color w:val="000000" w:themeColor="text1"/>
                <w:sz w:val="16"/>
                <w:szCs w:val="16"/>
              </w:rPr>
            </w:pPr>
            <w:r w:rsidRPr="00F32542">
              <w:rPr>
                <w:rFonts w:ascii="Arial" w:hAnsi="Arial" w:cs="Arial"/>
                <w:sz w:val="16"/>
                <w:szCs w:val="16"/>
              </w:rPr>
              <w:t>1234</w:t>
            </w:r>
          </w:p>
        </w:tc>
        <w:tc>
          <w:tcPr>
            <w:tcW w:w="709" w:type="dxa"/>
            <w:tcBorders>
              <w:top w:val="nil"/>
              <w:left w:val="nil"/>
              <w:bottom w:val="single" w:sz="8" w:space="0" w:color="auto"/>
              <w:right w:val="single" w:sz="8" w:space="0" w:color="auto"/>
            </w:tcBorders>
            <w:shd w:val="clear" w:color="auto" w:fill="auto"/>
            <w:vAlign w:val="center"/>
          </w:tcPr>
          <w:p w14:paraId="51CB85BA"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550</w:t>
            </w:r>
          </w:p>
        </w:tc>
        <w:tc>
          <w:tcPr>
            <w:tcW w:w="850" w:type="dxa"/>
            <w:tcBorders>
              <w:top w:val="nil"/>
              <w:left w:val="nil"/>
              <w:bottom w:val="single" w:sz="8" w:space="0" w:color="auto"/>
              <w:right w:val="single" w:sz="8" w:space="0" w:color="auto"/>
            </w:tcBorders>
            <w:shd w:val="clear" w:color="auto" w:fill="auto"/>
            <w:vAlign w:val="center"/>
          </w:tcPr>
          <w:p w14:paraId="07D61E0B"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824</w:t>
            </w:r>
          </w:p>
        </w:tc>
        <w:tc>
          <w:tcPr>
            <w:tcW w:w="1560" w:type="dxa"/>
            <w:tcBorders>
              <w:top w:val="nil"/>
              <w:left w:val="nil"/>
              <w:bottom w:val="single" w:sz="8" w:space="0" w:color="auto"/>
              <w:right w:val="single" w:sz="8" w:space="0" w:color="auto"/>
            </w:tcBorders>
            <w:shd w:val="clear" w:color="auto" w:fill="auto"/>
            <w:vAlign w:val="center"/>
          </w:tcPr>
          <w:p w14:paraId="3C4B4DEF"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29,536</w:t>
            </w:r>
          </w:p>
        </w:tc>
      </w:tr>
      <w:tr w:rsidR="00B65D24" w:rsidRPr="00F32542" w14:paraId="3BA57076" w14:textId="77777777" w:rsidTr="00B65D24">
        <w:trPr>
          <w:jc w:val="center"/>
        </w:trPr>
        <w:tc>
          <w:tcPr>
            <w:tcW w:w="970" w:type="dxa"/>
            <w:tcBorders>
              <w:right w:val="single" w:sz="4" w:space="0" w:color="auto"/>
            </w:tcBorders>
            <w:shd w:val="clear" w:color="auto" w:fill="AEAAAA"/>
            <w:vAlign w:val="center"/>
          </w:tcPr>
          <w:p w14:paraId="16228CC7" w14:textId="77777777" w:rsidR="00B65D24" w:rsidRPr="00F32542" w:rsidRDefault="00B65D24" w:rsidP="00B65D24">
            <w:pPr>
              <w:spacing w:after="0" w:line="240" w:lineRule="auto"/>
              <w:jc w:val="center"/>
              <w:rPr>
                <w:rFonts w:ascii="Arial" w:eastAsia="Calibri" w:hAnsi="Arial" w:cs="Arial"/>
                <w:color w:val="000000" w:themeColor="text1"/>
                <w:sz w:val="16"/>
                <w:szCs w:val="16"/>
              </w:rPr>
            </w:pPr>
            <w:proofErr w:type="spellStart"/>
            <w:r w:rsidRPr="00F32542">
              <w:rPr>
                <w:rFonts w:ascii="Arial" w:eastAsia="Calibri" w:hAnsi="Arial" w:cs="Arial"/>
                <w:color w:val="000000" w:themeColor="text1"/>
                <w:sz w:val="16"/>
                <w:szCs w:val="16"/>
              </w:rPr>
              <w:t>FxM</w:t>
            </w:r>
            <w:proofErr w:type="spellEnd"/>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467F7819"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45,071</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tcPr>
          <w:p w14:paraId="232F2DB4"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1627</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63F904F7"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8425</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634068DF"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1904</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3904177E"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color w:val="000000"/>
                <w:sz w:val="16"/>
                <w:szCs w:val="16"/>
              </w:rPr>
              <w:t>3439</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6D060680"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2312</w:t>
            </w:r>
          </w:p>
        </w:tc>
        <w:tc>
          <w:tcPr>
            <w:tcW w:w="779" w:type="dxa"/>
            <w:tcBorders>
              <w:top w:val="nil"/>
              <w:left w:val="single" w:sz="4" w:space="0" w:color="auto"/>
              <w:bottom w:val="single" w:sz="8" w:space="0" w:color="auto"/>
              <w:right w:val="single" w:sz="8" w:space="0" w:color="auto"/>
            </w:tcBorders>
            <w:shd w:val="clear" w:color="000000" w:fill="FFFFFF"/>
            <w:vAlign w:val="center"/>
          </w:tcPr>
          <w:p w14:paraId="1B345284"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2786</w:t>
            </w:r>
          </w:p>
        </w:tc>
        <w:tc>
          <w:tcPr>
            <w:tcW w:w="779" w:type="dxa"/>
            <w:tcBorders>
              <w:top w:val="nil"/>
              <w:left w:val="single" w:sz="4" w:space="0" w:color="auto"/>
              <w:bottom w:val="single" w:sz="4" w:space="0" w:color="auto"/>
              <w:right w:val="single" w:sz="4" w:space="0" w:color="auto"/>
            </w:tcBorders>
            <w:shd w:val="clear" w:color="000000" w:fill="FFFFFF"/>
            <w:vAlign w:val="bottom"/>
          </w:tcPr>
          <w:p w14:paraId="414E48BA"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1662</w:t>
            </w:r>
          </w:p>
        </w:tc>
        <w:tc>
          <w:tcPr>
            <w:tcW w:w="856" w:type="dxa"/>
            <w:tcBorders>
              <w:top w:val="nil"/>
              <w:left w:val="single" w:sz="8" w:space="0" w:color="auto"/>
              <w:bottom w:val="single" w:sz="8" w:space="0" w:color="auto"/>
              <w:right w:val="single" w:sz="8" w:space="0" w:color="auto"/>
            </w:tcBorders>
            <w:shd w:val="clear" w:color="auto" w:fill="auto"/>
            <w:vAlign w:val="center"/>
          </w:tcPr>
          <w:p w14:paraId="7348D8F1"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2,473</w:t>
            </w:r>
          </w:p>
        </w:tc>
        <w:tc>
          <w:tcPr>
            <w:tcW w:w="850" w:type="dxa"/>
            <w:tcBorders>
              <w:top w:val="nil"/>
              <w:left w:val="nil"/>
              <w:bottom w:val="single" w:sz="8" w:space="0" w:color="auto"/>
              <w:right w:val="single" w:sz="8" w:space="0" w:color="auto"/>
            </w:tcBorders>
            <w:shd w:val="clear" w:color="auto" w:fill="auto"/>
            <w:vAlign w:val="center"/>
          </w:tcPr>
          <w:p w14:paraId="4CB7796E"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3,022</w:t>
            </w:r>
          </w:p>
        </w:tc>
        <w:tc>
          <w:tcPr>
            <w:tcW w:w="709" w:type="dxa"/>
            <w:tcBorders>
              <w:top w:val="nil"/>
              <w:left w:val="nil"/>
              <w:bottom w:val="single" w:sz="8" w:space="0" w:color="auto"/>
              <w:right w:val="single" w:sz="8" w:space="0" w:color="auto"/>
            </w:tcBorders>
            <w:shd w:val="clear" w:color="000000" w:fill="FFFFFF"/>
            <w:vAlign w:val="center"/>
          </w:tcPr>
          <w:p w14:paraId="35BA4FBF"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1,273</w:t>
            </w:r>
          </w:p>
        </w:tc>
        <w:tc>
          <w:tcPr>
            <w:tcW w:w="851" w:type="dxa"/>
            <w:tcBorders>
              <w:top w:val="nil"/>
              <w:left w:val="nil"/>
              <w:bottom w:val="single" w:sz="8" w:space="0" w:color="auto"/>
              <w:right w:val="single" w:sz="8" w:space="0" w:color="auto"/>
            </w:tcBorders>
            <w:shd w:val="clear" w:color="000000" w:fill="FFFFFF"/>
            <w:vAlign w:val="center"/>
          </w:tcPr>
          <w:p w14:paraId="4792239C"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1157</w:t>
            </w:r>
          </w:p>
        </w:tc>
        <w:tc>
          <w:tcPr>
            <w:tcW w:w="850" w:type="dxa"/>
            <w:tcBorders>
              <w:top w:val="nil"/>
              <w:left w:val="nil"/>
              <w:bottom w:val="single" w:sz="8" w:space="0" w:color="auto"/>
              <w:right w:val="single" w:sz="8" w:space="0" w:color="auto"/>
            </w:tcBorders>
            <w:shd w:val="clear" w:color="000000" w:fill="FFFFFF"/>
            <w:vAlign w:val="center"/>
          </w:tcPr>
          <w:p w14:paraId="4C6CED9D" w14:textId="77777777" w:rsidR="00B65D24" w:rsidRPr="00F32542" w:rsidRDefault="00B65D24" w:rsidP="00B65D24">
            <w:pPr>
              <w:spacing w:after="0" w:line="360" w:lineRule="auto"/>
              <w:jc w:val="center"/>
              <w:rPr>
                <w:rFonts w:ascii="Arial" w:eastAsia="Calibri" w:hAnsi="Arial" w:cs="Arial"/>
                <w:bCs/>
                <w:color w:val="000000" w:themeColor="text1"/>
                <w:sz w:val="16"/>
                <w:szCs w:val="16"/>
              </w:rPr>
            </w:pPr>
            <w:r w:rsidRPr="00F32542">
              <w:rPr>
                <w:rFonts w:ascii="Arial" w:hAnsi="Arial" w:cs="Arial"/>
                <w:sz w:val="16"/>
                <w:szCs w:val="16"/>
              </w:rPr>
              <w:t>1472</w:t>
            </w:r>
          </w:p>
        </w:tc>
        <w:tc>
          <w:tcPr>
            <w:tcW w:w="709" w:type="dxa"/>
            <w:tcBorders>
              <w:top w:val="nil"/>
              <w:left w:val="nil"/>
              <w:bottom w:val="single" w:sz="8" w:space="0" w:color="auto"/>
              <w:right w:val="single" w:sz="8" w:space="0" w:color="auto"/>
            </w:tcBorders>
            <w:shd w:val="clear" w:color="auto" w:fill="auto"/>
            <w:vAlign w:val="center"/>
          </w:tcPr>
          <w:p w14:paraId="09E486FE"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1267</w:t>
            </w:r>
          </w:p>
        </w:tc>
        <w:tc>
          <w:tcPr>
            <w:tcW w:w="850" w:type="dxa"/>
            <w:tcBorders>
              <w:top w:val="nil"/>
              <w:left w:val="nil"/>
              <w:bottom w:val="single" w:sz="8" w:space="0" w:color="auto"/>
              <w:right w:val="single" w:sz="8" w:space="0" w:color="auto"/>
            </w:tcBorders>
            <w:shd w:val="clear" w:color="auto" w:fill="auto"/>
            <w:vAlign w:val="center"/>
          </w:tcPr>
          <w:p w14:paraId="1F1B616B"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2057</w:t>
            </w:r>
          </w:p>
        </w:tc>
        <w:tc>
          <w:tcPr>
            <w:tcW w:w="1560" w:type="dxa"/>
            <w:tcBorders>
              <w:top w:val="nil"/>
              <w:left w:val="nil"/>
              <w:bottom w:val="single" w:sz="8" w:space="0" w:color="auto"/>
              <w:right w:val="single" w:sz="8" w:space="0" w:color="auto"/>
            </w:tcBorders>
            <w:shd w:val="clear" w:color="auto" w:fill="auto"/>
            <w:vAlign w:val="center"/>
          </w:tcPr>
          <w:p w14:paraId="7875009D"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79,947</w:t>
            </w:r>
          </w:p>
        </w:tc>
      </w:tr>
      <w:tr w:rsidR="00B65D24" w:rsidRPr="00F32542" w14:paraId="4211F403" w14:textId="77777777" w:rsidTr="00B65D24">
        <w:trPr>
          <w:jc w:val="center"/>
        </w:trPr>
        <w:tc>
          <w:tcPr>
            <w:tcW w:w="970" w:type="dxa"/>
            <w:tcBorders>
              <w:right w:val="single" w:sz="4" w:space="0" w:color="auto"/>
            </w:tcBorders>
            <w:shd w:val="clear" w:color="auto" w:fill="AEAAAA"/>
            <w:vAlign w:val="center"/>
          </w:tcPr>
          <w:p w14:paraId="54D82839" w14:textId="77777777" w:rsidR="00B65D24" w:rsidRPr="00F32542" w:rsidRDefault="00B65D24" w:rsidP="00B65D2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C. sin partido</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038BE5E2"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6,383</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tcPr>
          <w:p w14:paraId="28FEB40B"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0</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4E4DD287"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0</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1A92584A"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0</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7B51E127"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color w:val="000000"/>
                <w:sz w:val="16"/>
                <w:szCs w:val="16"/>
              </w:rPr>
              <w:t>945</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0F377FF2"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0</w:t>
            </w:r>
          </w:p>
        </w:tc>
        <w:tc>
          <w:tcPr>
            <w:tcW w:w="779" w:type="dxa"/>
            <w:tcBorders>
              <w:top w:val="nil"/>
              <w:left w:val="single" w:sz="4" w:space="0" w:color="auto"/>
              <w:bottom w:val="single" w:sz="8" w:space="0" w:color="auto"/>
              <w:right w:val="single" w:sz="8" w:space="0" w:color="auto"/>
            </w:tcBorders>
            <w:shd w:val="clear" w:color="000000" w:fill="FFFFFF"/>
            <w:vAlign w:val="center"/>
          </w:tcPr>
          <w:p w14:paraId="5F34143E"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0</w:t>
            </w:r>
          </w:p>
        </w:tc>
        <w:tc>
          <w:tcPr>
            <w:tcW w:w="779" w:type="dxa"/>
            <w:tcBorders>
              <w:top w:val="nil"/>
              <w:left w:val="nil"/>
              <w:bottom w:val="single" w:sz="8" w:space="0" w:color="auto"/>
              <w:right w:val="single" w:sz="8" w:space="0" w:color="auto"/>
            </w:tcBorders>
            <w:shd w:val="clear" w:color="000000" w:fill="FFFFFF"/>
            <w:vAlign w:val="center"/>
          </w:tcPr>
          <w:p w14:paraId="6BF98A9A"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1586</w:t>
            </w:r>
          </w:p>
        </w:tc>
        <w:tc>
          <w:tcPr>
            <w:tcW w:w="856" w:type="dxa"/>
            <w:tcBorders>
              <w:top w:val="nil"/>
              <w:left w:val="nil"/>
              <w:bottom w:val="single" w:sz="8" w:space="0" w:color="auto"/>
              <w:right w:val="single" w:sz="8" w:space="0" w:color="auto"/>
            </w:tcBorders>
            <w:shd w:val="clear" w:color="000000" w:fill="FFFFFF"/>
            <w:vAlign w:val="center"/>
          </w:tcPr>
          <w:p w14:paraId="5F472E5A"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0</w:t>
            </w:r>
          </w:p>
        </w:tc>
        <w:tc>
          <w:tcPr>
            <w:tcW w:w="850" w:type="dxa"/>
            <w:tcBorders>
              <w:top w:val="nil"/>
              <w:left w:val="nil"/>
              <w:bottom w:val="single" w:sz="8" w:space="0" w:color="auto"/>
              <w:right w:val="single" w:sz="8" w:space="0" w:color="auto"/>
            </w:tcBorders>
            <w:shd w:val="clear" w:color="000000" w:fill="FFFFFF"/>
            <w:vAlign w:val="center"/>
          </w:tcPr>
          <w:p w14:paraId="48CA2F00"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0</w:t>
            </w:r>
          </w:p>
        </w:tc>
        <w:tc>
          <w:tcPr>
            <w:tcW w:w="709" w:type="dxa"/>
            <w:tcBorders>
              <w:top w:val="nil"/>
              <w:left w:val="nil"/>
              <w:bottom w:val="single" w:sz="8" w:space="0" w:color="auto"/>
              <w:right w:val="single" w:sz="8" w:space="0" w:color="auto"/>
            </w:tcBorders>
            <w:shd w:val="clear" w:color="000000" w:fill="FFFFFF"/>
            <w:vAlign w:val="center"/>
          </w:tcPr>
          <w:p w14:paraId="0F79F9F4"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0</w:t>
            </w:r>
          </w:p>
        </w:tc>
        <w:tc>
          <w:tcPr>
            <w:tcW w:w="851" w:type="dxa"/>
            <w:tcBorders>
              <w:top w:val="nil"/>
              <w:left w:val="nil"/>
              <w:bottom w:val="single" w:sz="8" w:space="0" w:color="auto"/>
              <w:right w:val="single" w:sz="8" w:space="0" w:color="auto"/>
            </w:tcBorders>
            <w:shd w:val="clear" w:color="000000" w:fill="FFFFFF"/>
            <w:vAlign w:val="center"/>
          </w:tcPr>
          <w:p w14:paraId="5576CF25"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0</w:t>
            </w:r>
          </w:p>
        </w:tc>
        <w:tc>
          <w:tcPr>
            <w:tcW w:w="850" w:type="dxa"/>
            <w:tcBorders>
              <w:top w:val="nil"/>
              <w:left w:val="nil"/>
              <w:bottom w:val="single" w:sz="8" w:space="0" w:color="auto"/>
              <w:right w:val="single" w:sz="8" w:space="0" w:color="auto"/>
            </w:tcBorders>
            <w:shd w:val="clear" w:color="000000" w:fill="FFFFFF"/>
            <w:vAlign w:val="center"/>
          </w:tcPr>
          <w:p w14:paraId="49F59F8C"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2286</w:t>
            </w:r>
          </w:p>
        </w:tc>
        <w:tc>
          <w:tcPr>
            <w:tcW w:w="709" w:type="dxa"/>
            <w:tcBorders>
              <w:top w:val="nil"/>
              <w:left w:val="nil"/>
              <w:bottom w:val="single" w:sz="8" w:space="0" w:color="auto"/>
              <w:right w:val="single" w:sz="8" w:space="0" w:color="auto"/>
            </w:tcBorders>
            <w:shd w:val="clear" w:color="auto" w:fill="auto"/>
            <w:vAlign w:val="center"/>
          </w:tcPr>
          <w:p w14:paraId="6EF6A748"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1778</w:t>
            </w:r>
          </w:p>
        </w:tc>
        <w:tc>
          <w:tcPr>
            <w:tcW w:w="850" w:type="dxa"/>
            <w:tcBorders>
              <w:top w:val="nil"/>
              <w:left w:val="nil"/>
              <w:bottom w:val="single" w:sz="8" w:space="0" w:color="auto"/>
              <w:right w:val="single" w:sz="8" w:space="0" w:color="auto"/>
            </w:tcBorders>
            <w:shd w:val="clear" w:color="auto" w:fill="auto"/>
            <w:vAlign w:val="center"/>
          </w:tcPr>
          <w:p w14:paraId="077C64CE"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0</w:t>
            </w:r>
          </w:p>
        </w:tc>
        <w:tc>
          <w:tcPr>
            <w:tcW w:w="1560" w:type="dxa"/>
            <w:tcBorders>
              <w:top w:val="nil"/>
              <w:left w:val="nil"/>
              <w:bottom w:val="single" w:sz="8" w:space="0" w:color="auto"/>
              <w:right w:val="single" w:sz="8" w:space="0" w:color="auto"/>
            </w:tcBorders>
            <w:shd w:val="clear" w:color="auto" w:fill="auto"/>
            <w:vAlign w:val="center"/>
          </w:tcPr>
          <w:p w14:paraId="4A33D8D3"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12,978</w:t>
            </w:r>
          </w:p>
        </w:tc>
      </w:tr>
      <w:tr w:rsidR="00B65D24" w:rsidRPr="00F32542" w14:paraId="3EF2A5C9" w14:textId="77777777" w:rsidTr="00B65D24">
        <w:trPr>
          <w:jc w:val="center"/>
        </w:trPr>
        <w:tc>
          <w:tcPr>
            <w:tcW w:w="970" w:type="dxa"/>
            <w:tcBorders>
              <w:right w:val="single" w:sz="4" w:space="0" w:color="auto"/>
            </w:tcBorders>
            <w:shd w:val="clear" w:color="auto" w:fill="AEAAAA"/>
            <w:vAlign w:val="center"/>
          </w:tcPr>
          <w:p w14:paraId="45CAFD5E" w14:textId="77777777" w:rsidR="00B65D24" w:rsidRPr="00F32542" w:rsidRDefault="00B65D24" w:rsidP="00B65D2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C. no registradas</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1766D6AB"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3,067</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tcPr>
          <w:p w14:paraId="5F461797"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148</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1F03E1E9" w14:textId="77777777" w:rsidR="00B65D24" w:rsidRPr="00F32542" w:rsidRDefault="00B65D24" w:rsidP="00B65D24">
            <w:pPr>
              <w:spacing w:after="0" w:line="360" w:lineRule="auto"/>
              <w:jc w:val="center"/>
              <w:rPr>
                <w:rFonts w:ascii="Arial" w:eastAsia="Calibri" w:hAnsi="Arial" w:cs="Arial"/>
                <w:bCs/>
                <w:color w:val="000000" w:themeColor="text1"/>
                <w:sz w:val="16"/>
                <w:szCs w:val="16"/>
              </w:rPr>
            </w:pPr>
            <w:r w:rsidRPr="00F32542">
              <w:rPr>
                <w:rFonts w:ascii="Arial" w:hAnsi="Arial" w:cs="Arial"/>
                <w:sz w:val="16"/>
                <w:szCs w:val="16"/>
              </w:rPr>
              <w:t>158</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72FE6A41"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150</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253F2BD0"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color w:val="000000"/>
                <w:sz w:val="16"/>
                <w:szCs w:val="16"/>
              </w:rPr>
              <w:t>187</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03808922"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224</w:t>
            </w:r>
          </w:p>
        </w:tc>
        <w:tc>
          <w:tcPr>
            <w:tcW w:w="779" w:type="dxa"/>
            <w:tcBorders>
              <w:top w:val="nil"/>
              <w:left w:val="single" w:sz="4" w:space="0" w:color="auto"/>
              <w:bottom w:val="single" w:sz="8" w:space="0" w:color="auto"/>
              <w:right w:val="single" w:sz="8" w:space="0" w:color="auto"/>
            </w:tcBorders>
            <w:shd w:val="clear" w:color="000000" w:fill="FFFFFF"/>
            <w:vAlign w:val="center"/>
          </w:tcPr>
          <w:p w14:paraId="75198429"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110</w:t>
            </w:r>
          </w:p>
        </w:tc>
        <w:tc>
          <w:tcPr>
            <w:tcW w:w="779" w:type="dxa"/>
            <w:tcBorders>
              <w:top w:val="nil"/>
              <w:left w:val="nil"/>
              <w:bottom w:val="single" w:sz="8" w:space="0" w:color="auto"/>
              <w:right w:val="single" w:sz="8" w:space="0" w:color="auto"/>
            </w:tcBorders>
            <w:shd w:val="clear" w:color="000000" w:fill="FFFFFF"/>
            <w:vAlign w:val="center"/>
          </w:tcPr>
          <w:p w14:paraId="6EF01C8A"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430</w:t>
            </w:r>
          </w:p>
        </w:tc>
        <w:tc>
          <w:tcPr>
            <w:tcW w:w="856" w:type="dxa"/>
            <w:tcBorders>
              <w:top w:val="nil"/>
              <w:left w:val="nil"/>
              <w:bottom w:val="single" w:sz="8" w:space="0" w:color="auto"/>
              <w:right w:val="single" w:sz="8" w:space="0" w:color="auto"/>
            </w:tcBorders>
            <w:shd w:val="clear" w:color="000000" w:fill="FFFFFF"/>
            <w:vAlign w:val="center"/>
          </w:tcPr>
          <w:p w14:paraId="0C83DFE2"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229</w:t>
            </w:r>
          </w:p>
        </w:tc>
        <w:tc>
          <w:tcPr>
            <w:tcW w:w="850" w:type="dxa"/>
            <w:tcBorders>
              <w:top w:val="nil"/>
              <w:left w:val="nil"/>
              <w:bottom w:val="single" w:sz="8" w:space="0" w:color="auto"/>
              <w:right w:val="single" w:sz="8" w:space="0" w:color="auto"/>
            </w:tcBorders>
            <w:shd w:val="clear" w:color="000000" w:fill="FFFFFF"/>
            <w:vAlign w:val="center"/>
          </w:tcPr>
          <w:p w14:paraId="3A309D6B"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150</w:t>
            </w:r>
          </w:p>
        </w:tc>
        <w:tc>
          <w:tcPr>
            <w:tcW w:w="709" w:type="dxa"/>
            <w:tcBorders>
              <w:top w:val="nil"/>
              <w:left w:val="nil"/>
              <w:bottom w:val="single" w:sz="8" w:space="0" w:color="auto"/>
              <w:right w:val="single" w:sz="8" w:space="0" w:color="auto"/>
            </w:tcBorders>
            <w:shd w:val="clear" w:color="000000" w:fill="FFFFFF"/>
            <w:vAlign w:val="center"/>
          </w:tcPr>
          <w:p w14:paraId="7613F42D"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121</w:t>
            </w:r>
          </w:p>
        </w:tc>
        <w:tc>
          <w:tcPr>
            <w:tcW w:w="851" w:type="dxa"/>
            <w:tcBorders>
              <w:top w:val="nil"/>
              <w:left w:val="nil"/>
              <w:bottom w:val="single" w:sz="8" w:space="0" w:color="auto"/>
              <w:right w:val="single" w:sz="8" w:space="0" w:color="auto"/>
            </w:tcBorders>
            <w:shd w:val="clear" w:color="000000" w:fill="FFFFFF"/>
            <w:vAlign w:val="center"/>
          </w:tcPr>
          <w:p w14:paraId="768B482C"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76</w:t>
            </w:r>
          </w:p>
        </w:tc>
        <w:tc>
          <w:tcPr>
            <w:tcW w:w="850" w:type="dxa"/>
            <w:tcBorders>
              <w:top w:val="nil"/>
              <w:left w:val="nil"/>
              <w:bottom w:val="single" w:sz="8" w:space="0" w:color="auto"/>
              <w:right w:val="single" w:sz="8" w:space="0" w:color="auto"/>
            </w:tcBorders>
            <w:shd w:val="clear" w:color="000000" w:fill="FFFFFF"/>
            <w:vAlign w:val="center"/>
          </w:tcPr>
          <w:p w14:paraId="585CBA7E"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179</w:t>
            </w:r>
          </w:p>
        </w:tc>
        <w:tc>
          <w:tcPr>
            <w:tcW w:w="709" w:type="dxa"/>
            <w:tcBorders>
              <w:top w:val="nil"/>
              <w:left w:val="nil"/>
              <w:bottom w:val="single" w:sz="8" w:space="0" w:color="auto"/>
              <w:right w:val="single" w:sz="8" w:space="0" w:color="auto"/>
            </w:tcBorders>
            <w:shd w:val="clear" w:color="auto" w:fill="auto"/>
            <w:vAlign w:val="center"/>
          </w:tcPr>
          <w:p w14:paraId="786B4D03"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140</w:t>
            </w:r>
          </w:p>
        </w:tc>
        <w:tc>
          <w:tcPr>
            <w:tcW w:w="850" w:type="dxa"/>
            <w:tcBorders>
              <w:top w:val="nil"/>
              <w:left w:val="nil"/>
              <w:bottom w:val="single" w:sz="8" w:space="0" w:color="auto"/>
              <w:right w:val="single" w:sz="8" w:space="0" w:color="auto"/>
            </w:tcBorders>
            <w:shd w:val="clear" w:color="auto" w:fill="auto"/>
            <w:vAlign w:val="center"/>
          </w:tcPr>
          <w:p w14:paraId="477652BE"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557</w:t>
            </w:r>
          </w:p>
        </w:tc>
        <w:tc>
          <w:tcPr>
            <w:tcW w:w="1560" w:type="dxa"/>
            <w:tcBorders>
              <w:top w:val="nil"/>
              <w:left w:val="nil"/>
              <w:bottom w:val="single" w:sz="8" w:space="0" w:color="auto"/>
              <w:right w:val="single" w:sz="8" w:space="0" w:color="auto"/>
            </w:tcBorders>
            <w:shd w:val="clear" w:color="auto" w:fill="auto"/>
            <w:vAlign w:val="center"/>
          </w:tcPr>
          <w:p w14:paraId="2151172C"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5,926</w:t>
            </w:r>
          </w:p>
        </w:tc>
      </w:tr>
      <w:tr w:rsidR="00B65D24" w:rsidRPr="00F32542" w14:paraId="04841156" w14:textId="77777777" w:rsidTr="00B65D24">
        <w:trPr>
          <w:jc w:val="center"/>
        </w:trPr>
        <w:tc>
          <w:tcPr>
            <w:tcW w:w="970" w:type="dxa"/>
            <w:tcBorders>
              <w:right w:val="single" w:sz="4" w:space="0" w:color="auto"/>
            </w:tcBorders>
            <w:shd w:val="clear" w:color="auto" w:fill="AEAAAA"/>
            <w:vAlign w:val="center"/>
          </w:tcPr>
          <w:p w14:paraId="7DCEEFB3" w14:textId="77777777" w:rsidR="00B65D24" w:rsidRPr="00F32542" w:rsidRDefault="00B65D24" w:rsidP="00B65D24">
            <w:pPr>
              <w:spacing w:after="0" w:line="240" w:lineRule="auto"/>
              <w:jc w:val="center"/>
              <w:rPr>
                <w:rFonts w:ascii="Arial" w:eastAsia="Calibri" w:hAnsi="Arial" w:cs="Arial"/>
                <w:color w:val="000000" w:themeColor="text1"/>
                <w:sz w:val="16"/>
                <w:szCs w:val="16"/>
              </w:rPr>
            </w:pPr>
            <w:r w:rsidRPr="00F32542">
              <w:rPr>
                <w:rFonts w:ascii="Arial" w:eastAsia="Calibri" w:hAnsi="Arial" w:cs="Arial"/>
                <w:color w:val="000000" w:themeColor="text1"/>
                <w:sz w:val="16"/>
                <w:szCs w:val="16"/>
              </w:rPr>
              <w:t>Votos nulos</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06CEA483"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69,744</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tcPr>
          <w:p w14:paraId="4089DA15"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4018</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03801CB8" w14:textId="77777777" w:rsidR="00B65D24" w:rsidRPr="00F32542" w:rsidRDefault="00B65D24" w:rsidP="00B65D24">
            <w:pPr>
              <w:spacing w:after="0" w:line="360" w:lineRule="auto"/>
              <w:jc w:val="center"/>
              <w:rPr>
                <w:rFonts w:ascii="Arial" w:eastAsia="Calibri" w:hAnsi="Arial" w:cs="Arial"/>
                <w:bCs/>
                <w:color w:val="000000" w:themeColor="text1"/>
                <w:sz w:val="16"/>
                <w:szCs w:val="16"/>
              </w:rPr>
            </w:pPr>
            <w:r w:rsidRPr="00F32542">
              <w:rPr>
                <w:rFonts w:ascii="Arial" w:hAnsi="Arial" w:cs="Arial"/>
                <w:sz w:val="16"/>
                <w:szCs w:val="16"/>
              </w:rPr>
              <w:t>3618</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64DA5E16"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4471</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28586861"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color w:val="000000"/>
                <w:sz w:val="16"/>
                <w:szCs w:val="16"/>
              </w:rPr>
              <w:t>4435</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62A92AC7"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4220</w:t>
            </w:r>
          </w:p>
        </w:tc>
        <w:tc>
          <w:tcPr>
            <w:tcW w:w="779" w:type="dxa"/>
            <w:tcBorders>
              <w:top w:val="nil"/>
              <w:left w:val="single" w:sz="4" w:space="0" w:color="auto"/>
              <w:bottom w:val="single" w:sz="8" w:space="0" w:color="auto"/>
              <w:right w:val="single" w:sz="8" w:space="0" w:color="auto"/>
            </w:tcBorders>
            <w:shd w:val="clear" w:color="000000" w:fill="FFFFFF"/>
            <w:vAlign w:val="center"/>
          </w:tcPr>
          <w:p w14:paraId="0EDAF075"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4407</w:t>
            </w:r>
          </w:p>
        </w:tc>
        <w:tc>
          <w:tcPr>
            <w:tcW w:w="779" w:type="dxa"/>
            <w:tcBorders>
              <w:top w:val="nil"/>
              <w:left w:val="nil"/>
              <w:bottom w:val="single" w:sz="8" w:space="0" w:color="auto"/>
              <w:right w:val="single" w:sz="8" w:space="0" w:color="auto"/>
            </w:tcBorders>
            <w:shd w:val="clear" w:color="000000" w:fill="FFFFFF"/>
            <w:vAlign w:val="center"/>
          </w:tcPr>
          <w:p w14:paraId="00477C05"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3928</w:t>
            </w:r>
          </w:p>
        </w:tc>
        <w:tc>
          <w:tcPr>
            <w:tcW w:w="856" w:type="dxa"/>
            <w:tcBorders>
              <w:top w:val="nil"/>
              <w:left w:val="nil"/>
              <w:bottom w:val="single" w:sz="8" w:space="0" w:color="auto"/>
              <w:right w:val="single" w:sz="8" w:space="0" w:color="auto"/>
            </w:tcBorders>
            <w:shd w:val="clear" w:color="000000" w:fill="FFFFFF"/>
            <w:vAlign w:val="center"/>
          </w:tcPr>
          <w:p w14:paraId="516D722E"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3828</w:t>
            </w:r>
          </w:p>
        </w:tc>
        <w:tc>
          <w:tcPr>
            <w:tcW w:w="850" w:type="dxa"/>
            <w:tcBorders>
              <w:top w:val="nil"/>
              <w:left w:val="nil"/>
              <w:bottom w:val="single" w:sz="8" w:space="0" w:color="auto"/>
              <w:right w:val="single" w:sz="8" w:space="0" w:color="auto"/>
            </w:tcBorders>
            <w:shd w:val="clear" w:color="000000" w:fill="FFFFFF"/>
            <w:vAlign w:val="center"/>
          </w:tcPr>
          <w:p w14:paraId="6EC2288D"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4056</w:t>
            </w:r>
          </w:p>
        </w:tc>
        <w:tc>
          <w:tcPr>
            <w:tcW w:w="709" w:type="dxa"/>
            <w:tcBorders>
              <w:top w:val="nil"/>
              <w:left w:val="nil"/>
              <w:bottom w:val="single" w:sz="8" w:space="0" w:color="auto"/>
              <w:right w:val="single" w:sz="8" w:space="0" w:color="auto"/>
            </w:tcBorders>
            <w:shd w:val="clear" w:color="000000" w:fill="FFFFFF"/>
            <w:vAlign w:val="center"/>
          </w:tcPr>
          <w:p w14:paraId="299A8948"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3,529</w:t>
            </w:r>
          </w:p>
        </w:tc>
        <w:tc>
          <w:tcPr>
            <w:tcW w:w="851" w:type="dxa"/>
            <w:tcBorders>
              <w:top w:val="nil"/>
              <w:left w:val="nil"/>
              <w:bottom w:val="single" w:sz="8" w:space="0" w:color="auto"/>
              <w:right w:val="single" w:sz="8" w:space="0" w:color="auto"/>
            </w:tcBorders>
            <w:shd w:val="clear" w:color="000000" w:fill="FFFFFF"/>
            <w:vAlign w:val="center"/>
          </w:tcPr>
          <w:p w14:paraId="289163E7"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3168</w:t>
            </w:r>
          </w:p>
        </w:tc>
        <w:tc>
          <w:tcPr>
            <w:tcW w:w="850" w:type="dxa"/>
            <w:tcBorders>
              <w:top w:val="nil"/>
              <w:left w:val="nil"/>
              <w:bottom w:val="single" w:sz="8" w:space="0" w:color="auto"/>
              <w:right w:val="single" w:sz="8" w:space="0" w:color="auto"/>
            </w:tcBorders>
            <w:shd w:val="clear" w:color="000000" w:fill="FFFFFF"/>
            <w:vAlign w:val="center"/>
          </w:tcPr>
          <w:p w14:paraId="6CB2591A"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3342</w:t>
            </w:r>
          </w:p>
        </w:tc>
        <w:tc>
          <w:tcPr>
            <w:tcW w:w="709" w:type="dxa"/>
            <w:tcBorders>
              <w:top w:val="nil"/>
              <w:left w:val="nil"/>
              <w:bottom w:val="single" w:sz="8" w:space="0" w:color="auto"/>
              <w:right w:val="single" w:sz="8" w:space="0" w:color="auto"/>
            </w:tcBorders>
            <w:shd w:val="clear" w:color="auto" w:fill="auto"/>
            <w:vAlign w:val="center"/>
          </w:tcPr>
          <w:p w14:paraId="11111F87"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3331</w:t>
            </w:r>
          </w:p>
        </w:tc>
        <w:tc>
          <w:tcPr>
            <w:tcW w:w="850" w:type="dxa"/>
            <w:tcBorders>
              <w:top w:val="nil"/>
              <w:left w:val="nil"/>
              <w:bottom w:val="single" w:sz="8" w:space="0" w:color="auto"/>
              <w:right w:val="single" w:sz="8" w:space="0" w:color="auto"/>
            </w:tcBorders>
            <w:shd w:val="clear" w:color="auto" w:fill="auto"/>
            <w:vAlign w:val="center"/>
          </w:tcPr>
          <w:p w14:paraId="58F332DE"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4029</w:t>
            </w:r>
          </w:p>
        </w:tc>
        <w:tc>
          <w:tcPr>
            <w:tcW w:w="1560" w:type="dxa"/>
            <w:tcBorders>
              <w:top w:val="nil"/>
              <w:left w:val="nil"/>
              <w:bottom w:val="single" w:sz="8" w:space="0" w:color="auto"/>
              <w:right w:val="single" w:sz="8" w:space="0" w:color="auto"/>
            </w:tcBorders>
            <w:shd w:val="clear" w:color="auto" w:fill="auto"/>
            <w:vAlign w:val="center"/>
          </w:tcPr>
          <w:p w14:paraId="04F34AAA"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124,124</w:t>
            </w:r>
          </w:p>
        </w:tc>
      </w:tr>
      <w:tr w:rsidR="00B65D24" w:rsidRPr="00F32542" w14:paraId="711A4FF1" w14:textId="77777777" w:rsidTr="00B65D24">
        <w:trPr>
          <w:jc w:val="center"/>
        </w:trPr>
        <w:tc>
          <w:tcPr>
            <w:tcW w:w="970" w:type="dxa"/>
            <w:tcBorders>
              <w:right w:val="single" w:sz="4" w:space="0" w:color="auto"/>
            </w:tcBorders>
            <w:shd w:val="clear" w:color="auto" w:fill="AEAAAA"/>
            <w:vAlign w:val="center"/>
          </w:tcPr>
          <w:p w14:paraId="5999BED9" w14:textId="77777777" w:rsidR="00B65D24" w:rsidRPr="00F32542" w:rsidRDefault="00B65D24" w:rsidP="00B65D24">
            <w:pPr>
              <w:spacing w:after="0" w:line="240" w:lineRule="auto"/>
              <w:jc w:val="center"/>
              <w:rPr>
                <w:rFonts w:ascii="Arial" w:eastAsia="Calibri" w:hAnsi="Arial" w:cs="Arial"/>
                <w:b/>
                <w:color w:val="000000" w:themeColor="text1"/>
                <w:sz w:val="16"/>
                <w:szCs w:val="16"/>
              </w:rPr>
            </w:pPr>
            <w:r w:rsidRPr="00F32542">
              <w:rPr>
                <w:rFonts w:ascii="Arial" w:eastAsia="Calibri" w:hAnsi="Arial" w:cs="Arial"/>
                <w:b/>
                <w:color w:val="000000" w:themeColor="text1"/>
                <w:sz w:val="16"/>
                <w:szCs w:val="16"/>
              </w:rPr>
              <w:t>Votación total emitida</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7A3B63EB"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2,398,777</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tcPr>
          <w:p w14:paraId="53752D73"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97,992</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515D7103"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122513</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08C570EF"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131621</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198A496F"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color w:val="000000"/>
                <w:sz w:val="16"/>
                <w:szCs w:val="16"/>
              </w:rPr>
              <w:t>146431</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692FDB2C"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150268</w:t>
            </w:r>
          </w:p>
        </w:tc>
        <w:tc>
          <w:tcPr>
            <w:tcW w:w="779" w:type="dxa"/>
            <w:tcBorders>
              <w:top w:val="nil"/>
              <w:left w:val="single" w:sz="4" w:space="0" w:color="auto"/>
              <w:bottom w:val="single" w:sz="8" w:space="0" w:color="auto"/>
              <w:right w:val="single" w:sz="8" w:space="0" w:color="auto"/>
            </w:tcBorders>
            <w:shd w:val="clear" w:color="000000" w:fill="FFFFFF"/>
            <w:vAlign w:val="center"/>
          </w:tcPr>
          <w:p w14:paraId="6BF81B7F"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104532</w:t>
            </w:r>
          </w:p>
        </w:tc>
        <w:tc>
          <w:tcPr>
            <w:tcW w:w="779" w:type="dxa"/>
            <w:tcBorders>
              <w:top w:val="nil"/>
              <w:left w:val="nil"/>
              <w:bottom w:val="single" w:sz="8" w:space="0" w:color="auto"/>
              <w:right w:val="single" w:sz="8" w:space="0" w:color="auto"/>
            </w:tcBorders>
            <w:shd w:val="clear" w:color="000000" w:fill="FFFFFF"/>
            <w:vAlign w:val="center"/>
          </w:tcPr>
          <w:p w14:paraId="2843C249"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118842</w:t>
            </w:r>
          </w:p>
        </w:tc>
        <w:tc>
          <w:tcPr>
            <w:tcW w:w="856" w:type="dxa"/>
            <w:tcBorders>
              <w:top w:val="nil"/>
              <w:left w:val="nil"/>
              <w:bottom w:val="single" w:sz="8" w:space="0" w:color="auto"/>
              <w:right w:val="single" w:sz="8" w:space="0" w:color="auto"/>
            </w:tcBorders>
            <w:shd w:val="clear" w:color="000000" w:fill="FFFFFF"/>
            <w:vAlign w:val="center"/>
          </w:tcPr>
          <w:p w14:paraId="4A813AC4"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134,634</w:t>
            </w:r>
          </w:p>
        </w:tc>
        <w:tc>
          <w:tcPr>
            <w:tcW w:w="850" w:type="dxa"/>
            <w:tcBorders>
              <w:top w:val="nil"/>
              <w:left w:val="nil"/>
              <w:bottom w:val="single" w:sz="8" w:space="0" w:color="auto"/>
              <w:right w:val="single" w:sz="8" w:space="0" w:color="auto"/>
            </w:tcBorders>
            <w:shd w:val="clear" w:color="000000" w:fill="FFFFFF"/>
            <w:vAlign w:val="center"/>
          </w:tcPr>
          <w:p w14:paraId="5AB85FA5"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127,703</w:t>
            </w:r>
          </w:p>
        </w:tc>
        <w:tc>
          <w:tcPr>
            <w:tcW w:w="709" w:type="dxa"/>
            <w:tcBorders>
              <w:top w:val="nil"/>
              <w:left w:val="nil"/>
              <w:bottom w:val="single" w:sz="8" w:space="0" w:color="auto"/>
              <w:right w:val="single" w:sz="8" w:space="0" w:color="auto"/>
            </w:tcBorders>
            <w:shd w:val="clear" w:color="000000" w:fill="FFFFFF"/>
            <w:vAlign w:val="center"/>
          </w:tcPr>
          <w:p w14:paraId="6E3A331A"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97,811</w:t>
            </w:r>
          </w:p>
        </w:tc>
        <w:tc>
          <w:tcPr>
            <w:tcW w:w="851" w:type="dxa"/>
            <w:tcBorders>
              <w:top w:val="nil"/>
              <w:left w:val="nil"/>
              <w:bottom w:val="single" w:sz="8" w:space="0" w:color="auto"/>
              <w:right w:val="single" w:sz="8" w:space="0" w:color="auto"/>
            </w:tcBorders>
            <w:shd w:val="clear" w:color="000000" w:fill="FFFFFF"/>
            <w:vAlign w:val="center"/>
          </w:tcPr>
          <w:p w14:paraId="49C75771"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86268</w:t>
            </w:r>
          </w:p>
        </w:tc>
        <w:tc>
          <w:tcPr>
            <w:tcW w:w="850" w:type="dxa"/>
            <w:tcBorders>
              <w:top w:val="nil"/>
              <w:left w:val="nil"/>
              <w:bottom w:val="single" w:sz="8" w:space="0" w:color="auto"/>
              <w:right w:val="single" w:sz="8" w:space="0" w:color="auto"/>
            </w:tcBorders>
            <w:shd w:val="clear" w:color="000000" w:fill="FFFFFF"/>
            <w:vAlign w:val="center"/>
          </w:tcPr>
          <w:p w14:paraId="7F727292"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98528</w:t>
            </w:r>
          </w:p>
        </w:tc>
        <w:tc>
          <w:tcPr>
            <w:tcW w:w="709" w:type="dxa"/>
            <w:tcBorders>
              <w:top w:val="nil"/>
              <w:left w:val="nil"/>
              <w:bottom w:val="single" w:sz="8" w:space="0" w:color="auto"/>
              <w:right w:val="single" w:sz="8" w:space="0" w:color="auto"/>
            </w:tcBorders>
            <w:shd w:val="clear" w:color="auto" w:fill="auto"/>
            <w:vAlign w:val="center"/>
          </w:tcPr>
          <w:p w14:paraId="64A25A26"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96,083</w:t>
            </w:r>
          </w:p>
        </w:tc>
        <w:tc>
          <w:tcPr>
            <w:tcW w:w="850" w:type="dxa"/>
            <w:tcBorders>
              <w:top w:val="nil"/>
              <w:left w:val="nil"/>
              <w:bottom w:val="single" w:sz="8" w:space="0" w:color="auto"/>
              <w:right w:val="single" w:sz="8" w:space="0" w:color="auto"/>
            </w:tcBorders>
            <w:shd w:val="clear" w:color="auto" w:fill="auto"/>
            <w:vAlign w:val="center"/>
          </w:tcPr>
          <w:p w14:paraId="4369619C"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134583</w:t>
            </w:r>
          </w:p>
        </w:tc>
        <w:tc>
          <w:tcPr>
            <w:tcW w:w="1560" w:type="dxa"/>
            <w:tcBorders>
              <w:top w:val="nil"/>
              <w:left w:val="nil"/>
              <w:bottom w:val="single" w:sz="8" w:space="0" w:color="auto"/>
              <w:right w:val="single" w:sz="8" w:space="0" w:color="auto"/>
            </w:tcBorders>
            <w:shd w:val="clear" w:color="auto" w:fill="auto"/>
            <w:vAlign w:val="center"/>
          </w:tcPr>
          <w:p w14:paraId="3CD2768A" w14:textId="77777777" w:rsidR="00B65D24" w:rsidRPr="00F32542" w:rsidRDefault="00B65D24" w:rsidP="00B65D24">
            <w:pPr>
              <w:spacing w:after="0" w:line="360" w:lineRule="auto"/>
              <w:jc w:val="center"/>
              <w:rPr>
                <w:rFonts w:ascii="Arial" w:eastAsia="Calibri" w:hAnsi="Arial" w:cs="Arial"/>
                <w:color w:val="000000" w:themeColor="text1"/>
                <w:sz w:val="16"/>
                <w:szCs w:val="16"/>
              </w:rPr>
            </w:pPr>
            <w:r w:rsidRPr="00F32542">
              <w:rPr>
                <w:rFonts w:ascii="Arial" w:hAnsi="Arial" w:cs="Arial"/>
                <w:sz w:val="16"/>
                <w:szCs w:val="16"/>
              </w:rPr>
              <w:t>4,046,586</w:t>
            </w:r>
          </w:p>
        </w:tc>
      </w:tr>
    </w:tbl>
    <w:p w14:paraId="1979B927" w14:textId="77777777" w:rsidR="00F57B54" w:rsidRPr="00F32542" w:rsidRDefault="00F57B54" w:rsidP="00F57B54">
      <w:pPr>
        <w:spacing w:after="0" w:line="360" w:lineRule="auto"/>
        <w:contextualSpacing/>
        <w:jc w:val="both"/>
        <w:rPr>
          <w:rFonts w:ascii="Arial" w:eastAsia="Calibri" w:hAnsi="Arial" w:cs="Arial"/>
          <w:color w:val="000000" w:themeColor="text1"/>
          <w:spacing w:val="4"/>
          <w:sz w:val="28"/>
        </w:rPr>
      </w:pPr>
    </w:p>
    <w:p w14:paraId="6DC0D685" w14:textId="77777777" w:rsidR="00F57B54" w:rsidRPr="00F32542" w:rsidRDefault="00F57B54" w:rsidP="00F57B54">
      <w:pPr>
        <w:spacing w:after="0" w:line="360" w:lineRule="auto"/>
        <w:contextualSpacing/>
        <w:jc w:val="both"/>
        <w:rPr>
          <w:rFonts w:ascii="Arial" w:eastAsia="Calibri" w:hAnsi="Arial" w:cs="Arial"/>
          <w:color w:val="000000" w:themeColor="text1"/>
          <w:spacing w:val="4"/>
          <w:sz w:val="28"/>
        </w:rPr>
      </w:pPr>
    </w:p>
    <w:p w14:paraId="19F2A5DA" w14:textId="77777777" w:rsidR="00F57B54" w:rsidRPr="00F32542" w:rsidRDefault="00F57B54" w:rsidP="00F57B54">
      <w:pPr>
        <w:spacing w:after="0" w:line="360" w:lineRule="auto"/>
        <w:contextualSpacing/>
        <w:jc w:val="both"/>
        <w:rPr>
          <w:rFonts w:ascii="Arial" w:eastAsia="Calibri" w:hAnsi="Arial" w:cs="Arial"/>
          <w:color w:val="000000" w:themeColor="text1"/>
          <w:spacing w:val="4"/>
          <w:sz w:val="28"/>
        </w:rPr>
        <w:sectPr w:rsidR="00F57B54" w:rsidRPr="00F32542" w:rsidSect="00B65D24">
          <w:pgSz w:w="18722" w:h="12242" w:orient="landscape" w:code="5"/>
          <w:pgMar w:top="3119" w:right="2552" w:bottom="1134" w:left="1985" w:header="1361" w:footer="709" w:gutter="0"/>
          <w:cols w:space="708"/>
          <w:titlePg/>
          <w:docGrid w:linePitch="381"/>
        </w:sectPr>
      </w:pPr>
    </w:p>
    <w:p w14:paraId="0CD167A7" w14:textId="77777777" w:rsidR="00F57B54" w:rsidRPr="00F32542" w:rsidRDefault="00F57B54" w:rsidP="00F57B54">
      <w:pPr>
        <w:spacing w:after="0" w:line="360" w:lineRule="auto"/>
        <w:contextualSpacing/>
        <w:jc w:val="both"/>
        <w:rPr>
          <w:rFonts w:ascii="Arial" w:eastAsia="Calibri" w:hAnsi="Arial" w:cs="Arial"/>
          <w:color w:val="000000" w:themeColor="text1"/>
          <w:spacing w:val="4"/>
          <w:sz w:val="28"/>
        </w:rPr>
      </w:pPr>
    </w:p>
    <w:p w14:paraId="588221C5" w14:textId="77777777" w:rsidR="00F57B54" w:rsidRPr="00F32542" w:rsidRDefault="00F57B54" w:rsidP="00F57B54">
      <w:pPr>
        <w:spacing w:after="0" w:line="360" w:lineRule="auto"/>
        <w:contextualSpacing/>
        <w:jc w:val="both"/>
        <w:rPr>
          <w:rFonts w:ascii="Arial" w:eastAsia="Calibri" w:hAnsi="Arial" w:cs="Arial"/>
          <w:color w:val="000000" w:themeColor="text1"/>
          <w:spacing w:val="4"/>
          <w:sz w:val="28"/>
        </w:rPr>
      </w:pPr>
    </w:p>
    <w:tbl>
      <w:tblPr>
        <w:tblStyle w:val="Tablaconcuadrcula25"/>
        <w:tblW w:w="0" w:type="auto"/>
        <w:jc w:val="center"/>
        <w:tblLook w:val="04A0" w:firstRow="1" w:lastRow="0" w:firstColumn="1" w:lastColumn="0" w:noHBand="0" w:noVBand="1"/>
      </w:tblPr>
      <w:tblGrid>
        <w:gridCol w:w="3124"/>
        <w:gridCol w:w="3397"/>
      </w:tblGrid>
      <w:tr w:rsidR="00F57B54" w:rsidRPr="00F32542" w14:paraId="76AA6AD7" w14:textId="77777777" w:rsidTr="00B65D24">
        <w:trPr>
          <w:trHeight w:val="1145"/>
          <w:jc w:val="center"/>
        </w:trPr>
        <w:tc>
          <w:tcPr>
            <w:tcW w:w="6521" w:type="dxa"/>
            <w:gridSpan w:val="2"/>
            <w:shd w:val="clear" w:color="auto" w:fill="AEAAAA"/>
            <w:vAlign w:val="center"/>
          </w:tcPr>
          <w:p w14:paraId="135673F0" w14:textId="77777777" w:rsidR="00F57B54" w:rsidRPr="00F32542" w:rsidRDefault="00F57B54" w:rsidP="00F57B54">
            <w:pPr>
              <w:spacing w:after="0" w:line="240" w:lineRule="auto"/>
              <w:jc w:val="center"/>
              <w:rPr>
                <w:rFonts w:ascii="Arial" w:eastAsia="Calibri" w:hAnsi="Arial" w:cs="Arial"/>
                <w:b/>
                <w:color w:val="000000" w:themeColor="text1"/>
                <w:sz w:val="24"/>
                <w:szCs w:val="24"/>
              </w:rPr>
            </w:pPr>
            <w:r w:rsidRPr="00F32542">
              <w:rPr>
                <w:rFonts w:ascii="Arial" w:eastAsia="Calibri" w:hAnsi="Arial" w:cs="Arial"/>
                <w:b/>
                <w:color w:val="000000" w:themeColor="text1"/>
                <w:sz w:val="24"/>
                <w:szCs w:val="24"/>
              </w:rPr>
              <w:t>CÓMPUTO TOTAL RECOMPUESTO DE LA ELECCIÓN DE DIPUTACIONES POR EL PRINCIPIO DE REPRESENTACIÓN PROPORCIONAL</w:t>
            </w:r>
          </w:p>
        </w:tc>
      </w:tr>
      <w:tr w:rsidR="00F57B54" w:rsidRPr="00F32542" w14:paraId="4B4EA157" w14:textId="77777777" w:rsidTr="00B65D24">
        <w:trPr>
          <w:trHeight w:val="694"/>
          <w:jc w:val="center"/>
        </w:trPr>
        <w:tc>
          <w:tcPr>
            <w:tcW w:w="3124" w:type="dxa"/>
            <w:shd w:val="clear" w:color="auto" w:fill="AEAAAA"/>
            <w:vAlign w:val="center"/>
          </w:tcPr>
          <w:p w14:paraId="02D1C434" w14:textId="77777777" w:rsidR="00F57B54" w:rsidRPr="00F32542" w:rsidRDefault="00F57B54" w:rsidP="00F57B54">
            <w:pPr>
              <w:spacing w:after="0" w:line="240" w:lineRule="auto"/>
              <w:jc w:val="center"/>
              <w:rPr>
                <w:rFonts w:ascii="Arial" w:eastAsia="Calibri" w:hAnsi="Arial" w:cs="Arial"/>
                <w:b/>
                <w:color w:val="000000" w:themeColor="text1"/>
                <w:sz w:val="24"/>
                <w:szCs w:val="24"/>
              </w:rPr>
            </w:pPr>
            <w:r w:rsidRPr="00F32542">
              <w:rPr>
                <w:rFonts w:ascii="Arial" w:eastAsia="Calibri" w:hAnsi="Arial" w:cs="Arial"/>
                <w:b/>
                <w:color w:val="000000" w:themeColor="text1"/>
                <w:sz w:val="24"/>
                <w:szCs w:val="24"/>
              </w:rPr>
              <w:t>OPCIÓN POLÍTICA</w:t>
            </w:r>
          </w:p>
        </w:tc>
        <w:tc>
          <w:tcPr>
            <w:tcW w:w="3397" w:type="dxa"/>
            <w:shd w:val="clear" w:color="auto" w:fill="AEAAAA"/>
            <w:vAlign w:val="center"/>
          </w:tcPr>
          <w:p w14:paraId="4460A960" w14:textId="77777777" w:rsidR="00F57B54" w:rsidRPr="00F32542" w:rsidRDefault="00F57B54" w:rsidP="00F57B54">
            <w:pPr>
              <w:spacing w:after="0" w:line="240" w:lineRule="auto"/>
              <w:jc w:val="center"/>
              <w:rPr>
                <w:rFonts w:ascii="Arial" w:eastAsia="Calibri" w:hAnsi="Arial" w:cs="Arial"/>
                <w:b/>
                <w:color w:val="000000" w:themeColor="text1"/>
                <w:sz w:val="24"/>
                <w:szCs w:val="24"/>
              </w:rPr>
            </w:pPr>
            <w:r w:rsidRPr="00F32542">
              <w:rPr>
                <w:rFonts w:ascii="Arial" w:eastAsia="Calibri" w:hAnsi="Arial" w:cs="Arial"/>
                <w:b/>
                <w:color w:val="000000" w:themeColor="text1"/>
                <w:sz w:val="24"/>
                <w:szCs w:val="24"/>
              </w:rPr>
              <w:t xml:space="preserve">VOTACIÓN </w:t>
            </w:r>
          </w:p>
        </w:tc>
      </w:tr>
      <w:tr w:rsidR="00A06BD7" w:rsidRPr="00F32542" w14:paraId="48D5C798" w14:textId="77777777" w:rsidTr="00B65D24">
        <w:trPr>
          <w:trHeight w:val="561"/>
          <w:jc w:val="center"/>
        </w:trPr>
        <w:tc>
          <w:tcPr>
            <w:tcW w:w="3124" w:type="dxa"/>
            <w:vAlign w:val="center"/>
          </w:tcPr>
          <w:p w14:paraId="229072CE" w14:textId="77777777" w:rsidR="00A06BD7" w:rsidRPr="00F32542" w:rsidRDefault="00A06BD7" w:rsidP="00A06BD7">
            <w:pPr>
              <w:spacing w:after="0" w:line="240" w:lineRule="auto"/>
              <w:jc w:val="center"/>
              <w:rPr>
                <w:rFonts w:ascii="Arial" w:eastAsia="Calibri" w:hAnsi="Arial" w:cs="Arial"/>
                <w:color w:val="000000" w:themeColor="text1"/>
                <w:sz w:val="24"/>
                <w:szCs w:val="24"/>
              </w:rPr>
            </w:pPr>
            <w:r w:rsidRPr="00F32542">
              <w:rPr>
                <w:rFonts w:ascii="Arial" w:eastAsia="Calibri" w:hAnsi="Arial" w:cs="Arial"/>
                <w:color w:val="000000" w:themeColor="text1"/>
                <w:sz w:val="24"/>
                <w:szCs w:val="24"/>
              </w:rPr>
              <w:t>PAN</w:t>
            </w:r>
          </w:p>
        </w:tc>
        <w:tc>
          <w:tcPr>
            <w:tcW w:w="3397" w:type="dxa"/>
            <w:shd w:val="clear" w:color="auto" w:fill="auto"/>
            <w:vAlign w:val="center"/>
          </w:tcPr>
          <w:p w14:paraId="1A910767" w14:textId="77777777" w:rsidR="00A06BD7" w:rsidRPr="00F32542" w:rsidRDefault="00A06BD7" w:rsidP="00A06BD7">
            <w:pPr>
              <w:spacing w:after="0" w:line="360" w:lineRule="auto"/>
              <w:jc w:val="center"/>
              <w:rPr>
                <w:rFonts w:ascii="Arial" w:eastAsia="Calibri" w:hAnsi="Arial" w:cs="Arial"/>
                <w:color w:val="000000" w:themeColor="text1"/>
                <w:sz w:val="24"/>
                <w:szCs w:val="24"/>
              </w:rPr>
            </w:pPr>
            <w:r w:rsidRPr="00F32542">
              <w:rPr>
                <w:rFonts w:ascii="Arial" w:hAnsi="Arial" w:cs="Arial"/>
                <w:sz w:val="24"/>
                <w:szCs w:val="24"/>
              </w:rPr>
              <w:t>1,033,617</w:t>
            </w:r>
          </w:p>
        </w:tc>
      </w:tr>
      <w:tr w:rsidR="00A06BD7" w:rsidRPr="00F32542" w14:paraId="2D32FEA0" w14:textId="77777777" w:rsidTr="00B65D24">
        <w:trPr>
          <w:trHeight w:val="555"/>
          <w:jc w:val="center"/>
        </w:trPr>
        <w:tc>
          <w:tcPr>
            <w:tcW w:w="3124" w:type="dxa"/>
            <w:vAlign w:val="center"/>
          </w:tcPr>
          <w:p w14:paraId="4C56EF81" w14:textId="77777777" w:rsidR="00A06BD7" w:rsidRPr="00F32542" w:rsidRDefault="00A06BD7" w:rsidP="00A06BD7">
            <w:pPr>
              <w:spacing w:after="0" w:line="240" w:lineRule="auto"/>
              <w:jc w:val="center"/>
              <w:rPr>
                <w:rFonts w:ascii="Arial" w:eastAsia="Calibri" w:hAnsi="Arial" w:cs="Arial"/>
                <w:color w:val="000000" w:themeColor="text1"/>
                <w:sz w:val="24"/>
                <w:szCs w:val="24"/>
              </w:rPr>
            </w:pPr>
            <w:r w:rsidRPr="00F32542">
              <w:rPr>
                <w:rFonts w:ascii="Arial" w:eastAsia="Calibri" w:hAnsi="Arial" w:cs="Arial"/>
                <w:color w:val="000000" w:themeColor="text1"/>
                <w:sz w:val="24"/>
                <w:szCs w:val="24"/>
              </w:rPr>
              <w:t>PRI</w:t>
            </w:r>
          </w:p>
        </w:tc>
        <w:tc>
          <w:tcPr>
            <w:tcW w:w="3397" w:type="dxa"/>
            <w:shd w:val="clear" w:color="auto" w:fill="auto"/>
            <w:vAlign w:val="center"/>
          </w:tcPr>
          <w:p w14:paraId="3E2F072C" w14:textId="77777777" w:rsidR="00A06BD7" w:rsidRPr="00F32542" w:rsidRDefault="00A06BD7" w:rsidP="00A06BD7">
            <w:pPr>
              <w:spacing w:after="0" w:line="360" w:lineRule="auto"/>
              <w:jc w:val="center"/>
              <w:rPr>
                <w:rFonts w:ascii="Arial" w:eastAsia="Calibri" w:hAnsi="Arial" w:cs="Arial"/>
                <w:color w:val="000000" w:themeColor="text1"/>
                <w:sz w:val="24"/>
                <w:szCs w:val="24"/>
              </w:rPr>
            </w:pPr>
            <w:r w:rsidRPr="00F32542">
              <w:rPr>
                <w:rFonts w:ascii="Arial" w:hAnsi="Arial" w:cs="Arial"/>
                <w:sz w:val="24"/>
                <w:szCs w:val="24"/>
              </w:rPr>
              <w:t>581,675</w:t>
            </w:r>
          </w:p>
        </w:tc>
      </w:tr>
      <w:tr w:rsidR="00A06BD7" w:rsidRPr="00F32542" w14:paraId="22C18897" w14:textId="77777777" w:rsidTr="00B65D24">
        <w:trPr>
          <w:trHeight w:val="549"/>
          <w:jc w:val="center"/>
        </w:trPr>
        <w:tc>
          <w:tcPr>
            <w:tcW w:w="3124" w:type="dxa"/>
            <w:vAlign w:val="center"/>
          </w:tcPr>
          <w:p w14:paraId="185EF939" w14:textId="77777777" w:rsidR="00A06BD7" w:rsidRPr="00F32542" w:rsidRDefault="00A06BD7" w:rsidP="00A06BD7">
            <w:pPr>
              <w:spacing w:after="0" w:line="240" w:lineRule="auto"/>
              <w:jc w:val="center"/>
              <w:rPr>
                <w:rFonts w:ascii="Arial" w:eastAsia="Calibri" w:hAnsi="Arial" w:cs="Arial"/>
                <w:color w:val="000000" w:themeColor="text1"/>
                <w:sz w:val="24"/>
                <w:szCs w:val="24"/>
              </w:rPr>
            </w:pPr>
            <w:r w:rsidRPr="00F32542">
              <w:rPr>
                <w:rFonts w:ascii="Arial" w:eastAsia="Calibri" w:hAnsi="Arial" w:cs="Arial"/>
                <w:color w:val="000000" w:themeColor="text1"/>
                <w:sz w:val="24"/>
                <w:szCs w:val="24"/>
              </w:rPr>
              <w:t>PRD</w:t>
            </w:r>
          </w:p>
        </w:tc>
        <w:tc>
          <w:tcPr>
            <w:tcW w:w="3397" w:type="dxa"/>
            <w:shd w:val="clear" w:color="auto" w:fill="auto"/>
            <w:vAlign w:val="center"/>
          </w:tcPr>
          <w:p w14:paraId="0E8BC2EC" w14:textId="77777777" w:rsidR="00A06BD7" w:rsidRPr="00F32542" w:rsidRDefault="00A06BD7" w:rsidP="00A06BD7">
            <w:pPr>
              <w:spacing w:after="0" w:line="360" w:lineRule="auto"/>
              <w:jc w:val="center"/>
              <w:rPr>
                <w:rFonts w:ascii="Arial" w:eastAsia="Calibri" w:hAnsi="Arial" w:cs="Arial"/>
                <w:color w:val="000000" w:themeColor="text1"/>
                <w:sz w:val="24"/>
                <w:szCs w:val="24"/>
              </w:rPr>
            </w:pPr>
            <w:r w:rsidRPr="00F32542">
              <w:rPr>
                <w:rFonts w:ascii="Arial" w:hAnsi="Arial" w:cs="Arial"/>
                <w:sz w:val="24"/>
                <w:szCs w:val="24"/>
              </w:rPr>
              <w:t>207,895</w:t>
            </w:r>
          </w:p>
        </w:tc>
      </w:tr>
      <w:tr w:rsidR="00A06BD7" w:rsidRPr="00F32542" w14:paraId="0ACA2CB6" w14:textId="77777777" w:rsidTr="00B65D24">
        <w:trPr>
          <w:trHeight w:val="571"/>
          <w:jc w:val="center"/>
        </w:trPr>
        <w:tc>
          <w:tcPr>
            <w:tcW w:w="3124" w:type="dxa"/>
            <w:vAlign w:val="center"/>
          </w:tcPr>
          <w:p w14:paraId="75A1CCD0" w14:textId="77777777" w:rsidR="00A06BD7" w:rsidRPr="00F32542" w:rsidRDefault="00A06BD7" w:rsidP="00A06BD7">
            <w:pPr>
              <w:spacing w:after="0" w:line="240" w:lineRule="auto"/>
              <w:jc w:val="center"/>
              <w:rPr>
                <w:rFonts w:ascii="Arial" w:eastAsia="Calibri" w:hAnsi="Arial" w:cs="Arial"/>
                <w:color w:val="000000" w:themeColor="text1"/>
                <w:sz w:val="24"/>
                <w:szCs w:val="24"/>
              </w:rPr>
            </w:pPr>
            <w:r w:rsidRPr="00F32542">
              <w:rPr>
                <w:rFonts w:ascii="Arial" w:eastAsia="Calibri" w:hAnsi="Arial" w:cs="Arial"/>
                <w:color w:val="000000" w:themeColor="text1"/>
                <w:sz w:val="24"/>
                <w:szCs w:val="24"/>
              </w:rPr>
              <w:t>PVEM</w:t>
            </w:r>
          </w:p>
        </w:tc>
        <w:tc>
          <w:tcPr>
            <w:tcW w:w="3397" w:type="dxa"/>
            <w:shd w:val="clear" w:color="auto" w:fill="auto"/>
            <w:vAlign w:val="center"/>
          </w:tcPr>
          <w:p w14:paraId="5B3B3E19" w14:textId="77777777" w:rsidR="00A06BD7" w:rsidRPr="00F32542" w:rsidRDefault="00A06BD7" w:rsidP="00A06BD7">
            <w:pPr>
              <w:spacing w:after="0" w:line="360" w:lineRule="auto"/>
              <w:jc w:val="center"/>
              <w:rPr>
                <w:rFonts w:ascii="Arial" w:eastAsia="Calibri" w:hAnsi="Arial" w:cs="Arial"/>
                <w:color w:val="000000" w:themeColor="text1"/>
                <w:sz w:val="24"/>
                <w:szCs w:val="24"/>
              </w:rPr>
            </w:pPr>
            <w:r w:rsidRPr="00F32542">
              <w:rPr>
                <w:rFonts w:ascii="Arial" w:hAnsi="Arial" w:cs="Arial"/>
                <w:sz w:val="24"/>
                <w:szCs w:val="24"/>
              </w:rPr>
              <w:t>125,296</w:t>
            </w:r>
          </w:p>
        </w:tc>
      </w:tr>
      <w:tr w:rsidR="00A06BD7" w:rsidRPr="00F32542" w14:paraId="5FA5DB84" w14:textId="77777777" w:rsidTr="00B65D24">
        <w:trPr>
          <w:trHeight w:val="551"/>
          <w:jc w:val="center"/>
        </w:trPr>
        <w:tc>
          <w:tcPr>
            <w:tcW w:w="3124" w:type="dxa"/>
            <w:vAlign w:val="center"/>
          </w:tcPr>
          <w:p w14:paraId="0921FD9D" w14:textId="77777777" w:rsidR="00A06BD7" w:rsidRPr="00F32542" w:rsidRDefault="00A06BD7" w:rsidP="00A06BD7">
            <w:pPr>
              <w:spacing w:after="0" w:line="240" w:lineRule="auto"/>
              <w:jc w:val="center"/>
              <w:rPr>
                <w:rFonts w:ascii="Arial" w:eastAsia="Calibri" w:hAnsi="Arial" w:cs="Arial"/>
                <w:color w:val="000000" w:themeColor="text1"/>
                <w:sz w:val="24"/>
                <w:szCs w:val="24"/>
              </w:rPr>
            </w:pPr>
            <w:r w:rsidRPr="00F32542">
              <w:rPr>
                <w:rFonts w:ascii="Arial" w:eastAsia="Calibri" w:hAnsi="Arial" w:cs="Arial"/>
                <w:color w:val="000000" w:themeColor="text1"/>
                <w:sz w:val="24"/>
                <w:szCs w:val="24"/>
              </w:rPr>
              <w:t>PT</w:t>
            </w:r>
          </w:p>
        </w:tc>
        <w:tc>
          <w:tcPr>
            <w:tcW w:w="3397" w:type="dxa"/>
            <w:shd w:val="clear" w:color="auto" w:fill="auto"/>
            <w:vAlign w:val="center"/>
          </w:tcPr>
          <w:p w14:paraId="780B2C0D" w14:textId="77777777" w:rsidR="00A06BD7" w:rsidRPr="00F32542" w:rsidRDefault="00A06BD7" w:rsidP="00A06BD7">
            <w:pPr>
              <w:spacing w:after="0" w:line="360" w:lineRule="auto"/>
              <w:jc w:val="center"/>
              <w:rPr>
                <w:rFonts w:ascii="Arial" w:eastAsia="Calibri" w:hAnsi="Arial" w:cs="Arial"/>
                <w:color w:val="000000" w:themeColor="text1"/>
                <w:sz w:val="24"/>
                <w:szCs w:val="24"/>
              </w:rPr>
            </w:pPr>
            <w:r w:rsidRPr="00F32542">
              <w:rPr>
                <w:rFonts w:ascii="Arial" w:hAnsi="Arial" w:cs="Arial"/>
                <w:sz w:val="24"/>
                <w:szCs w:val="24"/>
              </w:rPr>
              <w:t>85,794</w:t>
            </w:r>
          </w:p>
        </w:tc>
      </w:tr>
      <w:tr w:rsidR="00A06BD7" w:rsidRPr="00F32542" w14:paraId="0A35E9DE" w14:textId="77777777" w:rsidTr="00B65D24">
        <w:trPr>
          <w:trHeight w:val="559"/>
          <w:jc w:val="center"/>
        </w:trPr>
        <w:tc>
          <w:tcPr>
            <w:tcW w:w="3124" w:type="dxa"/>
            <w:vAlign w:val="center"/>
          </w:tcPr>
          <w:p w14:paraId="78E34D43" w14:textId="77777777" w:rsidR="00A06BD7" w:rsidRPr="00F32542" w:rsidRDefault="00A06BD7" w:rsidP="00A06BD7">
            <w:pPr>
              <w:spacing w:after="0" w:line="240" w:lineRule="auto"/>
              <w:jc w:val="center"/>
              <w:rPr>
                <w:rFonts w:ascii="Arial" w:eastAsia="Calibri" w:hAnsi="Arial" w:cs="Arial"/>
                <w:color w:val="000000" w:themeColor="text1"/>
                <w:sz w:val="24"/>
                <w:szCs w:val="24"/>
              </w:rPr>
            </w:pPr>
            <w:r w:rsidRPr="00F32542">
              <w:rPr>
                <w:rFonts w:ascii="Arial" w:eastAsia="Calibri" w:hAnsi="Arial" w:cs="Arial"/>
                <w:color w:val="000000" w:themeColor="text1"/>
                <w:sz w:val="24"/>
                <w:szCs w:val="24"/>
              </w:rPr>
              <w:t>MC</w:t>
            </w:r>
          </w:p>
        </w:tc>
        <w:tc>
          <w:tcPr>
            <w:tcW w:w="3397" w:type="dxa"/>
            <w:shd w:val="clear" w:color="auto" w:fill="auto"/>
            <w:vAlign w:val="center"/>
          </w:tcPr>
          <w:p w14:paraId="4317FC46" w14:textId="77777777" w:rsidR="00A06BD7" w:rsidRPr="00F32542" w:rsidRDefault="00A06BD7" w:rsidP="00A06BD7">
            <w:pPr>
              <w:spacing w:after="0" w:line="360" w:lineRule="auto"/>
              <w:jc w:val="center"/>
              <w:rPr>
                <w:rFonts w:ascii="Arial" w:eastAsia="Calibri" w:hAnsi="Arial" w:cs="Arial"/>
                <w:color w:val="000000" w:themeColor="text1"/>
                <w:sz w:val="24"/>
                <w:szCs w:val="24"/>
              </w:rPr>
            </w:pPr>
            <w:r w:rsidRPr="00F32542">
              <w:rPr>
                <w:rFonts w:ascii="Arial" w:hAnsi="Arial" w:cs="Arial"/>
                <w:sz w:val="24"/>
                <w:szCs w:val="24"/>
              </w:rPr>
              <w:t>140,324</w:t>
            </w:r>
          </w:p>
        </w:tc>
      </w:tr>
      <w:tr w:rsidR="00A06BD7" w:rsidRPr="00F32542" w14:paraId="52E325CA" w14:textId="77777777" w:rsidTr="00B65D24">
        <w:trPr>
          <w:trHeight w:val="553"/>
          <w:jc w:val="center"/>
        </w:trPr>
        <w:tc>
          <w:tcPr>
            <w:tcW w:w="3124" w:type="dxa"/>
            <w:vAlign w:val="center"/>
          </w:tcPr>
          <w:p w14:paraId="5159945B" w14:textId="77777777" w:rsidR="00A06BD7" w:rsidRPr="00F32542" w:rsidRDefault="00A06BD7" w:rsidP="00A06BD7">
            <w:pPr>
              <w:spacing w:after="0" w:line="240" w:lineRule="auto"/>
              <w:jc w:val="center"/>
              <w:rPr>
                <w:rFonts w:ascii="Arial" w:eastAsia="Calibri" w:hAnsi="Arial" w:cs="Arial"/>
                <w:color w:val="000000" w:themeColor="text1"/>
                <w:sz w:val="24"/>
                <w:szCs w:val="24"/>
              </w:rPr>
            </w:pPr>
            <w:r w:rsidRPr="00F32542">
              <w:rPr>
                <w:rFonts w:ascii="Arial" w:eastAsia="Calibri" w:hAnsi="Arial" w:cs="Arial"/>
                <w:color w:val="000000" w:themeColor="text1"/>
                <w:sz w:val="24"/>
                <w:szCs w:val="24"/>
              </w:rPr>
              <w:t>MORENA</w:t>
            </w:r>
          </w:p>
        </w:tc>
        <w:tc>
          <w:tcPr>
            <w:tcW w:w="3397" w:type="dxa"/>
            <w:shd w:val="clear" w:color="auto" w:fill="auto"/>
            <w:vAlign w:val="center"/>
          </w:tcPr>
          <w:p w14:paraId="749D556D" w14:textId="77777777" w:rsidR="00A06BD7" w:rsidRPr="00F32542" w:rsidRDefault="00A06BD7" w:rsidP="00A06BD7">
            <w:pPr>
              <w:spacing w:after="0" w:line="360" w:lineRule="auto"/>
              <w:jc w:val="center"/>
              <w:rPr>
                <w:rFonts w:ascii="Arial" w:eastAsia="Calibri" w:hAnsi="Arial" w:cs="Arial"/>
                <w:color w:val="000000" w:themeColor="text1"/>
                <w:sz w:val="24"/>
                <w:szCs w:val="24"/>
              </w:rPr>
            </w:pPr>
            <w:r w:rsidRPr="00F32542">
              <w:rPr>
                <w:rFonts w:ascii="Arial" w:hAnsi="Arial" w:cs="Arial"/>
                <w:sz w:val="24"/>
                <w:szCs w:val="24"/>
              </w:rPr>
              <w:t>1,513,325</w:t>
            </w:r>
          </w:p>
        </w:tc>
      </w:tr>
      <w:tr w:rsidR="00A06BD7" w:rsidRPr="00F32542" w14:paraId="51B957BA" w14:textId="77777777" w:rsidTr="00B65D24">
        <w:trPr>
          <w:trHeight w:val="546"/>
          <w:jc w:val="center"/>
        </w:trPr>
        <w:tc>
          <w:tcPr>
            <w:tcW w:w="3124" w:type="dxa"/>
            <w:vAlign w:val="center"/>
          </w:tcPr>
          <w:p w14:paraId="6F2DA580" w14:textId="77777777" w:rsidR="00A06BD7" w:rsidRPr="00F32542" w:rsidRDefault="00A06BD7" w:rsidP="00A06BD7">
            <w:pPr>
              <w:spacing w:after="0" w:line="240" w:lineRule="auto"/>
              <w:jc w:val="center"/>
              <w:rPr>
                <w:rFonts w:ascii="Arial" w:eastAsia="Calibri" w:hAnsi="Arial" w:cs="Arial"/>
                <w:color w:val="000000" w:themeColor="text1"/>
                <w:sz w:val="24"/>
                <w:szCs w:val="24"/>
              </w:rPr>
            </w:pPr>
            <w:r w:rsidRPr="00F32542">
              <w:rPr>
                <w:rFonts w:ascii="Arial" w:eastAsia="Calibri" w:hAnsi="Arial" w:cs="Arial"/>
                <w:color w:val="000000" w:themeColor="text1"/>
                <w:sz w:val="24"/>
                <w:szCs w:val="24"/>
              </w:rPr>
              <w:t>ELIGE</w:t>
            </w:r>
          </w:p>
        </w:tc>
        <w:tc>
          <w:tcPr>
            <w:tcW w:w="3397" w:type="dxa"/>
            <w:shd w:val="clear" w:color="auto" w:fill="auto"/>
            <w:vAlign w:val="center"/>
          </w:tcPr>
          <w:p w14:paraId="453307A6" w14:textId="77777777" w:rsidR="00A06BD7" w:rsidRPr="00F32542" w:rsidRDefault="00A06BD7" w:rsidP="00A06BD7">
            <w:pPr>
              <w:spacing w:after="0" w:line="360" w:lineRule="auto"/>
              <w:jc w:val="center"/>
              <w:rPr>
                <w:rFonts w:ascii="Arial" w:eastAsia="Calibri" w:hAnsi="Arial" w:cs="Arial"/>
                <w:color w:val="000000" w:themeColor="text1"/>
                <w:sz w:val="24"/>
                <w:szCs w:val="24"/>
              </w:rPr>
            </w:pPr>
            <w:r w:rsidRPr="00F32542">
              <w:rPr>
                <w:rFonts w:ascii="Arial" w:hAnsi="Arial" w:cs="Arial"/>
                <w:sz w:val="24"/>
                <w:szCs w:val="24"/>
              </w:rPr>
              <w:t>33,543</w:t>
            </w:r>
          </w:p>
        </w:tc>
      </w:tr>
      <w:tr w:rsidR="00A06BD7" w:rsidRPr="00F32542" w14:paraId="183D2F9D" w14:textId="77777777" w:rsidTr="00B65D24">
        <w:trPr>
          <w:trHeight w:val="569"/>
          <w:jc w:val="center"/>
        </w:trPr>
        <w:tc>
          <w:tcPr>
            <w:tcW w:w="3124" w:type="dxa"/>
            <w:vAlign w:val="center"/>
          </w:tcPr>
          <w:p w14:paraId="4E674E0A" w14:textId="77777777" w:rsidR="00A06BD7" w:rsidRPr="00F32542" w:rsidRDefault="00A06BD7" w:rsidP="00A06BD7">
            <w:pPr>
              <w:spacing w:after="0" w:line="240" w:lineRule="auto"/>
              <w:jc w:val="center"/>
              <w:rPr>
                <w:rFonts w:ascii="Arial" w:eastAsia="Calibri" w:hAnsi="Arial" w:cs="Arial"/>
                <w:color w:val="000000" w:themeColor="text1"/>
                <w:sz w:val="24"/>
                <w:szCs w:val="24"/>
              </w:rPr>
            </w:pPr>
            <w:r w:rsidRPr="00F32542">
              <w:rPr>
                <w:rFonts w:ascii="Arial" w:eastAsia="Calibri" w:hAnsi="Arial" w:cs="Arial"/>
                <w:color w:val="000000" w:themeColor="text1"/>
                <w:sz w:val="24"/>
                <w:szCs w:val="24"/>
              </w:rPr>
              <w:t>PES</w:t>
            </w:r>
          </w:p>
        </w:tc>
        <w:tc>
          <w:tcPr>
            <w:tcW w:w="3397" w:type="dxa"/>
            <w:shd w:val="clear" w:color="auto" w:fill="auto"/>
            <w:vAlign w:val="center"/>
          </w:tcPr>
          <w:p w14:paraId="6C29BCCF" w14:textId="77777777" w:rsidR="00A06BD7" w:rsidRPr="00F32542" w:rsidRDefault="00A06BD7" w:rsidP="00A06BD7">
            <w:pPr>
              <w:spacing w:after="0" w:line="360" w:lineRule="auto"/>
              <w:jc w:val="center"/>
              <w:rPr>
                <w:rFonts w:ascii="Arial" w:eastAsia="Calibri" w:hAnsi="Arial" w:cs="Arial"/>
                <w:color w:val="000000" w:themeColor="text1"/>
                <w:sz w:val="24"/>
                <w:szCs w:val="24"/>
              </w:rPr>
            </w:pPr>
            <w:r w:rsidRPr="00F32542">
              <w:rPr>
                <w:rFonts w:ascii="Arial" w:hAnsi="Arial" w:cs="Arial"/>
                <w:sz w:val="24"/>
                <w:szCs w:val="24"/>
              </w:rPr>
              <w:t>72,606</w:t>
            </w:r>
          </w:p>
        </w:tc>
      </w:tr>
      <w:tr w:rsidR="00A06BD7" w:rsidRPr="00F32542" w14:paraId="536BFF50" w14:textId="77777777" w:rsidTr="00B65D24">
        <w:trPr>
          <w:trHeight w:val="563"/>
          <w:jc w:val="center"/>
        </w:trPr>
        <w:tc>
          <w:tcPr>
            <w:tcW w:w="3124" w:type="dxa"/>
            <w:vAlign w:val="center"/>
          </w:tcPr>
          <w:p w14:paraId="7E58486A" w14:textId="77777777" w:rsidR="00A06BD7" w:rsidRPr="00F32542" w:rsidRDefault="00A06BD7" w:rsidP="00A06BD7">
            <w:pPr>
              <w:spacing w:after="0" w:line="240" w:lineRule="auto"/>
              <w:jc w:val="center"/>
              <w:rPr>
                <w:rFonts w:ascii="Arial" w:eastAsia="Calibri" w:hAnsi="Arial" w:cs="Arial"/>
                <w:color w:val="000000" w:themeColor="text1"/>
                <w:sz w:val="24"/>
                <w:szCs w:val="24"/>
              </w:rPr>
            </w:pPr>
            <w:r w:rsidRPr="00F32542">
              <w:rPr>
                <w:rFonts w:ascii="Arial" w:eastAsia="Calibri" w:hAnsi="Arial" w:cs="Arial"/>
                <w:color w:val="000000" w:themeColor="text1"/>
                <w:sz w:val="24"/>
                <w:szCs w:val="24"/>
              </w:rPr>
              <w:t>RSP</w:t>
            </w:r>
          </w:p>
        </w:tc>
        <w:tc>
          <w:tcPr>
            <w:tcW w:w="3397" w:type="dxa"/>
            <w:shd w:val="clear" w:color="auto" w:fill="auto"/>
            <w:vAlign w:val="center"/>
          </w:tcPr>
          <w:p w14:paraId="1BDEF50F" w14:textId="77777777" w:rsidR="00A06BD7" w:rsidRPr="00F32542" w:rsidRDefault="00A06BD7" w:rsidP="00A06BD7">
            <w:pPr>
              <w:spacing w:after="0" w:line="360" w:lineRule="auto"/>
              <w:jc w:val="center"/>
              <w:rPr>
                <w:rFonts w:ascii="Arial" w:eastAsia="Calibri" w:hAnsi="Arial" w:cs="Arial"/>
                <w:color w:val="000000" w:themeColor="text1"/>
                <w:sz w:val="24"/>
                <w:szCs w:val="24"/>
              </w:rPr>
            </w:pPr>
            <w:r w:rsidRPr="00F32542">
              <w:rPr>
                <w:rFonts w:ascii="Arial" w:hAnsi="Arial" w:cs="Arial"/>
                <w:sz w:val="24"/>
                <w:szCs w:val="24"/>
              </w:rPr>
              <w:t>29,536</w:t>
            </w:r>
          </w:p>
        </w:tc>
      </w:tr>
      <w:tr w:rsidR="00A06BD7" w:rsidRPr="00F32542" w14:paraId="6B80C61F" w14:textId="77777777" w:rsidTr="00B65D24">
        <w:trPr>
          <w:trHeight w:val="556"/>
          <w:jc w:val="center"/>
        </w:trPr>
        <w:tc>
          <w:tcPr>
            <w:tcW w:w="3124" w:type="dxa"/>
            <w:vAlign w:val="center"/>
          </w:tcPr>
          <w:p w14:paraId="712E891C" w14:textId="77777777" w:rsidR="00A06BD7" w:rsidRPr="00F32542" w:rsidRDefault="00A06BD7" w:rsidP="00A06BD7">
            <w:pPr>
              <w:spacing w:after="0" w:line="240" w:lineRule="auto"/>
              <w:jc w:val="center"/>
              <w:rPr>
                <w:rFonts w:ascii="Arial" w:eastAsia="Calibri" w:hAnsi="Arial" w:cs="Arial"/>
                <w:color w:val="000000" w:themeColor="text1"/>
                <w:sz w:val="24"/>
                <w:szCs w:val="24"/>
              </w:rPr>
            </w:pPr>
            <w:proofErr w:type="spellStart"/>
            <w:r w:rsidRPr="00F32542">
              <w:rPr>
                <w:rFonts w:ascii="Arial" w:eastAsia="Calibri" w:hAnsi="Arial" w:cs="Arial"/>
                <w:color w:val="000000" w:themeColor="text1"/>
                <w:sz w:val="24"/>
                <w:szCs w:val="24"/>
              </w:rPr>
              <w:t>FxM</w:t>
            </w:r>
            <w:proofErr w:type="spellEnd"/>
          </w:p>
        </w:tc>
        <w:tc>
          <w:tcPr>
            <w:tcW w:w="3397" w:type="dxa"/>
            <w:shd w:val="clear" w:color="auto" w:fill="auto"/>
            <w:vAlign w:val="center"/>
          </w:tcPr>
          <w:p w14:paraId="214EEA57" w14:textId="77777777" w:rsidR="00A06BD7" w:rsidRPr="00F32542" w:rsidRDefault="00A06BD7" w:rsidP="00A06BD7">
            <w:pPr>
              <w:spacing w:after="0" w:line="360" w:lineRule="auto"/>
              <w:jc w:val="center"/>
              <w:rPr>
                <w:rFonts w:ascii="Arial" w:eastAsia="Calibri" w:hAnsi="Arial" w:cs="Arial"/>
                <w:color w:val="000000" w:themeColor="text1"/>
                <w:sz w:val="24"/>
                <w:szCs w:val="24"/>
              </w:rPr>
            </w:pPr>
            <w:r w:rsidRPr="00F32542">
              <w:rPr>
                <w:rFonts w:ascii="Arial" w:hAnsi="Arial" w:cs="Arial"/>
                <w:sz w:val="24"/>
                <w:szCs w:val="24"/>
              </w:rPr>
              <w:t>79,947</w:t>
            </w:r>
          </w:p>
        </w:tc>
      </w:tr>
      <w:tr w:rsidR="00A06BD7" w:rsidRPr="00F32542" w14:paraId="354DD212" w14:textId="77777777" w:rsidTr="00B65D24">
        <w:trPr>
          <w:trHeight w:val="550"/>
          <w:jc w:val="center"/>
        </w:trPr>
        <w:tc>
          <w:tcPr>
            <w:tcW w:w="3124" w:type="dxa"/>
            <w:vAlign w:val="center"/>
          </w:tcPr>
          <w:p w14:paraId="463D8E25" w14:textId="77777777" w:rsidR="00A06BD7" w:rsidRPr="00F32542" w:rsidRDefault="00A06BD7" w:rsidP="00A06BD7">
            <w:pPr>
              <w:spacing w:after="0" w:line="240" w:lineRule="auto"/>
              <w:jc w:val="center"/>
              <w:rPr>
                <w:rFonts w:ascii="Arial" w:eastAsia="Calibri" w:hAnsi="Arial" w:cs="Arial"/>
                <w:color w:val="000000" w:themeColor="text1"/>
                <w:sz w:val="24"/>
                <w:szCs w:val="24"/>
              </w:rPr>
            </w:pPr>
            <w:r w:rsidRPr="00F32542">
              <w:rPr>
                <w:rFonts w:ascii="Arial" w:eastAsia="Calibri" w:hAnsi="Arial" w:cs="Arial"/>
                <w:color w:val="000000" w:themeColor="text1"/>
                <w:sz w:val="24"/>
                <w:szCs w:val="24"/>
              </w:rPr>
              <w:t>Candidaturas sin partido</w:t>
            </w:r>
          </w:p>
        </w:tc>
        <w:tc>
          <w:tcPr>
            <w:tcW w:w="3397" w:type="dxa"/>
            <w:shd w:val="clear" w:color="auto" w:fill="auto"/>
            <w:vAlign w:val="center"/>
          </w:tcPr>
          <w:p w14:paraId="4282F716" w14:textId="77777777" w:rsidR="00A06BD7" w:rsidRPr="00F32542" w:rsidRDefault="00A06BD7" w:rsidP="00A06BD7">
            <w:pPr>
              <w:spacing w:after="0" w:line="360" w:lineRule="auto"/>
              <w:jc w:val="center"/>
              <w:rPr>
                <w:rFonts w:ascii="Arial" w:eastAsia="Calibri" w:hAnsi="Arial" w:cs="Arial"/>
                <w:color w:val="000000" w:themeColor="text1"/>
                <w:sz w:val="24"/>
                <w:szCs w:val="24"/>
              </w:rPr>
            </w:pPr>
            <w:r w:rsidRPr="00F32542">
              <w:rPr>
                <w:rFonts w:ascii="Arial" w:hAnsi="Arial" w:cs="Arial"/>
                <w:sz w:val="24"/>
                <w:szCs w:val="24"/>
              </w:rPr>
              <w:t>12,978</w:t>
            </w:r>
          </w:p>
        </w:tc>
      </w:tr>
      <w:tr w:rsidR="00A06BD7" w:rsidRPr="00F32542" w14:paraId="7A2E4FD0" w14:textId="77777777" w:rsidTr="00B65D24">
        <w:trPr>
          <w:trHeight w:val="573"/>
          <w:jc w:val="center"/>
        </w:trPr>
        <w:tc>
          <w:tcPr>
            <w:tcW w:w="3124" w:type="dxa"/>
            <w:vAlign w:val="center"/>
          </w:tcPr>
          <w:p w14:paraId="0580D688" w14:textId="77777777" w:rsidR="00A06BD7" w:rsidRPr="00F32542" w:rsidRDefault="00A06BD7" w:rsidP="00A06BD7">
            <w:pPr>
              <w:spacing w:after="0" w:line="240" w:lineRule="auto"/>
              <w:jc w:val="center"/>
              <w:rPr>
                <w:rFonts w:ascii="Arial" w:eastAsia="Calibri" w:hAnsi="Arial" w:cs="Arial"/>
                <w:color w:val="000000" w:themeColor="text1"/>
                <w:sz w:val="24"/>
                <w:szCs w:val="24"/>
              </w:rPr>
            </w:pPr>
            <w:r w:rsidRPr="00F32542">
              <w:rPr>
                <w:rFonts w:ascii="Arial" w:eastAsia="Calibri" w:hAnsi="Arial" w:cs="Arial"/>
                <w:color w:val="000000" w:themeColor="text1"/>
                <w:sz w:val="24"/>
                <w:szCs w:val="24"/>
              </w:rPr>
              <w:t>Candidaturas no registradas</w:t>
            </w:r>
          </w:p>
        </w:tc>
        <w:tc>
          <w:tcPr>
            <w:tcW w:w="3397" w:type="dxa"/>
            <w:shd w:val="clear" w:color="auto" w:fill="auto"/>
            <w:vAlign w:val="center"/>
          </w:tcPr>
          <w:p w14:paraId="3AB2D8A7" w14:textId="77777777" w:rsidR="00A06BD7" w:rsidRPr="00F32542" w:rsidRDefault="00A06BD7" w:rsidP="00A06BD7">
            <w:pPr>
              <w:spacing w:after="0" w:line="360" w:lineRule="auto"/>
              <w:jc w:val="center"/>
              <w:rPr>
                <w:rFonts w:ascii="Arial" w:eastAsia="Calibri" w:hAnsi="Arial" w:cs="Arial"/>
                <w:color w:val="000000" w:themeColor="text1"/>
                <w:sz w:val="24"/>
                <w:szCs w:val="24"/>
              </w:rPr>
            </w:pPr>
            <w:r w:rsidRPr="00F32542">
              <w:rPr>
                <w:rFonts w:ascii="Arial" w:hAnsi="Arial" w:cs="Arial"/>
                <w:sz w:val="24"/>
                <w:szCs w:val="24"/>
              </w:rPr>
              <w:t>5,926</w:t>
            </w:r>
          </w:p>
        </w:tc>
      </w:tr>
      <w:tr w:rsidR="00A06BD7" w:rsidRPr="00F32542" w14:paraId="7AD1EE5B" w14:textId="77777777" w:rsidTr="00B65D24">
        <w:trPr>
          <w:trHeight w:val="552"/>
          <w:jc w:val="center"/>
        </w:trPr>
        <w:tc>
          <w:tcPr>
            <w:tcW w:w="3124" w:type="dxa"/>
            <w:vAlign w:val="center"/>
          </w:tcPr>
          <w:p w14:paraId="5DB8D3E6" w14:textId="77777777" w:rsidR="00A06BD7" w:rsidRPr="00F32542" w:rsidRDefault="00A06BD7" w:rsidP="00A06BD7">
            <w:pPr>
              <w:spacing w:after="0" w:line="240" w:lineRule="auto"/>
              <w:jc w:val="center"/>
              <w:rPr>
                <w:rFonts w:ascii="Arial" w:eastAsia="Calibri" w:hAnsi="Arial" w:cs="Arial"/>
                <w:color w:val="000000" w:themeColor="text1"/>
                <w:sz w:val="24"/>
                <w:szCs w:val="24"/>
              </w:rPr>
            </w:pPr>
            <w:r w:rsidRPr="00F32542">
              <w:rPr>
                <w:rFonts w:ascii="Arial" w:eastAsia="Calibri" w:hAnsi="Arial" w:cs="Arial"/>
                <w:color w:val="000000" w:themeColor="text1"/>
                <w:sz w:val="24"/>
                <w:szCs w:val="24"/>
              </w:rPr>
              <w:t>Votos nulos</w:t>
            </w:r>
          </w:p>
        </w:tc>
        <w:tc>
          <w:tcPr>
            <w:tcW w:w="3397" w:type="dxa"/>
            <w:shd w:val="clear" w:color="auto" w:fill="auto"/>
            <w:vAlign w:val="center"/>
          </w:tcPr>
          <w:p w14:paraId="16A609C8" w14:textId="77777777" w:rsidR="00A06BD7" w:rsidRPr="00F32542" w:rsidRDefault="00A06BD7" w:rsidP="00A06BD7">
            <w:pPr>
              <w:spacing w:after="0" w:line="360" w:lineRule="auto"/>
              <w:jc w:val="center"/>
              <w:rPr>
                <w:rFonts w:ascii="Arial" w:eastAsia="Calibri" w:hAnsi="Arial" w:cs="Arial"/>
                <w:color w:val="000000" w:themeColor="text1"/>
                <w:sz w:val="24"/>
                <w:szCs w:val="24"/>
              </w:rPr>
            </w:pPr>
            <w:r w:rsidRPr="00F32542">
              <w:rPr>
                <w:rFonts w:ascii="Arial" w:hAnsi="Arial" w:cs="Arial"/>
                <w:sz w:val="24"/>
                <w:szCs w:val="24"/>
              </w:rPr>
              <w:t>124,124</w:t>
            </w:r>
          </w:p>
        </w:tc>
      </w:tr>
      <w:tr w:rsidR="00A06BD7" w:rsidRPr="00F32542" w14:paraId="1DAAC9A3" w14:textId="77777777" w:rsidTr="00B65D24">
        <w:trPr>
          <w:trHeight w:val="498"/>
          <w:jc w:val="center"/>
        </w:trPr>
        <w:tc>
          <w:tcPr>
            <w:tcW w:w="3124" w:type="dxa"/>
            <w:vAlign w:val="center"/>
          </w:tcPr>
          <w:p w14:paraId="62B21BCF" w14:textId="77777777" w:rsidR="00A06BD7" w:rsidRPr="00F32542" w:rsidRDefault="00A06BD7" w:rsidP="00A06BD7">
            <w:pPr>
              <w:spacing w:after="0" w:line="240" w:lineRule="auto"/>
              <w:jc w:val="center"/>
              <w:rPr>
                <w:rFonts w:ascii="Arial" w:eastAsia="Calibri" w:hAnsi="Arial" w:cs="Arial"/>
                <w:b/>
                <w:color w:val="000000" w:themeColor="text1"/>
                <w:sz w:val="24"/>
                <w:szCs w:val="24"/>
              </w:rPr>
            </w:pPr>
            <w:r w:rsidRPr="00F32542">
              <w:rPr>
                <w:rFonts w:ascii="Arial" w:eastAsia="Calibri" w:hAnsi="Arial" w:cs="Arial"/>
                <w:b/>
                <w:color w:val="000000" w:themeColor="text1"/>
                <w:sz w:val="24"/>
                <w:szCs w:val="24"/>
              </w:rPr>
              <w:t>Votación total emitida</w:t>
            </w:r>
          </w:p>
        </w:tc>
        <w:tc>
          <w:tcPr>
            <w:tcW w:w="3397" w:type="dxa"/>
            <w:shd w:val="clear" w:color="auto" w:fill="auto"/>
            <w:vAlign w:val="center"/>
          </w:tcPr>
          <w:p w14:paraId="65E1ACB0" w14:textId="77777777" w:rsidR="00A06BD7" w:rsidRPr="00F32542" w:rsidRDefault="00A06BD7" w:rsidP="00A06BD7">
            <w:pPr>
              <w:spacing w:after="0" w:line="360" w:lineRule="auto"/>
              <w:jc w:val="center"/>
              <w:rPr>
                <w:rFonts w:ascii="Arial" w:eastAsia="Calibri" w:hAnsi="Arial" w:cs="Arial"/>
                <w:b/>
                <w:color w:val="000000" w:themeColor="text1"/>
                <w:sz w:val="24"/>
                <w:szCs w:val="24"/>
              </w:rPr>
            </w:pPr>
            <w:r w:rsidRPr="00F32542">
              <w:rPr>
                <w:rFonts w:ascii="Arial" w:hAnsi="Arial" w:cs="Arial"/>
                <w:sz w:val="24"/>
                <w:szCs w:val="24"/>
              </w:rPr>
              <w:t>4,046,586</w:t>
            </w:r>
          </w:p>
        </w:tc>
      </w:tr>
    </w:tbl>
    <w:p w14:paraId="3C0622B2" w14:textId="77777777" w:rsidR="00F57B54" w:rsidRPr="00F32542" w:rsidRDefault="00F57B54" w:rsidP="00F57B54">
      <w:pPr>
        <w:spacing w:after="0" w:line="360" w:lineRule="auto"/>
        <w:contextualSpacing/>
        <w:jc w:val="both"/>
        <w:rPr>
          <w:rFonts w:ascii="Arial" w:eastAsia="Calibri" w:hAnsi="Arial" w:cs="Arial"/>
          <w:color w:val="000000" w:themeColor="text1"/>
          <w:spacing w:val="4"/>
          <w:sz w:val="28"/>
        </w:rPr>
      </w:pPr>
    </w:p>
    <w:p w14:paraId="526DCE25" w14:textId="77777777" w:rsidR="00F57B54" w:rsidRPr="00F32542" w:rsidRDefault="00F57B54" w:rsidP="00F57B54">
      <w:pPr>
        <w:spacing w:after="0" w:line="360" w:lineRule="auto"/>
        <w:contextualSpacing/>
        <w:jc w:val="both"/>
        <w:rPr>
          <w:rFonts w:ascii="Arial" w:eastAsia="Calibri" w:hAnsi="Arial" w:cs="Arial"/>
          <w:spacing w:val="4"/>
          <w:sz w:val="28"/>
        </w:rPr>
      </w:pPr>
    </w:p>
    <w:p w14:paraId="598A4638" w14:textId="77777777" w:rsidR="00DD5C03" w:rsidRPr="00F32542" w:rsidRDefault="00DD5C03" w:rsidP="00F57B54">
      <w:pPr>
        <w:spacing w:after="0" w:line="360" w:lineRule="auto"/>
        <w:contextualSpacing/>
        <w:jc w:val="both"/>
        <w:rPr>
          <w:rFonts w:ascii="Arial" w:eastAsia="Calibri" w:hAnsi="Arial" w:cs="Arial"/>
          <w:spacing w:val="4"/>
          <w:sz w:val="28"/>
        </w:rPr>
      </w:pPr>
    </w:p>
    <w:p w14:paraId="28B4B7F3" w14:textId="77777777" w:rsidR="00DD5C03" w:rsidRPr="00F32542" w:rsidRDefault="00DD5C03" w:rsidP="00F57B54">
      <w:pPr>
        <w:spacing w:after="0" w:line="360" w:lineRule="auto"/>
        <w:contextualSpacing/>
        <w:jc w:val="both"/>
        <w:rPr>
          <w:rFonts w:ascii="Arial" w:eastAsia="Calibri" w:hAnsi="Arial" w:cs="Arial"/>
          <w:spacing w:val="4"/>
          <w:sz w:val="28"/>
        </w:rPr>
      </w:pPr>
    </w:p>
    <w:p w14:paraId="3801A471" w14:textId="77777777" w:rsidR="00DD5C03" w:rsidRPr="00F32542" w:rsidRDefault="00DD5C03" w:rsidP="00F57B54">
      <w:pPr>
        <w:spacing w:after="0" w:line="360" w:lineRule="auto"/>
        <w:contextualSpacing/>
        <w:jc w:val="both"/>
        <w:rPr>
          <w:rFonts w:ascii="Arial" w:eastAsia="Calibri" w:hAnsi="Arial" w:cs="Arial"/>
          <w:spacing w:val="4"/>
          <w:sz w:val="28"/>
        </w:rPr>
      </w:pPr>
    </w:p>
    <w:p w14:paraId="320E619D" w14:textId="77777777" w:rsidR="00F57B54" w:rsidRPr="00F32542" w:rsidRDefault="00F57B54" w:rsidP="00F57B54">
      <w:pPr>
        <w:spacing w:after="0" w:line="360" w:lineRule="auto"/>
        <w:contextualSpacing/>
        <w:jc w:val="both"/>
        <w:rPr>
          <w:rFonts w:ascii="Arial" w:eastAsia="Calibri" w:hAnsi="Arial" w:cs="Arial"/>
          <w:b/>
          <w:spacing w:val="4"/>
          <w:sz w:val="28"/>
        </w:rPr>
      </w:pPr>
      <w:r w:rsidRPr="00F32542">
        <w:rPr>
          <w:rFonts w:ascii="Arial" w:eastAsia="Calibri" w:hAnsi="Arial" w:cs="Arial"/>
          <w:b/>
          <w:spacing w:val="4"/>
          <w:sz w:val="28"/>
        </w:rPr>
        <w:lastRenderedPageBreak/>
        <w:t>X</w:t>
      </w:r>
      <w:r w:rsidR="007576C0" w:rsidRPr="00F32542">
        <w:rPr>
          <w:rFonts w:ascii="Arial" w:eastAsia="Calibri" w:hAnsi="Arial" w:cs="Arial"/>
          <w:b/>
          <w:spacing w:val="4"/>
          <w:sz w:val="28"/>
        </w:rPr>
        <w:t>V</w:t>
      </w:r>
      <w:r w:rsidRPr="00F32542">
        <w:rPr>
          <w:rFonts w:ascii="Arial" w:eastAsia="Calibri" w:hAnsi="Arial" w:cs="Arial"/>
          <w:b/>
          <w:spacing w:val="4"/>
          <w:sz w:val="28"/>
        </w:rPr>
        <w:t>. Desarrollo de la fórmula de asignación de diputaciones por el principio de representación proporcional.</w:t>
      </w:r>
    </w:p>
    <w:p w14:paraId="6CC3805A" w14:textId="77777777" w:rsidR="00F57B54" w:rsidRPr="00F32542" w:rsidRDefault="00F57B54" w:rsidP="00F57B54">
      <w:pPr>
        <w:spacing w:after="0" w:line="360" w:lineRule="auto"/>
        <w:contextualSpacing/>
        <w:jc w:val="both"/>
        <w:rPr>
          <w:rFonts w:ascii="Arial" w:eastAsia="Calibri" w:hAnsi="Arial" w:cs="Arial"/>
          <w:spacing w:val="4"/>
          <w:sz w:val="28"/>
        </w:rPr>
      </w:pPr>
    </w:p>
    <w:p w14:paraId="231FDF01" w14:textId="77777777" w:rsidR="00F57B54" w:rsidRPr="00F32542" w:rsidRDefault="00F57B54" w:rsidP="00F57B54">
      <w:p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t>Ante la modificación del cómputo distrital, lo procedente ahora es desarrollar de nueva cuenta la fórmula de asignación de diputaciones de representación proporcional.</w:t>
      </w:r>
    </w:p>
    <w:p w14:paraId="18BAE8D5" w14:textId="77777777" w:rsidR="00F57B54" w:rsidRPr="00F32542" w:rsidRDefault="00F57B54" w:rsidP="00F57B54">
      <w:pPr>
        <w:spacing w:after="0" w:line="360" w:lineRule="auto"/>
        <w:contextualSpacing/>
        <w:jc w:val="both"/>
        <w:rPr>
          <w:rFonts w:ascii="Arial" w:eastAsia="Calibri" w:hAnsi="Arial" w:cs="Arial"/>
          <w:spacing w:val="4"/>
          <w:sz w:val="28"/>
        </w:rPr>
      </w:pPr>
    </w:p>
    <w:p w14:paraId="5582E116" w14:textId="77777777" w:rsidR="00F57B54" w:rsidRPr="00F32542" w:rsidRDefault="00F57B54" w:rsidP="00F57B54">
      <w:p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t xml:space="preserve">Para tal efecto, en primer lugar, es preciso destacar que en los presentes juicios electorales y de la ciudadanía acumulados no fue combatida, de manera específica, la fórmula de asignación de diputaciones de representación proporcional en los términos aplicados por el Consejo General. </w:t>
      </w:r>
    </w:p>
    <w:p w14:paraId="1901DB31" w14:textId="77777777" w:rsidR="00F57B54" w:rsidRPr="00F32542" w:rsidRDefault="00F57B54" w:rsidP="00F57B54">
      <w:pPr>
        <w:spacing w:after="0" w:line="360" w:lineRule="auto"/>
        <w:contextualSpacing/>
        <w:jc w:val="both"/>
        <w:rPr>
          <w:rFonts w:ascii="Arial" w:eastAsia="Calibri" w:hAnsi="Arial" w:cs="Arial"/>
          <w:spacing w:val="4"/>
          <w:sz w:val="28"/>
        </w:rPr>
      </w:pPr>
    </w:p>
    <w:p w14:paraId="7742A43D" w14:textId="77777777" w:rsidR="00F57B54" w:rsidRPr="00F32542" w:rsidRDefault="00F57B54" w:rsidP="00F57B54">
      <w:p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t xml:space="preserve">Por tanto, enseguida se seguirá el procedimiento que prevén los artículos </w:t>
      </w:r>
      <w:r w:rsidRPr="00F32542">
        <w:rPr>
          <w:rFonts w:ascii="Arial" w:eastAsia="Calibri" w:hAnsi="Arial" w:cs="Arial"/>
          <w:spacing w:val="4"/>
          <w:sz w:val="28"/>
          <w:szCs w:val="28"/>
          <w:lang w:val="es-ES"/>
        </w:rPr>
        <w:t xml:space="preserve">29, apartado B, numeral 2, de la </w:t>
      </w:r>
      <w:r w:rsidRPr="00F32542">
        <w:rPr>
          <w:rFonts w:ascii="Arial" w:eastAsia="Calibri" w:hAnsi="Arial" w:cs="Arial"/>
          <w:i/>
          <w:spacing w:val="4"/>
          <w:sz w:val="28"/>
          <w:szCs w:val="28"/>
          <w:lang w:val="es-ES"/>
        </w:rPr>
        <w:t>Constitución Local;</w:t>
      </w:r>
      <w:r w:rsidRPr="00F32542">
        <w:rPr>
          <w:rFonts w:ascii="Arial" w:eastAsia="Calibri" w:hAnsi="Arial" w:cs="Arial"/>
          <w:spacing w:val="4"/>
          <w:sz w:val="28"/>
        </w:rPr>
        <w:t xml:space="preserve"> 22, 23, 24, 26 y 27 del </w:t>
      </w:r>
      <w:r w:rsidRPr="00F32542">
        <w:rPr>
          <w:rFonts w:ascii="Arial" w:eastAsia="Calibri" w:hAnsi="Arial" w:cs="Arial"/>
          <w:i/>
          <w:spacing w:val="4"/>
          <w:sz w:val="28"/>
        </w:rPr>
        <w:t>Código Electoral,</w:t>
      </w:r>
      <w:r w:rsidRPr="00F32542">
        <w:rPr>
          <w:rFonts w:ascii="Arial" w:eastAsia="Calibri" w:hAnsi="Arial" w:cs="Arial"/>
          <w:spacing w:val="4"/>
          <w:sz w:val="28"/>
        </w:rPr>
        <w:t xml:space="preserve"> y 12 a 15 de los </w:t>
      </w:r>
      <w:r w:rsidRPr="00F32542">
        <w:rPr>
          <w:rFonts w:ascii="Arial" w:eastAsia="Calibri" w:hAnsi="Arial" w:cs="Arial"/>
          <w:i/>
          <w:spacing w:val="4"/>
          <w:sz w:val="28"/>
        </w:rPr>
        <w:t>Lineamientos para la asignación</w:t>
      </w:r>
      <w:r w:rsidRPr="00F32542">
        <w:rPr>
          <w:rFonts w:ascii="Arial" w:eastAsia="Calibri" w:hAnsi="Arial" w:cs="Arial"/>
          <w:spacing w:val="4"/>
          <w:sz w:val="28"/>
        </w:rPr>
        <w:t xml:space="preserve">. </w:t>
      </w:r>
    </w:p>
    <w:p w14:paraId="52A3B643" w14:textId="77777777" w:rsidR="00F57B54" w:rsidRPr="00F32542" w:rsidRDefault="00F57B54" w:rsidP="00F57B54">
      <w:pPr>
        <w:spacing w:after="0" w:line="360" w:lineRule="auto"/>
        <w:contextualSpacing/>
        <w:jc w:val="both"/>
        <w:rPr>
          <w:rFonts w:ascii="Arial" w:eastAsia="Calibri" w:hAnsi="Arial" w:cs="Arial"/>
          <w:spacing w:val="4"/>
          <w:sz w:val="28"/>
        </w:rPr>
      </w:pPr>
    </w:p>
    <w:p w14:paraId="6D941D27" w14:textId="77777777" w:rsidR="00F57B54" w:rsidRPr="00F32542" w:rsidRDefault="00F57B54" w:rsidP="00F57B54">
      <w:pPr>
        <w:spacing w:after="0" w:line="360" w:lineRule="auto"/>
        <w:contextualSpacing/>
        <w:jc w:val="both"/>
        <w:rPr>
          <w:rFonts w:ascii="Arial" w:eastAsia="Calibri" w:hAnsi="Arial" w:cs="Arial"/>
          <w:b/>
          <w:spacing w:val="4"/>
          <w:sz w:val="28"/>
        </w:rPr>
      </w:pPr>
      <w:r w:rsidRPr="00F32542">
        <w:rPr>
          <w:rFonts w:ascii="Arial" w:eastAsia="Calibri" w:hAnsi="Arial" w:cs="Arial"/>
          <w:b/>
          <w:spacing w:val="4"/>
          <w:sz w:val="28"/>
        </w:rPr>
        <w:t>Determinación de los partidos políticos con derecho a participar en la asignación, al alcanzar el tres por ciento (3%) de la votación válida emitida, independientemente de los triunfos de mayoría que hubiesen obtenido</w:t>
      </w:r>
      <w:r w:rsidRPr="00F32542">
        <w:rPr>
          <w:rFonts w:ascii="Arial" w:eastAsia="Calibri" w:hAnsi="Arial" w:cs="Arial"/>
          <w:b/>
          <w:spacing w:val="4"/>
          <w:sz w:val="28"/>
          <w:szCs w:val="28"/>
          <w:lang w:val="es-ES"/>
        </w:rPr>
        <w:t>.</w:t>
      </w:r>
    </w:p>
    <w:p w14:paraId="662F41D3" w14:textId="77777777" w:rsidR="00F57B54" w:rsidRPr="00F32542" w:rsidRDefault="00F57B54" w:rsidP="00F57B54">
      <w:pPr>
        <w:spacing w:after="0" w:line="360" w:lineRule="auto"/>
        <w:jc w:val="both"/>
        <w:rPr>
          <w:rFonts w:ascii="Arial" w:eastAsia="Calibri" w:hAnsi="Arial" w:cs="Arial"/>
          <w:spacing w:val="4"/>
          <w:sz w:val="28"/>
        </w:rPr>
      </w:pPr>
    </w:p>
    <w:p w14:paraId="3DFD21C8" w14:textId="77777777" w:rsidR="00F57B54" w:rsidRPr="00F32542" w:rsidRDefault="00F57B54" w:rsidP="00F57B54">
      <w:pPr>
        <w:spacing w:after="0" w:line="360" w:lineRule="auto"/>
        <w:jc w:val="both"/>
        <w:rPr>
          <w:rFonts w:ascii="Arial" w:eastAsia="Calibri" w:hAnsi="Arial" w:cs="Arial"/>
          <w:spacing w:val="4"/>
          <w:sz w:val="28"/>
        </w:rPr>
      </w:pPr>
      <w:r w:rsidRPr="00F32542">
        <w:rPr>
          <w:rFonts w:ascii="Arial" w:eastAsia="Calibri" w:hAnsi="Arial" w:cs="Arial"/>
          <w:spacing w:val="4"/>
          <w:sz w:val="28"/>
        </w:rPr>
        <w:t xml:space="preserve">Para determinar cuáles partidos políticos tienen derecho a participar en la asignación de diputaciones de representación proporcional, en primer lugar, es necesario obtener la </w:t>
      </w:r>
      <w:r w:rsidRPr="00F32542">
        <w:rPr>
          <w:rFonts w:ascii="Arial" w:eastAsia="Calibri" w:hAnsi="Arial" w:cs="Arial"/>
          <w:b/>
          <w:spacing w:val="4"/>
          <w:sz w:val="28"/>
        </w:rPr>
        <w:t>votación válida emitida</w:t>
      </w:r>
      <w:r w:rsidRPr="00F32542">
        <w:rPr>
          <w:rFonts w:ascii="Arial" w:eastAsia="Calibri" w:hAnsi="Arial" w:cs="Arial"/>
          <w:spacing w:val="4"/>
          <w:sz w:val="28"/>
        </w:rPr>
        <w:t xml:space="preserve">, la cual es el resultado de restar a la </w:t>
      </w:r>
      <w:r w:rsidRPr="00F32542">
        <w:rPr>
          <w:rFonts w:ascii="Arial" w:eastAsia="Calibri" w:hAnsi="Arial" w:cs="Arial"/>
          <w:b/>
          <w:spacing w:val="4"/>
          <w:sz w:val="28"/>
        </w:rPr>
        <w:t>votación total emitida</w:t>
      </w:r>
      <w:r w:rsidRPr="00F32542">
        <w:rPr>
          <w:rFonts w:ascii="Arial" w:eastAsia="Calibri" w:hAnsi="Arial" w:cs="Arial"/>
          <w:spacing w:val="4"/>
          <w:sz w:val="28"/>
        </w:rPr>
        <w:t xml:space="preserve"> los votos nulos y los votos de candidaturas no registradas; lo cual se ilustra a continuación:</w:t>
      </w:r>
    </w:p>
    <w:p w14:paraId="3305BF3D" w14:textId="77777777" w:rsidR="00F57B54" w:rsidRPr="00F32542" w:rsidRDefault="00F57B54" w:rsidP="00F57B54">
      <w:pPr>
        <w:spacing w:after="0" w:line="360" w:lineRule="auto"/>
        <w:contextualSpacing/>
        <w:jc w:val="both"/>
        <w:rPr>
          <w:rFonts w:ascii="Arial" w:eastAsia="Calibri" w:hAnsi="Arial" w:cs="Arial"/>
          <w:sz w:val="28"/>
        </w:rPr>
      </w:pPr>
    </w:p>
    <w:p w14:paraId="7E8648DE" w14:textId="77777777" w:rsidR="00F57B54" w:rsidRPr="00F32542" w:rsidRDefault="00F57B54" w:rsidP="00F57B54">
      <w:p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lastRenderedPageBreak/>
        <w:t xml:space="preserve">Por tanto, la asignación de las treinta y dos diputaciones de representación proporcional es la siguiente: </w:t>
      </w:r>
    </w:p>
    <w:p w14:paraId="00A67852" w14:textId="77777777" w:rsidR="00F57B54" w:rsidRPr="00F32542" w:rsidRDefault="00F57B54" w:rsidP="00F57B54">
      <w:pPr>
        <w:spacing w:after="0" w:line="360" w:lineRule="auto"/>
        <w:jc w:val="both"/>
        <w:rPr>
          <w:rFonts w:ascii="Arial" w:eastAsia="Calibri" w:hAnsi="Arial" w:cs="Arial"/>
          <w:color w:val="000000" w:themeColor="text1"/>
          <w:spacing w:val="4"/>
          <w:sz w:val="28"/>
        </w:rPr>
      </w:pPr>
    </w:p>
    <w:tbl>
      <w:tblPr>
        <w:tblStyle w:val="Tablaconcuadrcula25"/>
        <w:tblW w:w="0" w:type="auto"/>
        <w:jc w:val="center"/>
        <w:tblLook w:val="04A0" w:firstRow="1" w:lastRow="0" w:firstColumn="1" w:lastColumn="0" w:noHBand="0" w:noVBand="1"/>
      </w:tblPr>
      <w:tblGrid>
        <w:gridCol w:w="1696"/>
        <w:gridCol w:w="3119"/>
        <w:gridCol w:w="2103"/>
      </w:tblGrid>
      <w:tr w:rsidR="00F57B54" w:rsidRPr="00F32542" w14:paraId="46C1A662" w14:textId="77777777" w:rsidTr="00B65D24">
        <w:trPr>
          <w:trHeight w:val="699"/>
          <w:jc w:val="center"/>
        </w:trPr>
        <w:tc>
          <w:tcPr>
            <w:tcW w:w="4815" w:type="dxa"/>
            <w:gridSpan w:val="2"/>
            <w:shd w:val="clear" w:color="auto" w:fill="D0CECE"/>
            <w:vAlign w:val="center"/>
          </w:tcPr>
          <w:p w14:paraId="0D628515" w14:textId="77777777" w:rsidR="00F57B54" w:rsidRPr="00F32542" w:rsidRDefault="00F57B54" w:rsidP="00F57B54">
            <w:pPr>
              <w:spacing w:after="0" w:line="240" w:lineRule="auto"/>
              <w:jc w:val="center"/>
              <w:rPr>
                <w:rFonts w:ascii="Arial" w:eastAsia="Calibri" w:hAnsi="Arial" w:cs="Arial"/>
                <w:b/>
                <w:color w:val="000000" w:themeColor="text1"/>
              </w:rPr>
            </w:pPr>
            <w:r w:rsidRPr="00F32542">
              <w:rPr>
                <w:rFonts w:ascii="Arial" w:eastAsia="Calibri" w:hAnsi="Arial" w:cs="Arial"/>
                <w:b/>
                <w:color w:val="000000" w:themeColor="text1"/>
              </w:rPr>
              <w:t>Votación total emitida</w:t>
            </w:r>
          </w:p>
        </w:tc>
        <w:tc>
          <w:tcPr>
            <w:tcW w:w="2103" w:type="dxa"/>
            <w:shd w:val="clear" w:color="auto" w:fill="D0CECE"/>
            <w:vAlign w:val="center"/>
          </w:tcPr>
          <w:p w14:paraId="17983F50" w14:textId="77777777" w:rsidR="00F57B54" w:rsidRPr="00F32542" w:rsidRDefault="00F57B54" w:rsidP="00F57B54">
            <w:pPr>
              <w:spacing w:after="0" w:line="240" w:lineRule="auto"/>
              <w:jc w:val="center"/>
              <w:rPr>
                <w:rFonts w:ascii="Arial" w:eastAsia="Calibri" w:hAnsi="Arial" w:cs="Arial"/>
                <w:b/>
                <w:color w:val="000000" w:themeColor="text1"/>
              </w:rPr>
            </w:pPr>
            <w:r w:rsidRPr="00F32542">
              <w:rPr>
                <w:rFonts w:ascii="Arial" w:hAnsi="Arial" w:cs="Arial"/>
                <w:b/>
                <w:color w:val="000000" w:themeColor="text1"/>
              </w:rPr>
              <w:t>4,046,586</w:t>
            </w:r>
          </w:p>
        </w:tc>
      </w:tr>
      <w:tr w:rsidR="00F57B54" w:rsidRPr="00F32542" w14:paraId="38DAA8B8" w14:textId="77777777" w:rsidTr="00B65D24">
        <w:trPr>
          <w:jc w:val="center"/>
        </w:trPr>
        <w:tc>
          <w:tcPr>
            <w:tcW w:w="1696" w:type="dxa"/>
            <w:vMerge w:val="restart"/>
            <w:vAlign w:val="center"/>
          </w:tcPr>
          <w:p w14:paraId="0E18D648" w14:textId="77777777" w:rsidR="00F57B54" w:rsidRPr="00F32542" w:rsidRDefault="00F57B54" w:rsidP="00F57B5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Menos (-)</w:t>
            </w:r>
          </w:p>
        </w:tc>
        <w:tc>
          <w:tcPr>
            <w:tcW w:w="3119" w:type="dxa"/>
            <w:vAlign w:val="center"/>
          </w:tcPr>
          <w:p w14:paraId="69E14DB0" w14:textId="77777777" w:rsidR="00F57B54" w:rsidRPr="00F32542" w:rsidRDefault="00F57B54" w:rsidP="00F57B5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 xml:space="preserve">Votos de candidaturas no registradas </w:t>
            </w:r>
          </w:p>
        </w:tc>
        <w:tc>
          <w:tcPr>
            <w:tcW w:w="2103" w:type="dxa"/>
            <w:vAlign w:val="center"/>
          </w:tcPr>
          <w:p w14:paraId="036E485C" w14:textId="77777777" w:rsidR="00F57B54" w:rsidRPr="00F32542" w:rsidRDefault="00F57B54" w:rsidP="00F57B54">
            <w:pPr>
              <w:spacing w:after="0" w:line="360" w:lineRule="auto"/>
              <w:jc w:val="center"/>
              <w:rPr>
                <w:rFonts w:ascii="Arial" w:eastAsia="Calibri" w:hAnsi="Arial" w:cs="Arial"/>
                <w:color w:val="000000" w:themeColor="text1"/>
              </w:rPr>
            </w:pPr>
            <w:r w:rsidRPr="00F32542">
              <w:rPr>
                <w:rFonts w:ascii="Arial" w:eastAsia="Calibri" w:hAnsi="Arial" w:cs="Arial"/>
                <w:color w:val="000000" w:themeColor="text1"/>
              </w:rPr>
              <w:t>5,926</w:t>
            </w:r>
          </w:p>
        </w:tc>
      </w:tr>
      <w:tr w:rsidR="00F57B54" w:rsidRPr="00F32542" w14:paraId="74F8604A" w14:textId="77777777" w:rsidTr="00B65D24">
        <w:trPr>
          <w:trHeight w:val="743"/>
          <w:jc w:val="center"/>
        </w:trPr>
        <w:tc>
          <w:tcPr>
            <w:tcW w:w="1696" w:type="dxa"/>
            <w:vMerge/>
          </w:tcPr>
          <w:p w14:paraId="378776A2" w14:textId="77777777" w:rsidR="00F57B54" w:rsidRPr="00F32542" w:rsidRDefault="00F57B54" w:rsidP="00F57B54">
            <w:pPr>
              <w:spacing w:after="0" w:line="240" w:lineRule="auto"/>
              <w:jc w:val="both"/>
              <w:rPr>
                <w:rFonts w:ascii="Arial" w:eastAsia="Calibri" w:hAnsi="Arial" w:cs="Arial"/>
                <w:color w:val="000000" w:themeColor="text1"/>
              </w:rPr>
            </w:pPr>
          </w:p>
        </w:tc>
        <w:tc>
          <w:tcPr>
            <w:tcW w:w="3119" w:type="dxa"/>
            <w:vAlign w:val="center"/>
          </w:tcPr>
          <w:p w14:paraId="62DEEBE2" w14:textId="77777777" w:rsidR="00F57B54" w:rsidRPr="00F32542" w:rsidRDefault="00F57B54" w:rsidP="00F57B5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Votos nulos</w:t>
            </w:r>
          </w:p>
        </w:tc>
        <w:tc>
          <w:tcPr>
            <w:tcW w:w="2103" w:type="dxa"/>
            <w:vAlign w:val="center"/>
          </w:tcPr>
          <w:p w14:paraId="1D0C1E70" w14:textId="77777777" w:rsidR="00F57B54" w:rsidRPr="00F32542" w:rsidRDefault="00F57B54" w:rsidP="00F57B54">
            <w:pPr>
              <w:spacing w:after="0" w:line="360" w:lineRule="auto"/>
              <w:jc w:val="center"/>
              <w:rPr>
                <w:rFonts w:ascii="Arial" w:eastAsia="Calibri" w:hAnsi="Arial" w:cs="Arial"/>
                <w:color w:val="000000" w:themeColor="text1"/>
              </w:rPr>
            </w:pPr>
            <w:r w:rsidRPr="00F32542">
              <w:rPr>
                <w:rFonts w:ascii="Arial" w:hAnsi="Arial" w:cs="Arial"/>
                <w:color w:val="000000" w:themeColor="text1"/>
              </w:rPr>
              <w:t>124,124</w:t>
            </w:r>
          </w:p>
        </w:tc>
      </w:tr>
      <w:tr w:rsidR="00F57B54" w:rsidRPr="00F32542" w14:paraId="39E5014C" w14:textId="77777777" w:rsidTr="00B65D24">
        <w:trPr>
          <w:trHeight w:val="617"/>
          <w:jc w:val="center"/>
        </w:trPr>
        <w:tc>
          <w:tcPr>
            <w:tcW w:w="4815" w:type="dxa"/>
            <w:gridSpan w:val="2"/>
            <w:shd w:val="clear" w:color="auto" w:fill="D0CECE"/>
            <w:vAlign w:val="center"/>
          </w:tcPr>
          <w:p w14:paraId="7792DA29" w14:textId="77777777" w:rsidR="00F57B54" w:rsidRPr="00F32542" w:rsidRDefault="00F57B54" w:rsidP="00F57B54">
            <w:pPr>
              <w:spacing w:after="0" w:line="240" w:lineRule="auto"/>
              <w:jc w:val="center"/>
              <w:rPr>
                <w:rFonts w:ascii="Arial" w:eastAsia="Calibri" w:hAnsi="Arial" w:cs="Arial"/>
                <w:b/>
                <w:color w:val="000000" w:themeColor="text1"/>
              </w:rPr>
            </w:pPr>
            <w:r w:rsidRPr="00F32542">
              <w:rPr>
                <w:rFonts w:ascii="Arial" w:eastAsia="Calibri" w:hAnsi="Arial" w:cs="Arial"/>
                <w:b/>
                <w:color w:val="000000" w:themeColor="text1"/>
              </w:rPr>
              <w:t>Votación válida emitida</w:t>
            </w:r>
          </w:p>
        </w:tc>
        <w:tc>
          <w:tcPr>
            <w:tcW w:w="2103" w:type="dxa"/>
            <w:shd w:val="clear" w:color="auto" w:fill="D0CECE"/>
            <w:vAlign w:val="bottom"/>
          </w:tcPr>
          <w:p w14:paraId="57C84AA8" w14:textId="77777777" w:rsidR="00F57B54" w:rsidRPr="00F32542" w:rsidRDefault="00F57B54" w:rsidP="00F57B54">
            <w:pPr>
              <w:spacing w:after="0" w:line="360" w:lineRule="auto"/>
              <w:jc w:val="center"/>
              <w:rPr>
                <w:rFonts w:ascii="Arial" w:hAnsi="Arial" w:cs="Arial"/>
                <w:color w:val="000000" w:themeColor="text1"/>
              </w:rPr>
            </w:pPr>
            <w:r w:rsidRPr="00F32542">
              <w:rPr>
                <w:rFonts w:ascii="Arial" w:hAnsi="Arial" w:cs="Arial"/>
                <w:color w:val="000000" w:themeColor="text1"/>
              </w:rPr>
              <w:t>3,916,536</w:t>
            </w:r>
          </w:p>
        </w:tc>
      </w:tr>
    </w:tbl>
    <w:p w14:paraId="216F9A87" w14:textId="77777777" w:rsidR="00F57B54" w:rsidRPr="00F32542" w:rsidRDefault="00F57B54" w:rsidP="00F57B54">
      <w:pPr>
        <w:spacing w:after="0" w:line="360" w:lineRule="auto"/>
        <w:jc w:val="both"/>
        <w:rPr>
          <w:rFonts w:ascii="Arial" w:eastAsia="Calibri" w:hAnsi="Arial" w:cs="Arial"/>
          <w:color w:val="000000" w:themeColor="text1"/>
          <w:sz w:val="28"/>
        </w:rPr>
      </w:pPr>
    </w:p>
    <w:p w14:paraId="5187DF52" w14:textId="77777777" w:rsidR="00F57B54" w:rsidRPr="00F32542" w:rsidRDefault="00F57B54" w:rsidP="00F57B54">
      <w:pPr>
        <w:spacing w:after="0" w:line="360" w:lineRule="auto"/>
        <w:jc w:val="both"/>
        <w:rPr>
          <w:rFonts w:ascii="Arial" w:eastAsia="Calibri" w:hAnsi="Arial" w:cs="Arial"/>
          <w:color w:val="000000" w:themeColor="text1"/>
          <w:sz w:val="28"/>
        </w:rPr>
      </w:pPr>
      <w:r w:rsidRPr="00F32542">
        <w:rPr>
          <w:rFonts w:ascii="Arial" w:eastAsia="Calibri" w:hAnsi="Arial" w:cs="Arial"/>
          <w:color w:val="000000" w:themeColor="text1"/>
          <w:sz w:val="28"/>
        </w:rPr>
        <w:t>Obtenida la votación válida emitida, se verificará cuáles partidos obtuvieron al menos el tres por ciento (3%) de aquélla:</w:t>
      </w:r>
    </w:p>
    <w:p w14:paraId="648F220E" w14:textId="77777777" w:rsidR="00F57B54" w:rsidRPr="00F32542" w:rsidRDefault="00F57B54" w:rsidP="00F57B54">
      <w:pPr>
        <w:spacing w:after="0" w:line="360" w:lineRule="auto"/>
        <w:jc w:val="both"/>
        <w:rPr>
          <w:rFonts w:ascii="Arial" w:eastAsia="Calibri" w:hAnsi="Arial" w:cs="Arial"/>
          <w:color w:val="000000" w:themeColor="text1"/>
          <w:sz w:val="28"/>
        </w:rPr>
      </w:pPr>
      <w:r w:rsidRPr="00F32542">
        <w:rPr>
          <w:rFonts w:ascii="Arial" w:eastAsia="Calibri" w:hAnsi="Arial" w:cs="Arial"/>
          <w:color w:val="000000" w:themeColor="text1"/>
          <w:sz w:val="28"/>
        </w:rPr>
        <w:t xml:space="preserve"> </w:t>
      </w:r>
    </w:p>
    <w:tbl>
      <w:tblPr>
        <w:tblW w:w="7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50"/>
        <w:gridCol w:w="1832"/>
        <w:gridCol w:w="2421"/>
      </w:tblGrid>
      <w:tr w:rsidR="00F57B54" w:rsidRPr="00F32542" w14:paraId="56E3D49F" w14:textId="77777777" w:rsidTr="00B65D24">
        <w:trPr>
          <w:trHeight w:val="1005"/>
          <w:tblHeader/>
          <w:jc w:val="center"/>
        </w:trPr>
        <w:tc>
          <w:tcPr>
            <w:tcW w:w="3550" w:type="dxa"/>
            <w:shd w:val="clear" w:color="auto" w:fill="D0CECE"/>
            <w:noWrap/>
            <w:vAlign w:val="center"/>
            <w:hideMark/>
          </w:tcPr>
          <w:p w14:paraId="621A680C" w14:textId="77777777" w:rsidR="00F57B54" w:rsidRPr="00F32542" w:rsidRDefault="00F57B54" w:rsidP="00F57B54">
            <w:pPr>
              <w:spacing w:after="0" w:line="240" w:lineRule="auto"/>
              <w:jc w:val="center"/>
              <w:rPr>
                <w:rFonts w:ascii="Arial" w:eastAsia="Calibri" w:hAnsi="Arial" w:cs="Arial"/>
                <w:b/>
                <w:bCs/>
                <w:color w:val="000000" w:themeColor="text1"/>
                <w:sz w:val="20"/>
                <w:szCs w:val="20"/>
                <w:lang w:val="es-ES" w:eastAsia="es-MX"/>
              </w:rPr>
            </w:pPr>
            <w:r w:rsidRPr="00F32542">
              <w:rPr>
                <w:rFonts w:ascii="Arial" w:eastAsia="Calibri" w:hAnsi="Arial" w:cs="Arial"/>
                <w:b/>
                <w:bCs/>
                <w:color w:val="000000" w:themeColor="text1"/>
                <w:sz w:val="20"/>
                <w:szCs w:val="20"/>
                <w:lang w:val="es-ES" w:eastAsia="es-MX"/>
              </w:rPr>
              <w:t>PARTIDO POLÍTICO</w:t>
            </w:r>
          </w:p>
        </w:tc>
        <w:tc>
          <w:tcPr>
            <w:tcW w:w="1832" w:type="dxa"/>
            <w:shd w:val="clear" w:color="auto" w:fill="D0CECE"/>
            <w:noWrap/>
            <w:vAlign w:val="center"/>
            <w:hideMark/>
          </w:tcPr>
          <w:p w14:paraId="2A1682F5" w14:textId="77777777" w:rsidR="00F57B54" w:rsidRPr="00F32542" w:rsidRDefault="00F57B54" w:rsidP="00F57B54">
            <w:pPr>
              <w:spacing w:after="0" w:line="240" w:lineRule="auto"/>
              <w:jc w:val="center"/>
              <w:rPr>
                <w:rFonts w:ascii="Arial" w:eastAsia="Calibri" w:hAnsi="Arial" w:cs="Arial"/>
                <w:b/>
                <w:bCs/>
                <w:color w:val="000000" w:themeColor="text1"/>
                <w:sz w:val="20"/>
                <w:szCs w:val="20"/>
                <w:lang w:val="es-ES" w:eastAsia="es-MX"/>
              </w:rPr>
            </w:pPr>
            <w:r w:rsidRPr="00F32542">
              <w:rPr>
                <w:rFonts w:ascii="Arial" w:eastAsia="Calibri" w:hAnsi="Arial" w:cs="Arial"/>
                <w:b/>
                <w:bCs/>
                <w:color w:val="000000" w:themeColor="text1"/>
                <w:sz w:val="20"/>
                <w:szCs w:val="20"/>
                <w:lang w:val="es-ES" w:eastAsia="es-MX"/>
              </w:rPr>
              <w:t>VOTACIÓN</w:t>
            </w:r>
          </w:p>
        </w:tc>
        <w:tc>
          <w:tcPr>
            <w:tcW w:w="2421" w:type="dxa"/>
            <w:shd w:val="clear" w:color="auto" w:fill="D0CECE"/>
            <w:vAlign w:val="center"/>
          </w:tcPr>
          <w:p w14:paraId="3CAAA860" w14:textId="77777777" w:rsidR="00F57B54" w:rsidRPr="00F32542" w:rsidRDefault="00F57B54" w:rsidP="00F57B54">
            <w:pPr>
              <w:spacing w:after="0" w:line="240" w:lineRule="auto"/>
              <w:jc w:val="center"/>
              <w:rPr>
                <w:rFonts w:ascii="Arial" w:eastAsia="Calibri" w:hAnsi="Arial" w:cs="Arial"/>
                <w:b/>
                <w:bCs/>
                <w:color w:val="000000" w:themeColor="text1"/>
                <w:sz w:val="20"/>
                <w:szCs w:val="20"/>
                <w:lang w:val="es-ES" w:eastAsia="es-MX"/>
              </w:rPr>
            </w:pPr>
            <w:r w:rsidRPr="00F32542">
              <w:rPr>
                <w:rFonts w:ascii="Arial" w:eastAsia="Calibri" w:hAnsi="Arial" w:cs="Arial"/>
                <w:b/>
                <w:bCs/>
                <w:color w:val="000000" w:themeColor="text1"/>
                <w:sz w:val="20"/>
                <w:szCs w:val="20"/>
                <w:lang w:val="es-ES" w:eastAsia="es-MX"/>
              </w:rPr>
              <w:t>PORCENTAJE DE</w:t>
            </w:r>
          </w:p>
          <w:p w14:paraId="7A0A4DA1" w14:textId="77777777" w:rsidR="00F57B54" w:rsidRPr="00F32542" w:rsidRDefault="00F57B54" w:rsidP="00F57B54">
            <w:pPr>
              <w:spacing w:after="0" w:line="240" w:lineRule="auto"/>
              <w:jc w:val="center"/>
              <w:rPr>
                <w:rFonts w:ascii="Arial" w:eastAsia="Calibri" w:hAnsi="Arial" w:cs="Arial"/>
                <w:b/>
                <w:bCs/>
                <w:color w:val="000000" w:themeColor="text1"/>
                <w:sz w:val="20"/>
                <w:szCs w:val="20"/>
                <w:lang w:val="es-ES" w:eastAsia="es-MX"/>
              </w:rPr>
            </w:pPr>
            <w:r w:rsidRPr="00F32542">
              <w:rPr>
                <w:rFonts w:ascii="Arial" w:eastAsia="Calibri" w:hAnsi="Arial" w:cs="Arial"/>
                <w:b/>
                <w:bCs/>
                <w:color w:val="000000" w:themeColor="text1"/>
                <w:sz w:val="20"/>
                <w:szCs w:val="20"/>
                <w:lang w:val="es-ES" w:eastAsia="es-MX"/>
              </w:rPr>
              <w:t>VOTACIÓN VÁLIDA</w:t>
            </w:r>
          </w:p>
          <w:p w14:paraId="785102C2" w14:textId="77777777" w:rsidR="00F57B54" w:rsidRPr="00F32542" w:rsidRDefault="00F57B54" w:rsidP="00F57B54">
            <w:pPr>
              <w:spacing w:after="0" w:line="240" w:lineRule="auto"/>
              <w:jc w:val="center"/>
              <w:rPr>
                <w:rFonts w:ascii="Arial" w:eastAsia="Calibri" w:hAnsi="Arial" w:cs="Arial"/>
                <w:b/>
                <w:bCs/>
                <w:color w:val="000000" w:themeColor="text1"/>
                <w:sz w:val="20"/>
                <w:szCs w:val="20"/>
                <w:lang w:val="es-ES" w:eastAsia="es-MX"/>
              </w:rPr>
            </w:pPr>
            <w:r w:rsidRPr="00F32542">
              <w:rPr>
                <w:rFonts w:ascii="Arial" w:eastAsia="Calibri" w:hAnsi="Arial" w:cs="Arial"/>
                <w:b/>
                <w:bCs/>
                <w:color w:val="000000" w:themeColor="text1"/>
                <w:sz w:val="20"/>
                <w:szCs w:val="20"/>
                <w:lang w:val="es-ES" w:eastAsia="es-MX"/>
              </w:rPr>
              <w:t>EMITIDA</w:t>
            </w:r>
          </w:p>
        </w:tc>
      </w:tr>
      <w:tr w:rsidR="0053000A" w:rsidRPr="00F32542" w14:paraId="364DE812" w14:textId="77777777" w:rsidTr="00B65D24">
        <w:trPr>
          <w:trHeight w:val="284"/>
          <w:jc w:val="center"/>
        </w:trPr>
        <w:tc>
          <w:tcPr>
            <w:tcW w:w="3550" w:type="dxa"/>
            <w:shd w:val="clear" w:color="auto" w:fill="D5DCE4"/>
            <w:noWrap/>
            <w:vAlign w:val="center"/>
          </w:tcPr>
          <w:p w14:paraId="7D60B33F" w14:textId="77777777" w:rsidR="0053000A" w:rsidRPr="00F32542" w:rsidRDefault="0053000A" w:rsidP="0053000A">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PAN</w:t>
            </w:r>
          </w:p>
        </w:tc>
        <w:tc>
          <w:tcPr>
            <w:tcW w:w="1832" w:type="dxa"/>
            <w:shd w:val="clear" w:color="auto" w:fill="D5DCE4"/>
            <w:noWrap/>
            <w:vAlign w:val="center"/>
          </w:tcPr>
          <w:p w14:paraId="01C96FC7" w14:textId="77777777" w:rsidR="0053000A" w:rsidRPr="00F32542" w:rsidRDefault="0053000A" w:rsidP="0053000A">
            <w:pPr>
              <w:spacing w:after="0" w:line="360" w:lineRule="auto"/>
              <w:jc w:val="center"/>
              <w:rPr>
                <w:rFonts w:ascii="Arial" w:eastAsia="Calibri" w:hAnsi="Arial" w:cs="Arial"/>
                <w:color w:val="000000" w:themeColor="text1"/>
              </w:rPr>
            </w:pPr>
            <w:r w:rsidRPr="00F32542">
              <w:rPr>
                <w:rFonts w:ascii="Arial" w:hAnsi="Arial" w:cs="Arial"/>
                <w:color w:val="000000" w:themeColor="text1"/>
              </w:rPr>
              <w:t>1,033,617</w:t>
            </w:r>
          </w:p>
        </w:tc>
        <w:tc>
          <w:tcPr>
            <w:tcW w:w="2421" w:type="dxa"/>
            <w:shd w:val="clear" w:color="000000" w:fill="E7E6E6"/>
            <w:vAlign w:val="center"/>
          </w:tcPr>
          <w:p w14:paraId="27D1CA62" w14:textId="77777777" w:rsidR="0053000A" w:rsidRPr="00F32542" w:rsidRDefault="0053000A" w:rsidP="0053000A">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26.39%</w:t>
            </w:r>
          </w:p>
        </w:tc>
      </w:tr>
      <w:tr w:rsidR="0053000A" w:rsidRPr="00F32542" w14:paraId="588A4FBF" w14:textId="77777777" w:rsidTr="00B65D24">
        <w:trPr>
          <w:trHeight w:val="284"/>
          <w:jc w:val="center"/>
        </w:trPr>
        <w:tc>
          <w:tcPr>
            <w:tcW w:w="3550" w:type="dxa"/>
            <w:shd w:val="clear" w:color="auto" w:fill="D5DCE4"/>
            <w:noWrap/>
            <w:vAlign w:val="center"/>
          </w:tcPr>
          <w:p w14:paraId="65CCDC8B" w14:textId="77777777" w:rsidR="0053000A" w:rsidRPr="00F32542" w:rsidRDefault="0053000A" w:rsidP="0053000A">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PRI</w:t>
            </w:r>
          </w:p>
        </w:tc>
        <w:tc>
          <w:tcPr>
            <w:tcW w:w="1832" w:type="dxa"/>
            <w:shd w:val="clear" w:color="auto" w:fill="D5DCE4"/>
            <w:noWrap/>
            <w:vAlign w:val="center"/>
          </w:tcPr>
          <w:p w14:paraId="7F35B0CF" w14:textId="77777777" w:rsidR="0053000A" w:rsidRPr="00F32542" w:rsidRDefault="0053000A" w:rsidP="0053000A">
            <w:pPr>
              <w:spacing w:after="0" w:line="360" w:lineRule="auto"/>
              <w:jc w:val="center"/>
              <w:rPr>
                <w:rFonts w:ascii="Arial" w:eastAsia="Calibri" w:hAnsi="Arial" w:cs="Arial"/>
                <w:color w:val="000000" w:themeColor="text1"/>
              </w:rPr>
            </w:pPr>
            <w:r w:rsidRPr="00F32542">
              <w:rPr>
                <w:rFonts w:ascii="Arial" w:hAnsi="Arial" w:cs="Arial"/>
                <w:color w:val="000000" w:themeColor="text1"/>
              </w:rPr>
              <w:t>581,675</w:t>
            </w:r>
          </w:p>
        </w:tc>
        <w:tc>
          <w:tcPr>
            <w:tcW w:w="2421" w:type="dxa"/>
            <w:shd w:val="clear" w:color="000000" w:fill="E7E6E6"/>
            <w:vAlign w:val="center"/>
          </w:tcPr>
          <w:p w14:paraId="49CD001E" w14:textId="77777777" w:rsidR="0053000A" w:rsidRPr="00F32542" w:rsidRDefault="0053000A" w:rsidP="0053000A">
            <w:pPr>
              <w:spacing w:after="0" w:line="360" w:lineRule="auto"/>
              <w:jc w:val="center"/>
              <w:rPr>
                <w:rFonts w:ascii="Arial" w:eastAsia="Calibri" w:hAnsi="Arial" w:cs="Arial"/>
                <w:color w:val="000000" w:themeColor="text1"/>
              </w:rPr>
            </w:pPr>
            <w:r w:rsidRPr="00F32542">
              <w:rPr>
                <w:rFonts w:ascii="Arial" w:eastAsia="Calibri" w:hAnsi="Arial" w:cs="Arial"/>
                <w:color w:val="000000" w:themeColor="text1"/>
              </w:rPr>
              <w:t>14.85%</w:t>
            </w:r>
          </w:p>
        </w:tc>
      </w:tr>
      <w:tr w:rsidR="0053000A" w:rsidRPr="00F32542" w14:paraId="25B5D7B9" w14:textId="77777777" w:rsidTr="00B65D24">
        <w:trPr>
          <w:trHeight w:val="284"/>
          <w:jc w:val="center"/>
        </w:trPr>
        <w:tc>
          <w:tcPr>
            <w:tcW w:w="3550" w:type="dxa"/>
            <w:shd w:val="clear" w:color="auto" w:fill="D5DCE4"/>
            <w:noWrap/>
            <w:vAlign w:val="center"/>
          </w:tcPr>
          <w:p w14:paraId="4D222BDA" w14:textId="77777777" w:rsidR="0053000A" w:rsidRPr="00F32542" w:rsidRDefault="0053000A" w:rsidP="0053000A">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PRD</w:t>
            </w:r>
          </w:p>
        </w:tc>
        <w:tc>
          <w:tcPr>
            <w:tcW w:w="1832" w:type="dxa"/>
            <w:shd w:val="clear" w:color="auto" w:fill="D5DCE4"/>
            <w:noWrap/>
            <w:vAlign w:val="center"/>
          </w:tcPr>
          <w:p w14:paraId="32F91F64" w14:textId="77777777" w:rsidR="0053000A" w:rsidRPr="00F32542" w:rsidRDefault="0053000A" w:rsidP="0053000A">
            <w:pPr>
              <w:spacing w:after="0" w:line="360" w:lineRule="auto"/>
              <w:jc w:val="center"/>
              <w:rPr>
                <w:rFonts w:ascii="Arial" w:eastAsia="Calibri" w:hAnsi="Arial" w:cs="Arial"/>
                <w:color w:val="000000" w:themeColor="text1"/>
              </w:rPr>
            </w:pPr>
            <w:r w:rsidRPr="00F32542">
              <w:rPr>
                <w:rFonts w:ascii="Arial" w:hAnsi="Arial" w:cs="Arial"/>
                <w:color w:val="000000" w:themeColor="text1"/>
              </w:rPr>
              <w:t>207,895</w:t>
            </w:r>
          </w:p>
        </w:tc>
        <w:tc>
          <w:tcPr>
            <w:tcW w:w="2421" w:type="dxa"/>
            <w:shd w:val="clear" w:color="000000" w:fill="E7E6E6"/>
            <w:vAlign w:val="center"/>
          </w:tcPr>
          <w:p w14:paraId="1A3606F6" w14:textId="77777777" w:rsidR="0053000A" w:rsidRPr="00F32542" w:rsidRDefault="0053000A" w:rsidP="0053000A">
            <w:pPr>
              <w:spacing w:after="0" w:line="360" w:lineRule="auto"/>
              <w:jc w:val="center"/>
              <w:rPr>
                <w:rFonts w:ascii="Arial" w:eastAsia="Calibri" w:hAnsi="Arial" w:cs="Arial"/>
                <w:color w:val="000000" w:themeColor="text1"/>
              </w:rPr>
            </w:pPr>
            <w:r w:rsidRPr="00F32542">
              <w:rPr>
                <w:rFonts w:ascii="Arial" w:eastAsia="Calibri" w:hAnsi="Arial" w:cs="Arial"/>
                <w:color w:val="000000" w:themeColor="text1"/>
              </w:rPr>
              <w:t>5.31%</w:t>
            </w:r>
          </w:p>
        </w:tc>
      </w:tr>
      <w:tr w:rsidR="0053000A" w:rsidRPr="00F32542" w14:paraId="2915538D" w14:textId="77777777" w:rsidTr="00B65D24">
        <w:trPr>
          <w:trHeight w:val="284"/>
          <w:jc w:val="center"/>
        </w:trPr>
        <w:tc>
          <w:tcPr>
            <w:tcW w:w="3550" w:type="dxa"/>
            <w:shd w:val="clear" w:color="auto" w:fill="D5DCE4"/>
            <w:noWrap/>
            <w:vAlign w:val="center"/>
          </w:tcPr>
          <w:p w14:paraId="4C218B34" w14:textId="77777777" w:rsidR="0053000A" w:rsidRPr="00F32542" w:rsidRDefault="0053000A" w:rsidP="0053000A">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PVEM</w:t>
            </w:r>
          </w:p>
        </w:tc>
        <w:tc>
          <w:tcPr>
            <w:tcW w:w="1832" w:type="dxa"/>
            <w:shd w:val="clear" w:color="auto" w:fill="D5DCE4"/>
            <w:noWrap/>
            <w:vAlign w:val="center"/>
          </w:tcPr>
          <w:p w14:paraId="3DE6302B" w14:textId="77777777" w:rsidR="0053000A" w:rsidRPr="00F32542" w:rsidRDefault="0053000A" w:rsidP="0053000A">
            <w:pPr>
              <w:spacing w:after="0" w:line="360" w:lineRule="auto"/>
              <w:jc w:val="center"/>
              <w:rPr>
                <w:rFonts w:ascii="Arial" w:eastAsia="Calibri" w:hAnsi="Arial" w:cs="Arial"/>
                <w:color w:val="000000" w:themeColor="text1"/>
              </w:rPr>
            </w:pPr>
            <w:r w:rsidRPr="00F32542">
              <w:rPr>
                <w:rFonts w:ascii="Arial" w:hAnsi="Arial" w:cs="Arial"/>
                <w:color w:val="000000" w:themeColor="text1"/>
              </w:rPr>
              <w:t>125,296</w:t>
            </w:r>
          </w:p>
        </w:tc>
        <w:tc>
          <w:tcPr>
            <w:tcW w:w="2421" w:type="dxa"/>
            <w:shd w:val="clear" w:color="000000" w:fill="E7E6E6"/>
            <w:vAlign w:val="center"/>
          </w:tcPr>
          <w:p w14:paraId="42D2B923" w14:textId="77777777" w:rsidR="0053000A" w:rsidRPr="00F32542" w:rsidRDefault="0053000A" w:rsidP="0053000A">
            <w:pPr>
              <w:spacing w:after="0" w:line="360" w:lineRule="auto"/>
              <w:jc w:val="center"/>
              <w:rPr>
                <w:rFonts w:ascii="Arial" w:eastAsia="Calibri" w:hAnsi="Arial" w:cs="Arial"/>
                <w:color w:val="000000" w:themeColor="text1"/>
              </w:rPr>
            </w:pPr>
            <w:r w:rsidRPr="00F32542">
              <w:rPr>
                <w:rFonts w:ascii="Arial" w:eastAsia="Calibri" w:hAnsi="Arial" w:cs="Arial"/>
                <w:color w:val="000000" w:themeColor="text1"/>
              </w:rPr>
              <w:t>3.20%</w:t>
            </w:r>
          </w:p>
        </w:tc>
      </w:tr>
      <w:tr w:rsidR="0053000A" w:rsidRPr="00F32542" w14:paraId="17F00F26" w14:textId="77777777" w:rsidTr="00B65D24">
        <w:trPr>
          <w:trHeight w:val="284"/>
          <w:jc w:val="center"/>
        </w:trPr>
        <w:tc>
          <w:tcPr>
            <w:tcW w:w="3550" w:type="dxa"/>
            <w:shd w:val="clear" w:color="auto" w:fill="FFFFFF"/>
            <w:noWrap/>
            <w:vAlign w:val="center"/>
          </w:tcPr>
          <w:p w14:paraId="323307EA" w14:textId="77777777" w:rsidR="0053000A" w:rsidRPr="00F32542" w:rsidRDefault="0053000A" w:rsidP="0053000A">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PT</w:t>
            </w:r>
          </w:p>
        </w:tc>
        <w:tc>
          <w:tcPr>
            <w:tcW w:w="1832" w:type="dxa"/>
            <w:shd w:val="clear" w:color="auto" w:fill="auto"/>
            <w:noWrap/>
            <w:vAlign w:val="center"/>
          </w:tcPr>
          <w:p w14:paraId="6AC35E9E" w14:textId="77777777" w:rsidR="0053000A" w:rsidRPr="00F32542" w:rsidRDefault="0053000A" w:rsidP="0053000A">
            <w:pPr>
              <w:spacing w:after="0" w:line="360" w:lineRule="auto"/>
              <w:jc w:val="center"/>
              <w:rPr>
                <w:rFonts w:ascii="Arial" w:eastAsia="Calibri" w:hAnsi="Arial" w:cs="Arial"/>
                <w:color w:val="000000" w:themeColor="text1"/>
              </w:rPr>
            </w:pPr>
            <w:r w:rsidRPr="00F32542">
              <w:rPr>
                <w:rFonts w:ascii="Arial" w:hAnsi="Arial" w:cs="Arial"/>
                <w:color w:val="000000" w:themeColor="text1"/>
              </w:rPr>
              <w:t>85794</w:t>
            </w:r>
          </w:p>
        </w:tc>
        <w:tc>
          <w:tcPr>
            <w:tcW w:w="2421" w:type="dxa"/>
            <w:shd w:val="clear" w:color="auto" w:fill="auto"/>
            <w:vAlign w:val="center"/>
          </w:tcPr>
          <w:p w14:paraId="6411BF98" w14:textId="77777777" w:rsidR="0053000A" w:rsidRPr="00F32542" w:rsidRDefault="0053000A" w:rsidP="0053000A">
            <w:pPr>
              <w:spacing w:after="0" w:line="360" w:lineRule="auto"/>
              <w:jc w:val="center"/>
              <w:rPr>
                <w:rFonts w:ascii="Arial" w:eastAsia="Calibri" w:hAnsi="Arial" w:cs="Arial"/>
                <w:color w:val="000000" w:themeColor="text1"/>
              </w:rPr>
            </w:pPr>
            <w:r w:rsidRPr="00F32542">
              <w:rPr>
                <w:rFonts w:ascii="Arial" w:eastAsia="Calibri" w:hAnsi="Arial" w:cs="Arial"/>
                <w:color w:val="000000" w:themeColor="text1"/>
              </w:rPr>
              <w:t>2.19%</w:t>
            </w:r>
          </w:p>
        </w:tc>
      </w:tr>
      <w:tr w:rsidR="0053000A" w:rsidRPr="00F32542" w14:paraId="03490A6E" w14:textId="77777777" w:rsidTr="00B65D24">
        <w:trPr>
          <w:trHeight w:val="284"/>
          <w:jc w:val="center"/>
        </w:trPr>
        <w:tc>
          <w:tcPr>
            <w:tcW w:w="3550" w:type="dxa"/>
            <w:shd w:val="clear" w:color="auto" w:fill="D5DCE4"/>
            <w:noWrap/>
            <w:vAlign w:val="center"/>
          </w:tcPr>
          <w:p w14:paraId="6F81F1FA" w14:textId="77777777" w:rsidR="0053000A" w:rsidRPr="00F32542" w:rsidRDefault="0053000A" w:rsidP="0053000A">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MC</w:t>
            </w:r>
          </w:p>
        </w:tc>
        <w:tc>
          <w:tcPr>
            <w:tcW w:w="1832" w:type="dxa"/>
            <w:shd w:val="clear" w:color="auto" w:fill="D5DCE4"/>
            <w:noWrap/>
            <w:vAlign w:val="center"/>
          </w:tcPr>
          <w:p w14:paraId="672D0778" w14:textId="77777777" w:rsidR="0053000A" w:rsidRPr="00F32542" w:rsidRDefault="0053000A" w:rsidP="0053000A">
            <w:pPr>
              <w:spacing w:after="0" w:line="360" w:lineRule="auto"/>
              <w:jc w:val="center"/>
              <w:rPr>
                <w:rFonts w:ascii="Arial" w:eastAsia="Calibri" w:hAnsi="Arial" w:cs="Arial"/>
                <w:color w:val="000000" w:themeColor="text1"/>
              </w:rPr>
            </w:pPr>
            <w:r w:rsidRPr="00F32542">
              <w:rPr>
                <w:rFonts w:ascii="Arial" w:hAnsi="Arial" w:cs="Arial"/>
                <w:color w:val="000000" w:themeColor="text1"/>
              </w:rPr>
              <w:t>140,324</w:t>
            </w:r>
          </w:p>
        </w:tc>
        <w:tc>
          <w:tcPr>
            <w:tcW w:w="2421" w:type="dxa"/>
            <w:shd w:val="clear" w:color="000000" w:fill="E7E6E6"/>
            <w:vAlign w:val="center"/>
          </w:tcPr>
          <w:p w14:paraId="458465FA" w14:textId="77777777" w:rsidR="0053000A" w:rsidRPr="00F32542" w:rsidRDefault="0053000A" w:rsidP="0053000A">
            <w:pPr>
              <w:spacing w:after="0" w:line="360" w:lineRule="auto"/>
              <w:jc w:val="center"/>
              <w:rPr>
                <w:rFonts w:ascii="Arial" w:eastAsia="Calibri" w:hAnsi="Arial" w:cs="Arial"/>
                <w:color w:val="000000" w:themeColor="text1"/>
              </w:rPr>
            </w:pPr>
            <w:r w:rsidRPr="00F32542">
              <w:rPr>
                <w:rFonts w:ascii="Arial" w:eastAsia="Calibri" w:hAnsi="Arial" w:cs="Arial"/>
                <w:color w:val="000000" w:themeColor="text1"/>
              </w:rPr>
              <w:t>3.58%</w:t>
            </w:r>
          </w:p>
        </w:tc>
      </w:tr>
      <w:tr w:rsidR="0053000A" w:rsidRPr="00F32542" w14:paraId="1B2E8F24" w14:textId="77777777" w:rsidTr="00B65D24">
        <w:trPr>
          <w:trHeight w:val="284"/>
          <w:jc w:val="center"/>
        </w:trPr>
        <w:tc>
          <w:tcPr>
            <w:tcW w:w="3550" w:type="dxa"/>
            <w:shd w:val="clear" w:color="auto" w:fill="D5DCE4"/>
            <w:noWrap/>
            <w:vAlign w:val="center"/>
          </w:tcPr>
          <w:p w14:paraId="2421D2F0" w14:textId="77777777" w:rsidR="0053000A" w:rsidRPr="00F32542" w:rsidRDefault="0053000A" w:rsidP="0053000A">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MORENA</w:t>
            </w:r>
          </w:p>
        </w:tc>
        <w:tc>
          <w:tcPr>
            <w:tcW w:w="1832" w:type="dxa"/>
            <w:shd w:val="clear" w:color="auto" w:fill="D5DCE4"/>
            <w:noWrap/>
            <w:vAlign w:val="center"/>
          </w:tcPr>
          <w:p w14:paraId="40A604C7" w14:textId="77777777" w:rsidR="0053000A" w:rsidRPr="00F32542" w:rsidRDefault="0053000A" w:rsidP="0053000A">
            <w:pPr>
              <w:spacing w:after="0" w:line="360" w:lineRule="auto"/>
              <w:jc w:val="center"/>
              <w:rPr>
                <w:rFonts w:ascii="Arial" w:eastAsia="Calibri" w:hAnsi="Arial" w:cs="Arial"/>
                <w:color w:val="000000" w:themeColor="text1"/>
              </w:rPr>
            </w:pPr>
            <w:r w:rsidRPr="00F32542">
              <w:rPr>
                <w:rFonts w:ascii="Arial" w:hAnsi="Arial" w:cs="Arial"/>
                <w:color w:val="000000" w:themeColor="text1"/>
              </w:rPr>
              <w:t>1513325</w:t>
            </w:r>
          </w:p>
        </w:tc>
        <w:tc>
          <w:tcPr>
            <w:tcW w:w="2421" w:type="dxa"/>
            <w:shd w:val="clear" w:color="000000" w:fill="E7E6E6"/>
            <w:vAlign w:val="center"/>
          </w:tcPr>
          <w:p w14:paraId="3C120AA1" w14:textId="77777777" w:rsidR="0053000A" w:rsidRPr="00F32542" w:rsidRDefault="0053000A" w:rsidP="0053000A">
            <w:pPr>
              <w:spacing w:after="0" w:line="360" w:lineRule="auto"/>
              <w:jc w:val="center"/>
              <w:rPr>
                <w:rFonts w:ascii="Arial" w:eastAsia="Calibri" w:hAnsi="Arial" w:cs="Arial"/>
                <w:color w:val="000000" w:themeColor="text1"/>
              </w:rPr>
            </w:pPr>
            <w:r w:rsidRPr="00F32542">
              <w:rPr>
                <w:rFonts w:ascii="Arial" w:eastAsia="Calibri" w:hAnsi="Arial" w:cs="Arial"/>
                <w:color w:val="000000" w:themeColor="text1"/>
              </w:rPr>
              <w:t>38.64%</w:t>
            </w:r>
          </w:p>
        </w:tc>
      </w:tr>
      <w:tr w:rsidR="0053000A" w:rsidRPr="00F32542" w14:paraId="1833AA56" w14:textId="77777777" w:rsidTr="00B65D24">
        <w:trPr>
          <w:trHeight w:val="284"/>
          <w:jc w:val="center"/>
        </w:trPr>
        <w:tc>
          <w:tcPr>
            <w:tcW w:w="3550" w:type="dxa"/>
            <w:shd w:val="clear" w:color="auto" w:fill="FFFFFF"/>
            <w:noWrap/>
            <w:vAlign w:val="center"/>
          </w:tcPr>
          <w:p w14:paraId="64362AF2" w14:textId="77777777" w:rsidR="0053000A" w:rsidRPr="00F32542" w:rsidRDefault="0053000A" w:rsidP="0053000A">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ELIGE</w:t>
            </w:r>
          </w:p>
        </w:tc>
        <w:tc>
          <w:tcPr>
            <w:tcW w:w="1832" w:type="dxa"/>
            <w:shd w:val="clear" w:color="auto" w:fill="auto"/>
            <w:noWrap/>
            <w:vAlign w:val="center"/>
          </w:tcPr>
          <w:p w14:paraId="0D1A8213" w14:textId="77777777" w:rsidR="0053000A" w:rsidRPr="00F32542" w:rsidRDefault="0053000A" w:rsidP="0053000A">
            <w:pPr>
              <w:spacing w:after="0" w:line="360" w:lineRule="auto"/>
              <w:jc w:val="center"/>
              <w:rPr>
                <w:rFonts w:ascii="Arial" w:eastAsia="Calibri" w:hAnsi="Arial" w:cs="Arial"/>
                <w:color w:val="000000" w:themeColor="text1"/>
              </w:rPr>
            </w:pPr>
            <w:r w:rsidRPr="00F32542">
              <w:rPr>
                <w:rFonts w:ascii="Arial" w:hAnsi="Arial" w:cs="Arial"/>
                <w:color w:val="000000" w:themeColor="text1"/>
              </w:rPr>
              <w:t>33,543</w:t>
            </w:r>
          </w:p>
        </w:tc>
        <w:tc>
          <w:tcPr>
            <w:tcW w:w="2421" w:type="dxa"/>
            <w:shd w:val="clear" w:color="auto" w:fill="auto"/>
            <w:vAlign w:val="center"/>
          </w:tcPr>
          <w:p w14:paraId="4CFCC58E" w14:textId="77777777" w:rsidR="0053000A" w:rsidRPr="00F32542" w:rsidRDefault="0053000A" w:rsidP="0053000A">
            <w:pPr>
              <w:spacing w:after="0" w:line="360" w:lineRule="auto"/>
              <w:jc w:val="center"/>
              <w:rPr>
                <w:rFonts w:ascii="Arial" w:eastAsia="Calibri" w:hAnsi="Arial" w:cs="Arial"/>
                <w:color w:val="000000" w:themeColor="text1"/>
              </w:rPr>
            </w:pPr>
            <w:r w:rsidRPr="00F32542">
              <w:rPr>
                <w:rFonts w:ascii="Arial" w:eastAsia="Calibri" w:hAnsi="Arial" w:cs="Arial"/>
                <w:color w:val="000000" w:themeColor="text1"/>
              </w:rPr>
              <w:t>0.86%</w:t>
            </w:r>
          </w:p>
        </w:tc>
      </w:tr>
      <w:tr w:rsidR="0053000A" w:rsidRPr="00F32542" w14:paraId="1F97F8D6" w14:textId="77777777" w:rsidTr="00B65D24">
        <w:trPr>
          <w:trHeight w:val="284"/>
          <w:jc w:val="center"/>
        </w:trPr>
        <w:tc>
          <w:tcPr>
            <w:tcW w:w="3550" w:type="dxa"/>
            <w:noWrap/>
            <w:vAlign w:val="center"/>
          </w:tcPr>
          <w:p w14:paraId="111A5F3D" w14:textId="77777777" w:rsidR="0053000A" w:rsidRPr="00F32542" w:rsidRDefault="0053000A" w:rsidP="0053000A">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PES</w:t>
            </w:r>
          </w:p>
        </w:tc>
        <w:tc>
          <w:tcPr>
            <w:tcW w:w="1832" w:type="dxa"/>
            <w:shd w:val="clear" w:color="auto" w:fill="auto"/>
            <w:noWrap/>
            <w:vAlign w:val="center"/>
          </w:tcPr>
          <w:p w14:paraId="3BC47144" w14:textId="77777777" w:rsidR="0053000A" w:rsidRPr="00F32542" w:rsidRDefault="0053000A" w:rsidP="0053000A">
            <w:pPr>
              <w:spacing w:after="0" w:line="360" w:lineRule="auto"/>
              <w:jc w:val="center"/>
              <w:rPr>
                <w:rFonts w:ascii="Arial" w:eastAsia="Calibri" w:hAnsi="Arial" w:cs="Arial"/>
                <w:color w:val="000000" w:themeColor="text1"/>
              </w:rPr>
            </w:pPr>
            <w:r w:rsidRPr="00F32542">
              <w:rPr>
                <w:rFonts w:ascii="Arial" w:hAnsi="Arial" w:cs="Arial"/>
                <w:color w:val="000000" w:themeColor="text1"/>
              </w:rPr>
              <w:t>72,606</w:t>
            </w:r>
          </w:p>
        </w:tc>
        <w:tc>
          <w:tcPr>
            <w:tcW w:w="2421" w:type="dxa"/>
            <w:shd w:val="clear" w:color="auto" w:fill="auto"/>
            <w:vAlign w:val="center"/>
          </w:tcPr>
          <w:p w14:paraId="7A3A09D4" w14:textId="77777777" w:rsidR="0053000A" w:rsidRPr="00F32542" w:rsidRDefault="0053000A" w:rsidP="0053000A">
            <w:pPr>
              <w:spacing w:after="0" w:line="360" w:lineRule="auto"/>
              <w:jc w:val="center"/>
              <w:rPr>
                <w:rFonts w:ascii="Arial" w:eastAsia="Calibri" w:hAnsi="Arial" w:cs="Arial"/>
                <w:color w:val="000000" w:themeColor="text1"/>
              </w:rPr>
            </w:pPr>
            <w:r w:rsidRPr="00F32542">
              <w:rPr>
                <w:rFonts w:ascii="Arial" w:eastAsia="Calibri" w:hAnsi="Arial" w:cs="Arial"/>
                <w:color w:val="000000" w:themeColor="text1"/>
              </w:rPr>
              <w:t>1.85%</w:t>
            </w:r>
          </w:p>
        </w:tc>
      </w:tr>
      <w:tr w:rsidR="0053000A" w:rsidRPr="00F32542" w14:paraId="3C1A5103" w14:textId="77777777" w:rsidTr="00B65D24">
        <w:trPr>
          <w:trHeight w:val="284"/>
          <w:jc w:val="center"/>
        </w:trPr>
        <w:tc>
          <w:tcPr>
            <w:tcW w:w="3550" w:type="dxa"/>
            <w:noWrap/>
            <w:vAlign w:val="center"/>
          </w:tcPr>
          <w:p w14:paraId="2431F619" w14:textId="77777777" w:rsidR="0053000A" w:rsidRPr="00F32542" w:rsidRDefault="0053000A" w:rsidP="0053000A">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RSP</w:t>
            </w:r>
          </w:p>
        </w:tc>
        <w:tc>
          <w:tcPr>
            <w:tcW w:w="1832" w:type="dxa"/>
            <w:shd w:val="clear" w:color="auto" w:fill="auto"/>
            <w:noWrap/>
            <w:vAlign w:val="center"/>
          </w:tcPr>
          <w:p w14:paraId="2BBAD415" w14:textId="77777777" w:rsidR="0053000A" w:rsidRPr="00F32542" w:rsidRDefault="0053000A" w:rsidP="0053000A">
            <w:pPr>
              <w:spacing w:after="0" w:line="360" w:lineRule="auto"/>
              <w:jc w:val="center"/>
              <w:rPr>
                <w:rFonts w:ascii="Arial" w:eastAsia="Calibri" w:hAnsi="Arial" w:cs="Arial"/>
                <w:color w:val="000000" w:themeColor="text1"/>
              </w:rPr>
            </w:pPr>
            <w:r w:rsidRPr="00F32542">
              <w:rPr>
                <w:rFonts w:ascii="Arial" w:hAnsi="Arial" w:cs="Arial"/>
                <w:color w:val="000000" w:themeColor="text1"/>
              </w:rPr>
              <w:t>29,536</w:t>
            </w:r>
          </w:p>
        </w:tc>
        <w:tc>
          <w:tcPr>
            <w:tcW w:w="2421" w:type="dxa"/>
            <w:shd w:val="clear" w:color="auto" w:fill="auto"/>
            <w:vAlign w:val="center"/>
          </w:tcPr>
          <w:p w14:paraId="3966E98B" w14:textId="77777777" w:rsidR="0053000A" w:rsidRPr="00F32542" w:rsidRDefault="0053000A" w:rsidP="0053000A">
            <w:pPr>
              <w:spacing w:after="0" w:line="360" w:lineRule="auto"/>
              <w:jc w:val="center"/>
              <w:rPr>
                <w:rFonts w:ascii="Arial" w:eastAsia="Calibri" w:hAnsi="Arial" w:cs="Arial"/>
                <w:color w:val="000000" w:themeColor="text1"/>
              </w:rPr>
            </w:pPr>
            <w:r w:rsidRPr="00F32542">
              <w:rPr>
                <w:rFonts w:ascii="Arial" w:eastAsia="Calibri" w:hAnsi="Arial" w:cs="Arial"/>
                <w:color w:val="000000" w:themeColor="text1"/>
              </w:rPr>
              <w:t>0.75%</w:t>
            </w:r>
          </w:p>
        </w:tc>
      </w:tr>
      <w:tr w:rsidR="0053000A" w:rsidRPr="00F32542" w14:paraId="219FDD8C" w14:textId="77777777" w:rsidTr="00B65D24">
        <w:trPr>
          <w:trHeight w:val="284"/>
          <w:jc w:val="center"/>
        </w:trPr>
        <w:tc>
          <w:tcPr>
            <w:tcW w:w="3550" w:type="dxa"/>
            <w:noWrap/>
            <w:vAlign w:val="center"/>
          </w:tcPr>
          <w:p w14:paraId="58A2BFEC" w14:textId="77777777" w:rsidR="0053000A" w:rsidRPr="00F32542" w:rsidRDefault="0053000A" w:rsidP="0053000A">
            <w:pPr>
              <w:spacing w:after="0" w:line="240" w:lineRule="auto"/>
              <w:jc w:val="center"/>
              <w:rPr>
                <w:rFonts w:ascii="Arial" w:eastAsia="Calibri" w:hAnsi="Arial" w:cs="Arial"/>
                <w:color w:val="000000" w:themeColor="text1"/>
              </w:rPr>
            </w:pPr>
            <w:proofErr w:type="spellStart"/>
            <w:r w:rsidRPr="00F32542">
              <w:rPr>
                <w:rFonts w:ascii="Arial" w:eastAsia="Calibri" w:hAnsi="Arial" w:cs="Arial"/>
                <w:color w:val="000000" w:themeColor="text1"/>
              </w:rPr>
              <w:t>FxM</w:t>
            </w:r>
            <w:proofErr w:type="spellEnd"/>
          </w:p>
        </w:tc>
        <w:tc>
          <w:tcPr>
            <w:tcW w:w="1832" w:type="dxa"/>
            <w:shd w:val="clear" w:color="auto" w:fill="auto"/>
            <w:noWrap/>
            <w:vAlign w:val="center"/>
          </w:tcPr>
          <w:p w14:paraId="76A9A6C9" w14:textId="77777777" w:rsidR="0053000A" w:rsidRPr="00F32542" w:rsidRDefault="0053000A" w:rsidP="0053000A">
            <w:pPr>
              <w:spacing w:after="0" w:line="360" w:lineRule="auto"/>
              <w:jc w:val="center"/>
              <w:rPr>
                <w:rFonts w:ascii="Arial" w:eastAsia="Calibri" w:hAnsi="Arial" w:cs="Arial"/>
                <w:color w:val="000000" w:themeColor="text1"/>
              </w:rPr>
            </w:pPr>
            <w:r w:rsidRPr="00F32542">
              <w:rPr>
                <w:rFonts w:ascii="Arial" w:hAnsi="Arial" w:cs="Arial"/>
                <w:color w:val="000000" w:themeColor="text1"/>
              </w:rPr>
              <w:t>79,947</w:t>
            </w:r>
          </w:p>
        </w:tc>
        <w:tc>
          <w:tcPr>
            <w:tcW w:w="2421" w:type="dxa"/>
            <w:shd w:val="clear" w:color="auto" w:fill="auto"/>
            <w:vAlign w:val="center"/>
          </w:tcPr>
          <w:p w14:paraId="657055FE" w14:textId="77777777" w:rsidR="0053000A" w:rsidRPr="00F32542" w:rsidRDefault="0053000A" w:rsidP="0053000A">
            <w:pPr>
              <w:spacing w:after="0" w:line="360" w:lineRule="auto"/>
              <w:jc w:val="center"/>
              <w:rPr>
                <w:rFonts w:ascii="Arial" w:eastAsia="Calibri" w:hAnsi="Arial" w:cs="Arial"/>
                <w:color w:val="000000" w:themeColor="text1"/>
              </w:rPr>
            </w:pPr>
            <w:r w:rsidRPr="00F32542">
              <w:rPr>
                <w:rFonts w:ascii="Arial" w:eastAsia="Calibri" w:hAnsi="Arial" w:cs="Arial"/>
                <w:color w:val="000000" w:themeColor="text1"/>
              </w:rPr>
              <w:t>2.04%</w:t>
            </w:r>
          </w:p>
        </w:tc>
      </w:tr>
      <w:tr w:rsidR="0053000A" w:rsidRPr="00F32542" w14:paraId="6730C125" w14:textId="77777777" w:rsidTr="00B65D24">
        <w:trPr>
          <w:trHeight w:val="284"/>
          <w:jc w:val="center"/>
        </w:trPr>
        <w:tc>
          <w:tcPr>
            <w:tcW w:w="3550" w:type="dxa"/>
            <w:noWrap/>
            <w:vAlign w:val="center"/>
          </w:tcPr>
          <w:p w14:paraId="0D030965" w14:textId="77777777" w:rsidR="0053000A" w:rsidRPr="00F32542" w:rsidRDefault="0053000A" w:rsidP="0053000A">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Candidaturas sin partido</w:t>
            </w:r>
          </w:p>
        </w:tc>
        <w:tc>
          <w:tcPr>
            <w:tcW w:w="1832" w:type="dxa"/>
            <w:shd w:val="clear" w:color="auto" w:fill="auto"/>
            <w:noWrap/>
            <w:vAlign w:val="center"/>
          </w:tcPr>
          <w:p w14:paraId="488C30BF" w14:textId="77777777" w:rsidR="0053000A" w:rsidRPr="00F32542" w:rsidRDefault="0053000A" w:rsidP="0053000A">
            <w:pPr>
              <w:spacing w:after="0" w:line="360" w:lineRule="auto"/>
              <w:jc w:val="center"/>
              <w:rPr>
                <w:rFonts w:ascii="Arial" w:eastAsia="Calibri" w:hAnsi="Arial" w:cs="Arial"/>
                <w:color w:val="000000" w:themeColor="text1"/>
              </w:rPr>
            </w:pPr>
            <w:r w:rsidRPr="00F32542">
              <w:rPr>
                <w:rFonts w:ascii="Arial" w:hAnsi="Arial" w:cs="Arial"/>
                <w:color w:val="000000" w:themeColor="text1"/>
              </w:rPr>
              <w:t>12,978</w:t>
            </w:r>
          </w:p>
        </w:tc>
        <w:tc>
          <w:tcPr>
            <w:tcW w:w="2421" w:type="dxa"/>
            <w:vAlign w:val="center"/>
          </w:tcPr>
          <w:p w14:paraId="4536ED0C" w14:textId="77777777" w:rsidR="0053000A" w:rsidRPr="00F32542" w:rsidRDefault="0053000A" w:rsidP="0053000A">
            <w:pPr>
              <w:spacing w:after="0" w:line="360" w:lineRule="auto"/>
              <w:jc w:val="center"/>
              <w:rPr>
                <w:rFonts w:ascii="Arial" w:eastAsia="Calibri" w:hAnsi="Arial" w:cs="Arial"/>
                <w:color w:val="000000" w:themeColor="text1"/>
              </w:rPr>
            </w:pPr>
            <w:r w:rsidRPr="00F32542">
              <w:rPr>
                <w:rFonts w:ascii="Arial" w:eastAsia="Calibri" w:hAnsi="Arial" w:cs="Arial"/>
                <w:color w:val="000000" w:themeColor="text1"/>
              </w:rPr>
              <w:t>0.33%</w:t>
            </w:r>
          </w:p>
        </w:tc>
      </w:tr>
      <w:tr w:rsidR="0053000A" w:rsidRPr="00F32542" w14:paraId="7043CBED" w14:textId="77777777" w:rsidTr="00B65D24">
        <w:trPr>
          <w:trHeight w:val="284"/>
          <w:jc w:val="center"/>
        </w:trPr>
        <w:tc>
          <w:tcPr>
            <w:tcW w:w="3550" w:type="dxa"/>
            <w:noWrap/>
            <w:vAlign w:val="center"/>
          </w:tcPr>
          <w:p w14:paraId="546E95D6" w14:textId="77777777" w:rsidR="0053000A" w:rsidRPr="00F32542" w:rsidRDefault="0053000A" w:rsidP="0053000A">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Votación válida emitida</w:t>
            </w:r>
          </w:p>
        </w:tc>
        <w:tc>
          <w:tcPr>
            <w:tcW w:w="1832" w:type="dxa"/>
            <w:shd w:val="clear" w:color="auto" w:fill="auto"/>
            <w:noWrap/>
            <w:vAlign w:val="center"/>
          </w:tcPr>
          <w:p w14:paraId="31771413" w14:textId="77777777" w:rsidR="0053000A" w:rsidRPr="00F32542" w:rsidRDefault="0053000A" w:rsidP="0053000A">
            <w:pPr>
              <w:spacing w:after="0" w:line="360" w:lineRule="auto"/>
              <w:jc w:val="center"/>
              <w:rPr>
                <w:rFonts w:ascii="Arial" w:hAnsi="Arial" w:cs="Arial"/>
                <w:color w:val="000000" w:themeColor="text1"/>
              </w:rPr>
            </w:pPr>
            <w:r w:rsidRPr="00F32542">
              <w:rPr>
                <w:rFonts w:ascii="Arial" w:hAnsi="Arial" w:cs="Arial"/>
                <w:color w:val="000000" w:themeColor="text1"/>
              </w:rPr>
              <w:fldChar w:fldCharType="begin"/>
            </w:r>
            <w:r w:rsidRPr="00F32542">
              <w:rPr>
                <w:rFonts w:ascii="Arial" w:hAnsi="Arial" w:cs="Arial"/>
                <w:color w:val="000000" w:themeColor="text1"/>
              </w:rPr>
              <w:instrText xml:space="preserve"> =SUM(ABOVE) </w:instrText>
            </w:r>
            <w:r w:rsidRPr="00F32542">
              <w:rPr>
                <w:rFonts w:ascii="Arial" w:hAnsi="Arial" w:cs="Arial"/>
                <w:color w:val="000000" w:themeColor="text1"/>
              </w:rPr>
              <w:fldChar w:fldCharType="separate"/>
            </w:r>
            <w:r w:rsidRPr="00F32542">
              <w:rPr>
                <w:rFonts w:ascii="Arial" w:hAnsi="Arial" w:cs="Arial"/>
                <w:noProof/>
                <w:color w:val="000000" w:themeColor="text1"/>
              </w:rPr>
              <w:t>3,916,536</w:t>
            </w:r>
            <w:r w:rsidRPr="00F32542">
              <w:rPr>
                <w:rFonts w:ascii="Arial" w:hAnsi="Arial" w:cs="Arial"/>
                <w:color w:val="000000" w:themeColor="text1"/>
              </w:rPr>
              <w:fldChar w:fldCharType="end"/>
            </w:r>
          </w:p>
        </w:tc>
        <w:tc>
          <w:tcPr>
            <w:tcW w:w="2421" w:type="dxa"/>
            <w:vAlign w:val="center"/>
          </w:tcPr>
          <w:p w14:paraId="4049F4DE" w14:textId="77777777" w:rsidR="0053000A" w:rsidRPr="00F32542" w:rsidRDefault="0053000A" w:rsidP="0053000A">
            <w:pPr>
              <w:spacing w:after="0" w:line="360" w:lineRule="auto"/>
              <w:jc w:val="center"/>
              <w:rPr>
                <w:rFonts w:ascii="Arial" w:eastAsia="Calibri" w:hAnsi="Arial" w:cs="Arial"/>
                <w:color w:val="000000" w:themeColor="text1"/>
              </w:rPr>
            </w:pPr>
            <w:r w:rsidRPr="00F32542">
              <w:rPr>
                <w:rFonts w:ascii="Arial" w:eastAsia="Calibri" w:hAnsi="Arial" w:cs="Arial"/>
                <w:color w:val="000000" w:themeColor="text1"/>
              </w:rPr>
              <w:fldChar w:fldCharType="begin"/>
            </w:r>
            <w:r w:rsidRPr="00F32542">
              <w:rPr>
                <w:rFonts w:ascii="Arial" w:eastAsia="Calibri" w:hAnsi="Arial" w:cs="Arial"/>
                <w:color w:val="000000" w:themeColor="text1"/>
              </w:rPr>
              <w:instrText xml:space="preserve"> =SUM(ABOVE)*100 \# "0.00%" </w:instrText>
            </w:r>
            <w:r w:rsidRPr="00F32542">
              <w:rPr>
                <w:rFonts w:ascii="Arial" w:eastAsia="Calibri" w:hAnsi="Arial" w:cs="Arial"/>
                <w:color w:val="000000" w:themeColor="text1"/>
              </w:rPr>
              <w:fldChar w:fldCharType="separate"/>
            </w:r>
            <w:r w:rsidRPr="00F32542">
              <w:rPr>
                <w:rFonts w:ascii="Arial" w:eastAsia="Calibri" w:hAnsi="Arial" w:cs="Arial"/>
                <w:noProof/>
                <w:color w:val="000000" w:themeColor="text1"/>
              </w:rPr>
              <w:t>100.00%</w:t>
            </w:r>
            <w:r w:rsidRPr="00F32542">
              <w:rPr>
                <w:rFonts w:ascii="Arial" w:eastAsia="Calibri" w:hAnsi="Arial" w:cs="Arial"/>
                <w:color w:val="000000" w:themeColor="text1"/>
              </w:rPr>
              <w:fldChar w:fldCharType="end"/>
            </w:r>
          </w:p>
        </w:tc>
      </w:tr>
    </w:tbl>
    <w:p w14:paraId="73F336C9" w14:textId="77777777" w:rsidR="00F57B54" w:rsidRPr="00F32542" w:rsidRDefault="00F57B54" w:rsidP="00F57B54">
      <w:pPr>
        <w:spacing w:after="0" w:line="360" w:lineRule="auto"/>
        <w:jc w:val="both"/>
        <w:rPr>
          <w:rFonts w:ascii="Arial" w:eastAsia="Calibri" w:hAnsi="Arial" w:cs="Arial"/>
          <w:color w:val="000000" w:themeColor="text1"/>
          <w:spacing w:val="4"/>
          <w:sz w:val="28"/>
        </w:rPr>
      </w:pPr>
    </w:p>
    <w:p w14:paraId="5489A83E" w14:textId="77777777" w:rsidR="00F57B54" w:rsidRPr="00F32542" w:rsidRDefault="00F57B54" w:rsidP="00F57B54">
      <w:pPr>
        <w:spacing w:after="0" w:line="360" w:lineRule="auto"/>
        <w:jc w:val="both"/>
        <w:rPr>
          <w:rFonts w:ascii="Arial" w:eastAsia="Calibri" w:hAnsi="Arial" w:cs="Arial"/>
          <w:color w:val="000000" w:themeColor="text1"/>
          <w:spacing w:val="4"/>
          <w:sz w:val="28"/>
          <w:szCs w:val="28"/>
          <w:lang w:val="es-ES"/>
        </w:rPr>
      </w:pPr>
      <w:r w:rsidRPr="00F32542">
        <w:rPr>
          <w:rFonts w:ascii="Arial" w:eastAsia="Calibri" w:hAnsi="Arial" w:cs="Arial"/>
          <w:color w:val="000000" w:themeColor="text1"/>
          <w:spacing w:val="4"/>
          <w:sz w:val="28"/>
        </w:rPr>
        <w:t xml:space="preserve">Como se advierte del cuadro precedente, no existe variación en lo determinado en el </w:t>
      </w:r>
      <w:r w:rsidRPr="00F32542">
        <w:rPr>
          <w:rFonts w:ascii="Arial" w:eastAsia="Calibri" w:hAnsi="Arial" w:cs="Arial"/>
          <w:i/>
          <w:color w:val="000000" w:themeColor="text1"/>
          <w:spacing w:val="4"/>
          <w:sz w:val="28"/>
        </w:rPr>
        <w:t>acuerdo impugnado</w:t>
      </w:r>
      <w:r w:rsidRPr="00F32542">
        <w:rPr>
          <w:rFonts w:ascii="Arial" w:eastAsia="Calibri" w:hAnsi="Arial" w:cs="Arial"/>
          <w:color w:val="000000" w:themeColor="text1"/>
          <w:spacing w:val="4"/>
          <w:sz w:val="28"/>
        </w:rPr>
        <w:t xml:space="preserve">, en cuanto a que los partidos políticos que alcanzaron el umbral del tres por ciento </w:t>
      </w:r>
      <w:r w:rsidRPr="00F32542">
        <w:rPr>
          <w:rFonts w:ascii="Arial" w:eastAsia="Calibri" w:hAnsi="Arial" w:cs="Arial"/>
          <w:color w:val="000000" w:themeColor="text1"/>
          <w:spacing w:val="4"/>
          <w:sz w:val="28"/>
        </w:rPr>
        <w:lastRenderedPageBreak/>
        <w:t>(3%) de la votación válida emitida son</w:t>
      </w:r>
      <w:r w:rsidRPr="00F32542">
        <w:rPr>
          <w:rFonts w:ascii="Arial" w:eastAsia="Calibri" w:hAnsi="Arial" w:cs="Arial"/>
          <w:i/>
          <w:color w:val="000000" w:themeColor="text1"/>
          <w:spacing w:val="4"/>
          <w:sz w:val="28"/>
        </w:rPr>
        <w:t xml:space="preserve">: </w:t>
      </w:r>
      <w:r w:rsidRPr="00F32542">
        <w:rPr>
          <w:rFonts w:ascii="Arial" w:eastAsia="Calibri" w:hAnsi="Arial" w:cs="Arial"/>
          <w:b/>
          <w:i/>
          <w:color w:val="000000" w:themeColor="text1"/>
          <w:spacing w:val="4"/>
          <w:sz w:val="28"/>
        </w:rPr>
        <w:t xml:space="preserve">PAN, PRI, PRD, PVEM, MC </w:t>
      </w:r>
      <w:r w:rsidRPr="00F32542">
        <w:rPr>
          <w:rFonts w:ascii="Arial" w:eastAsia="Calibri" w:hAnsi="Arial" w:cs="Arial"/>
          <w:color w:val="000000" w:themeColor="text1"/>
          <w:spacing w:val="4"/>
          <w:sz w:val="28"/>
        </w:rPr>
        <w:t xml:space="preserve">y </w:t>
      </w:r>
      <w:r w:rsidRPr="00F32542">
        <w:rPr>
          <w:rFonts w:ascii="Arial" w:eastAsia="Calibri" w:hAnsi="Arial" w:cs="Arial"/>
          <w:b/>
          <w:i/>
          <w:color w:val="000000" w:themeColor="text1"/>
          <w:spacing w:val="4"/>
          <w:sz w:val="28"/>
        </w:rPr>
        <w:t>Morena</w:t>
      </w:r>
      <w:r w:rsidRPr="00F32542">
        <w:rPr>
          <w:rFonts w:ascii="Arial" w:eastAsia="Calibri" w:hAnsi="Arial" w:cs="Arial"/>
          <w:color w:val="000000" w:themeColor="text1"/>
          <w:spacing w:val="4"/>
          <w:sz w:val="28"/>
        </w:rPr>
        <w:t xml:space="preserve">. </w:t>
      </w:r>
    </w:p>
    <w:p w14:paraId="400829AA" w14:textId="77777777" w:rsidR="00F57B54" w:rsidRPr="00F32542" w:rsidRDefault="00F57B54" w:rsidP="00F57B54">
      <w:pPr>
        <w:spacing w:after="0" w:line="360" w:lineRule="auto"/>
        <w:contextualSpacing/>
        <w:jc w:val="both"/>
        <w:rPr>
          <w:rFonts w:ascii="Arial" w:eastAsia="Calibri" w:hAnsi="Arial" w:cs="Arial"/>
          <w:color w:val="000000" w:themeColor="text1"/>
          <w:spacing w:val="4"/>
          <w:sz w:val="28"/>
        </w:rPr>
      </w:pPr>
    </w:p>
    <w:p w14:paraId="1433421E" w14:textId="77777777" w:rsidR="00F57B54" w:rsidRPr="00F32542" w:rsidRDefault="00F57B54" w:rsidP="00F57B54">
      <w:pPr>
        <w:spacing w:after="0" w:line="360" w:lineRule="auto"/>
        <w:contextualSpacing/>
        <w:jc w:val="both"/>
        <w:rPr>
          <w:rFonts w:ascii="Arial" w:eastAsia="Calibri" w:hAnsi="Arial" w:cs="Arial"/>
          <w:b/>
          <w:color w:val="000000" w:themeColor="text1"/>
          <w:spacing w:val="4"/>
          <w:sz w:val="28"/>
        </w:rPr>
      </w:pPr>
      <w:r w:rsidRPr="00F32542">
        <w:rPr>
          <w:rFonts w:ascii="Arial" w:eastAsia="Calibri" w:hAnsi="Arial" w:cs="Arial"/>
          <w:b/>
          <w:color w:val="000000" w:themeColor="text1"/>
          <w:spacing w:val="4"/>
          <w:sz w:val="28"/>
        </w:rPr>
        <w:t>Votación local emitida</w:t>
      </w:r>
    </w:p>
    <w:p w14:paraId="0D7C26D5" w14:textId="77777777" w:rsidR="00F57B54" w:rsidRPr="00F32542" w:rsidRDefault="00F57B54" w:rsidP="00F57B54">
      <w:pPr>
        <w:spacing w:after="0" w:line="360" w:lineRule="auto"/>
        <w:contextualSpacing/>
        <w:jc w:val="both"/>
        <w:rPr>
          <w:rFonts w:ascii="Arial" w:eastAsia="Calibri" w:hAnsi="Arial" w:cs="Arial"/>
          <w:b/>
          <w:color w:val="000000" w:themeColor="text1"/>
          <w:spacing w:val="4"/>
          <w:sz w:val="28"/>
        </w:rPr>
      </w:pPr>
    </w:p>
    <w:p w14:paraId="6EEA7A1D" w14:textId="77777777" w:rsidR="00F57B54" w:rsidRPr="00F32542" w:rsidRDefault="00F57B54" w:rsidP="00F57B54">
      <w:pPr>
        <w:spacing w:after="0" w:line="360" w:lineRule="auto"/>
        <w:contextualSpacing/>
        <w:jc w:val="both"/>
        <w:rPr>
          <w:rFonts w:ascii="Arial" w:eastAsia="Calibri" w:hAnsi="Arial" w:cs="Arial"/>
          <w:color w:val="000000" w:themeColor="text1"/>
          <w:spacing w:val="4"/>
          <w:sz w:val="28"/>
        </w:rPr>
      </w:pPr>
      <w:r w:rsidRPr="00F32542">
        <w:rPr>
          <w:rFonts w:ascii="Arial" w:eastAsia="Calibri" w:hAnsi="Arial" w:cs="Arial"/>
          <w:color w:val="000000" w:themeColor="text1"/>
          <w:spacing w:val="4"/>
          <w:sz w:val="28"/>
        </w:rPr>
        <w:t xml:space="preserve">A continuación, se obtendrá la </w:t>
      </w:r>
      <w:r w:rsidRPr="00F32542">
        <w:rPr>
          <w:rFonts w:ascii="Arial" w:eastAsia="Calibri" w:hAnsi="Arial" w:cs="Arial"/>
          <w:b/>
          <w:color w:val="000000" w:themeColor="text1"/>
          <w:spacing w:val="4"/>
          <w:sz w:val="28"/>
        </w:rPr>
        <w:t>votación local emitida</w:t>
      </w:r>
      <w:r w:rsidRPr="00F32542">
        <w:rPr>
          <w:rFonts w:ascii="Arial" w:eastAsia="Calibri" w:hAnsi="Arial" w:cs="Arial"/>
          <w:color w:val="000000" w:themeColor="text1"/>
          <w:spacing w:val="4"/>
          <w:sz w:val="28"/>
        </w:rPr>
        <w:t xml:space="preserve">, la cual es el resultado de restar a la </w:t>
      </w:r>
      <w:r w:rsidRPr="00F32542">
        <w:rPr>
          <w:rFonts w:ascii="Arial" w:eastAsia="Calibri" w:hAnsi="Arial" w:cs="Arial"/>
          <w:b/>
          <w:color w:val="000000" w:themeColor="text1"/>
          <w:spacing w:val="4"/>
          <w:sz w:val="28"/>
        </w:rPr>
        <w:t>votación válida emitida</w:t>
      </w:r>
      <w:r w:rsidRPr="00F32542">
        <w:rPr>
          <w:rFonts w:ascii="Arial" w:eastAsia="Calibri" w:hAnsi="Arial" w:cs="Arial"/>
          <w:color w:val="000000" w:themeColor="text1"/>
          <w:spacing w:val="4"/>
          <w:sz w:val="28"/>
        </w:rPr>
        <w:t xml:space="preserve"> los votos de los partidos que no consiguieron el porcentaje del tres por ciento (3%) requerido para participar en la asignación y los votos emitidos a favor de candidaturas sin partido. La cual se refleja en la siguiente tabla:</w:t>
      </w:r>
    </w:p>
    <w:p w14:paraId="345BA857" w14:textId="77777777" w:rsidR="00F57B54" w:rsidRPr="00F32542" w:rsidRDefault="00F57B54" w:rsidP="00F57B54">
      <w:pPr>
        <w:spacing w:after="0" w:line="360" w:lineRule="auto"/>
        <w:contextualSpacing/>
        <w:jc w:val="both"/>
        <w:rPr>
          <w:rFonts w:ascii="Arial" w:eastAsia="Calibri" w:hAnsi="Arial" w:cs="Arial"/>
          <w:color w:val="000000" w:themeColor="text1"/>
          <w:spacing w:val="4"/>
          <w:sz w:val="28"/>
        </w:rPr>
      </w:pPr>
    </w:p>
    <w:tbl>
      <w:tblPr>
        <w:tblStyle w:val="Tablaconcuadrcula25"/>
        <w:tblW w:w="0" w:type="auto"/>
        <w:tblLook w:val="04A0" w:firstRow="1" w:lastRow="0" w:firstColumn="1" w:lastColumn="0" w:noHBand="0" w:noVBand="1"/>
      </w:tblPr>
      <w:tblGrid>
        <w:gridCol w:w="1696"/>
        <w:gridCol w:w="3119"/>
        <w:gridCol w:w="2693"/>
      </w:tblGrid>
      <w:tr w:rsidR="00F57B54" w:rsidRPr="00F32542" w14:paraId="13DE9CB2" w14:textId="77777777" w:rsidTr="00B65D24">
        <w:trPr>
          <w:trHeight w:val="519"/>
        </w:trPr>
        <w:tc>
          <w:tcPr>
            <w:tcW w:w="4815" w:type="dxa"/>
            <w:gridSpan w:val="2"/>
            <w:shd w:val="clear" w:color="auto" w:fill="D0CECE"/>
            <w:vAlign w:val="center"/>
          </w:tcPr>
          <w:p w14:paraId="3B55EA8C" w14:textId="77777777" w:rsidR="00F57B54" w:rsidRPr="00F32542" w:rsidRDefault="00F57B54" w:rsidP="00F57B54">
            <w:pPr>
              <w:spacing w:after="0" w:line="240" w:lineRule="auto"/>
              <w:jc w:val="center"/>
              <w:rPr>
                <w:rFonts w:ascii="Arial" w:eastAsia="Calibri" w:hAnsi="Arial" w:cs="Arial"/>
                <w:b/>
                <w:color w:val="000000" w:themeColor="text1"/>
              </w:rPr>
            </w:pPr>
            <w:r w:rsidRPr="00F32542">
              <w:rPr>
                <w:rFonts w:ascii="Arial" w:eastAsia="Calibri" w:hAnsi="Arial" w:cs="Arial"/>
                <w:b/>
                <w:color w:val="000000" w:themeColor="text1"/>
              </w:rPr>
              <w:t>Votación válida emitida</w:t>
            </w:r>
          </w:p>
        </w:tc>
        <w:tc>
          <w:tcPr>
            <w:tcW w:w="2693" w:type="dxa"/>
            <w:shd w:val="clear" w:color="auto" w:fill="D0CECE"/>
            <w:vAlign w:val="center"/>
          </w:tcPr>
          <w:p w14:paraId="6A13C7A3" w14:textId="77777777" w:rsidR="00F57B54" w:rsidRPr="00F32542" w:rsidRDefault="00F57B54" w:rsidP="00F57B54">
            <w:pPr>
              <w:spacing w:after="0" w:line="240" w:lineRule="auto"/>
              <w:jc w:val="center"/>
              <w:rPr>
                <w:rFonts w:ascii="Arial" w:eastAsia="Calibri" w:hAnsi="Arial" w:cs="Arial"/>
                <w:b/>
                <w:color w:val="000000" w:themeColor="text1"/>
              </w:rPr>
            </w:pPr>
            <w:r w:rsidRPr="00F32542">
              <w:rPr>
                <w:rFonts w:ascii="Arial" w:hAnsi="Arial" w:cs="Arial"/>
                <w:color w:val="000000" w:themeColor="text1"/>
              </w:rPr>
              <w:fldChar w:fldCharType="begin"/>
            </w:r>
            <w:r w:rsidRPr="00F32542">
              <w:rPr>
                <w:rFonts w:ascii="Arial" w:hAnsi="Arial" w:cs="Arial"/>
                <w:color w:val="000000" w:themeColor="text1"/>
              </w:rPr>
              <w:instrText xml:space="preserve"> =SUM(ABOVE) </w:instrText>
            </w:r>
            <w:r w:rsidRPr="00F32542">
              <w:rPr>
                <w:rFonts w:ascii="Arial" w:hAnsi="Arial" w:cs="Arial"/>
                <w:color w:val="000000" w:themeColor="text1"/>
              </w:rPr>
              <w:fldChar w:fldCharType="separate"/>
            </w:r>
            <w:r w:rsidRPr="00F32542">
              <w:rPr>
                <w:rFonts w:ascii="Arial" w:hAnsi="Arial" w:cs="Arial"/>
                <w:noProof/>
                <w:color w:val="000000" w:themeColor="text1"/>
              </w:rPr>
              <w:t>3,916,536</w:t>
            </w:r>
            <w:r w:rsidRPr="00F32542">
              <w:rPr>
                <w:rFonts w:ascii="Arial" w:hAnsi="Arial" w:cs="Arial"/>
                <w:color w:val="000000" w:themeColor="text1"/>
              </w:rPr>
              <w:fldChar w:fldCharType="end"/>
            </w:r>
          </w:p>
        </w:tc>
      </w:tr>
      <w:tr w:rsidR="004B0CC0" w:rsidRPr="00F32542" w14:paraId="2BC4A487" w14:textId="77777777" w:rsidTr="00B65D24">
        <w:trPr>
          <w:trHeight w:val="413"/>
        </w:trPr>
        <w:tc>
          <w:tcPr>
            <w:tcW w:w="1696" w:type="dxa"/>
            <w:vMerge w:val="restart"/>
            <w:vAlign w:val="center"/>
          </w:tcPr>
          <w:p w14:paraId="5E2E2264" w14:textId="77777777" w:rsidR="004B0CC0" w:rsidRPr="00F32542" w:rsidRDefault="004B0CC0" w:rsidP="004B0CC0">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Menos (-)</w:t>
            </w:r>
          </w:p>
        </w:tc>
        <w:tc>
          <w:tcPr>
            <w:tcW w:w="3119" w:type="dxa"/>
            <w:vAlign w:val="center"/>
          </w:tcPr>
          <w:p w14:paraId="2AEA4C57" w14:textId="77777777" w:rsidR="004B0CC0" w:rsidRPr="00F32542" w:rsidRDefault="004B0CC0" w:rsidP="004B0CC0">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Votación PT</w:t>
            </w:r>
          </w:p>
        </w:tc>
        <w:tc>
          <w:tcPr>
            <w:tcW w:w="2693" w:type="dxa"/>
            <w:vAlign w:val="center"/>
          </w:tcPr>
          <w:p w14:paraId="797F82AA" w14:textId="77777777" w:rsidR="004B0CC0" w:rsidRPr="00F32542" w:rsidRDefault="004B0CC0" w:rsidP="004B0CC0">
            <w:pPr>
              <w:spacing w:after="0" w:line="240" w:lineRule="auto"/>
              <w:jc w:val="center"/>
              <w:rPr>
                <w:rFonts w:ascii="Arial" w:eastAsia="Calibri" w:hAnsi="Arial" w:cs="Arial"/>
                <w:color w:val="000000" w:themeColor="text1"/>
              </w:rPr>
            </w:pPr>
            <w:r w:rsidRPr="00F32542">
              <w:rPr>
                <w:rFonts w:ascii="Arial" w:hAnsi="Arial" w:cs="Arial"/>
                <w:sz w:val="24"/>
                <w:szCs w:val="24"/>
              </w:rPr>
              <w:t>85,794</w:t>
            </w:r>
          </w:p>
        </w:tc>
      </w:tr>
      <w:tr w:rsidR="00F57B54" w:rsidRPr="00F32542" w14:paraId="37F236B9" w14:textId="77777777" w:rsidTr="00B65D24">
        <w:trPr>
          <w:trHeight w:val="418"/>
        </w:trPr>
        <w:tc>
          <w:tcPr>
            <w:tcW w:w="1696" w:type="dxa"/>
            <w:vMerge/>
          </w:tcPr>
          <w:p w14:paraId="31E890C2" w14:textId="77777777" w:rsidR="00F57B54" w:rsidRPr="00F32542" w:rsidRDefault="00F57B54" w:rsidP="00F57B54">
            <w:pPr>
              <w:spacing w:after="0" w:line="240" w:lineRule="auto"/>
              <w:jc w:val="both"/>
              <w:rPr>
                <w:rFonts w:ascii="Arial" w:eastAsia="Calibri" w:hAnsi="Arial" w:cs="Arial"/>
                <w:color w:val="000000" w:themeColor="text1"/>
              </w:rPr>
            </w:pPr>
          </w:p>
        </w:tc>
        <w:tc>
          <w:tcPr>
            <w:tcW w:w="3119" w:type="dxa"/>
            <w:shd w:val="clear" w:color="auto" w:fill="FFFFFF"/>
            <w:vAlign w:val="center"/>
          </w:tcPr>
          <w:p w14:paraId="4206216B" w14:textId="77777777" w:rsidR="00F57B54" w:rsidRPr="00F32542" w:rsidRDefault="00F57B54" w:rsidP="00F57B5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Votación ELIGE</w:t>
            </w:r>
          </w:p>
        </w:tc>
        <w:tc>
          <w:tcPr>
            <w:tcW w:w="2693" w:type="dxa"/>
            <w:shd w:val="clear" w:color="auto" w:fill="FFFFFF"/>
            <w:vAlign w:val="center"/>
          </w:tcPr>
          <w:p w14:paraId="003CCF88" w14:textId="77777777" w:rsidR="00F57B54" w:rsidRPr="00F32542" w:rsidRDefault="00F57B54" w:rsidP="00F57B54">
            <w:pPr>
              <w:spacing w:after="0" w:line="360" w:lineRule="auto"/>
              <w:jc w:val="center"/>
              <w:rPr>
                <w:rFonts w:ascii="Arial" w:eastAsia="Calibri" w:hAnsi="Arial" w:cs="Arial"/>
                <w:color w:val="000000" w:themeColor="text1"/>
              </w:rPr>
            </w:pPr>
            <w:r w:rsidRPr="00F32542">
              <w:rPr>
                <w:rFonts w:ascii="Arial" w:hAnsi="Arial" w:cs="Arial"/>
                <w:color w:val="000000" w:themeColor="text1"/>
              </w:rPr>
              <w:t>33,543</w:t>
            </w:r>
          </w:p>
        </w:tc>
      </w:tr>
      <w:tr w:rsidR="00F57B54" w:rsidRPr="00F32542" w14:paraId="2C3BAFB7" w14:textId="77777777" w:rsidTr="00B65D24">
        <w:trPr>
          <w:trHeight w:val="424"/>
        </w:trPr>
        <w:tc>
          <w:tcPr>
            <w:tcW w:w="1696" w:type="dxa"/>
            <w:vMerge/>
            <w:shd w:val="clear" w:color="auto" w:fill="D0CECE"/>
            <w:vAlign w:val="center"/>
          </w:tcPr>
          <w:p w14:paraId="622A3864" w14:textId="77777777" w:rsidR="00F57B54" w:rsidRPr="00F32542" w:rsidRDefault="00F57B54" w:rsidP="00F57B54">
            <w:pPr>
              <w:spacing w:after="0" w:line="240" w:lineRule="auto"/>
              <w:jc w:val="center"/>
              <w:rPr>
                <w:rFonts w:ascii="Arial" w:eastAsia="Calibri" w:hAnsi="Arial" w:cs="Arial"/>
                <w:b/>
                <w:color w:val="000000" w:themeColor="text1"/>
              </w:rPr>
            </w:pPr>
          </w:p>
        </w:tc>
        <w:tc>
          <w:tcPr>
            <w:tcW w:w="3119" w:type="dxa"/>
            <w:shd w:val="clear" w:color="auto" w:fill="FFFFFF"/>
            <w:vAlign w:val="center"/>
          </w:tcPr>
          <w:p w14:paraId="08C22CBF" w14:textId="77777777" w:rsidR="00F57B54" w:rsidRPr="00F32542" w:rsidRDefault="00F57B54" w:rsidP="00F57B5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Votación PES</w:t>
            </w:r>
          </w:p>
        </w:tc>
        <w:tc>
          <w:tcPr>
            <w:tcW w:w="2693" w:type="dxa"/>
            <w:shd w:val="clear" w:color="auto" w:fill="FFFFFF"/>
            <w:vAlign w:val="center"/>
          </w:tcPr>
          <w:p w14:paraId="1C3B5BC1" w14:textId="77777777" w:rsidR="00F57B54" w:rsidRPr="00F32542" w:rsidRDefault="00F57B54" w:rsidP="00F57B54">
            <w:pPr>
              <w:spacing w:after="0" w:line="360" w:lineRule="auto"/>
              <w:jc w:val="center"/>
              <w:rPr>
                <w:rFonts w:ascii="Arial" w:eastAsia="Calibri" w:hAnsi="Arial" w:cs="Arial"/>
                <w:color w:val="000000" w:themeColor="text1"/>
              </w:rPr>
            </w:pPr>
            <w:r w:rsidRPr="00F32542">
              <w:rPr>
                <w:rFonts w:ascii="Arial" w:hAnsi="Arial" w:cs="Arial"/>
                <w:color w:val="000000" w:themeColor="text1"/>
              </w:rPr>
              <w:t>72,606</w:t>
            </w:r>
          </w:p>
        </w:tc>
      </w:tr>
      <w:tr w:rsidR="00F57B54" w:rsidRPr="00F32542" w14:paraId="6A193782" w14:textId="77777777" w:rsidTr="00B65D24">
        <w:trPr>
          <w:trHeight w:val="417"/>
        </w:trPr>
        <w:tc>
          <w:tcPr>
            <w:tcW w:w="1696" w:type="dxa"/>
            <w:vMerge/>
            <w:shd w:val="clear" w:color="auto" w:fill="D0CECE"/>
            <w:vAlign w:val="center"/>
          </w:tcPr>
          <w:p w14:paraId="08D0C697" w14:textId="77777777" w:rsidR="00F57B54" w:rsidRPr="00F32542" w:rsidRDefault="00F57B54" w:rsidP="00F57B54">
            <w:pPr>
              <w:spacing w:after="0" w:line="240" w:lineRule="auto"/>
              <w:jc w:val="center"/>
              <w:rPr>
                <w:rFonts w:ascii="Arial" w:eastAsia="Calibri" w:hAnsi="Arial" w:cs="Arial"/>
                <w:b/>
                <w:color w:val="000000" w:themeColor="text1"/>
              </w:rPr>
            </w:pPr>
          </w:p>
        </w:tc>
        <w:tc>
          <w:tcPr>
            <w:tcW w:w="3119" w:type="dxa"/>
            <w:shd w:val="clear" w:color="auto" w:fill="FFFFFF"/>
            <w:vAlign w:val="center"/>
          </w:tcPr>
          <w:p w14:paraId="4C5F50CB" w14:textId="77777777" w:rsidR="00F57B54" w:rsidRPr="00F32542" w:rsidRDefault="00F57B54" w:rsidP="00F57B5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Votación RSP</w:t>
            </w:r>
          </w:p>
        </w:tc>
        <w:tc>
          <w:tcPr>
            <w:tcW w:w="2693" w:type="dxa"/>
            <w:shd w:val="clear" w:color="auto" w:fill="FFFFFF"/>
            <w:vAlign w:val="center"/>
          </w:tcPr>
          <w:p w14:paraId="7FAB4F96" w14:textId="77777777" w:rsidR="00F57B54" w:rsidRPr="00F32542" w:rsidRDefault="00F57B54" w:rsidP="00F57B54">
            <w:pPr>
              <w:spacing w:after="0" w:line="360" w:lineRule="auto"/>
              <w:jc w:val="center"/>
              <w:rPr>
                <w:rFonts w:ascii="Arial" w:eastAsia="Calibri" w:hAnsi="Arial" w:cs="Arial"/>
                <w:color w:val="000000" w:themeColor="text1"/>
              </w:rPr>
            </w:pPr>
            <w:r w:rsidRPr="00F32542">
              <w:rPr>
                <w:rFonts w:ascii="Arial" w:hAnsi="Arial" w:cs="Arial"/>
                <w:color w:val="000000" w:themeColor="text1"/>
              </w:rPr>
              <w:t>29,536</w:t>
            </w:r>
          </w:p>
        </w:tc>
      </w:tr>
      <w:tr w:rsidR="00F57B54" w:rsidRPr="00F32542" w14:paraId="0A6C10C4" w14:textId="77777777" w:rsidTr="00B65D24">
        <w:trPr>
          <w:trHeight w:val="409"/>
        </w:trPr>
        <w:tc>
          <w:tcPr>
            <w:tcW w:w="1696" w:type="dxa"/>
            <w:vMerge/>
            <w:shd w:val="clear" w:color="auto" w:fill="D0CECE"/>
            <w:vAlign w:val="center"/>
          </w:tcPr>
          <w:p w14:paraId="6473668B" w14:textId="77777777" w:rsidR="00F57B54" w:rsidRPr="00F32542" w:rsidRDefault="00F57B54" w:rsidP="00F57B54">
            <w:pPr>
              <w:spacing w:after="0" w:line="240" w:lineRule="auto"/>
              <w:jc w:val="center"/>
              <w:rPr>
                <w:rFonts w:ascii="Arial" w:eastAsia="Calibri" w:hAnsi="Arial" w:cs="Arial"/>
                <w:b/>
                <w:color w:val="000000" w:themeColor="text1"/>
              </w:rPr>
            </w:pPr>
          </w:p>
        </w:tc>
        <w:tc>
          <w:tcPr>
            <w:tcW w:w="3119" w:type="dxa"/>
            <w:shd w:val="clear" w:color="auto" w:fill="FFFFFF"/>
            <w:vAlign w:val="center"/>
          </w:tcPr>
          <w:p w14:paraId="3A31C70D" w14:textId="77777777" w:rsidR="00F57B54" w:rsidRPr="00F32542" w:rsidRDefault="00F57B54" w:rsidP="00F57B5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 xml:space="preserve">Votación </w:t>
            </w:r>
            <w:proofErr w:type="spellStart"/>
            <w:r w:rsidRPr="00F32542">
              <w:rPr>
                <w:rFonts w:ascii="Arial" w:eastAsia="Calibri" w:hAnsi="Arial" w:cs="Arial"/>
                <w:color w:val="000000" w:themeColor="text1"/>
              </w:rPr>
              <w:t>FxM</w:t>
            </w:r>
            <w:proofErr w:type="spellEnd"/>
          </w:p>
        </w:tc>
        <w:tc>
          <w:tcPr>
            <w:tcW w:w="2693" w:type="dxa"/>
            <w:shd w:val="clear" w:color="auto" w:fill="FFFFFF"/>
            <w:vAlign w:val="center"/>
          </w:tcPr>
          <w:p w14:paraId="22AE0E6C" w14:textId="77777777" w:rsidR="00F57B54" w:rsidRPr="00F32542" w:rsidRDefault="00F57B54" w:rsidP="00F57B54">
            <w:pPr>
              <w:spacing w:after="0" w:line="360" w:lineRule="auto"/>
              <w:jc w:val="center"/>
              <w:rPr>
                <w:rFonts w:ascii="Arial" w:eastAsia="Calibri" w:hAnsi="Arial" w:cs="Arial"/>
                <w:color w:val="000000" w:themeColor="text1"/>
              </w:rPr>
            </w:pPr>
            <w:r w:rsidRPr="00F32542">
              <w:rPr>
                <w:rFonts w:ascii="Arial" w:hAnsi="Arial" w:cs="Arial"/>
                <w:color w:val="000000" w:themeColor="text1"/>
              </w:rPr>
              <w:t>79,947</w:t>
            </w:r>
          </w:p>
        </w:tc>
      </w:tr>
      <w:tr w:rsidR="00F57B54" w:rsidRPr="00F32542" w14:paraId="64FF6279" w14:textId="77777777" w:rsidTr="00B65D24">
        <w:trPr>
          <w:trHeight w:val="617"/>
        </w:trPr>
        <w:tc>
          <w:tcPr>
            <w:tcW w:w="1696" w:type="dxa"/>
            <w:vMerge/>
            <w:shd w:val="clear" w:color="auto" w:fill="D0CECE"/>
            <w:vAlign w:val="center"/>
          </w:tcPr>
          <w:p w14:paraId="6ECBE646" w14:textId="77777777" w:rsidR="00F57B54" w:rsidRPr="00F32542" w:rsidRDefault="00F57B54" w:rsidP="00F57B54">
            <w:pPr>
              <w:spacing w:after="0" w:line="240" w:lineRule="auto"/>
              <w:jc w:val="center"/>
              <w:rPr>
                <w:rFonts w:ascii="Arial" w:eastAsia="Calibri" w:hAnsi="Arial" w:cs="Arial"/>
                <w:b/>
                <w:color w:val="000000" w:themeColor="text1"/>
              </w:rPr>
            </w:pPr>
          </w:p>
        </w:tc>
        <w:tc>
          <w:tcPr>
            <w:tcW w:w="3119" w:type="dxa"/>
            <w:shd w:val="clear" w:color="auto" w:fill="FFFFFF"/>
            <w:vAlign w:val="center"/>
          </w:tcPr>
          <w:p w14:paraId="1F4DF8AD" w14:textId="77777777" w:rsidR="00F57B54" w:rsidRPr="00F32542" w:rsidRDefault="00F57B54" w:rsidP="00F57B5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Votación candidaturas sin partido</w:t>
            </w:r>
          </w:p>
        </w:tc>
        <w:tc>
          <w:tcPr>
            <w:tcW w:w="2693" w:type="dxa"/>
            <w:shd w:val="clear" w:color="auto" w:fill="FFFFFF"/>
            <w:vAlign w:val="center"/>
          </w:tcPr>
          <w:p w14:paraId="0D49D865" w14:textId="77777777" w:rsidR="00F57B54" w:rsidRPr="00F32542" w:rsidRDefault="00F57B54" w:rsidP="00F57B54">
            <w:pPr>
              <w:spacing w:after="0" w:line="360" w:lineRule="auto"/>
              <w:jc w:val="center"/>
              <w:rPr>
                <w:rFonts w:ascii="Arial" w:eastAsia="Calibri" w:hAnsi="Arial" w:cs="Arial"/>
                <w:color w:val="000000" w:themeColor="text1"/>
              </w:rPr>
            </w:pPr>
            <w:r w:rsidRPr="00F32542">
              <w:rPr>
                <w:rFonts w:ascii="Arial" w:hAnsi="Arial" w:cs="Arial"/>
                <w:color w:val="000000" w:themeColor="text1"/>
              </w:rPr>
              <w:t>12,978</w:t>
            </w:r>
          </w:p>
        </w:tc>
      </w:tr>
      <w:tr w:rsidR="004B0CC0" w:rsidRPr="00F32542" w14:paraId="33754164" w14:textId="77777777" w:rsidTr="00B65D24">
        <w:trPr>
          <w:trHeight w:val="637"/>
        </w:trPr>
        <w:tc>
          <w:tcPr>
            <w:tcW w:w="4815" w:type="dxa"/>
            <w:gridSpan w:val="2"/>
            <w:shd w:val="clear" w:color="auto" w:fill="D0CECE"/>
            <w:vAlign w:val="center"/>
          </w:tcPr>
          <w:p w14:paraId="3471963F" w14:textId="77777777" w:rsidR="004B0CC0" w:rsidRPr="00F32542" w:rsidRDefault="004B0CC0" w:rsidP="004B0CC0">
            <w:pPr>
              <w:spacing w:after="0" w:line="240" w:lineRule="auto"/>
              <w:jc w:val="center"/>
              <w:rPr>
                <w:rFonts w:ascii="Arial" w:eastAsia="Calibri" w:hAnsi="Arial" w:cs="Arial"/>
                <w:b/>
                <w:color w:val="000000" w:themeColor="text1"/>
              </w:rPr>
            </w:pPr>
            <w:r w:rsidRPr="00F32542">
              <w:rPr>
                <w:rFonts w:ascii="Arial" w:eastAsia="Calibri" w:hAnsi="Arial" w:cs="Arial"/>
                <w:b/>
                <w:color w:val="000000" w:themeColor="text1"/>
              </w:rPr>
              <w:t>Votación local emitida</w:t>
            </w:r>
          </w:p>
        </w:tc>
        <w:tc>
          <w:tcPr>
            <w:tcW w:w="2693" w:type="dxa"/>
            <w:shd w:val="clear" w:color="auto" w:fill="D0CECE"/>
            <w:vAlign w:val="center"/>
          </w:tcPr>
          <w:p w14:paraId="049DC402" w14:textId="77777777" w:rsidR="004B0CC0" w:rsidRPr="00F32542" w:rsidRDefault="004B0CC0" w:rsidP="004B0CC0">
            <w:pPr>
              <w:spacing w:after="0" w:line="240" w:lineRule="auto"/>
              <w:jc w:val="center"/>
              <w:rPr>
                <w:rFonts w:ascii="Arial" w:hAnsi="Arial" w:cs="Arial"/>
                <w:b/>
                <w:color w:val="000000" w:themeColor="text1"/>
              </w:rPr>
            </w:pPr>
            <w:r w:rsidRPr="00F32542">
              <w:rPr>
                <w:rFonts w:ascii="Arial" w:hAnsi="Arial" w:cs="Arial"/>
                <w:color w:val="000000" w:themeColor="text1"/>
              </w:rPr>
              <w:t>3,602,132</w:t>
            </w:r>
          </w:p>
        </w:tc>
      </w:tr>
    </w:tbl>
    <w:p w14:paraId="345A69CD" w14:textId="77777777" w:rsidR="00F57B54" w:rsidRPr="00F32542" w:rsidRDefault="00F57B54" w:rsidP="00F57B54">
      <w:pPr>
        <w:spacing w:after="0" w:line="360" w:lineRule="auto"/>
        <w:contextualSpacing/>
        <w:jc w:val="both"/>
        <w:rPr>
          <w:rFonts w:ascii="Arial" w:eastAsia="Calibri" w:hAnsi="Arial" w:cs="Arial"/>
          <w:color w:val="000000" w:themeColor="text1"/>
          <w:spacing w:val="4"/>
          <w:sz w:val="28"/>
        </w:rPr>
      </w:pPr>
    </w:p>
    <w:p w14:paraId="0B99BA76" w14:textId="77777777" w:rsidR="00F57B54" w:rsidRPr="00F32542" w:rsidRDefault="00F57B54" w:rsidP="00F57B54">
      <w:pPr>
        <w:spacing w:after="0" w:line="360" w:lineRule="auto"/>
        <w:contextualSpacing/>
        <w:jc w:val="both"/>
        <w:rPr>
          <w:rFonts w:ascii="Arial" w:eastAsia="Calibri" w:hAnsi="Arial" w:cs="Arial"/>
          <w:color w:val="000000" w:themeColor="text1"/>
          <w:spacing w:val="4"/>
          <w:sz w:val="28"/>
        </w:rPr>
      </w:pPr>
      <w:r w:rsidRPr="00F32542">
        <w:rPr>
          <w:rFonts w:ascii="Arial" w:eastAsia="Calibri" w:hAnsi="Arial" w:cs="Arial"/>
          <w:color w:val="000000" w:themeColor="text1"/>
          <w:spacing w:val="4"/>
          <w:sz w:val="28"/>
        </w:rPr>
        <w:t xml:space="preserve">El porcentaje de votación local emitida de cada partido es el siguiente: </w:t>
      </w:r>
    </w:p>
    <w:p w14:paraId="2393044E" w14:textId="77777777" w:rsidR="00F57B54" w:rsidRPr="00F32542" w:rsidRDefault="00F57B54" w:rsidP="00F57B54">
      <w:pPr>
        <w:spacing w:after="0" w:line="360" w:lineRule="auto"/>
        <w:contextualSpacing/>
        <w:jc w:val="both"/>
        <w:rPr>
          <w:rFonts w:ascii="Arial" w:eastAsia="Calibri" w:hAnsi="Arial" w:cs="Arial"/>
          <w:color w:val="000000" w:themeColor="text1"/>
          <w:spacing w:val="4"/>
          <w:sz w:val="28"/>
        </w:rPr>
      </w:pPr>
    </w:p>
    <w:tbl>
      <w:tblPr>
        <w:tblW w:w="45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32"/>
        <w:gridCol w:w="2307"/>
        <w:gridCol w:w="2643"/>
      </w:tblGrid>
      <w:tr w:rsidR="00F57B54" w:rsidRPr="00F32542" w14:paraId="46706423" w14:textId="77777777" w:rsidTr="00B65D24">
        <w:trPr>
          <w:trHeight w:val="567"/>
          <w:tblHeader/>
          <w:jc w:val="center"/>
        </w:trPr>
        <w:tc>
          <w:tcPr>
            <w:tcW w:w="1692" w:type="pct"/>
            <w:shd w:val="clear" w:color="auto" w:fill="ACB9CA"/>
            <w:noWrap/>
            <w:vAlign w:val="center"/>
            <w:hideMark/>
          </w:tcPr>
          <w:p w14:paraId="5A18EA18" w14:textId="77777777" w:rsidR="00F57B54" w:rsidRPr="00F32542" w:rsidRDefault="00F57B54" w:rsidP="00F57B54">
            <w:pPr>
              <w:spacing w:after="0" w:line="240" w:lineRule="auto"/>
              <w:jc w:val="center"/>
              <w:rPr>
                <w:rFonts w:ascii="Arial" w:eastAsia="Calibri" w:hAnsi="Arial" w:cs="Arial"/>
                <w:b/>
                <w:bCs/>
                <w:color w:val="000000" w:themeColor="text1"/>
                <w:sz w:val="20"/>
                <w:szCs w:val="20"/>
                <w:lang w:eastAsia="es-MX"/>
              </w:rPr>
            </w:pPr>
            <w:r w:rsidRPr="00F32542">
              <w:rPr>
                <w:rFonts w:ascii="Arial" w:eastAsia="Calibri" w:hAnsi="Arial" w:cs="Arial"/>
                <w:b/>
                <w:bCs/>
                <w:color w:val="000000" w:themeColor="text1"/>
                <w:sz w:val="20"/>
                <w:szCs w:val="20"/>
                <w:lang w:eastAsia="es-MX"/>
              </w:rPr>
              <w:t>Partido Político</w:t>
            </w:r>
          </w:p>
        </w:tc>
        <w:tc>
          <w:tcPr>
            <w:tcW w:w="1542" w:type="pct"/>
            <w:shd w:val="clear" w:color="auto" w:fill="ACB9CA"/>
            <w:vAlign w:val="center"/>
          </w:tcPr>
          <w:p w14:paraId="08D978AF" w14:textId="77777777" w:rsidR="00F57B54" w:rsidRPr="00F32542" w:rsidRDefault="00F57B54" w:rsidP="00F57B54">
            <w:pPr>
              <w:spacing w:after="0" w:line="240" w:lineRule="auto"/>
              <w:jc w:val="center"/>
              <w:rPr>
                <w:rFonts w:ascii="Arial" w:eastAsia="Calibri" w:hAnsi="Arial" w:cs="Arial"/>
                <w:b/>
                <w:bCs/>
                <w:color w:val="000000" w:themeColor="text1"/>
                <w:sz w:val="20"/>
                <w:szCs w:val="20"/>
                <w:lang w:eastAsia="es-MX"/>
              </w:rPr>
            </w:pPr>
            <w:r w:rsidRPr="00F32542">
              <w:rPr>
                <w:rFonts w:ascii="Arial" w:eastAsia="Calibri" w:hAnsi="Arial" w:cs="Arial"/>
                <w:b/>
                <w:bCs/>
                <w:color w:val="000000" w:themeColor="text1"/>
                <w:sz w:val="20"/>
                <w:szCs w:val="20"/>
                <w:lang w:eastAsia="es-MX"/>
              </w:rPr>
              <w:t>Votación Local Emitida</w:t>
            </w:r>
          </w:p>
        </w:tc>
        <w:tc>
          <w:tcPr>
            <w:tcW w:w="1766" w:type="pct"/>
            <w:shd w:val="clear" w:color="auto" w:fill="ACB9CA"/>
            <w:vAlign w:val="center"/>
          </w:tcPr>
          <w:p w14:paraId="19F77C83" w14:textId="77777777" w:rsidR="00F57B54" w:rsidRPr="00F32542" w:rsidRDefault="00F57B54" w:rsidP="00F57B54">
            <w:pPr>
              <w:spacing w:after="0" w:line="240" w:lineRule="auto"/>
              <w:jc w:val="center"/>
              <w:rPr>
                <w:rFonts w:ascii="Arial" w:eastAsia="Calibri" w:hAnsi="Arial" w:cs="Arial"/>
                <w:b/>
                <w:bCs/>
                <w:color w:val="000000" w:themeColor="text1"/>
                <w:sz w:val="20"/>
                <w:szCs w:val="20"/>
                <w:lang w:eastAsia="es-MX"/>
              </w:rPr>
            </w:pPr>
            <w:r w:rsidRPr="00F32542">
              <w:rPr>
                <w:rFonts w:ascii="Arial" w:eastAsia="Calibri" w:hAnsi="Arial" w:cs="Arial"/>
                <w:b/>
                <w:bCs/>
                <w:color w:val="000000" w:themeColor="text1"/>
                <w:sz w:val="20"/>
                <w:szCs w:val="20"/>
                <w:lang w:eastAsia="es-MX"/>
              </w:rPr>
              <w:t>% Votación Local Emitida</w:t>
            </w:r>
          </w:p>
        </w:tc>
      </w:tr>
      <w:tr w:rsidR="00E742D8" w:rsidRPr="00F32542" w14:paraId="2B83E2B5" w14:textId="77777777" w:rsidTr="00B65D24">
        <w:trPr>
          <w:trHeight w:val="284"/>
          <w:jc w:val="center"/>
        </w:trPr>
        <w:tc>
          <w:tcPr>
            <w:tcW w:w="1692" w:type="pct"/>
            <w:shd w:val="clear" w:color="auto" w:fill="auto"/>
            <w:noWrap/>
            <w:vAlign w:val="center"/>
          </w:tcPr>
          <w:p w14:paraId="60BE758B"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PAN</w:t>
            </w:r>
          </w:p>
        </w:tc>
        <w:tc>
          <w:tcPr>
            <w:tcW w:w="1542" w:type="pct"/>
            <w:shd w:val="clear" w:color="auto" w:fill="auto"/>
            <w:vAlign w:val="center"/>
          </w:tcPr>
          <w:p w14:paraId="05B045BE"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hAnsi="Arial" w:cs="Arial"/>
                <w:color w:val="000000" w:themeColor="text1"/>
              </w:rPr>
              <w:t>1,033,617</w:t>
            </w:r>
          </w:p>
        </w:tc>
        <w:tc>
          <w:tcPr>
            <w:tcW w:w="1766" w:type="pct"/>
            <w:vAlign w:val="center"/>
          </w:tcPr>
          <w:p w14:paraId="5670413F"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28.69%</w:t>
            </w:r>
          </w:p>
        </w:tc>
      </w:tr>
      <w:tr w:rsidR="00E742D8" w:rsidRPr="00F32542" w14:paraId="416DB591" w14:textId="77777777" w:rsidTr="00B65D24">
        <w:trPr>
          <w:trHeight w:val="284"/>
          <w:jc w:val="center"/>
        </w:trPr>
        <w:tc>
          <w:tcPr>
            <w:tcW w:w="1692" w:type="pct"/>
            <w:shd w:val="clear" w:color="auto" w:fill="auto"/>
            <w:noWrap/>
            <w:vAlign w:val="center"/>
          </w:tcPr>
          <w:p w14:paraId="7D9D04E7"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PRI</w:t>
            </w:r>
          </w:p>
        </w:tc>
        <w:tc>
          <w:tcPr>
            <w:tcW w:w="1542" w:type="pct"/>
            <w:shd w:val="clear" w:color="auto" w:fill="auto"/>
            <w:vAlign w:val="center"/>
          </w:tcPr>
          <w:p w14:paraId="0BD2193E"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hAnsi="Arial" w:cs="Arial"/>
                <w:color w:val="000000" w:themeColor="text1"/>
              </w:rPr>
              <w:t>581,675</w:t>
            </w:r>
          </w:p>
        </w:tc>
        <w:tc>
          <w:tcPr>
            <w:tcW w:w="1766" w:type="pct"/>
            <w:vAlign w:val="center"/>
          </w:tcPr>
          <w:p w14:paraId="161F14CD" w14:textId="77777777" w:rsidR="00E742D8" w:rsidRPr="00F32542" w:rsidRDefault="00E742D8" w:rsidP="00E742D8">
            <w:pPr>
              <w:spacing w:after="0" w:line="360" w:lineRule="auto"/>
              <w:jc w:val="center"/>
              <w:rPr>
                <w:rFonts w:ascii="Arial" w:eastAsia="Calibri" w:hAnsi="Arial" w:cs="Arial"/>
                <w:color w:val="000000" w:themeColor="text1"/>
              </w:rPr>
            </w:pPr>
            <w:r w:rsidRPr="00F32542">
              <w:rPr>
                <w:rFonts w:ascii="Arial" w:eastAsia="Calibri" w:hAnsi="Arial" w:cs="Arial"/>
                <w:color w:val="000000" w:themeColor="text1"/>
              </w:rPr>
              <w:t>16.15%</w:t>
            </w:r>
          </w:p>
        </w:tc>
      </w:tr>
      <w:tr w:rsidR="00E742D8" w:rsidRPr="00F32542" w14:paraId="5DAAD1C2" w14:textId="77777777" w:rsidTr="00B65D24">
        <w:trPr>
          <w:trHeight w:val="284"/>
          <w:jc w:val="center"/>
        </w:trPr>
        <w:tc>
          <w:tcPr>
            <w:tcW w:w="1692" w:type="pct"/>
            <w:shd w:val="clear" w:color="auto" w:fill="auto"/>
            <w:noWrap/>
            <w:vAlign w:val="center"/>
          </w:tcPr>
          <w:p w14:paraId="28DB6540"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PRD</w:t>
            </w:r>
          </w:p>
        </w:tc>
        <w:tc>
          <w:tcPr>
            <w:tcW w:w="1542" w:type="pct"/>
            <w:shd w:val="clear" w:color="auto" w:fill="auto"/>
            <w:vAlign w:val="center"/>
          </w:tcPr>
          <w:p w14:paraId="03C81F78"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hAnsi="Arial" w:cs="Arial"/>
                <w:color w:val="000000" w:themeColor="text1"/>
              </w:rPr>
              <w:t>207,895</w:t>
            </w:r>
          </w:p>
        </w:tc>
        <w:tc>
          <w:tcPr>
            <w:tcW w:w="1766" w:type="pct"/>
            <w:vAlign w:val="center"/>
          </w:tcPr>
          <w:p w14:paraId="2F6C028E" w14:textId="77777777" w:rsidR="00E742D8" w:rsidRPr="00F32542" w:rsidRDefault="00E742D8" w:rsidP="00E742D8">
            <w:pPr>
              <w:spacing w:after="0" w:line="360" w:lineRule="auto"/>
              <w:jc w:val="center"/>
              <w:rPr>
                <w:rFonts w:ascii="Arial" w:eastAsia="Calibri" w:hAnsi="Arial" w:cs="Arial"/>
                <w:color w:val="000000" w:themeColor="text1"/>
              </w:rPr>
            </w:pPr>
            <w:r w:rsidRPr="00F32542">
              <w:rPr>
                <w:rFonts w:ascii="Arial" w:eastAsia="Calibri" w:hAnsi="Arial" w:cs="Arial"/>
                <w:color w:val="000000" w:themeColor="text1"/>
              </w:rPr>
              <w:t>5.77%</w:t>
            </w:r>
          </w:p>
        </w:tc>
      </w:tr>
      <w:tr w:rsidR="00E742D8" w:rsidRPr="00F32542" w14:paraId="5C2DC716" w14:textId="77777777" w:rsidTr="00B65D24">
        <w:trPr>
          <w:trHeight w:val="284"/>
          <w:jc w:val="center"/>
        </w:trPr>
        <w:tc>
          <w:tcPr>
            <w:tcW w:w="1692" w:type="pct"/>
            <w:shd w:val="clear" w:color="auto" w:fill="FFFFFF" w:themeFill="background1"/>
            <w:noWrap/>
            <w:vAlign w:val="center"/>
          </w:tcPr>
          <w:p w14:paraId="7D3DE6F3"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PVEM</w:t>
            </w:r>
          </w:p>
        </w:tc>
        <w:tc>
          <w:tcPr>
            <w:tcW w:w="1542" w:type="pct"/>
            <w:shd w:val="clear" w:color="auto" w:fill="FFFFFF" w:themeFill="background1"/>
            <w:vAlign w:val="center"/>
          </w:tcPr>
          <w:p w14:paraId="4AD1F28F"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hAnsi="Arial" w:cs="Arial"/>
                <w:color w:val="000000" w:themeColor="text1"/>
              </w:rPr>
              <w:t>125,296</w:t>
            </w:r>
          </w:p>
        </w:tc>
        <w:tc>
          <w:tcPr>
            <w:tcW w:w="1766" w:type="pct"/>
            <w:shd w:val="clear" w:color="auto" w:fill="FFFFFF" w:themeFill="background1"/>
            <w:vAlign w:val="center"/>
          </w:tcPr>
          <w:p w14:paraId="73534292" w14:textId="77777777" w:rsidR="00E742D8" w:rsidRPr="00F32542" w:rsidRDefault="00E742D8" w:rsidP="00E742D8">
            <w:pPr>
              <w:spacing w:after="0" w:line="360" w:lineRule="auto"/>
              <w:jc w:val="center"/>
              <w:rPr>
                <w:rFonts w:ascii="Arial" w:eastAsia="Calibri" w:hAnsi="Arial" w:cs="Arial"/>
                <w:color w:val="000000" w:themeColor="text1"/>
              </w:rPr>
            </w:pPr>
            <w:r w:rsidRPr="00F32542">
              <w:rPr>
                <w:rFonts w:ascii="Arial" w:eastAsia="Calibri" w:hAnsi="Arial" w:cs="Arial"/>
                <w:color w:val="000000" w:themeColor="text1"/>
              </w:rPr>
              <w:t>3.48%</w:t>
            </w:r>
          </w:p>
        </w:tc>
      </w:tr>
      <w:tr w:rsidR="00E742D8" w:rsidRPr="00F32542" w14:paraId="3B509089" w14:textId="77777777" w:rsidTr="00B65D24">
        <w:trPr>
          <w:trHeight w:val="284"/>
          <w:jc w:val="center"/>
        </w:trPr>
        <w:tc>
          <w:tcPr>
            <w:tcW w:w="1692" w:type="pct"/>
            <w:shd w:val="clear" w:color="auto" w:fill="auto"/>
            <w:noWrap/>
            <w:vAlign w:val="center"/>
          </w:tcPr>
          <w:p w14:paraId="633B6E22"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MC</w:t>
            </w:r>
          </w:p>
        </w:tc>
        <w:tc>
          <w:tcPr>
            <w:tcW w:w="1542" w:type="pct"/>
            <w:shd w:val="clear" w:color="auto" w:fill="auto"/>
            <w:vAlign w:val="center"/>
          </w:tcPr>
          <w:p w14:paraId="79FCF1B4"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hAnsi="Arial" w:cs="Arial"/>
                <w:color w:val="000000" w:themeColor="text1"/>
              </w:rPr>
              <w:t>140,324</w:t>
            </w:r>
          </w:p>
        </w:tc>
        <w:tc>
          <w:tcPr>
            <w:tcW w:w="1766" w:type="pct"/>
            <w:vAlign w:val="center"/>
          </w:tcPr>
          <w:p w14:paraId="77D1810C" w14:textId="77777777" w:rsidR="00E742D8" w:rsidRPr="00F32542" w:rsidRDefault="00E742D8" w:rsidP="00E742D8">
            <w:pPr>
              <w:spacing w:after="0" w:line="360" w:lineRule="auto"/>
              <w:jc w:val="center"/>
              <w:rPr>
                <w:rFonts w:ascii="Arial" w:eastAsia="Calibri" w:hAnsi="Arial" w:cs="Arial"/>
                <w:color w:val="000000" w:themeColor="text1"/>
              </w:rPr>
            </w:pPr>
            <w:r w:rsidRPr="00F32542">
              <w:rPr>
                <w:rFonts w:ascii="Arial" w:eastAsia="Calibri" w:hAnsi="Arial" w:cs="Arial"/>
                <w:color w:val="000000" w:themeColor="text1"/>
              </w:rPr>
              <w:t>3.89%</w:t>
            </w:r>
          </w:p>
        </w:tc>
      </w:tr>
      <w:tr w:rsidR="00E742D8" w:rsidRPr="00F32542" w14:paraId="58DB0038" w14:textId="77777777" w:rsidTr="00B65D24">
        <w:trPr>
          <w:trHeight w:val="284"/>
          <w:jc w:val="center"/>
        </w:trPr>
        <w:tc>
          <w:tcPr>
            <w:tcW w:w="1692" w:type="pct"/>
            <w:shd w:val="clear" w:color="auto" w:fill="auto"/>
            <w:noWrap/>
            <w:vAlign w:val="center"/>
          </w:tcPr>
          <w:p w14:paraId="1CC5B642"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lastRenderedPageBreak/>
              <w:t>MORENA</w:t>
            </w:r>
          </w:p>
        </w:tc>
        <w:tc>
          <w:tcPr>
            <w:tcW w:w="1542" w:type="pct"/>
            <w:vAlign w:val="center"/>
          </w:tcPr>
          <w:p w14:paraId="67EDB753"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hAnsi="Arial" w:cs="Arial"/>
                <w:color w:val="000000" w:themeColor="text1"/>
              </w:rPr>
              <w:t>1513325</w:t>
            </w:r>
          </w:p>
        </w:tc>
        <w:tc>
          <w:tcPr>
            <w:tcW w:w="1766" w:type="pct"/>
            <w:vAlign w:val="center"/>
          </w:tcPr>
          <w:p w14:paraId="259ED195" w14:textId="77777777" w:rsidR="00E742D8" w:rsidRPr="00F32542" w:rsidRDefault="00E742D8" w:rsidP="00E742D8">
            <w:pPr>
              <w:spacing w:after="0" w:line="360" w:lineRule="auto"/>
              <w:jc w:val="center"/>
              <w:rPr>
                <w:rFonts w:ascii="Arial" w:eastAsia="Calibri" w:hAnsi="Arial" w:cs="Arial"/>
                <w:color w:val="000000" w:themeColor="text1"/>
              </w:rPr>
            </w:pPr>
            <w:r w:rsidRPr="00F32542">
              <w:rPr>
                <w:rFonts w:ascii="Arial" w:eastAsia="Calibri" w:hAnsi="Arial" w:cs="Arial"/>
                <w:color w:val="000000" w:themeColor="text1"/>
              </w:rPr>
              <w:t>42.01%</w:t>
            </w:r>
          </w:p>
        </w:tc>
      </w:tr>
      <w:tr w:rsidR="00E742D8" w:rsidRPr="00F32542" w14:paraId="2FC2C470" w14:textId="77777777" w:rsidTr="00B65D24">
        <w:trPr>
          <w:trHeight w:val="284"/>
          <w:jc w:val="center"/>
        </w:trPr>
        <w:tc>
          <w:tcPr>
            <w:tcW w:w="1692" w:type="pct"/>
            <w:shd w:val="clear" w:color="auto" w:fill="auto"/>
            <w:noWrap/>
            <w:vAlign w:val="center"/>
          </w:tcPr>
          <w:p w14:paraId="64A43BEF" w14:textId="77777777" w:rsidR="00E742D8" w:rsidRPr="00F32542" w:rsidRDefault="00E742D8" w:rsidP="00E742D8">
            <w:pPr>
              <w:spacing w:after="0" w:line="240" w:lineRule="auto"/>
              <w:jc w:val="center"/>
              <w:rPr>
                <w:rFonts w:ascii="Arial" w:eastAsia="Calibri" w:hAnsi="Arial" w:cs="Arial"/>
                <w:b/>
                <w:color w:val="000000" w:themeColor="text1"/>
              </w:rPr>
            </w:pPr>
            <w:r w:rsidRPr="00F32542">
              <w:rPr>
                <w:rFonts w:ascii="Arial" w:eastAsia="Calibri" w:hAnsi="Arial" w:cs="Arial"/>
                <w:b/>
                <w:color w:val="000000" w:themeColor="text1"/>
              </w:rPr>
              <w:t>Votación local emitida</w:t>
            </w:r>
          </w:p>
        </w:tc>
        <w:tc>
          <w:tcPr>
            <w:tcW w:w="1542" w:type="pct"/>
            <w:vAlign w:val="center"/>
          </w:tcPr>
          <w:p w14:paraId="0B9C26A1" w14:textId="77777777" w:rsidR="00E742D8" w:rsidRPr="00F32542" w:rsidRDefault="00E742D8" w:rsidP="00E742D8">
            <w:pPr>
              <w:spacing w:after="0" w:line="240" w:lineRule="auto"/>
              <w:jc w:val="center"/>
              <w:rPr>
                <w:rFonts w:ascii="Arial" w:eastAsia="Calibri" w:hAnsi="Arial" w:cs="Arial"/>
                <w:b/>
                <w:color w:val="000000" w:themeColor="text1"/>
              </w:rPr>
            </w:pPr>
            <w:r w:rsidRPr="00F32542">
              <w:rPr>
                <w:rFonts w:ascii="Arial" w:eastAsia="Calibri" w:hAnsi="Arial" w:cs="Arial"/>
                <w:b/>
                <w:color w:val="000000" w:themeColor="text1"/>
              </w:rPr>
              <w:fldChar w:fldCharType="begin"/>
            </w:r>
            <w:r w:rsidRPr="00F32542">
              <w:rPr>
                <w:rFonts w:ascii="Arial" w:eastAsia="Calibri" w:hAnsi="Arial" w:cs="Arial"/>
                <w:b/>
                <w:color w:val="000000" w:themeColor="text1"/>
              </w:rPr>
              <w:instrText xml:space="preserve"> =SUM(ABOVE) </w:instrText>
            </w:r>
            <w:r w:rsidRPr="00F32542">
              <w:rPr>
                <w:rFonts w:ascii="Arial" w:eastAsia="Calibri" w:hAnsi="Arial" w:cs="Arial"/>
                <w:b/>
                <w:color w:val="000000" w:themeColor="text1"/>
              </w:rPr>
              <w:fldChar w:fldCharType="separate"/>
            </w:r>
            <w:r w:rsidRPr="00F32542">
              <w:rPr>
                <w:rFonts w:ascii="Arial" w:eastAsia="Calibri" w:hAnsi="Arial" w:cs="Arial"/>
                <w:b/>
                <w:noProof/>
                <w:color w:val="000000" w:themeColor="text1"/>
              </w:rPr>
              <w:t>3,602,132</w:t>
            </w:r>
            <w:r w:rsidRPr="00F32542">
              <w:rPr>
                <w:rFonts w:ascii="Arial" w:eastAsia="Calibri" w:hAnsi="Arial" w:cs="Arial"/>
                <w:b/>
                <w:color w:val="000000" w:themeColor="text1"/>
              </w:rPr>
              <w:fldChar w:fldCharType="end"/>
            </w:r>
          </w:p>
        </w:tc>
        <w:tc>
          <w:tcPr>
            <w:tcW w:w="1766" w:type="pct"/>
            <w:vAlign w:val="center"/>
          </w:tcPr>
          <w:p w14:paraId="0082AA0F" w14:textId="77777777" w:rsidR="00E742D8" w:rsidRPr="00F32542" w:rsidRDefault="00E742D8" w:rsidP="00E742D8">
            <w:pPr>
              <w:spacing w:after="0" w:line="360" w:lineRule="auto"/>
              <w:jc w:val="center"/>
              <w:rPr>
                <w:rFonts w:ascii="Arial" w:eastAsia="Calibri" w:hAnsi="Arial" w:cs="Arial"/>
                <w:b/>
                <w:color w:val="000000" w:themeColor="text1"/>
              </w:rPr>
            </w:pPr>
            <w:r w:rsidRPr="00F32542">
              <w:rPr>
                <w:rFonts w:ascii="Arial" w:eastAsia="Calibri" w:hAnsi="Arial" w:cs="Arial"/>
                <w:b/>
                <w:color w:val="000000" w:themeColor="text1"/>
              </w:rPr>
              <w:t>100%</w:t>
            </w:r>
          </w:p>
        </w:tc>
      </w:tr>
    </w:tbl>
    <w:p w14:paraId="5DF6BF00" w14:textId="77777777" w:rsidR="00F57B54" w:rsidRPr="00F32542" w:rsidRDefault="00F57B54" w:rsidP="00F57B54">
      <w:pPr>
        <w:spacing w:after="0" w:line="360" w:lineRule="auto"/>
        <w:contextualSpacing/>
        <w:jc w:val="both"/>
        <w:rPr>
          <w:rFonts w:ascii="Arial" w:eastAsia="Calibri" w:hAnsi="Arial" w:cs="Arial"/>
          <w:color w:val="000000" w:themeColor="text1"/>
          <w:spacing w:val="4"/>
          <w:sz w:val="28"/>
        </w:rPr>
      </w:pPr>
    </w:p>
    <w:p w14:paraId="5E0A3ED3" w14:textId="77777777" w:rsidR="00F57B54" w:rsidRPr="00F32542" w:rsidRDefault="00F57B54" w:rsidP="00F57B54">
      <w:pPr>
        <w:spacing w:after="0" w:line="360" w:lineRule="auto"/>
        <w:contextualSpacing/>
        <w:jc w:val="both"/>
        <w:rPr>
          <w:rFonts w:ascii="Arial" w:eastAsia="Calibri" w:hAnsi="Arial" w:cs="Arial"/>
          <w:b/>
          <w:color w:val="000000" w:themeColor="text1"/>
          <w:spacing w:val="4"/>
          <w:sz w:val="28"/>
        </w:rPr>
      </w:pPr>
      <w:r w:rsidRPr="00F32542">
        <w:rPr>
          <w:rFonts w:ascii="Arial" w:eastAsia="Calibri" w:hAnsi="Arial" w:cs="Arial"/>
          <w:b/>
          <w:color w:val="000000" w:themeColor="text1"/>
          <w:spacing w:val="4"/>
          <w:sz w:val="28"/>
        </w:rPr>
        <w:t>Cociente natural</w:t>
      </w:r>
    </w:p>
    <w:p w14:paraId="4A190250" w14:textId="77777777" w:rsidR="00F57B54" w:rsidRPr="00F32542" w:rsidRDefault="00F57B54" w:rsidP="00F57B54">
      <w:pPr>
        <w:spacing w:after="0" w:line="360" w:lineRule="auto"/>
        <w:contextualSpacing/>
        <w:jc w:val="both"/>
        <w:rPr>
          <w:rFonts w:ascii="Arial" w:eastAsia="Calibri" w:hAnsi="Arial" w:cs="Arial"/>
          <w:b/>
          <w:color w:val="000000" w:themeColor="text1"/>
          <w:spacing w:val="4"/>
          <w:sz w:val="28"/>
        </w:rPr>
      </w:pPr>
    </w:p>
    <w:p w14:paraId="3C7A92DA" w14:textId="77777777" w:rsidR="00F57B54" w:rsidRPr="00F32542" w:rsidRDefault="00F57B54" w:rsidP="00F57B54">
      <w:pPr>
        <w:spacing w:after="0" w:line="360" w:lineRule="auto"/>
        <w:contextualSpacing/>
        <w:jc w:val="both"/>
        <w:rPr>
          <w:rFonts w:ascii="Arial" w:eastAsia="Calibri" w:hAnsi="Arial" w:cs="Arial"/>
          <w:color w:val="000000" w:themeColor="text1"/>
          <w:spacing w:val="4"/>
          <w:sz w:val="28"/>
        </w:rPr>
      </w:pPr>
      <w:r w:rsidRPr="00F32542">
        <w:rPr>
          <w:rFonts w:ascii="Arial" w:eastAsia="Calibri" w:hAnsi="Arial" w:cs="Arial"/>
          <w:color w:val="000000" w:themeColor="text1"/>
          <w:spacing w:val="4"/>
          <w:sz w:val="28"/>
        </w:rPr>
        <w:t xml:space="preserve">El cociente natural es el primer mecanismo para asignar diputaciones de representación proporcional, se obtiene al dividir la </w:t>
      </w:r>
      <w:r w:rsidRPr="00F32542">
        <w:rPr>
          <w:rFonts w:ascii="Arial" w:eastAsia="Calibri" w:hAnsi="Arial" w:cs="Arial"/>
          <w:b/>
          <w:color w:val="000000" w:themeColor="text1"/>
          <w:spacing w:val="4"/>
          <w:sz w:val="28"/>
        </w:rPr>
        <w:t xml:space="preserve">votación local emitida </w:t>
      </w:r>
      <w:r w:rsidRPr="00F32542">
        <w:rPr>
          <w:rFonts w:ascii="Arial" w:eastAsia="Calibri" w:hAnsi="Arial" w:cs="Arial"/>
          <w:color w:val="000000" w:themeColor="text1"/>
          <w:spacing w:val="4"/>
          <w:sz w:val="28"/>
        </w:rPr>
        <w:t xml:space="preserve">entre el número de curules por el citado principio pendientes de asignar que, en el caso, son treinta y dos (32), dado que un lugar ya fue asignado como resultado de la elección de diputación migrante. </w:t>
      </w:r>
    </w:p>
    <w:p w14:paraId="45607C3A" w14:textId="77777777" w:rsidR="00F57B54" w:rsidRPr="00F32542" w:rsidRDefault="00F57B54" w:rsidP="00F57B54">
      <w:pPr>
        <w:spacing w:after="0" w:line="360" w:lineRule="auto"/>
        <w:contextualSpacing/>
        <w:jc w:val="both"/>
        <w:rPr>
          <w:rFonts w:ascii="Arial" w:eastAsia="Calibri" w:hAnsi="Arial" w:cs="Arial"/>
          <w:color w:val="000000" w:themeColor="text1"/>
          <w:spacing w:val="4"/>
          <w:sz w:val="28"/>
        </w:rPr>
      </w:pPr>
    </w:p>
    <w:p w14:paraId="218A9E68" w14:textId="77777777" w:rsidR="00F57B54" w:rsidRPr="00F32542" w:rsidRDefault="00F57B54" w:rsidP="00F57B54">
      <w:pPr>
        <w:spacing w:after="0" w:line="360" w:lineRule="auto"/>
        <w:contextualSpacing/>
        <w:jc w:val="both"/>
        <w:rPr>
          <w:rFonts w:ascii="Arial" w:eastAsia="Calibri" w:hAnsi="Arial" w:cs="Arial"/>
          <w:color w:val="000000" w:themeColor="text1"/>
          <w:spacing w:val="4"/>
          <w:sz w:val="28"/>
        </w:rPr>
      </w:pPr>
      <w:r w:rsidRPr="00F32542">
        <w:rPr>
          <w:rFonts w:ascii="Arial" w:eastAsia="Calibri" w:hAnsi="Arial" w:cs="Arial"/>
          <w:color w:val="000000" w:themeColor="text1"/>
          <w:spacing w:val="4"/>
          <w:sz w:val="28"/>
        </w:rPr>
        <w:t xml:space="preserve">En esos términos, el cociente natural es el siguiente: </w:t>
      </w:r>
    </w:p>
    <w:p w14:paraId="5DEBAD62" w14:textId="77777777" w:rsidR="00F57B54" w:rsidRPr="00F32542" w:rsidRDefault="00F57B54" w:rsidP="00F57B54">
      <w:pPr>
        <w:spacing w:after="0" w:line="360" w:lineRule="auto"/>
        <w:contextualSpacing/>
        <w:jc w:val="both"/>
        <w:rPr>
          <w:rFonts w:ascii="Arial" w:eastAsia="Calibri" w:hAnsi="Arial" w:cs="Arial"/>
          <w:color w:val="000000" w:themeColor="text1"/>
          <w:spacing w:val="4"/>
          <w:sz w:val="28"/>
        </w:rPr>
      </w:pPr>
    </w:p>
    <w:tbl>
      <w:tblPr>
        <w:tblStyle w:val="Tablaconcuadrcula25"/>
        <w:tblW w:w="0" w:type="auto"/>
        <w:tblLook w:val="04A0" w:firstRow="1" w:lastRow="0" w:firstColumn="1" w:lastColumn="0" w:noHBand="0" w:noVBand="1"/>
      </w:tblPr>
      <w:tblGrid>
        <w:gridCol w:w="2659"/>
        <w:gridCol w:w="2660"/>
        <w:gridCol w:w="2660"/>
      </w:tblGrid>
      <w:tr w:rsidR="00F57B54" w:rsidRPr="00F32542" w14:paraId="27D308BE" w14:textId="77777777" w:rsidTr="00B65D24">
        <w:tc>
          <w:tcPr>
            <w:tcW w:w="2659" w:type="dxa"/>
            <w:shd w:val="clear" w:color="auto" w:fill="AEAAAA"/>
            <w:vAlign w:val="center"/>
          </w:tcPr>
          <w:p w14:paraId="35676BE2" w14:textId="77777777" w:rsidR="00F57B54" w:rsidRPr="00F32542" w:rsidRDefault="00F57B54" w:rsidP="00F57B54">
            <w:pPr>
              <w:spacing w:after="0" w:line="240" w:lineRule="auto"/>
              <w:contextualSpacing/>
              <w:jc w:val="center"/>
              <w:rPr>
                <w:rFonts w:ascii="Arial" w:eastAsia="Calibri" w:hAnsi="Arial" w:cs="Arial"/>
                <w:color w:val="000000" w:themeColor="text1"/>
                <w:spacing w:val="4"/>
                <w:sz w:val="24"/>
                <w:szCs w:val="24"/>
              </w:rPr>
            </w:pPr>
            <w:r w:rsidRPr="00F32542">
              <w:rPr>
                <w:rFonts w:ascii="Arial" w:eastAsia="Calibri" w:hAnsi="Arial" w:cs="Arial"/>
                <w:color w:val="000000" w:themeColor="text1"/>
                <w:spacing w:val="4"/>
                <w:sz w:val="24"/>
                <w:szCs w:val="24"/>
              </w:rPr>
              <w:t>(A)</w:t>
            </w:r>
          </w:p>
          <w:p w14:paraId="5BA28A6D" w14:textId="77777777" w:rsidR="00F57B54" w:rsidRPr="00F32542" w:rsidRDefault="00F57B54" w:rsidP="00F57B54">
            <w:pPr>
              <w:spacing w:after="0" w:line="240" w:lineRule="auto"/>
              <w:contextualSpacing/>
              <w:jc w:val="center"/>
              <w:rPr>
                <w:rFonts w:ascii="Arial" w:eastAsia="Calibri" w:hAnsi="Arial" w:cs="Arial"/>
                <w:color w:val="000000" w:themeColor="text1"/>
                <w:spacing w:val="4"/>
                <w:sz w:val="24"/>
                <w:szCs w:val="24"/>
              </w:rPr>
            </w:pPr>
            <w:r w:rsidRPr="00F32542">
              <w:rPr>
                <w:rFonts w:ascii="Arial" w:eastAsia="Calibri" w:hAnsi="Arial" w:cs="Arial"/>
                <w:color w:val="000000" w:themeColor="text1"/>
                <w:spacing w:val="4"/>
                <w:sz w:val="24"/>
                <w:szCs w:val="24"/>
              </w:rPr>
              <w:t>Votación local emitida</w:t>
            </w:r>
          </w:p>
        </w:tc>
        <w:tc>
          <w:tcPr>
            <w:tcW w:w="2660" w:type="dxa"/>
            <w:shd w:val="clear" w:color="auto" w:fill="AEAAAA"/>
            <w:vAlign w:val="center"/>
          </w:tcPr>
          <w:p w14:paraId="05A562D3" w14:textId="77777777" w:rsidR="00F57B54" w:rsidRPr="00F32542" w:rsidRDefault="00F57B54" w:rsidP="00F57B54">
            <w:pPr>
              <w:spacing w:after="0" w:line="240" w:lineRule="auto"/>
              <w:contextualSpacing/>
              <w:jc w:val="center"/>
              <w:rPr>
                <w:rFonts w:ascii="Arial" w:eastAsia="Calibri" w:hAnsi="Arial" w:cs="Arial"/>
                <w:color w:val="000000" w:themeColor="text1"/>
                <w:spacing w:val="4"/>
                <w:sz w:val="24"/>
                <w:szCs w:val="24"/>
              </w:rPr>
            </w:pPr>
            <w:r w:rsidRPr="00F32542">
              <w:rPr>
                <w:rFonts w:ascii="Arial" w:eastAsia="Calibri" w:hAnsi="Arial" w:cs="Arial"/>
                <w:color w:val="000000" w:themeColor="text1"/>
                <w:spacing w:val="4"/>
                <w:sz w:val="24"/>
                <w:szCs w:val="24"/>
              </w:rPr>
              <w:t>(B)</w:t>
            </w:r>
          </w:p>
          <w:p w14:paraId="34CCE95B" w14:textId="77777777" w:rsidR="00F57B54" w:rsidRPr="00F32542" w:rsidRDefault="00F57B54" w:rsidP="00F57B54">
            <w:pPr>
              <w:spacing w:after="0" w:line="240" w:lineRule="auto"/>
              <w:contextualSpacing/>
              <w:jc w:val="center"/>
              <w:rPr>
                <w:rFonts w:ascii="Arial" w:eastAsia="Calibri" w:hAnsi="Arial" w:cs="Arial"/>
                <w:color w:val="000000" w:themeColor="text1"/>
                <w:spacing w:val="4"/>
                <w:sz w:val="24"/>
                <w:szCs w:val="24"/>
              </w:rPr>
            </w:pPr>
            <w:proofErr w:type="gramStart"/>
            <w:r w:rsidRPr="00F32542">
              <w:rPr>
                <w:rFonts w:ascii="Arial" w:eastAsia="Calibri" w:hAnsi="Arial" w:cs="Arial"/>
                <w:color w:val="000000" w:themeColor="text1"/>
                <w:spacing w:val="4"/>
                <w:sz w:val="24"/>
                <w:szCs w:val="24"/>
              </w:rPr>
              <w:t>Diputaciones a repartir</w:t>
            </w:r>
            <w:proofErr w:type="gramEnd"/>
            <w:r w:rsidRPr="00F32542">
              <w:rPr>
                <w:rFonts w:ascii="Arial" w:eastAsia="Calibri" w:hAnsi="Arial" w:cs="Arial"/>
                <w:color w:val="000000" w:themeColor="text1"/>
                <w:spacing w:val="4"/>
                <w:sz w:val="24"/>
                <w:szCs w:val="24"/>
              </w:rPr>
              <w:t xml:space="preserve"> por RP</w:t>
            </w:r>
          </w:p>
        </w:tc>
        <w:tc>
          <w:tcPr>
            <w:tcW w:w="2660" w:type="dxa"/>
            <w:shd w:val="clear" w:color="auto" w:fill="AEAAAA"/>
            <w:vAlign w:val="center"/>
          </w:tcPr>
          <w:p w14:paraId="34212472" w14:textId="77777777" w:rsidR="00F57B54" w:rsidRPr="00F32542" w:rsidRDefault="00F57B54" w:rsidP="00F57B54">
            <w:pPr>
              <w:spacing w:after="0" w:line="240" w:lineRule="auto"/>
              <w:contextualSpacing/>
              <w:jc w:val="center"/>
              <w:rPr>
                <w:rFonts w:ascii="Arial" w:eastAsia="Calibri" w:hAnsi="Arial" w:cs="Arial"/>
                <w:color w:val="000000" w:themeColor="text1"/>
                <w:spacing w:val="4"/>
                <w:sz w:val="24"/>
                <w:szCs w:val="24"/>
              </w:rPr>
            </w:pPr>
            <w:r w:rsidRPr="00F32542">
              <w:rPr>
                <w:rFonts w:ascii="Arial" w:eastAsia="Calibri" w:hAnsi="Arial" w:cs="Arial"/>
                <w:color w:val="000000" w:themeColor="text1"/>
                <w:spacing w:val="4"/>
                <w:sz w:val="24"/>
                <w:szCs w:val="24"/>
              </w:rPr>
              <w:t>(A/B)</w:t>
            </w:r>
          </w:p>
          <w:p w14:paraId="768001D4" w14:textId="77777777" w:rsidR="00F57B54" w:rsidRPr="00F32542" w:rsidRDefault="00F57B54" w:rsidP="00F57B54">
            <w:pPr>
              <w:spacing w:after="0" w:line="240" w:lineRule="auto"/>
              <w:contextualSpacing/>
              <w:jc w:val="center"/>
              <w:rPr>
                <w:rFonts w:ascii="Arial" w:eastAsia="Calibri" w:hAnsi="Arial" w:cs="Arial"/>
                <w:color w:val="000000" w:themeColor="text1"/>
                <w:spacing w:val="4"/>
                <w:sz w:val="24"/>
                <w:szCs w:val="24"/>
              </w:rPr>
            </w:pPr>
            <w:r w:rsidRPr="00F32542">
              <w:rPr>
                <w:rFonts w:ascii="Arial" w:eastAsia="Calibri" w:hAnsi="Arial" w:cs="Arial"/>
                <w:color w:val="000000" w:themeColor="text1"/>
                <w:spacing w:val="4"/>
                <w:sz w:val="24"/>
                <w:szCs w:val="24"/>
              </w:rPr>
              <w:t>Cociente natural</w:t>
            </w:r>
          </w:p>
        </w:tc>
      </w:tr>
      <w:tr w:rsidR="00E742D8" w:rsidRPr="00F32542" w14:paraId="6F260D29" w14:textId="77777777" w:rsidTr="00B65D24">
        <w:trPr>
          <w:trHeight w:val="670"/>
        </w:trPr>
        <w:tc>
          <w:tcPr>
            <w:tcW w:w="2659" w:type="dxa"/>
            <w:vAlign w:val="center"/>
          </w:tcPr>
          <w:p w14:paraId="66033C0F" w14:textId="77777777" w:rsidR="00E742D8" w:rsidRPr="00F32542" w:rsidRDefault="004B0882" w:rsidP="00E742D8">
            <w:pPr>
              <w:spacing w:after="0" w:line="240" w:lineRule="auto"/>
              <w:contextualSpacing/>
              <w:jc w:val="center"/>
              <w:rPr>
                <w:rFonts w:ascii="Arial" w:eastAsia="Calibri" w:hAnsi="Arial" w:cs="Arial"/>
                <w:color w:val="000000" w:themeColor="text1"/>
                <w:spacing w:val="4"/>
                <w:sz w:val="24"/>
                <w:szCs w:val="24"/>
              </w:rPr>
            </w:pPr>
            <w:r w:rsidRPr="00F32542">
              <w:rPr>
                <w:rFonts w:ascii="Arial" w:eastAsia="Calibri" w:hAnsi="Arial" w:cs="Arial"/>
                <w:b/>
                <w:color w:val="000000" w:themeColor="text1"/>
              </w:rPr>
              <w:fldChar w:fldCharType="begin"/>
            </w:r>
            <w:r w:rsidRPr="00F32542">
              <w:rPr>
                <w:rFonts w:ascii="Arial" w:eastAsia="Calibri" w:hAnsi="Arial" w:cs="Arial"/>
                <w:b/>
                <w:color w:val="000000" w:themeColor="text1"/>
              </w:rPr>
              <w:instrText xml:space="preserve"> =SUM(ABOVE) </w:instrText>
            </w:r>
            <w:r w:rsidRPr="00F32542">
              <w:rPr>
                <w:rFonts w:ascii="Arial" w:eastAsia="Calibri" w:hAnsi="Arial" w:cs="Arial"/>
                <w:b/>
                <w:color w:val="000000" w:themeColor="text1"/>
              </w:rPr>
              <w:fldChar w:fldCharType="separate"/>
            </w:r>
            <w:r w:rsidRPr="00F32542">
              <w:rPr>
                <w:rFonts w:ascii="Arial" w:eastAsia="Calibri" w:hAnsi="Arial" w:cs="Arial"/>
                <w:b/>
                <w:noProof/>
                <w:color w:val="000000" w:themeColor="text1"/>
              </w:rPr>
              <w:t>3,602,132</w:t>
            </w:r>
            <w:r w:rsidRPr="00F32542">
              <w:rPr>
                <w:rFonts w:ascii="Arial" w:eastAsia="Calibri" w:hAnsi="Arial" w:cs="Arial"/>
                <w:b/>
                <w:color w:val="000000" w:themeColor="text1"/>
              </w:rPr>
              <w:fldChar w:fldCharType="end"/>
            </w:r>
          </w:p>
        </w:tc>
        <w:tc>
          <w:tcPr>
            <w:tcW w:w="2660" w:type="dxa"/>
            <w:vAlign w:val="center"/>
          </w:tcPr>
          <w:p w14:paraId="2523FFE4" w14:textId="77777777" w:rsidR="00E742D8" w:rsidRPr="00F32542" w:rsidRDefault="00E742D8" w:rsidP="00E742D8">
            <w:pPr>
              <w:spacing w:after="0" w:line="240" w:lineRule="auto"/>
              <w:contextualSpacing/>
              <w:jc w:val="center"/>
              <w:rPr>
                <w:rFonts w:ascii="Arial" w:eastAsia="Calibri" w:hAnsi="Arial" w:cs="Arial"/>
                <w:color w:val="000000" w:themeColor="text1"/>
                <w:spacing w:val="4"/>
                <w:sz w:val="24"/>
                <w:szCs w:val="24"/>
              </w:rPr>
            </w:pPr>
            <w:r w:rsidRPr="00F32542">
              <w:rPr>
                <w:rFonts w:ascii="Arial" w:eastAsia="Calibri" w:hAnsi="Arial" w:cs="Arial"/>
                <w:color w:val="000000" w:themeColor="text1"/>
                <w:spacing w:val="4"/>
                <w:sz w:val="24"/>
                <w:szCs w:val="24"/>
              </w:rPr>
              <w:t>32</w:t>
            </w:r>
          </w:p>
        </w:tc>
        <w:tc>
          <w:tcPr>
            <w:tcW w:w="2660" w:type="dxa"/>
            <w:vAlign w:val="center"/>
          </w:tcPr>
          <w:p w14:paraId="711C8BA4" w14:textId="77777777" w:rsidR="00E742D8" w:rsidRPr="00F32542" w:rsidRDefault="00E742D8" w:rsidP="00E742D8">
            <w:pPr>
              <w:spacing w:after="0" w:line="240" w:lineRule="auto"/>
              <w:jc w:val="center"/>
              <w:rPr>
                <w:rFonts w:ascii="Arial" w:hAnsi="Arial" w:cs="Arial"/>
                <w:color w:val="000000" w:themeColor="text1"/>
                <w:sz w:val="24"/>
                <w:szCs w:val="24"/>
              </w:rPr>
            </w:pPr>
            <w:r w:rsidRPr="00F32542">
              <w:rPr>
                <w:rFonts w:ascii="Arial" w:hAnsi="Arial" w:cs="Arial"/>
                <w:color w:val="000000" w:themeColor="text1"/>
                <w:sz w:val="24"/>
                <w:szCs w:val="24"/>
              </w:rPr>
              <w:t>112566</w:t>
            </w:r>
          </w:p>
        </w:tc>
      </w:tr>
    </w:tbl>
    <w:p w14:paraId="21D3BE08" w14:textId="77777777" w:rsidR="00F57B54" w:rsidRPr="00F32542" w:rsidRDefault="00F57B54" w:rsidP="00F57B54">
      <w:pPr>
        <w:spacing w:after="0" w:line="360" w:lineRule="auto"/>
        <w:contextualSpacing/>
        <w:jc w:val="both"/>
        <w:rPr>
          <w:rFonts w:ascii="Arial" w:eastAsia="Calibri" w:hAnsi="Arial" w:cs="Arial"/>
          <w:color w:val="000000" w:themeColor="text1"/>
          <w:spacing w:val="4"/>
          <w:sz w:val="28"/>
        </w:rPr>
      </w:pPr>
    </w:p>
    <w:p w14:paraId="532DEE2E" w14:textId="77777777" w:rsidR="00F57B54" w:rsidRPr="00F32542" w:rsidRDefault="00F57B54" w:rsidP="00F57B54">
      <w:pPr>
        <w:spacing w:after="0" w:line="360" w:lineRule="auto"/>
        <w:contextualSpacing/>
        <w:jc w:val="both"/>
        <w:rPr>
          <w:rFonts w:ascii="Arial" w:eastAsia="Calibri" w:hAnsi="Arial" w:cs="Arial"/>
          <w:b/>
          <w:color w:val="000000" w:themeColor="text1"/>
          <w:spacing w:val="4"/>
          <w:sz w:val="28"/>
        </w:rPr>
      </w:pPr>
      <w:r w:rsidRPr="00F32542">
        <w:rPr>
          <w:rFonts w:ascii="Arial" w:eastAsia="Calibri" w:hAnsi="Arial" w:cs="Arial"/>
          <w:b/>
          <w:color w:val="000000" w:themeColor="text1"/>
          <w:spacing w:val="4"/>
          <w:sz w:val="28"/>
        </w:rPr>
        <w:t>Distribución de diputaciones por cociente natural</w:t>
      </w:r>
    </w:p>
    <w:p w14:paraId="24173A2C" w14:textId="77777777" w:rsidR="00F57B54" w:rsidRPr="00F32542" w:rsidRDefault="00F57B54" w:rsidP="00F57B54">
      <w:pPr>
        <w:spacing w:after="0" w:line="360" w:lineRule="auto"/>
        <w:jc w:val="both"/>
        <w:rPr>
          <w:rFonts w:ascii="Arial" w:eastAsia="Calibri" w:hAnsi="Arial" w:cs="Arial"/>
          <w:b/>
          <w:color w:val="000000" w:themeColor="text1"/>
          <w:spacing w:val="4"/>
          <w:sz w:val="28"/>
        </w:rPr>
      </w:pPr>
    </w:p>
    <w:p w14:paraId="2A1F6D32" w14:textId="77777777" w:rsidR="00F57B54" w:rsidRPr="00F32542" w:rsidRDefault="00F57B54" w:rsidP="00F57B54">
      <w:pPr>
        <w:spacing w:after="0" w:line="360" w:lineRule="auto"/>
        <w:jc w:val="both"/>
        <w:rPr>
          <w:rFonts w:ascii="Arial" w:eastAsia="Calibri" w:hAnsi="Arial" w:cs="Arial"/>
          <w:color w:val="000000" w:themeColor="text1"/>
          <w:spacing w:val="4"/>
          <w:sz w:val="28"/>
        </w:rPr>
      </w:pPr>
      <w:r w:rsidRPr="00F32542">
        <w:rPr>
          <w:rFonts w:ascii="Arial" w:eastAsia="Calibri" w:hAnsi="Arial" w:cs="Arial"/>
          <w:color w:val="000000" w:themeColor="text1"/>
          <w:spacing w:val="4"/>
          <w:sz w:val="28"/>
        </w:rPr>
        <w:t>Por cociente natural se asignará a cada partido político con derecho a la asignación tantas diputaciones como número de veces contenga su votación dicho cociente:</w:t>
      </w:r>
    </w:p>
    <w:p w14:paraId="12ACEE62" w14:textId="77777777" w:rsidR="00F57B54" w:rsidRPr="00F32542" w:rsidRDefault="00F57B54" w:rsidP="00F57B54">
      <w:pPr>
        <w:spacing w:after="0" w:line="360" w:lineRule="auto"/>
        <w:jc w:val="both"/>
        <w:rPr>
          <w:rFonts w:ascii="Arial" w:eastAsia="Calibri" w:hAnsi="Arial" w:cs="Arial"/>
          <w:b/>
          <w:color w:val="000000" w:themeColor="text1"/>
          <w:spacing w:val="4"/>
          <w:sz w:val="28"/>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2"/>
        <w:gridCol w:w="1701"/>
        <w:gridCol w:w="1559"/>
        <w:gridCol w:w="1559"/>
        <w:gridCol w:w="1985"/>
      </w:tblGrid>
      <w:tr w:rsidR="00F57B54" w:rsidRPr="00F32542" w14:paraId="1BA15389" w14:textId="77777777" w:rsidTr="00B65D24">
        <w:trPr>
          <w:trHeight w:val="1005"/>
          <w:tblHeader/>
          <w:jc w:val="center"/>
        </w:trPr>
        <w:tc>
          <w:tcPr>
            <w:tcW w:w="2122" w:type="dxa"/>
            <w:shd w:val="clear" w:color="auto" w:fill="AEAAAA"/>
            <w:noWrap/>
            <w:vAlign w:val="center"/>
            <w:hideMark/>
          </w:tcPr>
          <w:p w14:paraId="0F41E991"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Partido político</w:t>
            </w:r>
          </w:p>
        </w:tc>
        <w:tc>
          <w:tcPr>
            <w:tcW w:w="1701" w:type="dxa"/>
            <w:shd w:val="clear" w:color="auto" w:fill="AEAAAA"/>
            <w:noWrap/>
            <w:vAlign w:val="center"/>
            <w:hideMark/>
          </w:tcPr>
          <w:p w14:paraId="6EAA097C"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(a)</w:t>
            </w:r>
          </w:p>
          <w:p w14:paraId="0C3AC187"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Votación</w:t>
            </w:r>
          </w:p>
          <w:p w14:paraId="451F05AD"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local</w:t>
            </w:r>
          </w:p>
          <w:p w14:paraId="52298913"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emitida</w:t>
            </w:r>
          </w:p>
        </w:tc>
        <w:tc>
          <w:tcPr>
            <w:tcW w:w="1559" w:type="dxa"/>
            <w:tcBorders>
              <w:bottom w:val="single" w:sz="4" w:space="0" w:color="auto"/>
            </w:tcBorders>
            <w:shd w:val="clear" w:color="auto" w:fill="AEAAAA"/>
            <w:vAlign w:val="center"/>
          </w:tcPr>
          <w:p w14:paraId="1E7C85D5"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(B)</w:t>
            </w:r>
          </w:p>
          <w:p w14:paraId="2A26ED62"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p>
          <w:p w14:paraId="326D9A80"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Cociente natural</w:t>
            </w:r>
          </w:p>
        </w:tc>
        <w:tc>
          <w:tcPr>
            <w:tcW w:w="1559" w:type="dxa"/>
            <w:tcBorders>
              <w:bottom w:val="single" w:sz="4" w:space="0" w:color="auto"/>
            </w:tcBorders>
            <w:shd w:val="clear" w:color="auto" w:fill="AEAAAA"/>
            <w:vAlign w:val="center"/>
          </w:tcPr>
          <w:p w14:paraId="31CCE86F"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(A/B)</w:t>
            </w:r>
          </w:p>
          <w:p w14:paraId="1CFDAC30"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Veces</w:t>
            </w:r>
          </w:p>
          <w:p w14:paraId="4AC37A50"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que contiene</w:t>
            </w:r>
          </w:p>
          <w:p w14:paraId="483836D7"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su votación</w:t>
            </w:r>
          </w:p>
          <w:p w14:paraId="2F9C9F89"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el cociente</w:t>
            </w:r>
          </w:p>
          <w:p w14:paraId="26A124E9"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natural</w:t>
            </w:r>
          </w:p>
        </w:tc>
        <w:tc>
          <w:tcPr>
            <w:tcW w:w="1985" w:type="dxa"/>
            <w:shd w:val="clear" w:color="auto" w:fill="AEAAAA"/>
            <w:vAlign w:val="center"/>
          </w:tcPr>
          <w:p w14:paraId="0F11C5D4"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Diputaciones</w:t>
            </w:r>
          </w:p>
          <w:p w14:paraId="37DF1EEC"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distribuidas</w:t>
            </w:r>
          </w:p>
          <w:p w14:paraId="05B21376"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por cociente natural</w:t>
            </w:r>
          </w:p>
        </w:tc>
      </w:tr>
      <w:tr w:rsidR="00E742D8" w:rsidRPr="00F32542" w14:paraId="07E8C6D9" w14:textId="77777777" w:rsidTr="00B65D24">
        <w:trPr>
          <w:trHeight w:val="284"/>
          <w:jc w:val="center"/>
        </w:trPr>
        <w:tc>
          <w:tcPr>
            <w:tcW w:w="2122" w:type="dxa"/>
            <w:shd w:val="clear" w:color="auto" w:fill="FFFFFF"/>
            <w:noWrap/>
            <w:vAlign w:val="center"/>
          </w:tcPr>
          <w:p w14:paraId="170E750E"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PAN</w:t>
            </w:r>
          </w:p>
        </w:tc>
        <w:tc>
          <w:tcPr>
            <w:tcW w:w="1701" w:type="dxa"/>
            <w:shd w:val="clear" w:color="auto" w:fill="auto"/>
            <w:noWrap/>
            <w:vAlign w:val="center"/>
          </w:tcPr>
          <w:p w14:paraId="20AD5C1A" w14:textId="77777777" w:rsidR="00E742D8" w:rsidRPr="00F32542" w:rsidRDefault="00E742D8" w:rsidP="00E742D8">
            <w:pPr>
              <w:spacing w:after="0" w:line="360" w:lineRule="auto"/>
              <w:jc w:val="center"/>
              <w:rPr>
                <w:rFonts w:ascii="Arial" w:eastAsia="Calibri" w:hAnsi="Arial" w:cs="Arial"/>
                <w:color w:val="000000" w:themeColor="text1"/>
              </w:rPr>
            </w:pPr>
            <w:r w:rsidRPr="00F32542">
              <w:rPr>
                <w:rFonts w:ascii="Arial" w:hAnsi="Arial" w:cs="Arial"/>
                <w:color w:val="000000" w:themeColor="text1"/>
              </w:rPr>
              <w:t>1,033,617</w:t>
            </w:r>
          </w:p>
        </w:tc>
        <w:tc>
          <w:tcPr>
            <w:tcW w:w="1559" w:type="dxa"/>
            <w:tcBorders>
              <w:top w:val="single" w:sz="4" w:space="0" w:color="auto"/>
              <w:bottom w:val="single" w:sz="4" w:space="0" w:color="auto"/>
            </w:tcBorders>
            <w:shd w:val="clear" w:color="auto" w:fill="auto"/>
            <w:vAlign w:val="center"/>
          </w:tcPr>
          <w:p w14:paraId="35B305E5"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hAnsi="Arial" w:cs="Arial"/>
                <w:color w:val="000000" w:themeColor="text1"/>
              </w:rPr>
              <w:t>112566</w:t>
            </w:r>
          </w:p>
        </w:tc>
        <w:tc>
          <w:tcPr>
            <w:tcW w:w="1559" w:type="dxa"/>
            <w:tcBorders>
              <w:top w:val="single" w:sz="4" w:space="0" w:color="auto"/>
              <w:left w:val="nil"/>
              <w:bottom w:val="single" w:sz="4" w:space="0" w:color="auto"/>
              <w:right w:val="nil"/>
            </w:tcBorders>
            <w:shd w:val="clear" w:color="auto" w:fill="auto"/>
            <w:vAlign w:val="center"/>
          </w:tcPr>
          <w:p w14:paraId="2FF601BA"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9.1823</w:t>
            </w:r>
          </w:p>
        </w:tc>
        <w:tc>
          <w:tcPr>
            <w:tcW w:w="1985" w:type="dxa"/>
            <w:vAlign w:val="center"/>
          </w:tcPr>
          <w:p w14:paraId="0BAD06C1" w14:textId="77777777" w:rsidR="00E742D8" w:rsidRPr="00F32542" w:rsidRDefault="00E742D8" w:rsidP="00E742D8">
            <w:pPr>
              <w:spacing w:after="0" w:line="240" w:lineRule="auto"/>
              <w:jc w:val="center"/>
              <w:rPr>
                <w:rFonts w:ascii="Arial" w:eastAsia="Calibri" w:hAnsi="Arial" w:cs="Arial"/>
                <w:color w:val="000000" w:themeColor="text1"/>
                <w:lang w:val="es-ES"/>
              </w:rPr>
            </w:pPr>
            <w:r w:rsidRPr="00F32542">
              <w:rPr>
                <w:rFonts w:ascii="Arial" w:eastAsia="Calibri" w:hAnsi="Arial" w:cs="Arial"/>
                <w:color w:val="000000" w:themeColor="text1"/>
                <w:lang w:val="es-ES"/>
              </w:rPr>
              <w:t>9</w:t>
            </w:r>
          </w:p>
        </w:tc>
      </w:tr>
      <w:tr w:rsidR="00E742D8" w:rsidRPr="00F32542" w14:paraId="534E11DF" w14:textId="77777777" w:rsidTr="00B65D24">
        <w:trPr>
          <w:trHeight w:val="284"/>
          <w:jc w:val="center"/>
        </w:trPr>
        <w:tc>
          <w:tcPr>
            <w:tcW w:w="2122" w:type="dxa"/>
            <w:shd w:val="clear" w:color="auto" w:fill="FFFFFF"/>
            <w:noWrap/>
            <w:vAlign w:val="center"/>
          </w:tcPr>
          <w:p w14:paraId="0821372C"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PRI</w:t>
            </w:r>
          </w:p>
        </w:tc>
        <w:tc>
          <w:tcPr>
            <w:tcW w:w="1701" w:type="dxa"/>
            <w:shd w:val="clear" w:color="auto" w:fill="auto"/>
            <w:noWrap/>
            <w:vAlign w:val="center"/>
          </w:tcPr>
          <w:p w14:paraId="7D4E3945" w14:textId="77777777" w:rsidR="00E742D8" w:rsidRPr="00F32542" w:rsidRDefault="00E742D8" w:rsidP="00E742D8">
            <w:pPr>
              <w:spacing w:after="0" w:line="360" w:lineRule="auto"/>
              <w:jc w:val="center"/>
              <w:rPr>
                <w:rFonts w:ascii="Arial" w:eastAsia="Calibri" w:hAnsi="Arial" w:cs="Arial"/>
                <w:color w:val="000000" w:themeColor="text1"/>
              </w:rPr>
            </w:pPr>
            <w:r w:rsidRPr="00F32542">
              <w:rPr>
                <w:rFonts w:ascii="Arial" w:hAnsi="Arial" w:cs="Arial"/>
                <w:color w:val="000000" w:themeColor="text1"/>
              </w:rPr>
              <w:t>581,675</w:t>
            </w:r>
          </w:p>
        </w:tc>
        <w:tc>
          <w:tcPr>
            <w:tcW w:w="1559" w:type="dxa"/>
            <w:tcBorders>
              <w:top w:val="single" w:sz="4" w:space="0" w:color="auto"/>
              <w:bottom w:val="single" w:sz="4" w:space="0" w:color="auto"/>
            </w:tcBorders>
            <w:shd w:val="clear" w:color="auto" w:fill="auto"/>
            <w:vAlign w:val="center"/>
          </w:tcPr>
          <w:p w14:paraId="3CF8054D"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hAnsi="Arial" w:cs="Arial"/>
                <w:color w:val="000000" w:themeColor="text1"/>
              </w:rPr>
              <w:t>112566</w:t>
            </w:r>
          </w:p>
        </w:tc>
        <w:tc>
          <w:tcPr>
            <w:tcW w:w="1559" w:type="dxa"/>
            <w:tcBorders>
              <w:top w:val="single" w:sz="4" w:space="0" w:color="auto"/>
              <w:left w:val="nil"/>
              <w:bottom w:val="single" w:sz="4" w:space="0" w:color="auto"/>
              <w:right w:val="nil"/>
            </w:tcBorders>
            <w:shd w:val="clear" w:color="auto" w:fill="auto"/>
            <w:vAlign w:val="center"/>
          </w:tcPr>
          <w:p w14:paraId="11F030EB" w14:textId="77777777" w:rsidR="00E742D8" w:rsidRPr="00F32542" w:rsidRDefault="00E742D8" w:rsidP="00E742D8">
            <w:pPr>
              <w:spacing w:after="0" w:line="360" w:lineRule="auto"/>
              <w:jc w:val="center"/>
              <w:rPr>
                <w:rFonts w:ascii="Arial" w:eastAsia="Calibri" w:hAnsi="Arial" w:cs="Arial"/>
                <w:color w:val="000000" w:themeColor="text1"/>
              </w:rPr>
            </w:pPr>
            <w:r w:rsidRPr="00F32542">
              <w:rPr>
                <w:rFonts w:ascii="Arial" w:eastAsia="Calibri" w:hAnsi="Arial" w:cs="Arial"/>
                <w:color w:val="000000" w:themeColor="text1"/>
              </w:rPr>
              <w:t>5.1674</w:t>
            </w:r>
          </w:p>
        </w:tc>
        <w:tc>
          <w:tcPr>
            <w:tcW w:w="1985" w:type="dxa"/>
            <w:vAlign w:val="center"/>
          </w:tcPr>
          <w:p w14:paraId="469167F6" w14:textId="77777777" w:rsidR="00E742D8" w:rsidRPr="00F32542" w:rsidRDefault="00E742D8" w:rsidP="00E742D8">
            <w:pPr>
              <w:spacing w:after="0" w:line="240" w:lineRule="auto"/>
              <w:jc w:val="center"/>
              <w:rPr>
                <w:rFonts w:ascii="Arial" w:eastAsia="Calibri" w:hAnsi="Arial" w:cs="Arial"/>
                <w:color w:val="000000" w:themeColor="text1"/>
                <w:lang w:val="es-ES"/>
              </w:rPr>
            </w:pPr>
            <w:r w:rsidRPr="00F32542">
              <w:rPr>
                <w:rFonts w:ascii="Arial" w:eastAsia="Calibri" w:hAnsi="Arial" w:cs="Arial"/>
                <w:color w:val="000000" w:themeColor="text1"/>
                <w:lang w:val="es-ES"/>
              </w:rPr>
              <w:t>5</w:t>
            </w:r>
          </w:p>
        </w:tc>
      </w:tr>
      <w:tr w:rsidR="00E742D8" w:rsidRPr="00F32542" w14:paraId="7F691DF3" w14:textId="77777777" w:rsidTr="00B65D24">
        <w:trPr>
          <w:trHeight w:val="284"/>
          <w:jc w:val="center"/>
        </w:trPr>
        <w:tc>
          <w:tcPr>
            <w:tcW w:w="2122" w:type="dxa"/>
            <w:shd w:val="clear" w:color="auto" w:fill="FFFFFF"/>
            <w:noWrap/>
            <w:vAlign w:val="center"/>
          </w:tcPr>
          <w:p w14:paraId="7510791E"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lastRenderedPageBreak/>
              <w:t>PRD</w:t>
            </w:r>
          </w:p>
        </w:tc>
        <w:tc>
          <w:tcPr>
            <w:tcW w:w="1701" w:type="dxa"/>
            <w:shd w:val="clear" w:color="auto" w:fill="auto"/>
            <w:noWrap/>
            <w:vAlign w:val="center"/>
          </w:tcPr>
          <w:p w14:paraId="14035D53" w14:textId="77777777" w:rsidR="00E742D8" w:rsidRPr="00F32542" w:rsidRDefault="00E742D8" w:rsidP="00E742D8">
            <w:pPr>
              <w:spacing w:after="0" w:line="360" w:lineRule="auto"/>
              <w:jc w:val="center"/>
              <w:rPr>
                <w:rFonts w:ascii="Arial" w:eastAsia="Calibri" w:hAnsi="Arial" w:cs="Arial"/>
                <w:color w:val="000000" w:themeColor="text1"/>
              </w:rPr>
            </w:pPr>
            <w:r w:rsidRPr="00F32542">
              <w:rPr>
                <w:rFonts w:ascii="Arial" w:hAnsi="Arial" w:cs="Arial"/>
                <w:color w:val="000000" w:themeColor="text1"/>
              </w:rPr>
              <w:t>207,895</w:t>
            </w:r>
          </w:p>
        </w:tc>
        <w:tc>
          <w:tcPr>
            <w:tcW w:w="1559" w:type="dxa"/>
            <w:tcBorders>
              <w:top w:val="single" w:sz="4" w:space="0" w:color="auto"/>
              <w:bottom w:val="single" w:sz="4" w:space="0" w:color="auto"/>
            </w:tcBorders>
            <w:shd w:val="clear" w:color="auto" w:fill="auto"/>
            <w:vAlign w:val="center"/>
          </w:tcPr>
          <w:p w14:paraId="60200281"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hAnsi="Arial" w:cs="Arial"/>
                <w:color w:val="000000" w:themeColor="text1"/>
              </w:rPr>
              <w:t>112566</w:t>
            </w:r>
          </w:p>
        </w:tc>
        <w:tc>
          <w:tcPr>
            <w:tcW w:w="1559" w:type="dxa"/>
            <w:tcBorders>
              <w:top w:val="single" w:sz="4" w:space="0" w:color="auto"/>
              <w:left w:val="nil"/>
              <w:bottom w:val="single" w:sz="4" w:space="0" w:color="auto"/>
              <w:right w:val="nil"/>
            </w:tcBorders>
            <w:shd w:val="clear" w:color="auto" w:fill="auto"/>
            <w:vAlign w:val="center"/>
          </w:tcPr>
          <w:p w14:paraId="470D0866" w14:textId="77777777" w:rsidR="00E742D8" w:rsidRPr="00F32542" w:rsidRDefault="00E742D8" w:rsidP="00E742D8">
            <w:pPr>
              <w:spacing w:after="0" w:line="360" w:lineRule="auto"/>
              <w:jc w:val="center"/>
              <w:rPr>
                <w:rFonts w:ascii="Arial" w:eastAsia="Calibri" w:hAnsi="Arial" w:cs="Arial"/>
                <w:color w:val="000000" w:themeColor="text1"/>
              </w:rPr>
            </w:pPr>
            <w:r w:rsidRPr="00F32542">
              <w:rPr>
                <w:rFonts w:ascii="Arial" w:eastAsia="Calibri" w:hAnsi="Arial" w:cs="Arial"/>
                <w:color w:val="000000" w:themeColor="text1"/>
              </w:rPr>
              <w:t>1.8468</w:t>
            </w:r>
          </w:p>
        </w:tc>
        <w:tc>
          <w:tcPr>
            <w:tcW w:w="1985" w:type="dxa"/>
            <w:vAlign w:val="center"/>
          </w:tcPr>
          <w:p w14:paraId="5A07FC5B" w14:textId="77777777" w:rsidR="00E742D8" w:rsidRPr="00F32542" w:rsidRDefault="00E742D8" w:rsidP="00E742D8">
            <w:pPr>
              <w:spacing w:after="0" w:line="240" w:lineRule="auto"/>
              <w:jc w:val="center"/>
              <w:rPr>
                <w:rFonts w:ascii="Arial" w:eastAsia="Calibri" w:hAnsi="Arial" w:cs="Arial"/>
                <w:color w:val="000000" w:themeColor="text1"/>
                <w:lang w:val="es-ES"/>
              </w:rPr>
            </w:pPr>
            <w:r w:rsidRPr="00F32542">
              <w:rPr>
                <w:rFonts w:ascii="Arial" w:eastAsia="Calibri" w:hAnsi="Arial" w:cs="Arial"/>
                <w:color w:val="000000" w:themeColor="text1"/>
                <w:lang w:val="es-ES"/>
              </w:rPr>
              <w:t>1</w:t>
            </w:r>
          </w:p>
        </w:tc>
      </w:tr>
      <w:tr w:rsidR="00E742D8" w:rsidRPr="00F32542" w14:paraId="7F81D9AD" w14:textId="77777777" w:rsidTr="00B65D24">
        <w:trPr>
          <w:trHeight w:val="284"/>
          <w:jc w:val="center"/>
        </w:trPr>
        <w:tc>
          <w:tcPr>
            <w:tcW w:w="2122" w:type="dxa"/>
            <w:shd w:val="clear" w:color="auto" w:fill="FFFFFF"/>
            <w:noWrap/>
            <w:vAlign w:val="center"/>
          </w:tcPr>
          <w:p w14:paraId="7EAEECE2"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PVEM</w:t>
            </w:r>
          </w:p>
        </w:tc>
        <w:tc>
          <w:tcPr>
            <w:tcW w:w="1701" w:type="dxa"/>
            <w:shd w:val="clear" w:color="auto" w:fill="auto"/>
            <w:noWrap/>
            <w:vAlign w:val="center"/>
          </w:tcPr>
          <w:p w14:paraId="17C292D0" w14:textId="77777777" w:rsidR="00E742D8" w:rsidRPr="00F32542" w:rsidRDefault="00E742D8" w:rsidP="00E742D8">
            <w:pPr>
              <w:spacing w:after="0" w:line="360" w:lineRule="auto"/>
              <w:jc w:val="center"/>
              <w:rPr>
                <w:rFonts w:ascii="Arial" w:eastAsia="Calibri" w:hAnsi="Arial" w:cs="Arial"/>
                <w:color w:val="000000" w:themeColor="text1"/>
              </w:rPr>
            </w:pPr>
            <w:r w:rsidRPr="00F32542">
              <w:rPr>
                <w:rFonts w:ascii="Arial" w:hAnsi="Arial" w:cs="Arial"/>
                <w:color w:val="000000" w:themeColor="text1"/>
              </w:rPr>
              <w:t>125,296</w:t>
            </w:r>
          </w:p>
        </w:tc>
        <w:tc>
          <w:tcPr>
            <w:tcW w:w="1559" w:type="dxa"/>
            <w:tcBorders>
              <w:top w:val="single" w:sz="4" w:space="0" w:color="auto"/>
              <w:bottom w:val="single" w:sz="4" w:space="0" w:color="auto"/>
            </w:tcBorders>
            <w:shd w:val="clear" w:color="auto" w:fill="auto"/>
            <w:vAlign w:val="center"/>
          </w:tcPr>
          <w:p w14:paraId="1E870105"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hAnsi="Arial" w:cs="Arial"/>
                <w:color w:val="000000" w:themeColor="text1"/>
              </w:rPr>
              <w:t>112566</w:t>
            </w:r>
          </w:p>
        </w:tc>
        <w:tc>
          <w:tcPr>
            <w:tcW w:w="1559" w:type="dxa"/>
            <w:tcBorders>
              <w:top w:val="single" w:sz="4" w:space="0" w:color="auto"/>
              <w:left w:val="nil"/>
              <w:bottom w:val="single" w:sz="4" w:space="0" w:color="auto"/>
              <w:right w:val="nil"/>
            </w:tcBorders>
            <w:shd w:val="clear" w:color="auto" w:fill="auto"/>
            <w:vAlign w:val="center"/>
          </w:tcPr>
          <w:p w14:paraId="3C3ECCEC" w14:textId="77777777" w:rsidR="00E742D8" w:rsidRPr="00F32542" w:rsidRDefault="00E742D8" w:rsidP="00E742D8">
            <w:pPr>
              <w:spacing w:after="0" w:line="360" w:lineRule="auto"/>
              <w:jc w:val="center"/>
              <w:rPr>
                <w:rFonts w:ascii="Arial" w:eastAsia="Calibri" w:hAnsi="Arial" w:cs="Arial"/>
                <w:color w:val="000000" w:themeColor="text1"/>
              </w:rPr>
            </w:pPr>
            <w:r w:rsidRPr="00F32542">
              <w:rPr>
                <w:rFonts w:ascii="Arial" w:eastAsia="Calibri" w:hAnsi="Arial" w:cs="Arial"/>
                <w:color w:val="000000" w:themeColor="text1"/>
              </w:rPr>
              <w:t>1.1130</w:t>
            </w:r>
          </w:p>
        </w:tc>
        <w:tc>
          <w:tcPr>
            <w:tcW w:w="1985" w:type="dxa"/>
            <w:vAlign w:val="center"/>
          </w:tcPr>
          <w:p w14:paraId="504844BD" w14:textId="77777777" w:rsidR="00E742D8" w:rsidRPr="00F32542" w:rsidRDefault="00E742D8" w:rsidP="00E742D8">
            <w:pPr>
              <w:spacing w:after="0" w:line="240" w:lineRule="auto"/>
              <w:jc w:val="center"/>
              <w:rPr>
                <w:rFonts w:ascii="Arial" w:eastAsia="Calibri" w:hAnsi="Arial" w:cs="Arial"/>
                <w:color w:val="000000" w:themeColor="text1"/>
                <w:lang w:val="es-ES"/>
              </w:rPr>
            </w:pPr>
            <w:r w:rsidRPr="00F32542">
              <w:rPr>
                <w:rFonts w:ascii="Arial" w:eastAsia="Calibri" w:hAnsi="Arial" w:cs="Arial"/>
                <w:color w:val="000000" w:themeColor="text1"/>
                <w:lang w:val="es-ES"/>
              </w:rPr>
              <w:t>1</w:t>
            </w:r>
          </w:p>
        </w:tc>
      </w:tr>
      <w:tr w:rsidR="00E742D8" w:rsidRPr="00F32542" w14:paraId="0EAA7E10" w14:textId="77777777" w:rsidTr="00B65D24">
        <w:trPr>
          <w:trHeight w:val="284"/>
          <w:jc w:val="center"/>
        </w:trPr>
        <w:tc>
          <w:tcPr>
            <w:tcW w:w="2122" w:type="dxa"/>
            <w:shd w:val="clear" w:color="auto" w:fill="FFFFFF"/>
            <w:noWrap/>
            <w:vAlign w:val="center"/>
          </w:tcPr>
          <w:p w14:paraId="3388CBF1"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MC</w:t>
            </w:r>
          </w:p>
        </w:tc>
        <w:tc>
          <w:tcPr>
            <w:tcW w:w="1701" w:type="dxa"/>
            <w:shd w:val="clear" w:color="auto" w:fill="auto"/>
            <w:noWrap/>
            <w:vAlign w:val="center"/>
          </w:tcPr>
          <w:p w14:paraId="2204AD67" w14:textId="77777777" w:rsidR="00E742D8" w:rsidRPr="00F32542" w:rsidRDefault="00E742D8" w:rsidP="00E742D8">
            <w:pPr>
              <w:spacing w:after="0" w:line="360" w:lineRule="auto"/>
              <w:jc w:val="center"/>
              <w:rPr>
                <w:rFonts w:ascii="Arial" w:eastAsia="Calibri" w:hAnsi="Arial" w:cs="Arial"/>
                <w:color w:val="000000" w:themeColor="text1"/>
              </w:rPr>
            </w:pPr>
            <w:r w:rsidRPr="00F32542">
              <w:rPr>
                <w:rFonts w:ascii="Arial" w:hAnsi="Arial" w:cs="Arial"/>
                <w:color w:val="000000" w:themeColor="text1"/>
              </w:rPr>
              <w:t>140,324</w:t>
            </w:r>
          </w:p>
        </w:tc>
        <w:tc>
          <w:tcPr>
            <w:tcW w:w="1559" w:type="dxa"/>
            <w:tcBorders>
              <w:top w:val="single" w:sz="4" w:space="0" w:color="auto"/>
              <w:bottom w:val="single" w:sz="4" w:space="0" w:color="auto"/>
            </w:tcBorders>
            <w:shd w:val="clear" w:color="auto" w:fill="auto"/>
            <w:vAlign w:val="center"/>
          </w:tcPr>
          <w:p w14:paraId="287CFB85"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hAnsi="Arial" w:cs="Arial"/>
                <w:color w:val="000000" w:themeColor="text1"/>
              </w:rPr>
              <w:t>112566</w:t>
            </w:r>
          </w:p>
        </w:tc>
        <w:tc>
          <w:tcPr>
            <w:tcW w:w="1559" w:type="dxa"/>
            <w:tcBorders>
              <w:top w:val="single" w:sz="4" w:space="0" w:color="auto"/>
              <w:left w:val="nil"/>
              <w:bottom w:val="single" w:sz="4" w:space="0" w:color="auto"/>
              <w:right w:val="nil"/>
            </w:tcBorders>
            <w:shd w:val="clear" w:color="auto" w:fill="auto"/>
            <w:vAlign w:val="center"/>
          </w:tcPr>
          <w:p w14:paraId="5DC9F282" w14:textId="77777777" w:rsidR="00E742D8" w:rsidRPr="00F32542" w:rsidRDefault="00E742D8" w:rsidP="00E742D8">
            <w:pPr>
              <w:spacing w:after="0" w:line="360" w:lineRule="auto"/>
              <w:jc w:val="center"/>
              <w:rPr>
                <w:rFonts w:ascii="Arial" w:eastAsia="Calibri" w:hAnsi="Arial" w:cs="Arial"/>
                <w:color w:val="000000" w:themeColor="text1"/>
              </w:rPr>
            </w:pPr>
            <w:r w:rsidRPr="00F32542">
              <w:rPr>
                <w:rFonts w:ascii="Arial" w:eastAsia="Calibri" w:hAnsi="Arial" w:cs="Arial"/>
                <w:color w:val="000000" w:themeColor="text1"/>
              </w:rPr>
              <w:t>1.2465</w:t>
            </w:r>
          </w:p>
        </w:tc>
        <w:tc>
          <w:tcPr>
            <w:tcW w:w="1985" w:type="dxa"/>
            <w:vAlign w:val="center"/>
          </w:tcPr>
          <w:p w14:paraId="27695339" w14:textId="77777777" w:rsidR="00E742D8" w:rsidRPr="00F32542" w:rsidRDefault="00E742D8" w:rsidP="00E742D8">
            <w:pPr>
              <w:spacing w:after="0" w:line="240" w:lineRule="auto"/>
              <w:jc w:val="center"/>
              <w:rPr>
                <w:rFonts w:ascii="Arial" w:eastAsia="Calibri" w:hAnsi="Arial" w:cs="Arial"/>
                <w:color w:val="000000" w:themeColor="text1"/>
                <w:lang w:val="es-ES"/>
              </w:rPr>
            </w:pPr>
            <w:r w:rsidRPr="00F32542">
              <w:rPr>
                <w:rFonts w:ascii="Arial" w:eastAsia="Calibri" w:hAnsi="Arial" w:cs="Arial"/>
                <w:color w:val="000000" w:themeColor="text1"/>
                <w:lang w:val="es-ES"/>
              </w:rPr>
              <w:t>1</w:t>
            </w:r>
          </w:p>
        </w:tc>
      </w:tr>
      <w:tr w:rsidR="00E742D8" w:rsidRPr="00F32542" w14:paraId="31014D1E" w14:textId="77777777" w:rsidTr="00B65D24">
        <w:trPr>
          <w:trHeight w:val="284"/>
          <w:jc w:val="center"/>
        </w:trPr>
        <w:tc>
          <w:tcPr>
            <w:tcW w:w="2122" w:type="dxa"/>
            <w:shd w:val="clear" w:color="auto" w:fill="FFFFFF"/>
            <w:noWrap/>
            <w:vAlign w:val="center"/>
          </w:tcPr>
          <w:p w14:paraId="3DB2E2CF"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MORENA</w:t>
            </w:r>
          </w:p>
        </w:tc>
        <w:tc>
          <w:tcPr>
            <w:tcW w:w="1701" w:type="dxa"/>
            <w:shd w:val="clear" w:color="auto" w:fill="auto"/>
            <w:noWrap/>
            <w:vAlign w:val="center"/>
          </w:tcPr>
          <w:p w14:paraId="12B4057B" w14:textId="77777777" w:rsidR="00E742D8" w:rsidRPr="00F32542" w:rsidRDefault="00E742D8" w:rsidP="00E742D8">
            <w:pPr>
              <w:spacing w:after="0" w:line="360" w:lineRule="auto"/>
              <w:jc w:val="center"/>
              <w:rPr>
                <w:rFonts w:ascii="Arial" w:eastAsia="Calibri" w:hAnsi="Arial" w:cs="Arial"/>
                <w:color w:val="000000" w:themeColor="text1"/>
              </w:rPr>
            </w:pPr>
            <w:r w:rsidRPr="00F32542">
              <w:rPr>
                <w:rFonts w:ascii="Arial" w:hAnsi="Arial" w:cs="Arial"/>
                <w:color w:val="000000" w:themeColor="text1"/>
              </w:rPr>
              <w:t>1513325</w:t>
            </w:r>
          </w:p>
        </w:tc>
        <w:tc>
          <w:tcPr>
            <w:tcW w:w="1559" w:type="dxa"/>
            <w:tcBorders>
              <w:top w:val="single" w:sz="4" w:space="0" w:color="auto"/>
              <w:bottom w:val="single" w:sz="4" w:space="0" w:color="auto"/>
            </w:tcBorders>
            <w:shd w:val="clear" w:color="auto" w:fill="auto"/>
            <w:vAlign w:val="center"/>
          </w:tcPr>
          <w:p w14:paraId="1F42F0D7"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hAnsi="Arial" w:cs="Arial"/>
                <w:color w:val="000000" w:themeColor="text1"/>
              </w:rPr>
              <w:t>112566</w:t>
            </w:r>
          </w:p>
        </w:tc>
        <w:tc>
          <w:tcPr>
            <w:tcW w:w="1559" w:type="dxa"/>
            <w:tcBorders>
              <w:top w:val="single" w:sz="4" w:space="0" w:color="auto"/>
              <w:left w:val="nil"/>
              <w:bottom w:val="single" w:sz="4" w:space="0" w:color="auto"/>
              <w:right w:val="nil"/>
            </w:tcBorders>
            <w:shd w:val="clear" w:color="auto" w:fill="auto"/>
            <w:vAlign w:val="center"/>
          </w:tcPr>
          <w:p w14:paraId="661E2193" w14:textId="77777777" w:rsidR="00E742D8" w:rsidRPr="00F32542" w:rsidRDefault="00E742D8" w:rsidP="00E742D8">
            <w:pPr>
              <w:spacing w:after="0" w:line="360" w:lineRule="auto"/>
              <w:jc w:val="center"/>
              <w:rPr>
                <w:rFonts w:ascii="Arial" w:eastAsia="Calibri" w:hAnsi="Arial" w:cs="Arial"/>
                <w:color w:val="000000" w:themeColor="text1"/>
              </w:rPr>
            </w:pPr>
            <w:r w:rsidRPr="00F32542">
              <w:rPr>
                <w:rFonts w:ascii="Arial" w:eastAsia="Calibri" w:hAnsi="Arial" w:cs="Arial"/>
                <w:color w:val="000000" w:themeColor="text1"/>
              </w:rPr>
              <w:t>13.4438</w:t>
            </w:r>
          </w:p>
        </w:tc>
        <w:tc>
          <w:tcPr>
            <w:tcW w:w="1985" w:type="dxa"/>
            <w:vAlign w:val="center"/>
          </w:tcPr>
          <w:p w14:paraId="2CFAEA75" w14:textId="77777777" w:rsidR="00E742D8" w:rsidRPr="00F32542" w:rsidRDefault="00E742D8" w:rsidP="00E742D8">
            <w:pPr>
              <w:spacing w:after="0" w:line="240" w:lineRule="auto"/>
              <w:jc w:val="center"/>
              <w:rPr>
                <w:rFonts w:ascii="Arial" w:eastAsia="Calibri" w:hAnsi="Arial" w:cs="Arial"/>
                <w:color w:val="000000" w:themeColor="text1"/>
                <w:lang w:val="es-ES"/>
              </w:rPr>
            </w:pPr>
            <w:r w:rsidRPr="00F32542">
              <w:rPr>
                <w:rFonts w:ascii="Arial" w:eastAsia="Calibri" w:hAnsi="Arial" w:cs="Arial"/>
                <w:color w:val="000000" w:themeColor="text1"/>
                <w:lang w:val="es-ES"/>
              </w:rPr>
              <w:t>13</w:t>
            </w:r>
          </w:p>
        </w:tc>
      </w:tr>
      <w:tr w:rsidR="00E742D8" w:rsidRPr="00F32542" w14:paraId="4D14A4F5" w14:textId="77777777" w:rsidTr="00B65D24">
        <w:trPr>
          <w:trHeight w:val="699"/>
          <w:jc w:val="center"/>
        </w:trPr>
        <w:tc>
          <w:tcPr>
            <w:tcW w:w="2122" w:type="dxa"/>
            <w:shd w:val="clear" w:color="auto" w:fill="AEAAAA"/>
            <w:noWrap/>
            <w:vAlign w:val="center"/>
          </w:tcPr>
          <w:p w14:paraId="19F83DBC" w14:textId="77777777" w:rsidR="00E742D8" w:rsidRPr="00F32542" w:rsidRDefault="00E742D8" w:rsidP="00E742D8">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 xml:space="preserve">Total </w:t>
            </w:r>
          </w:p>
        </w:tc>
        <w:tc>
          <w:tcPr>
            <w:tcW w:w="1701" w:type="dxa"/>
            <w:shd w:val="clear" w:color="auto" w:fill="AEAAAA"/>
            <w:noWrap/>
            <w:vAlign w:val="center"/>
          </w:tcPr>
          <w:p w14:paraId="636513DC" w14:textId="77777777" w:rsidR="00E742D8" w:rsidRPr="00F32542" w:rsidRDefault="00E742D8" w:rsidP="00E742D8">
            <w:pPr>
              <w:spacing w:after="0" w:line="240" w:lineRule="auto"/>
              <w:jc w:val="center"/>
              <w:rPr>
                <w:rFonts w:ascii="Arial" w:eastAsia="Calibri" w:hAnsi="Arial" w:cs="Arial"/>
                <w:b/>
                <w:bCs/>
                <w:color w:val="000000" w:themeColor="text1"/>
                <w:lang w:val="es-ES" w:eastAsia="es-MX"/>
              </w:rPr>
            </w:pPr>
          </w:p>
        </w:tc>
        <w:tc>
          <w:tcPr>
            <w:tcW w:w="1559" w:type="dxa"/>
            <w:tcBorders>
              <w:top w:val="single" w:sz="4" w:space="0" w:color="auto"/>
            </w:tcBorders>
            <w:shd w:val="clear" w:color="auto" w:fill="AEAAAA"/>
            <w:vAlign w:val="center"/>
          </w:tcPr>
          <w:p w14:paraId="37B7D276" w14:textId="77777777" w:rsidR="00E742D8" w:rsidRPr="00F32542" w:rsidRDefault="00E742D8" w:rsidP="00E742D8">
            <w:pPr>
              <w:spacing w:after="0" w:line="240" w:lineRule="auto"/>
              <w:jc w:val="center"/>
              <w:rPr>
                <w:rFonts w:ascii="Arial" w:eastAsia="Calibri" w:hAnsi="Arial" w:cs="Arial"/>
                <w:b/>
                <w:bCs/>
                <w:color w:val="000000" w:themeColor="text1"/>
                <w:lang w:val="es-ES" w:eastAsia="es-MX"/>
              </w:rPr>
            </w:pPr>
          </w:p>
        </w:tc>
        <w:tc>
          <w:tcPr>
            <w:tcW w:w="1559" w:type="dxa"/>
            <w:tcBorders>
              <w:top w:val="single" w:sz="4" w:space="0" w:color="auto"/>
            </w:tcBorders>
            <w:shd w:val="clear" w:color="auto" w:fill="AEAAAA"/>
            <w:vAlign w:val="center"/>
          </w:tcPr>
          <w:p w14:paraId="2211D628" w14:textId="77777777" w:rsidR="00E742D8" w:rsidRPr="00F32542" w:rsidRDefault="00E742D8" w:rsidP="00E742D8">
            <w:pPr>
              <w:spacing w:after="0" w:line="240" w:lineRule="auto"/>
              <w:jc w:val="center"/>
              <w:rPr>
                <w:rFonts w:ascii="Arial" w:eastAsia="Calibri" w:hAnsi="Arial" w:cs="Arial"/>
                <w:b/>
                <w:bCs/>
                <w:color w:val="000000" w:themeColor="text1"/>
                <w:lang w:val="es-ES" w:eastAsia="es-MX"/>
              </w:rPr>
            </w:pPr>
          </w:p>
        </w:tc>
        <w:tc>
          <w:tcPr>
            <w:tcW w:w="1985" w:type="dxa"/>
            <w:shd w:val="clear" w:color="auto" w:fill="AEAAAA"/>
            <w:vAlign w:val="center"/>
          </w:tcPr>
          <w:p w14:paraId="2151757B" w14:textId="77777777" w:rsidR="00E742D8" w:rsidRPr="00F32542" w:rsidRDefault="00E742D8" w:rsidP="00E742D8">
            <w:pPr>
              <w:spacing w:after="0" w:line="240" w:lineRule="auto"/>
              <w:jc w:val="center"/>
              <w:rPr>
                <w:rFonts w:ascii="Arial" w:eastAsia="Calibri" w:hAnsi="Arial" w:cs="Arial"/>
                <w:b/>
                <w:color w:val="000000" w:themeColor="text1"/>
                <w:lang w:val="es-ES"/>
              </w:rPr>
            </w:pPr>
            <w:r w:rsidRPr="00F32542">
              <w:rPr>
                <w:rFonts w:ascii="Arial" w:eastAsia="Calibri" w:hAnsi="Arial" w:cs="Arial"/>
                <w:b/>
                <w:color w:val="000000" w:themeColor="text1"/>
                <w:lang w:val="es-ES"/>
              </w:rPr>
              <w:fldChar w:fldCharType="begin"/>
            </w:r>
            <w:r w:rsidRPr="00F32542">
              <w:rPr>
                <w:rFonts w:ascii="Arial" w:eastAsia="Calibri" w:hAnsi="Arial" w:cs="Arial"/>
                <w:b/>
                <w:color w:val="000000" w:themeColor="text1"/>
                <w:lang w:val="es-ES"/>
              </w:rPr>
              <w:instrText xml:space="preserve"> =SUM(ABOVE) </w:instrText>
            </w:r>
            <w:r w:rsidRPr="00F32542">
              <w:rPr>
                <w:rFonts w:ascii="Arial" w:eastAsia="Calibri" w:hAnsi="Arial" w:cs="Arial"/>
                <w:b/>
                <w:color w:val="000000" w:themeColor="text1"/>
                <w:lang w:val="es-ES"/>
              </w:rPr>
              <w:fldChar w:fldCharType="separate"/>
            </w:r>
            <w:r w:rsidRPr="00F32542">
              <w:rPr>
                <w:rFonts w:ascii="Arial" w:eastAsia="Calibri" w:hAnsi="Arial" w:cs="Arial"/>
                <w:b/>
                <w:noProof/>
                <w:color w:val="000000" w:themeColor="text1"/>
                <w:lang w:val="es-ES"/>
              </w:rPr>
              <w:t>30</w:t>
            </w:r>
            <w:r w:rsidRPr="00F32542">
              <w:rPr>
                <w:rFonts w:ascii="Arial" w:eastAsia="Calibri" w:hAnsi="Arial" w:cs="Arial"/>
                <w:b/>
                <w:color w:val="000000" w:themeColor="text1"/>
                <w:lang w:val="es-ES"/>
              </w:rPr>
              <w:fldChar w:fldCharType="end"/>
            </w:r>
          </w:p>
        </w:tc>
      </w:tr>
    </w:tbl>
    <w:p w14:paraId="2C092A77" w14:textId="77777777" w:rsidR="00F57B54" w:rsidRPr="00F32542" w:rsidRDefault="00F57B54" w:rsidP="00F57B54">
      <w:pPr>
        <w:spacing w:after="0" w:line="360" w:lineRule="auto"/>
        <w:jc w:val="both"/>
        <w:rPr>
          <w:rFonts w:ascii="Arial" w:eastAsia="Calibri" w:hAnsi="Arial" w:cs="Arial"/>
          <w:color w:val="000000" w:themeColor="text1"/>
          <w:sz w:val="28"/>
        </w:rPr>
      </w:pPr>
    </w:p>
    <w:p w14:paraId="76AEDA70" w14:textId="77777777" w:rsidR="00F57B54" w:rsidRPr="00F32542" w:rsidRDefault="00F57B54" w:rsidP="00F57B54">
      <w:pPr>
        <w:spacing w:after="0" w:line="360" w:lineRule="auto"/>
        <w:jc w:val="both"/>
        <w:rPr>
          <w:rFonts w:ascii="Arial" w:eastAsia="Calibri" w:hAnsi="Arial" w:cs="Arial"/>
          <w:color w:val="000000" w:themeColor="text1"/>
          <w:sz w:val="28"/>
        </w:rPr>
      </w:pPr>
      <w:r w:rsidRPr="00F32542">
        <w:rPr>
          <w:rFonts w:ascii="Arial" w:eastAsia="Calibri" w:hAnsi="Arial" w:cs="Arial"/>
          <w:color w:val="000000" w:themeColor="text1"/>
          <w:sz w:val="28"/>
        </w:rPr>
        <w:t xml:space="preserve">Esto es, mediante cociente natural han sido distribuidas treinta diputaciones, por lo cual quedan dos por repartir. </w:t>
      </w:r>
    </w:p>
    <w:p w14:paraId="2CFEF845" w14:textId="77777777" w:rsidR="00F57B54" w:rsidRPr="00F32542" w:rsidRDefault="00F57B54" w:rsidP="00F57B54">
      <w:pPr>
        <w:spacing w:after="0" w:line="360" w:lineRule="auto"/>
        <w:jc w:val="both"/>
        <w:rPr>
          <w:rFonts w:ascii="Arial" w:eastAsia="Calibri" w:hAnsi="Arial" w:cs="Arial"/>
          <w:color w:val="000000" w:themeColor="text1"/>
          <w:sz w:val="28"/>
        </w:rPr>
      </w:pPr>
    </w:p>
    <w:p w14:paraId="4C873307" w14:textId="77777777" w:rsidR="00F57B54" w:rsidRPr="00F32542" w:rsidRDefault="00F57B54" w:rsidP="00F57B54">
      <w:pPr>
        <w:spacing w:after="0" w:line="360" w:lineRule="auto"/>
        <w:contextualSpacing/>
        <w:jc w:val="both"/>
        <w:rPr>
          <w:rFonts w:ascii="Arial" w:eastAsia="Calibri" w:hAnsi="Arial" w:cs="Arial"/>
          <w:b/>
          <w:color w:val="000000" w:themeColor="text1"/>
          <w:spacing w:val="4"/>
          <w:sz w:val="28"/>
        </w:rPr>
      </w:pPr>
      <w:r w:rsidRPr="00F32542">
        <w:rPr>
          <w:rFonts w:ascii="Arial" w:eastAsia="Calibri" w:hAnsi="Arial" w:cs="Arial"/>
          <w:b/>
          <w:color w:val="000000" w:themeColor="text1"/>
          <w:spacing w:val="4"/>
          <w:sz w:val="28"/>
        </w:rPr>
        <w:t>Resto mayor</w:t>
      </w:r>
    </w:p>
    <w:p w14:paraId="79BD63B7" w14:textId="77777777" w:rsidR="00F57B54" w:rsidRPr="00F32542" w:rsidRDefault="00F57B54" w:rsidP="00F57B54">
      <w:pPr>
        <w:spacing w:after="0" w:line="360" w:lineRule="auto"/>
        <w:jc w:val="both"/>
        <w:rPr>
          <w:rFonts w:ascii="Arial" w:eastAsia="Calibri" w:hAnsi="Arial" w:cs="Arial"/>
          <w:b/>
          <w:color w:val="000000" w:themeColor="text1"/>
          <w:spacing w:val="4"/>
          <w:sz w:val="28"/>
        </w:rPr>
      </w:pPr>
    </w:p>
    <w:p w14:paraId="71A74AF4" w14:textId="77777777" w:rsidR="00F57B54" w:rsidRPr="00F32542" w:rsidRDefault="00F57B54" w:rsidP="00F57B54">
      <w:pPr>
        <w:spacing w:after="0" w:line="360" w:lineRule="auto"/>
        <w:jc w:val="both"/>
        <w:rPr>
          <w:rFonts w:ascii="Arial" w:eastAsia="Calibri" w:hAnsi="Arial" w:cs="Arial"/>
          <w:color w:val="000000" w:themeColor="text1"/>
          <w:spacing w:val="4"/>
          <w:sz w:val="28"/>
        </w:rPr>
      </w:pPr>
      <w:r w:rsidRPr="00F32542">
        <w:rPr>
          <w:rFonts w:ascii="Arial" w:eastAsia="Calibri" w:hAnsi="Arial" w:cs="Arial"/>
          <w:color w:val="000000" w:themeColor="text1"/>
          <w:spacing w:val="4"/>
          <w:sz w:val="28"/>
        </w:rPr>
        <w:t xml:space="preserve">Si después de aplicado el cociente natural aún quedan diputaciones por repartir, se verificarán los remanentes de votación de los partidos políticos una vez deducida la votación ya utilizada, ordenada de forma descendiente. </w:t>
      </w:r>
    </w:p>
    <w:p w14:paraId="39F36D00" w14:textId="77777777" w:rsidR="00F57B54" w:rsidRPr="00F32542" w:rsidRDefault="00F57B54" w:rsidP="00F57B54">
      <w:pPr>
        <w:spacing w:after="0" w:line="360" w:lineRule="auto"/>
        <w:jc w:val="both"/>
        <w:rPr>
          <w:rFonts w:ascii="Arial" w:eastAsia="Calibri" w:hAnsi="Arial" w:cs="Arial"/>
          <w:color w:val="000000" w:themeColor="text1"/>
          <w:spacing w:val="4"/>
          <w:sz w:val="28"/>
        </w:rPr>
      </w:pPr>
    </w:p>
    <w:p w14:paraId="4AA9644D" w14:textId="77777777" w:rsidR="00F57B54" w:rsidRPr="00F32542" w:rsidRDefault="00F57B54" w:rsidP="00F57B54">
      <w:pPr>
        <w:spacing w:after="0" w:line="360" w:lineRule="auto"/>
        <w:jc w:val="both"/>
        <w:rPr>
          <w:rFonts w:ascii="Arial" w:eastAsia="Calibri" w:hAnsi="Arial" w:cs="Arial"/>
          <w:color w:val="000000" w:themeColor="text1"/>
          <w:spacing w:val="4"/>
          <w:sz w:val="28"/>
        </w:rPr>
      </w:pPr>
      <w:r w:rsidRPr="00F32542">
        <w:rPr>
          <w:rFonts w:ascii="Arial" w:eastAsia="Calibri" w:hAnsi="Arial" w:cs="Arial"/>
          <w:color w:val="000000" w:themeColor="text1"/>
          <w:spacing w:val="4"/>
          <w:sz w:val="28"/>
        </w:rPr>
        <w:t xml:space="preserve">Así, las dos curules restantes se distribuyen en los términos siguientes: </w:t>
      </w:r>
    </w:p>
    <w:p w14:paraId="5F79CCDD" w14:textId="77777777" w:rsidR="00F57B54" w:rsidRPr="00F32542" w:rsidRDefault="00F57B54" w:rsidP="00F57B54">
      <w:pPr>
        <w:spacing w:after="0" w:line="360" w:lineRule="auto"/>
        <w:contextualSpacing/>
        <w:jc w:val="both"/>
        <w:rPr>
          <w:rFonts w:ascii="Arial" w:eastAsia="Calibri" w:hAnsi="Arial" w:cs="Arial"/>
          <w:b/>
          <w:color w:val="000000" w:themeColor="text1"/>
          <w:sz w:val="28"/>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2"/>
        <w:gridCol w:w="1554"/>
        <w:gridCol w:w="1275"/>
        <w:gridCol w:w="1276"/>
        <w:gridCol w:w="1276"/>
        <w:gridCol w:w="1417"/>
      </w:tblGrid>
      <w:tr w:rsidR="00F57B54" w:rsidRPr="00F32542" w14:paraId="54BDD851" w14:textId="77777777" w:rsidTr="00B65D24">
        <w:trPr>
          <w:trHeight w:val="1005"/>
          <w:tblHeader/>
          <w:jc w:val="center"/>
        </w:trPr>
        <w:tc>
          <w:tcPr>
            <w:tcW w:w="1702" w:type="dxa"/>
            <w:shd w:val="clear" w:color="auto" w:fill="AEAAAA"/>
            <w:noWrap/>
            <w:vAlign w:val="center"/>
            <w:hideMark/>
          </w:tcPr>
          <w:p w14:paraId="5EB533E4"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 xml:space="preserve">Partido </w:t>
            </w:r>
          </w:p>
          <w:p w14:paraId="6894AA76"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político</w:t>
            </w:r>
          </w:p>
        </w:tc>
        <w:tc>
          <w:tcPr>
            <w:tcW w:w="1554" w:type="dxa"/>
            <w:shd w:val="clear" w:color="auto" w:fill="AEAAAA"/>
            <w:vAlign w:val="center"/>
          </w:tcPr>
          <w:p w14:paraId="2A5C5BA4"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(A)</w:t>
            </w:r>
          </w:p>
          <w:p w14:paraId="34347633"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 xml:space="preserve">Diputaciones distribuidas </w:t>
            </w:r>
          </w:p>
          <w:p w14:paraId="5BA75147"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por</w:t>
            </w:r>
          </w:p>
          <w:p w14:paraId="3CE5E6F6"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cociente</w:t>
            </w:r>
          </w:p>
          <w:p w14:paraId="5ADA40DC"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natural</w:t>
            </w:r>
          </w:p>
        </w:tc>
        <w:tc>
          <w:tcPr>
            <w:tcW w:w="1275" w:type="dxa"/>
            <w:shd w:val="clear" w:color="auto" w:fill="AEAAAA"/>
            <w:vAlign w:val="center"/>
          </w:tcPr>
          <w:p w14:paraId="01F71B6E"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(B)</w:t>
            </w:r>
          </w:p>
          <w:p w14:paraId="7FE406D3"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p>
          <w:p w14:paraId="69E6D1E0"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Cociente natural</w:t>
            </w:r>
          </w:p>
        </w:tc>
        <w:tc>
          <w:tcPr>
            <w:tcW w:w="1276" w:type="dxa"/>
            <w:tcBorders>
              <w:bottom w:val="single" w:sz="4" w:space="0" w:color="auto"/>
            </w:tcBorders>
            <w:shd w:val="clear" w:color="auto" w:fill="AEAAAA"/>
            <w:vAlign w:val="center"/>
          </w:tcPr>
          <w:p w14:paraId="570E6DA4"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w:t>
            </w:r>
            <w:proofErr w:type="spellStart"/>
            <w:r w:rsidRPr="00F32542">
              <w:rPr>
                <w:rFonts w:ascii="Arial" w:eastAsia="Calibri" w:hAnsi="Arial" w:cs="Arial"/>
                <w:b/>
                <w:bCs/>
                <w:color w:val="000000" w:themeColor="text1"/>
                <w:lang w:val="es-ES" w:eastAsia="es-MX"/>
              </w:rPr>
              <w:t>AxB</w:t>
            </w:r>
            <w:proofErr w:type="spellEnd"/>
            <w:r w:rsidRPr="00F32542">
              <w:rPr>
                <w:rFonts w:ascii="Arial" w:eastAsia="Calibri" w:hAnsi="Arial" w:cs="Arial"/>
                <w:b/>
                <w:bCs/>
                <w:color w:val="000000" w:themeColor="text1"/>
                <w:lang w:val="es-ES" w:eastAsia="es-MX"/>
              </w:rPr>
              <w:t>)</w:t>
            </w:r>
          </w:p>
          <w:p w14:paraId="5F9122AA"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p>
          <w:p w14:paraId="5DEBB7C9"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 xml:space="preserve">Votos </w:t>
            </w:r>
          </w:p>
          <w:p w14:paraId="36F686AB"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utilizados</w:t>
            </w:r>
          </w:p>
        </w:tc>
        <w:tc>
          <w:tcPr>
            <w:tcW w:w="1276" w:type="dxa"/>
            <w:shd w:val="clear" w:color="auto" w:fill="AEAAAA"/>
            <w:noWrap/>
            <w:vAlign w:val="center"/>
            <w:hideMark/>
          </w:tcPr>
          <w:p w14:paraId="2A991022"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(C)</w:t>
            </w:r>
          </w:p>
          <w:p w14:paraId="4D0CC32A"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p>
          <w:p w14:paraId="7DA801CA"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Votación local</w:t>
            </w:r>
          </w:p>
          <w:p w14:paraId="315992ED"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emitida</w:t>
            </w:r>
          </w:p>
        </w:tc>
        <w:tc>
          <w:tcPr>
            <w:tcW w:w="1417" w:type="dxa"/>
            <w:shd w:val="clear" w:color="auto" w:fill="AEAAAA"/>
            <w:vAlign w:val="center"/>
          </w:tcPr>
          <w:p w14:paraId="54666158"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[C-(</w:t>
            </w:r>
            <w:proofErr w:type="spellStart"/>
            <w:r w:rsidRPr="00F32542">
              <w:rPr>
                <w:rFonts w:ascii="Arial" w:eastAsia="Calibri" w:hAnsi="Arial" w:cs="Arial"/>
                <w:b/>
                <w:bCs/>
                <w:color w:val="000000" w:themeColor="text1"/>
                <w:lang w:val="es-ES" w:eastAsia="es-MX"/>
              </w:rPr>
              <w:t>AxB</w:t>
            </w:r>
            <w:proofErr w:type="spellEnd"/>
            <w:r w:rsidRPr="00F32542">
              <w:rPr>
                <w:rFonts w:ascii="Arial" w:eastAsia="Calibri" w:hAnsi="Arial" w:cs="Arial"/>
                <w:b/>
                <w:bCs/>
                <w:color w:val="000000" w:themeColor="text1"/>
                <w:lang w:val="es-ES" w:eastAsia="es-MX"/>
              </w:rPr>
              <w:t>)]</w:t>
            </w:r>
          </w:p>
          <w:p w14:paraId="76B13F3D"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p>
          <w:p w14:paraId="08D3F1F0"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 xml:space="preserve">votos </w:t>
            </w:r>
          </w:p>
          <w:p w14:paraId="45F53185"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no utilizados</w:t>
            </w:r>
          </w:p>
          <w:p w14:paraId="6A799108" w14:textId="77777777" w:rsidR="00F57B54" w:rsidRPr="00F32542" w:rsidRDefault="00F57B54" w:rsidP="00F57B54">
            <w:pPr>
              <w:spacing w:after="0" w:line="240" w:lineRule="auto"/>
              <w:jc w:val="center"/>
              <w:rPr>
                <w:rFonts w:ascii="Arial" w:eastAsia="Calibri" w:hAnsi="Arial" w:cs="Arial"/>
                <w:b/>
                <w:bCs/>
                <w:color w:val="000000" w:themeColor="text1"/>
                <w:lang w:val="es-ES" w:eastAsia="es-MX"/>
              </w:rPr>
            </w:pPr>
            <w:r w:rsidRPr="00F32542">
              <w:rPr>
                <w:rFonts w:ascii="Arial" w:eastAsia="Calibri" w:hAnsi="Arial" w:cs="Arial"/>
                <w:b/>
                <w:bCs/>
                <w:color w:val="000000" w:themeColor="text1"/>
                <w:lang w:val="es-ES" w:eastAsia="es-MX"/>
              </w:rPr>
              <w:t>(resto mayor)</w:t>
            </w:r>
          </w:p>
        </w:tc>
      </w:tr>
      <w:tr w:rsidR="00B169D7" w:rsidRPr="00F32542" w14:paraId="09A1815D" w14:textId="77777777" w:rsidTr="00B65D24">
        <w:trPr>
          <w:trHeight w:val="284"/>
          <w:jc w:val="center"/>
        </w:trPr>
        <w:tc>
          <w:tcPr>
            <w:tcW w:w="1702" w:type="dxa"/>
            <w:shd w:val="clear" w:color="auto" w:fill="FFFFFF"/>
            <w:noWrap/>
            <w:vAlign w:val="center"/>
          </w:tcPr>
          <w:p w14:paraId="1220714C" w14:textId="77777777" w:rsidR="00B169D7" w:rsidRPr="00F32542" w:rsidRDefault="00B169D7" w:rsidP="00B169D7">
            <w:pPr>
              <w:spacing w:after="0" w:line="240" w:lineRule="auto"/>
              <w:jc w:val="center"/>
              <w:rPr>
                <w:rFonts w:ascii="Arial" w:eastAsia="Calibri" w:hAnsi="Arial" w:cs="Arial"/>
                <w:color w:val="000000" w:themeColor="text1"/>
                <w:sz w:val="26"/>
                <w:szCs w:val="26"/>
              </w:rPr>
            </w:pPr>
            <w:r w:rsidRPr="00F32542">
              <w:rPr>
                <w:rFonts w:ascii="Arial" w:eastAsia="Calibri" w:hAnsi="Arial" w:cs="Arial"/>
                <w:color w:val="000000" w:themeColor="text1"/>
                <w:sz w:val="26"/>
                <w:szCs w:val="26"/>
              </w:rPr>
              <w:t>PAN</w:t>
            </w:r>
          </w:p>
        </w:tc>
        <w:tc>
          <w:tcPr>
            <w:tcW w:w="1554" w:type="dxa"/>
            <w:vAlign w:val="center"/>
          </w:tcPr>
          <w:p w14:paraId="01A72A3C" w14:textId="77777777" w:rsidR="00B169D7" w:rsidRPr="00F32542" w:rsidRDefault="00B169D7" w:rsidP="00B169D7">
            <w:pPr>
              <w:spacing w:after="0" w:line="240" w:lineRule="auto"/>
              <w:jc w:val="center"/>
              <w:rPr>
                <w:rFonts w:ascii="Arial" w:eastAsia="Calibri" w:hAnsi="Arial" w:cs="Arial"/>
                <w:color w:val="000000" w:themeColor="text1"/>
                <w:lang w:val="es-ES"/>
              </w:rPr>
            </w:pPr>
            <w:r w:rsidRPr="00F32542">
              <w:rPr>
                <w:rFonts w:ascii="Arial" w:eastAsia="Calibri" w:hAnsi="Arial" w:cs="Arial"/>
                <w:color w:val="000000" w:themeColor="text1"/>
                <w:lang w:val="es-ES"/>
              </w:rPr>
              <w:t>9</w:t>
            </w:r>
          </w:p>
        </w:tc>
        <w:tc>
          <w:tcPr>
            <w:tcW w:w="1275" w:type="dxa"/>
            <w:vAlign w:val="center"/>
          </w:tcPr>
          <w:p w14:paraId="050BE710" w14:textId="77777777" w:rsidR="00B169D7" w:rsidRPr="00F32542" w:rsidRDefault="00B169D7" w:rsidP="00B169D7">
            <w:pPr>
              <w:spacing w:after="0" w:line="240" w:lineRule="auto"/>
              <w:jc w:val="center"/>
              <w:rPr>
                <w:rFonts w:ascii="Arial" w:eastAsia="Calibri" w:hAnsi="Arial" w:cs="Arial"/>
                <w:color w:val="000000" w:themeColor="text1"/>
              </w:rPr>
            </w:pPr>
            <w:r w:rsidRPr="00F32542">
              <w:rPr>
                <w:rFonts w:ascii="Arial" w:hAnsi="Arial" w:cs="Arial"/>
                <w:color w:val="000000" w:themeColor="text1"/>
              </w:rPr>
              <w:t>112566</w:t>
            </w:r>
          </w:p>
        </w:tc>
        <w:tc>
          <w:tcPr>
            <w:tcW w:w="1276" w:type="dxa"/>
            <w:tcBorders>
              <w:top w:val="single" w:sz="4" w:space="0" w:color="auto"/>
              <w:left w:val="nil"/>
              <w:bottom w:val="single" w:sz="4" w:space="0" w:color="auto"/>
              <w:right w:val="nil"/>
            </w:tcBorders>
            <w:shd w:val="clear" w:color="auto" w:fill="auto"/>
            <w:vAlign w:val="center"/>
          </w:tcPr>
          <w:p w14:paraId="34AC0B2F" w14:textId="77777777" w:rsidR="00B169D7" w:rsidRPr="00F32542" w:rsidRDefault="00B169D7" w:rsidP="00B169D7">
            <w:pPr>
              <w:spacing w:after="0" w:line="240" w:lineRule="auto"/>
              <w:jc w:val="center"/>
              <w:rPr>
                <w:rFonts w:ascii="Arial" w:eastAsia="Calibri" w:hAnsi="Arial" w:cs="Arial"/>
                <w:color w:val="000000" w:themeColor="text1"/>
              </w:rPr>
            </w:pPr>
            <w:r w:rsidRPr="00F32542">
              <w:rPr>
                <w:rFonts w:ascii="Arial" w:hAnsi="Arial" w:cs="Arial"/>
                <w:color w:val="000000" w:themeColor="text1"/>
              </w:rPr>
              <w:t>1013094</w:t>
            </w:r>
          </w:p>
        </w:tc>
        <w:tc>
          <w:tcPr>
            <w:tcW w:w="1276" w:type="dxa"/>
            <w:shd w:val="clear" w:color="auto" w:fill="auto"/>
            <w:noWrap/>
            <w:vAlign w:val="center"/>
          </w:tcPr>
          <w:p w14:paraId="4735DC27" w14:textId="77777777" w:rsidR="00B169D7" w:rsidRPr="00F32542" w:rsidRDefault="00B169D7" w:rsidP="00B169D7">
            <w:pPr>
              <w:spacing w:after="0" w:line="360" w:lineRule="auto"/>
              <w:jc w:val="center"/>
              <w:rPr>
                <w:rFonts w:ascii="Arial" w:eastAsia="Calibri" w:hAnsi="Arial" w:cs="Arial"/>
                <w:color w:val="000000" w:themeColor="text1"/>
              </w:rPr>
            </w:pPr>
            <w:r w:rsidRPr="00F32542">
              <w:rPr>
                <w:rFonts w:ascii="Arial" w:hAnsi="Arial" w:cs="Arial"/>
                <w:color w:val="000000" w:themeColor="text1"/>
              </w:rPr>
              <w:t>1,033,617</w:t>
            </w:r>
          </w:p>
        </w:tc>
        <w:tc>
          <w:tcPr>
            <w:tcW w:w="1417" w:type="dxa"/>
            <w:shd w:val="clear" w:color="auto" w:fill="auto"/>
            <w:vAlign w:val="center"/>
          </w:tcPr>
          <w:p w14:paraId="784BA90E" w14:textId="77777777" w:rsidR="00B169D7" w:rsidRPr="00F32542" w:rsidRDefault="00B169D7" w:rsidP="00B169D7">
            <w:pPr>
              <w:spacing w:after="0" w:line="240" w:lineRule="auto"/>
              <w:jc w:val="center"/>
              <w:rPr>
                <w:rFonts w:ascii="Arial" w:eastAsia="Calibri" w:hAnsi="Arial" w:cs="Arial"/>
                <w:color w:val="000000" w:themeColor="text1"/>
                <w:lang w:val="es-ES"/>
              </w:rPr>
            </w:pPr>
            <w:r w:rsidRPr="00F32542">
              <w:rPr>
                <w:rFonts w:ascii="Arial" w:hAnsi="Arial" w:cs="Arial"/>
                <w:color w:val="000000" w:themeColor="text1"/>
              </w:rPr>
              <w:t>20,523</w:t>
            </w:r>
          </w:p>
        </w:tc>
      </w:tr>
      <w:tr w:rsidR="00B169D7" w:rsidRPr="00F32542" w14:paraId="01F76188" w14:textId="77777777" w:rsidTr="00B65D24">
        <w:trPr>
          <w:trHeight w:val="284"/>
          <w:jc w:val="center"/>
        </w:trPr>
        <w:tc>
          <w:tcPr>
            <w:tcW w:w="1702" w:type="dxa"/>
            <w:shd w:val="clear" w:color="auto" w:fill="FFFFFF"/>
            <w:noWrap/>
            <w:vAlign w:val="center"/>
          </w:tcPr>
          <w:p w14:paraId="13EC8941" w14:textId="77777777" w:rsidR="00B169D7" w:rsidRPr="00F32542" w:rsidRDefault="00B169D7" w:rsidP="00B169D7">
            <w:pPr>
              <w:spacing w:after="0" w:line="240" w:lineRule="auto"/>
              <w:jc w:val="center"/>
              <w:rPr>
                <w:rFonts w:ascii="Arial" w:eastAsia="Calibri" w:hAnsi="Arial" w:cs="Arial"/>
                <w:color w:val="000000" w:themeColor="text1"/>
                <w:sz w:val="26"/>
                <w:szCs w:val="26"/>
              </w:rPr>
            </w:pPr>
            <w:r w:rsidRPr="00F32542">
              <w:rPr>
                <w:rFonts w:ascii="Arial" w:eastAsia="Calibri" w:hAnsi="Arial" w:cs="Arial"/>
                <w:color w:val="000000" w:themeColor="text1"/>
                <w:sz w:val="26"/>
                <w:szCs w:val="26"/>
              </w:rPr>
              <w:t>PRI</w:t>
            </w:r>
          </w:p>
        </w:tc>
        <w:tc>
          <w:tcPr>
            <w:tcW w:w="1554" w:type="dxa"/>
            <w:vAlign w:val="center"/>
          </w:tcPr>
          <w:p w14:paraId="745A4C7D" w14:textId="77777777" w:rsidR="00B169D7" w:rsidRPr="00F32542" w:rsidRDefault="00B169D7" w:rsidP="00B169D7">
            <w:pPr>
              <w:spacing w:after="0" w:line="240" w:lineRule="auto"/>
              <w:jc w:val="center"/>
              <w:rPr>
                <w:rFonts w:ascii="Arial" w:eastAsia="Calibri" w:hAnsi="Arial" w:cs="Arial"/>
                <w:color w:val="000000" w:themeColor="text1"/>
                <w:lang w:val="es-ES"/>
              </w:rPr>
            </w:pPr>
            <w:r w:rsidRPr="00F32542">
              <w:rPr>
                <w:rFonts w:ascii="Arial" w:eastAsia="Calibri" w:hAnsi="Arial" w:cs="Arial"/>
                <w:color w:val="000000" w:themeColor="text1"/>
                <w:lang w:val="es-ES"/>
              </w:rPr>
              <w:t>5</w:t>
            </w:r>
          </w:p>
        </w:tc>
        <w:tc>
          <w:tcPr>
            <w:tcW w:w="1275" w:type="dxa"/>
            <w:vAlign w:val="center"/>
          </w:tcPr>
          <w:p w14:paraId="47355B5C" w14:textId="77777777" w:rsidR="00B169D7" w:rsidRPr="00F32542" w:rsidRDefault="00B169D7" w:rsidP="00B169D7">
            <w:pPr>
              <w:spacing w:after="0" w:line="240" w:lineRule="auto"/>
              <w:jc w:val="center"/>
              <w:rPr>
                <w:rFonts w:ascii="Arial" w:eastAsia="Calibri" w:hAnsi="Arial" w:cs="Arial"/>
                <w:color w:val="000000" w:themeColor="text1"/>
              </w:rPr>
            </w:pPr>
            <w:r w:rsidRPr="00F32542">
              <w:rPr>
                <w:rFonts w:ascii="Arial" w:hAnsi="Arial" w:cs="Arial"/>
                <w:color w:val="000000" w:themeColor="text1"/>
              </w:rPr>
              <w:t>112566</w:t>
            </w:r>
          </w:p>
        </w:tc>
        <w:tc>
          <w:tcPr>
            <w:tcW w:w="1276" w:type="dxa"/>
            <w:tcBorders>
              <w:top w:val="single" w:sz="4" w:space="0" w:color="auto"/>
              <w:left w:val="nil"/>
              <w:bottom w:val="single" w:sz="4" w:space="0" w:color="auto"/>
              <w:right w:val="nil"/>
            </w:tcBorders>
            <w:shd w:val="clear" w:color="auto" w:fill="auto"/>
            <w:vAlign w:val="center"/>
          </w:tcPr>
          <w:p w14:paraId="64FEAD50" w14:textId="77777777" w:rsidR="00B169D7" w:rsidRPr="00F32542" w:rsidRDefault="001911D5" w:rsidP="00B169D7">
            <w:pPr>
              <w:spacing w:after="0" w:line="360" w:lineRule="auto"/>
              <w:jc w:val="center"/>
              <w:rPr>
                <w:rFonts w:ascii="Arial" w:eastAsia="Calibri" w:hAnsi="Arial" w:cs="Arial"/>
                <w:color w:val="000000" w:themeColor="text1"/>
              </w:rPr>
            </w:pPr>
            <w:r w:rsidRPr="00F32542">
              <w:rPr>
                <w:rFonts w:ascii="Arial" w:hAnsi="Arial" w:cs="Arial"/>
                <w:color w:val="000000" w:themeColor="text1"/>
              </w:rPr>
              <w:t>562830</w:t>
            </w:r>
          </w:p>
        </w:tc>
        <w:tc>
          <w:tcPr>
            <w:tcW w:w="1276" w:type="dxa"/>
            <w:shd w:val="clear" w:color="auto" w:fill="auto"/>
            <w:noWrap/>
            <w:vAlign w:val="center"/>
          </w:tcPr>
          <w:p w14:paraId="194BCE8D" w14:textId="77777777" w:rsidR="00B169D7" w:rsidRPr="00F32542" w:rsidRDefault="00B169D7" w:rsidP="00B169D7">
            <w:pPr>
              <w:spacing w:after="0" w:line="360" w:lineRule="auto"/>
              <w:jc w:val="center"/>
              <w:rPr>
                <w:rFonts w:ascii="Arial" w:eastAsia="Calibri" w:hAnsi="Arial" w:cs="Arial"/>
                <w:color w:val="000000" w:themeColor="text1"/>
              </w:rPr>
            </w:pPr>
            <w:r w:rsidRPr="00F32542">
              <w:rPr>
                <w:rFonts w:ascii="Arial" w:hAnsi="Arial" w:cs="Arial"/>
                <w:color w:val="000000" w:themeColor="text1"/>
              </w:rPr>
              <w:t>581,675</w:t>
            </w:r>
          </w:p>
        </w:tc>
        <w:tc>
          <w:tcPr>
            <w:tcW w:w="1417" w:type="dxa"/>
            <w:shd w:val="clear" w:color="auto" w:fill="auto"/>
            <w:vAlign w:val="center"/>
          </w:tcPr>
          <w:p w14:paraId="0C3FADB3" w14:textId="77777777" w:rsidR="00B169D7" w:rsidRPr="00F32542" w:rsidRDefault="00B169D7" w:rsidP="001911D5">
            <w:pPr>
              <w:spacing w:after="0" w:line="240" w:lineRule="auto"/>
              <w:jc w:val="center"/>
              <w:rPr>
                <w:rFonts w:ascii="Arial" w:eastAsia="Calibri" w:hAnsi="Arial" w:cs="Arial"/>
                <w:color w:val="000000" w:themeColor="text1"/>
                <w:lang w:val="es-ES"/>
              </w:rPr>
            </w:pPr>
            <w:r w:rsidRPr="00F32542">
              <w:rPr>
                <w:rFonts w:ascii="Arial" w:hAnsi="Arial" w:cs="Arial"/>
                <w:color w:val="000000" w:themeColor="text1"/>
              </w:rPr>
              <w:t>18,8</w:t>
            </w:r>
            <w:r w:rsidR="001911D5" w:rsidRPr="00F32542">
              <w:rPr>
                <w:rFonts w:ascii="Arial" w:hAnsi="Arial" w:cs="Arial"/>
                <w:color w:val="000000" w:themeColor="text1"/>
              </w:rPr>
              <w:t>4</w:t>
            </w:r>
            <w:r w:rsidRPr="00F32542">
              <w:rPr>
                <w:rFonts w:ascii="Arial" w:hAnsi="Arial" w:cs="Arial"/>
                <w:color w:val="000000" w:themeColor="text1"/>
              </w:rPr>
              <w:t>5</w:t>
            </w:r>
          </w:p>
        </w:tc>
      </w:tr>
      <w:tr w:rsidR="001911D5" w:rsidRPr="00F32542" w14:paraId="4EAC9C32" w14:textId="77777777" w:rsidTr="00B65D24">
        <w:trPr>
          <w:trHeight w:val="284"/>
          <w:jc w:val="center"/>
        </w:trPr>
        <w:tc>
          <w:tcPr>
            <w:tcW w:w="1702" w:type="dxa"/>
            <w:shd w:val="clear" w:color="auto" w:fill="FFFFFF"/>
            <w:noWrap/>
            <w:vAlign w:val="center"/>
          </w:tcPr>
          <w:p w14:paraId="0A65460C" w14:textId="77777777" w:rsidR="001911D5" w:rsidRPr="00F32542" w:rsidRDefault="001911D5" w:rsidP="001911D5">
            <w:pPr>
              <w:spacing w:after="0" w:line="240" w:lineRule="auto"/>
              <w:jc w:val="center"/>
              <w:rPr>
                <w:rFonts w:ascii="Arial" w:eastAsia="Calibri" w:hAnsi="Arial" w:cs="Arial"/>
                <w:color w:val="000000" w:themeColor="text1"/>
                <w:sz w:val="26"/>
                <w:szCs w:val="26"/>
              </w:rPr>
            </w:pPr>
            <w:r w:rsidRPr="00F32542">
              <w:rPr>
                <w:rFonts w:ascii="Arial" w:eastAsia="Calibri" w:hAnsi="Arial" w:cs="Arial"/>
                <w:color w:val="000000" w:themeColor="text1"/>
                <w:sz w:val="26"/>
                <w:szCs w:val="26"/>
              </w:rPr>
              <w:t>PRD</w:t>
            </w:r>
          </w:p>
        </w:tc>
        <w:tc>
          <w:tcPr>
            <w:tcW w:w="1554" w:type="dxa"/>
            <w:vAlign w:val="center"/>
          </w:tcPr>
          <w:p w14:paraId="6A3CF135" w14:textId="77777777" w:rsidR="001911D5" w:rsidRPr="00F32542" w:rsidRDefault="001911D5" w:rsidP="001911D5">
            <w:pPr>
              <w:spacing w:after="0" w:line="240" w:lineRule="auto"/>
              <w:jc w:val="center"/>
              <w:rPr>
                <w:rFonts w:ascii="Arial" w:eastAsia="Calibri" w:hAnsi="Arial" w:cs="Arial"/>
                <w:color w:val="000000" w:themeColor="text1"/>
                <w:lang w:val="es-ES"/>
              </w:rPr>
            </w:pPr>
            <w:r w:rsidRPr="00F32542">
              <w:rPr>
                <w:rFonts w:ascii="Arial" w:eastAsia="Calibri" w:hAnsi="Arial" w:cs="Arial"/>
                <w:color w:val="000000" w:themeColor="text1"/>
                <w:lang w:val="es-ES"/>
              </w:rPr>
              <w:t>1</w:t>
            </w:r>
          </w:p>
        </w:tc>
        <w:tc>
          <w:tcPr>
            <w:tcW w:w="1275" w:type="dxa"/>
            <w:vAlign w:val="center"/>
          </w:tcPr>
          <w:p w14:paraId="3EFE6D97" w14:textId="77777777" w:rsidR="001911D5" w:rsidRPr="00F32542" w:rsidRDefault="001911D5" w:rsidP="001911D5">
            <w:pPr>
              <w:spacing w:after="0" w:line="240" w:lineRule="auto"/>
              <w:jc w:val="center"/>
              <w:rPr>
                <w:rFonts w:ascii="Arial" w:eastAsia="Calibri" w:hAnsi="Arial" w:cs="Arial"/>
                <w:color w:val="000000" w:themeColor="text1"/>
              </w:rPr>
            </w:pPr>
            <w:r w:rsidRPr="00F32542">
              <w:rPr>
                <w:rFonts w:ascii="Arial" w:hAnsi="Arial" w:cs="Arial"/>
                <w:color w:val="000000" w:themeColor="text1"/>
              </w:rPr>
              <w:t>112566</w:t>
            </w:r>
          </w:p>
        </w:tc>
        <w:tc>
          <w:tcPr>
            <w:tcW w:w="1276" w:type="dxa"/>
            <w:tcBorders>
              <w:top w:val="single" w:sz="4" w:space="0" w:color="auto"/>
              <w:left w:val="nil"/>
              <w:bottom w:val="single" w:sz="4" w:space="0" w:color="auto"/>
              <w:right w:val="nil"/>
            </w:tcBorders>
            <w:shd w:val="clear" w:color="auto" w:fill="auto"/>
            <w:vAlign w:val="center"/>
          </w:tcPr>
          <w:p w14:paraId="41BF0143" w14:textId="77777777" w:rsidR="001911D5" w:rsidRPr="00F32542" w:rsidRDefault="001911D5" w:rsidP="001911D5">
            <w:pPr>
              <w:spacing w:after="0" w:line="240" w:lineRule="auto"/>
              <w:jc w:val="center"/>
              <w:rPr>
                <w:rFonts w:ascii="Arial" w:eastAsia="Calibri" w:hAnsi="Arial" w:cs="Arial"/>
                <w:color w:val="000000" w:themeColor="text1"/>
              </w:rPr>
            </w:pPr>
            <w:r w:rsidRPr="00F32542">
              <w:rPr>
                <w:rFonts w:ascii="Arial" w:hAnsi="Arial" w:cs="Arial"/>
                <w:color w:val="000000" w:themeColor="text1"/>
              </w:rPr>
              <w:t>112566</w:t>
            </w:r>
          </w:p>
        </w:tc>
        <w:tc>
          <w:tcPr>
            <w:tcW w:w="1276" w:type="dxa"/>
            <w:shd w:val="clear" w:color="auto" w:fill="auto"/>
            <w:noWrap/>
            <w:vAlign w:val="center"/>
          </w:tcPr>
          <w:p w14:paraId="57A04526" w14:textId="77777777" w:rsidR="001911D5" w:rsidRPr="00F32542" w:rsidRDefault="001911D5" w:rsidP="001911D5">
            <w:pPr>
              <w:spacing w:after="0" w:line="360" w:lineRule="auto"/>
              <w:jc w:val="center"/>
              <w:rPr>
                <w:rFonts w:ascii="Arial" w:eastAsia="Calibri" w:hAnsi="Arial" w:cs="Arial"/>
                <w:color w:val="000000" w:themeColor="text1"/>
              </w:rPr>
            </w:pPr>
            <w:r w:rsidRPr="00F32542">
              <w:rPr>
                <w:rFonts w:ascii="Arial" w:hAnsi="Arial" w:cs="Arial"/>
                <w:color w:val="000000" w:themeColor="text1"/>
              </w:rPr>
              <w:t>207,895</w:t>
            </w:r>
          </w:p>
        </w:tc>
        <w:tc>
          <w:tcPr>
            <w:tcW w:w="1417" w:type="dxa"/>
            <w:shd w:val="clear" w:color="auto" w:fill="auto"/>
            <w:vAlign w:val="center"/>
          </w:tcPr>
          <w:p w14:paraId="3A89AC87" w14:textId="77777777" w:rsidR="001911D5" w:rsidRPr="00F32542" w:rsidRDefault="00576352" w:rsidP="001911D5">
            <w:pPr>
              <w:spacing w:after="0" w:line="240" w:lineRule="auto"/>
              <w:jc w:val="center"/>
              <w:rPr>
                <w:rFonts w:ascii="Arial" w:eastAsia="Calibri" w:hAnsi="Arial" w:cs="Arial"/>
                <w:color w:val="000000" w:themeColor="text1"/>
                <w:lang w:val="es-ES"/>
              </w:rPr>
            </w:pPr>
            <w:r w:rsidRPr="00F32542">
              <w:rPr>
                <w:rFonts w:ascii="Arial" w:hAnsi="Arial" w:cs="Arial"/>
                <w:color w:val="000000" w:themeColor="text1"/>
              </w:rPr>
              <w:t>95,329</w:t>
            </w:r>
          </w:p>
        </w:tc>
      </w:tr>
      <w:tr w:rsidR="001911D5" w:rsidRPr="00F32542" w14:paraId="780FAD47" w14:textId="77777777" w:rsidTr="00B65D24">
        <w:trPr>
          <w:trHeight w:val="284"/>
          <w:jc w:val="center"/>
        </w:trPr>
        <w:tc>
          <w:tcPr>
            <w:tcW w:w="1702" w:type="dxa"/>
            <w:shd w:val="clear" w:color="auto" w:fill="FFFFFF"/>
            <w:noWrap/>
            <w:vAlign w:val="center"/>
          </w:tcPr>
          <w:p w14:paraId="4EF10C3F" w14:textId="77777777" w:rsidR="001911D5" w:rsidRPr="00F32542" w:rsidRDefault="001911D5" w:rsidP="001911D5">
            <w:pPr>
              <w:spacing w:after="0" w:line="240" w:lineRule="auto"/>
              <w:jc w:val="center"/>
              <w:rPr>
                <w:rFonts w:ascii="Arial" w:eastAsia="Calibri" w:hAnsi="Arial" w:cs="Arial"/>
                <w:color w:val="000000" w:themeColor="text1"/>
                <w:sz w:val="26"/>
                <w:szCs w:val="26"/>
              </w:rPr>
            </w:pPr>
            <w:r w:rsidRPr="00F32542">
              <w:rPr>
                <w:rFonts w:ascii="Arial" w:eastAsia="Calibri" w:hAnsi="Arial" w:cs="Arial"/>
                <w:color w:val="000000" w:themeColor="text1"/>
                <w:sz w:val="26"/>
                <w:szCs w:val="26"/>
              </w:rPr>
              <w:t>PVEM</w:t>
            </w:r>
          </w:p>
        </w:tc>
        <w:tc>
          <w:tcPr>
            <w:tcW w:w="1554" w:type="dxa"/>
            <w:vAlign w:val="center"/>
          </w:tcPr>
          <w:p w14:paraId="106F9DD0" w14:textId="77777777" w:rsidR="001911D5" w:rsidRPr="00F32542" w:rsidRDefault="001911D5" w:rsidP="001911D5">
            <w:pPr>
              <w:spacing w:after="0" w:line="240" w:lineRule="auto"/>
              <w:jc w:val="center"/>
              <w:rPr>
                <w:rFonts w:ascii="Arial" w:eastAsia="Calibri" w:hAnsi="Arial" w:cs="Arial"/>
                <w:color w:val="000000" w:themeColor="text1"/>
                <w:lang w:val="es-ES"/>
              </w:rPr>
            </w:pPr>
            <w:r w:rsidRPr="00F32542">
              <w:rPr>
                <w:rFonts w:ascii="Arial" w:eastAsia="Calibri" w:hAnsi="Arial" w:cs="Arial"/>
                <w:color w:val="000000" w:themeColor="text1"/>
                <w:lang w:val="es-ES"/>
              </w:rPr>
              <w:t>1</w:t>
            </w:r>
          </w:p>
        </w:tc>
        <w:tc>
          <w:tcPr>
            <w:tcW w:w="1275" w:type="dxa"/>
            <w:vAlign w:val="center"/>
          </w:tcPr>
          <w:p w14:paraId="2505EEA2" w14:textId="77777777" w:rsidR="001911D5" w:rsidRPr="00F32542" w:rsidRDefault="001911D5" w:rsidP="001911D5">
            <w:pPr>
              <w:spacing w:after="0" w:line="240" w:lineRule="auto"/>
              <w:jc w:val="center"/>
              <w:rPr>
                <w:rFonts w:ascii="Arial" w:eastAsia="Calibri" w:hAnsi="Arial" w:cs="Arial"/>
                <w:color w:val="000000" w:themeColor="text1"/>
              </w:rPr>
            </w:pPr>
            <w:r w:rsidRPr="00F32542">
              <w:rPr>
                <w:rFonts w:ascii="Arial" w:hAnsi="Arial" w:cs="Arial"/>
                <w:color w:val="000000" w:themeColor="text1"/>
              </w:rPr>
              <w:t>112566</w:t>
            </w:r>
          </w:p>
        </w:tc>
        <w:tc>
          <w:tcPr>
            <w:tcW w:w="1276" w:type="dxa"/>
            <w:tcBorders>
              <w:top w:val="single" w:sz="4" w:space="0" w:color="auto"/>
              <w:left w:val="nil"/>
              <w:bottom w:val="single" w:sz="4" w:space="0" w:color="auto"/>
              <w:right w:val="nil"/>
            </w:tcBorders>
            <w:shd w:val="clear" w:color="auto" w:fill="auto"/>
            <w:vAlign w:val="center"/>
          </w:tcPr>
          <w:p w14:paraId="6FA08DEC" w14:textId="77777777" w:rsidR="001911D5" w:rsidRPr="00F32542" w:rsidRDefault="001911D5" w:rsidP="001911D5">
            <w:pPr>
              <w:spacing w:after="0" w:line="240" w:lineRule="auto"/>
              <w:jc w:val="center"/>
              <w:rPr>
                <w:rFonts w:ascii="Arial" w:eastAsia="Calibri" w:hAnsi="Arial" w:cs="Arial"/>
                <w:color w:val="000000" w:themeColor="text1"/>
              </w:rPr>
            </w:pPr>
            <w:r w:rsidRPr="00F32542">
              <w:rPr>
                <w:rFonts w:ascii="Arial" w:hAnsi="Arial" w:cs="Arial"/>
                <w:color w:val="000000" w:themeColor="text1"/>
              </w:rPr>
              <w:t>112566</w:t>
            </w:r>
          </w:p>
        </w:tc>
        <w:tc>
          <w:tcPr>
            <w:tcW w:w="1276" w:type="dxa"/>
            <w:shd w:val="clear" w:color="auto" w:fill="auto"/>
            <w:noWrap/>
            <w:vAlign w:val="center"/>
          </w:tcPr>
          <w:p w14:paraId="7D71851A" w14:textId="77777777" w:rsidR="001911D5" w:rsidRPr="00F32542" w:rsidRDefault="001911D5" w:rsidP="001911D5">
            <w:pPr>
              <w:spacing w:after="0" w:line="360" w:lineRule="auto"/>
              <w:jc w:val="center"/>
              <w:rPr>
                <w:rFonts w:ascii="Arial" w:eastAsia="Calibri" w:hAnsi="Arial" w:cs="Arial"/>
                <w:color w:val="000000" w:themeColor="text1"/>
              </w:rPr>
            </w:pPr>
            <w:r w:rsidRPr="00F32542">
              <w:rPr>
                <w:rFonts w:ascii="Arial" w:hAnsi="Arial" w:cs="Arial"/>
                <w:color w:val="000000" w:themeColor="text1"/>
              </w:rPr>
              <w:t>125,296</w:t>
            </w:r>
          </w:p>
        </w:tc>
        <w:tc>
          <w:tcPr>
            <w:tcW w:w="1417" w:type="dxa"/>
            <w:shd w:val="clear" w:color="auto" w:fill="auto"/>
            <w:vAlign w:val="center"/>
          </w:tcPr>
          <w:p w14:paraId="070C25B8" w14:textId="77777777" w:rsidR="001911D5" w:rsidRPr="00F32542" w:rsidRDefault="00576352" w:rsidP="001911D5">
            <w:pPr>
              <w:spacing w:after="0" w:line="240" w:lineRule="auto"/>
              <w:jc w:val="center"/>
              <w:rPr>
                <w:rFonts w:ascii="Arial" w:eastAsia="Calibri" w:hAnsi="Arial" w:cs="Arial"/>
                <w:color w:val="000000" w:themeColor="text1"/>
                <w:lang w:val="es-ES"/>
              </w:rPr>
            </w:pPr>
            <w:r w:rsidRPr="00F32542">
              <w:rPr>
                <w:rFonts w:ascii="Arial" w:hAnsi="Arial" w:cs="Arial"/>
                <w:color w:val="000000" w:themeColor="text1"/>
              </w:rPr>
              <w:t>12,730</w:t>
            </w:r>
          </w:p>
        </w:tc>
      </w:tr>
      <w:tr w:rsidR="001911D5" w:rsidRPr="00F32542" w14:paraId="0D980171" w14:textId="77777777" w:rsidTr="00B65D24">
        <w:trPr>
          <w:trHeight w:val="284"/>
          <w:jc w:val="center"/>
        </w:trPr>
        <w:tc>
          <w:tcPr>
            <w:tcW w:w="1702" w:type="dxa"/>
            <w:shd w:val="clear" w:color="auto" w:fill="FFFFFF"/>
            <w:noWrap/>
            <w:vAlign w:val="center"/>
          </w:tcPr>
          <w:p w14:paraId="0C7767CB" w14:textId="77777777" w:rsidR="001911D5" w:rsidRPr="00F32542" w:rsidRDefault="001911D5" w:rsidP="001911D5">
            <w:pPr>
              <w:spacing w:after="0" w:line="240" w:lineRule="auto"/>
              <w:jc w:val="center"/>
              <w:rPr>
                <w:rFonts w:ascii="Arial" w:eastAsia="Calibri" w:hAnsi="Arial" w:cs="Arial"/>
                <w:color w:val="000000" w:themeColor="text1"/>
                <w:sz w:val="26"/>
                <w:szCs w:val="26"/>
              </w:rPr>
            </w:pPr>
            <w:r w:rsidRPr="00F32542">
              <w:rPr>
                <w:rFonts w:ascii="Arial" w:eastAsia="Calibri" w:hAnsi="Arial" w:cs="Arial"/>
                <w:color w:val="000000" w:themeColor="text1"/>
                <w:sz w:val="26"/>
                <w:szCs w:val="26"/>
              </w:rPr>
              <w:t>MC</w:t>
            </w:r>
          </w:p>
        </w:tc>
        <w:tc>
          <w:tcPr>
            <w:tcW w:w="1554" w:type="dxa"/>
            <w:vAlign w:val="center"/>
          </w:tcPr>
          <w:p w14:paraId="5BD598E8" w14:textId="77777777" w:rsidR="001911D5" w:rsidRPr="00F32542" w:rsidRDefault="001911D5" w:rsidP="001911D5">
            <w:pPr>
              <w:spacing w:after="0" w:line="240" w:lineRule="auto"/>
              <w:jc w:val="center"/>
              <w:rPr>
                <w:rFonts w:ascii="Arial" w:eastAsia="Calibri" w:hAnsi="Arial" w:cs="Arial"/>
                <w:color w:val="000000" w:themeColor="text1"/>
                <w:lang w:val="es-ES"/>
              </w:rPr>
            </w:pPr>
            <w:r w:rsidRPr="00F32542">
              <w:rPr>
                <w:rFonts w:ascii="Arial" w:eastAsia="Calibri" w:hAnsi="Arial" w:cs="Arial"/>
                <w:color w:val="000000" w:themeColor="text1"/>
                <w:lang w:val="es-ES"/>
              </w:rPr>
              <w:t>1</w:t>
            </w:r>
          </w:p>
        </w:tc>
        <w:tc>
          <w:tcPr>
            <w:tcW w:w="1275" w:type="dxa"/>
            <w:vAlign w:val="center"/>
          </w:tcPr>
          <w:p w14:paraId="2C57E508" w14:textId="77777777" w:rsidR="001911D5" w:rsidRPr="00F32542" w:rsidRDefault="001911D5" w:rsidP="001911D5">
            <w:pPr>
              <w:spacing w:after="0" w:line="240" w:lineRule="auto"/>
              <w:jc w:val="center"/>
              <w:rPr>
                <w:rFonts w:ascii="Arial" w:eastAsia="Calibri" w:hAnsi="Arial" w:cs="Arial"/>
                <w:color w:val="000000" w:themeColor="text1"/>
              </w:rPr>
            </w:pPr>
            <w:r w:rsidRPr="00F32542">
              <w:rPr>
                <w:rFonts w:ascii="Arial" w:hAnsi="Arial" w:cs="Arial"/>
                <w:color w:val="000000" w:themeColor="text1"/>
              </w:rPr>
              <w:t>112566</w:t>
            </w:r>
          </w:p>
        </w:tc>
        <w:tc>
          <w:tcPr>
            <w:tcW w:w="1276" w:type="dxa"/>
            <w:tcBorders>
              <w:top w:val="single" w:sz="4" w:space="0" w:color="auto"/>
              <w:left w:val="nil"/>
              <w:bottom w:val="single" w:sz="4" w:space="0" w:color="auto"/>
              <w:right w:val="nil"/>
            </w:tcBorders>
            <w:shd w:val="clear" w:color="auto" w:fill="auto"/>
            <w:vAlign w:val="center"/>
          </w:tcPr>
          <w:p w14:paraId="42FA3B33" w14:textId="77777777" w:rsidR="001911D5" w:rsidRPr="00F32542" w:rsidRDefault="001911D5" w:rsidP="001911D5">
            <w:pPr>
              <w:spacing w:after="0" w:line="360" w:lineRule="auto"/>
              <w:jc w:val="center"/>
              <w:rPr>
                <w:rFonts w:ascii="Arial" w:eastAsia="Calibri" w:hAnsi="Arial" w:cs="Arial"/>
                <w:color w:val="000000" w:themeColor="text1"/>
              </w:rPr>
            </w:pPr>
            <w:r w:rsidRPr="00F32542">
              <w:rPr>
                <w:rFonts w:ascii="Arial" w:hAnsi="Arial" w:cs="Arial"/>
                <w:color w:val="000000" w:themeColor="text1"/>
              </w:rPr>
              <w:t>112566</w:t>
            </w:r>
          </w:p>
        </w:tc>
        <w:tc>
          <w:tcPr>
            <w:tcW w:w="1276" w:type="dxa"/>
            <w:shd w:val="clear" w:color="auto" w:fill="auto"/>
            <w:noWrap/>
            <w:vAlign w:val="center"/>
          </w:tcPr>
          <w:p w14:paraId="14BDDE75" w14:textId="77777777" w:rsidR="001911D5" w:rsidRPr="00F32542" w:rsidRDefault="001911D5" w:rsidP="001911D5">
            <w:pPr>
              <w:spacing w:after="0" w:line="360" w:lineRule="auto"/>
              <w:jc w:val="center"/>
              <w:rPr>
                <w:rFonts w:ascii="Arial" w:eastAsia="Calibri" w:hAnsi="Arial" w:cs="Arial"/>
                <w:color w:val="000000" w:themeColor="text1"/>
              </w:rPr>
            </w:pPr>
            <w:r w:rsidRPr="00F32542">
              <w:rPr>
                <w:rFonts w:ascii="Arial" w:hAnsi="Arial" w:cs="Arial"/>
                <w:color w:val="000000" w:themeColor="text1"/>
              </w:rPr>
              <w:t>140,324</w:t>
            </w:r>
          </w:p>
        </w:tc>
        <w:tc>
          <w:tcPr>
            <w:tcW w:w="1417" w:type="dxa"/>
            <w:shd w:val="clear" w:color="auto" w:fill="auto"/>
            <w:vAlign w:val="center"/>
          </w:tcPr>
          <w:p w14:paraId="530BFA8E" w14:textId="77777777" w:rsidR="001911D5" w:rsidRPr="00F32542" w:rsidRDefault="00576352" w:rsidP="001911D5">
            <w:pPr>
              <w:spacing w:after="0" w:line="240" w:lineRule="auto"/>
              <w:jc w:val="center"/>
              <w:rPr>
                <w:rFonts w:ascii="Arial" w:eastAsia="Calibri" w:hAnsi="Arial" w:cs="Arial"/>
                <w:color w:val="000000" w:themeColor="text1"/>
                <w:lang w:val="es-ES"/>
              </w:rPr>
            </w:pPr>
            <w:r w:rsidRPr="00F32542">
              <w:rPr>
                <w:rFonts w:ascii="Arial" w:hAnsi="Arial" w:cs="Arial"/>
                <w:color w:val="000000" w:themeColor="text1"/>
              </w:rPr>
              <w:t>27,758</w:t>
            </w:r>
          </w:p>
        </w:tc>
      </w:tr>
      <w:tr w:rsidR="001911D5" w:rsidRPr="00F32542" w14:paraId="4D0BD30F" w14:textId="77777777" w:rsidTr="00B65D24">
        <w:trPr>
          <w:trHeight w:val="284"/>
          <w:jc w:val="center"/>
        </w:trPr>
        <w:tc>
          <w:tcPr>
            <w:tcW w:w="1702" w:type="dxa"/>
            <w:shd w:val="clear" w:color="auto" w:fill="FFFFFF"/>
            <w:noWrap/>
            <w:vAlign w:val="center"/>
          </w:tcPr>
          <w:p w14:paraId="1B7BF617" w14:textId="77777777" w:rsidR="001911D5" w:rsidRPr="00F32542" w:rsidRDefault="001911D5" w:rsidP="001911D5">
            <w:pPr>
              <w:spacing w:after="0" w:line="240" w:lineRule="auto"/>
              <w:jc w:val="center"/>
              <w:rPr>
                <w:rFonts w:ascii="Arial" w:eastAsia="Calibri" w:hAnsi="Arial" w:cs="Arial"/>
                <w:color w:val="000000" w:themeColor="text1"/>
                <w:sz w:val="26"/>
                <w:szCs w:val="26"/>
              </w:rPr>
            </w:pPr>
            <w:r w:rsidRPr="00F32542">
              <w:rPr>
                <w:rFonts w:ascii="Arial" w:eastAsia="Calibri" w:hAnsi="Arial" w:cs="Arial"/>
                <w:color w:val="000000" w:themeColor="text1"/>
                <w:sz w:val="26"/>
                <w:szCs w:val="26"/>
              </w:rPr>
              <w:lastRenderedPageBreak/>
              <w:t>MORENA</w:t>
            </w:r>
          </w:p>
        </w:tc>
        <w:tc>
          <w:tcPr>
            <w:tcW w:w="1554" w:type="dxa"/>
            <w:vAlign w:val="center"/>
          </w:tcPr>
          <w:p w14:paraId="7D9C8002" w14:textId="77777777" w:rsidR="001911D5" w:rsidRPr="00F32542" w:rsidRDefault="001911D5" w:rsidP="001911D5">
            <w:pPr>
              <w:spacing w:after="0" w:line="240" w:lineRule="auto"/>
              <w:jc w:val="center"/>
              <w:rPr>
                <w:rFonts w:ascii="Arial" w:eastAsia="Calibri" w:hAnsi="Arial" w:cs="Arial"/>
                <w:color w:val="000000" w:themeColor="text1"/>
                <w:lang w:val="es-ES"/>
              </w:rPr>
            </w:pPr>
            <w:r w:rsidRPr="00F32542">
              <w:rPr>
                <w:rFonts w:ascii="Arial" w:eastAsia="Calibri" w:hAnsi="Arial" w:cs="Arial"/>
                <w:color w:val="000000" w:themeColor="text1"/>
                <w:lang w:val="es-ES"/>
              </w:rPr>
              <w:t>13</w:t>
            </w:r>
          </w:p>
        </w:tc>
        <w:tc>
          <w:tcPr>
            <w:tcW w:w="1275" w:type="dxa"/>
            <w:vAlign w:val="center"/>
          </w:tcPr>
          <w:p w14:paraId="77E7BAA5" w14:textId="77777777" w:rsidR="001911D5" w:rsidRPr="00F32542" w:rsidRDefault="001911D5" w:rsidP="001911D5">
            <w:pPr>
              <w:spacing w:after="0" w:line="240" w:lineRule="auto"/>
              <w:jc w:val="center"/>
              <w:rPr>
                <w:rFonts w:ascii="Arial" w:eastAsia="Calibri" w:hAnsi="Arial" w:cs="Arial"/>
                <w:color w:val="000000" w:themeColor="text1"/>
              </w:rPr>
            </w:pPr>
            <w:r w:rsidRPr="00F32542">
              <w:rPr>
                <w:rFonts w:ascii="Arial" w:hAnsi="Arial" w:cs="Arial"/>
                <w:color w:val="000000" w:themeColor="text1"/>
              </w:rPr>
              <w:t>112566</w:t>
            </w:r>
          </w:p>
        </w:tc>
        <w:tc>
          <w:tcPr>
            <w:tcW w:w="1276" w:type="dxa"/>
            <w:tcBorders>
              <w:top w:val="single" w:sz="4" w:space="0" w:color="auto"/>
              <w:left w:val="nil"/>
              <w:bottom w:val="single" w:sz="4" w:space="0" w:color="auto"/>
              <w:right w:val="nil"/>
            </w:tcBorders>
            <w:shd w:val="clear" w:color="auto" w:fill="auto"/>
            <w:vAlign w:val="center"/>
          </w:tcPr>
          <w:p w14:paraId="0FF037C4" w14:textId="77777777" w:rsidR="001911D5" w:rsidRPr="00F32542" w:rsidRDefault="00576352" w:rsidP="001911D5">
            <w:pPr>
              <w:spacing w:after="0" w:line="360" w:lineRule="auto"/>
              <w:jc w:val="center"/>
              <w:rPr>
                <w:rFonts w:ascii="Arial" w:eastAsia="Calibri" w:hAnsi="Arial" w:cs="Arial"/>
                <w:color w:val="000000" w:themeColor="text1"/>
              </w:rPr>
            </w:pPr>
            <w:r w:rsidRPr="00F32542">
              <w:rPr>
                <w:rFonts w:ascii="Arial" w:hAnsi="Arial" w:cs="Arial"/>
                <w:color w:val="000000" w:themeColor="text1"/>
              </w:rPr>
              <w:t>1,463,358</w:t>
            </w:r>
          </w:p>
        </w:tc>
        <w:tc>
          <w:tcPr>
            <w:tcW w:w="1276" w:type="dxa"/>
            <w:shd w:val="clear" w:color="auto" w:fill="auto"/>
            <w:noWrap/>
            <w:vAlign w:val="center"/>
          </w:tcPr>
          <w:p w14:paraId="0D981C5E" w14:textId="77777777" w:rsidR="001911D5" w:rsidRPr="00F32542" w:rsidRDefault="001911D5" w:rsidP="001911D5">
            <w:pPr>
              <w:spacing w:after="0" w:line="360" w:lineRule="auto"/>
              <w:jc w:val="center"/>
              <w:rPr>
                <w:rFonts w:ascii="Arial" w:eastAsia="Calibri" w:hAnsi="Arial" w:cs="Arial"/>
                <w:color w:val="000000" w:themeColor="text1"/>
              </w:rPr>
            </w:pPr>
            <w:r w:rsidRPr="00F32542">
              <w:rPr>
                <w:rFonts w:ascii="Arial" w:hAnsi="Arial" w:cs="Arial"/>
                <w:color w:val="000000" w:themeColor="text1"/>
              </w:rPr>
              <w:t>1513325</w:t>
            </w:r>
          </w:p>
        </w:tc>
        <w:tc>
          <w:tcPr>
            <w:tcW w:w="1417" w:type="dxa"/>
            <w:shd w:val="clear" w:color="auto" w:fill="auto"/>
            <w:vAlign w:val="center"/>
          </w:tcPr>
          <w:p w14:paraId="1F85048A" w14:textId="77777777" w:rsidR="001911D5" w:rsidRPr="00F32542" w:rsidRDefault="00576352" w:rsidP="001911D5">
            <w:pPr>
              <w:spacing w:after="0" w:line="240" w:lineRule="auto"/>
              <w:jc w:val="center"/>
              <w:rPr>
                <w:rFonts w:ascii="Arial" w:eastAsia="Calibri" w:hAnsi="Arial" w:cs="Arial"/>
                <w:color w:val="000000" w:themeColor="text1"/>
                <w:lang w:val="es-ES"/>
              </w:rPr>
            </w:pPr>
            <w:r w:rsidRPr="00F32542">
              <w:rPr>
                <w:rFonts w:ascii="Arial" w:hAnsi="Arial" w:cs="Arial"/>
                <w:color w:val="000000" w:themeColor="text1"/>
              </w:rPr>
              <w:t>49,967</w:t>
            </w:r>
          </w:p>
        </w:tc>
      </w:tr>
      <w:tr w:rsidR="001911D5" w:rsidRPr="00F32542" w14:paraId="24BEDFD2" w14:textId="77777777" w:rsidTr="00B65D24">
        <w:trPr>
          <w:trHeight w:val="446"/>
          <w:jc w:val="center"/>
        </w:trPr>
        <w:tc>
          <w:tcPr>
            <w:tcW w:w="1702" w:type="dxa"/>
            <w:shd w:val="clear" w:color="auto" w:fill="AEAAAA"/>
            <w:noWrap/>
            <w:vAlign w:val="center"/>
            <w:hideMark/>
          </w:tcPr>
          <w:p w14:paraId="59ACD7BD" w14:textId="77777777" w:rsidR="001911D5" w:rsidRPr="00F32542" w:rsidRDefault="001911D5" w:rsidP="001911D5">
            <w:pPr>
              <w:spacing w:after="0" w:line="240" w:lineRule="auto"/>
              <w:jc w:val="center"/>
              <w:rPr>
                <w:rFonts w:ascii="Arial" w:eastAsia="Calibri" w:hAnsi="Arial" w:cs="Arial"/>
                <w:b/>
                <w:bCs/>
                <w:color w:val="000000" w:themeColor="text1"/>
                <w:sz w:val="20"/>
                <w:szCs w:val="20"/>
                <w:lang w:val="es-ES" w:eastAsia="es-MX"/>
              </w:rPr>
            </w:pPr>
            <w:r w:rsidRPr="00F32542">
              <w:rPr>
                <w:rFonts w:ascii="Arial" w:eastAsia="Calibri" w:hAnsi="Arial" w:cs="Arial"/>
                <w:b/>
                <w:bCs/>
                <w:color w:val="000000" w:themeColor="text1"/>
                <w:sz w:val="20"/>
                <w:szCs w:val="20"/>
                <w:lang w:val="es-ES" w:eastAsia="es-MX"/>
              </w:rPr>
              <w:t>Total</w:t>
            </w:r>
          </w:p>
        </w:tc>
        <w:tc>
          <w:tcPr>
            <w:tcW w:w="1554" w:type="dxa"/>
            <w:shd w:val="clear" w:color="auto" w:fill="AEAAAA"/>
            <w:vAlign w:val="center"/>
          </w:tcPr>
          <w:p w14:paraId="56DD6013" w14:textId="77777777" w:rsidR="001911D5" w:rsidRPr="00F32542" w:rsidRDefault="001911D5" w:rsidP="001911D5">
            <w:pPr>
              <w:spacing w:after="0" w:line="240" w:lineRule="auto"/>
              <w:jc w:val="center"/>
              <w:rPr>
                <w:rFonts w:ascii="Arial" w:eastAsia="Calibri" w:hAnsi="Arial" w:cs="Arial"/>
                <w:b/>
                <w:color w:val="000000" w:themeColor="text1"/>
                <w:sz w:val="20"/>
                <w:szCs w:val="20"/>
                <w:lang w:val="es-ES"/>
              </w:rPr>
            </w:pPr>
            <w:r w:rsidRPr="00F32542">
              <w:rPr>
                <w:rFonts w:ascii="Arial" w:eastAsia="Calibri" w:hAnsi="Arial" w:cs="Arial"/>
                <w:b/>
                <w:color w:val="000000" w:themeColor="text1"/>
                <w:sz w:val="20"/>
                <w:szCs w:val="20"/>
                <w:lang w:val="es-ES"/>
              </w:rPr>
              <w:t>30</w:t>
            </w:r>
          </w:p>
        </w:tc>
        <w:tc>
          <w:tcPr>
            <w:tcW w:w="1275" w:type="dxa"/>
            <w:shd w:val="clear" w:color="auto" w:fill="AEAAAA"/>
            <w:vAlign w:val="center"/>
          </w:tcPr>
          <w:p w14:paraId="05BBA0C2" w14:textId="77777777" w:rsidR="001911D5" w:rsidRPr="00F32542" w:rsidRDefault="001911D5" w:rsidP="001911D5">
            <w:pPr>
              <w:spacing w:after="0" w:line="240" w:lineRule="auto"/>
              <w:jc w:val="center"/>
              <w:rPr>
                <w:rFonts w:ascii="Arial" w:eastAsia="Calibri" w:hAnsi="Arial" w:cs="Arial"/>
                <w:b/>
                <w:bCs/>
                <w:color w:val="000000" w:themeColor="text1"/>
                <w:sz w:val="20"/>
                <w:szCs w:val="20"/>
                <w:lang w:val="es-ES" w:eastAsia="es-MX"/>
              </w:rPr>
            </w:pPr>
          </w:p>
        </w:tc>
        <w:tc>
          <w:tcPr>
            <w:tcW w:w="1276" w:type="dxa"/>
            <w:tcBorders>
              <w:top w:val="single" w:sz="4" w:space="0" w:color="auto"/>
            </w:tcBorders>
            <w:shd w:val="clear" w:color="auto" w:fill="AEAAAA"/>
            <w:vAlign w:val="center"/>
          </w:tcPr>
          <w:p w14:paraId="0A12DC84" w14:textId="77777777" w:rsidR="001911D5" w:rsidRPr="00F32542" w:rsidRDefault="001911D5" w:rsidP="001911D5">
            <w:pPr>
              <w:spacing w:after="0" w:line="240" w:lineRule="auto"/>
              <w:jc w:val="center"/>
              <w:rPr>
                <w:rFonts w:ascii="Arial" w:eastAsia="Calibri" w:hAnsi="Arial" w:cs="Arial"/>
                <w:b/>
                <w:bCs/>
                <w:color w:val="000000" w:themeColor="text1"/>
                <w:sz w:val="20"/>
                <w:szCs w:val="20"/>
                <w:lang w:val="es-ES" w:eastAsia="es-MX"/>
              </w:rPr>
            </w:pPr>
          </w:p>
        </w:tc>
        <w:tc>
          <w:tcPr>
            <w:tcW w:w="1276" w:type="dxa"/>
            <w:shd w:val="clear" w:color="auto" w:fill="AEAAAA"/>
            <w:noWrap/>
            <w:vAlign w:val="center"/>
          </w:tcPr>
          <w:p w14:paraId="10A2639C" w14:textId="77777777" w:rsidR="001911D5" w:rsidRPr="00F32542" w:rsidRDefault="001911D5" w:rsidP="001911D5">
            <w:pPr>
              <w:spacing w:after="0" w:line="240" w:lineRule="auto"/>
              <w:jc w:val="center"/>
              <w:rPr>
                <w:rFonts w:ascii="Arial" w:eastAsia="Calibri" w:hAnsi="Arial" w:cs="Arial"/>
                <w:b/>
                <w:bCs/>
                <w:color w:val="000000" w:themeColor="text1"/>
                <w:sz w:val="20"/>
                <w:szCs w:val="20"/>
                <w:lang w:val="es-ES" w:eastAsia="es-MX"/>
              </w:rPr>
            </w:pPr>
          </w:p>
        </w:tc>
        <w:tc>
          <w:tcPr>
            <w:tcW w:w="1417" w:type="dxa"/>
            <w:shd w:val="clear" w:color="auto" w:fill="AEAAAA"/>
            <w:vAlign w:val="center"/>
          </w:tcPr>
          <w:p w14:paraId="40D41F3B" w14:textId="77777777" w:rsidR="001911D5" w:rsidRPr="00F32542" w:rsidRDefault="001911D5" w:rsidP="001911D5">
            <w:pPr>
              <w:spacing w:after="0" w:line="240" w:lineRule="auto"/>
              <w:jc w:val="center"/>
              <w:rPr>
                <w:rFonts w:ascii="Arial" w:eastAsia="Calibri" w:hAnsi="Arial" w:cs="Arial"/>
                <w:b/>
                <w:bCs/>
                <w:color w:val="000000" w:themeColor="text1"/>
                <w:sz w:val="20"/>
                <w:szCs w:val="20"/>
                <w:lang w:val="es-ES" w:eastAsia="es-MX"/>
              </w:rPr>
            </w:pPr>
          </w:p>
        </w:tc>
      </w:tr>
    </w:tbl>
    <w:p w14:paraId="499D3668" w14:textId="77777777" w:rsidR="00F57B54" w:rsidRPr="00F32542" w:rsidRDefault="00F57B54" w:rsidP="00F57B54">
      <w:pPr>
        <w:spacing w:after="0" w:line="360" w:lineRule="auto"/>
        <w:contextualSpacing/>
        <w:jc w:val="both"/>
        <w:rPr>
          <w:rFonts w:ascii="Arial" w:eastAsia="Calibri" w:hAnsi="Arial" w:cs="Arial"/>
          <w:color w:val="000000" w:themeColor="text1"/>
          <w:sz w:val="28"/>
        </w:rPr>
      </w:pPr>
    </w:p>
    <w:p w14:paraId="2F3D19AF" w14:textId="77777777" w:rsidR="00F57B54" w:rsidRPr="00F32542" w:rsidRDefault="00F57B54" w:rsidP="00F57B54">
      <w:pPr>
        <w:spacing w:after="0" w:line="360" w:lineRule="auto"/>
        <w:contextualSpacing/>
        <w:jc w:val="both"/>
        <w:rPr>
          <w:rFonts w:ascii="Arial" w:eastAsia="Calibri" w:hAnsi="Arial" w:cs="Arial"/>
          <w:color w:val="000000" w:themeColor="text1"/>
          <w:spacing w:val="4"/>
          <w:sz w:val="28"/>
        </w:rPr>
      </w:pPr>
      <w:r w:rsidRPr="00F32542">
        <w:rPr>
          <w:rFonts w:ascii="Arial" w:eastAsia="Calibri" w:hAnsi="Arial" w:cs="Arial"/>
          <w:color w:val="000000" w:themeColor="text1"/>
          <w:spacing w:val="4"/>
          <w:sz w:val="28"/>
        </w:rPr>
        <w:t>Determinado el resto mayor de cada partido político, se distribuyen las dos curules pendientes, en atención al orden decreciente:</w:t>
      </w:r>
    </w:p>
    <w:p w14:paraId="560F299C" w14:textId="77777777" w:rsidR="00F57B54" w:rsidRPr="00F32542" w:rsidRDefault="00F57B54" w:rsidP="00F57B54">
      <w:pPr>
        <w:spacing w:after="0" w:line="360" w:lineRule="auto"/>
        <w:contextualSpacing/>
        <w:jc w:val="both"/>
        <w:rPr>
          <w:rFonts w:ascii="Arial" w:eastAsia="Calibri" w:hAnsi="Arial" w:cs="Arial"/>
          <w:color w:val="000000" w:themeColor="text1"/>
          <w:sz w:val="28"/>
        </w:rPr>
      </w:pP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1843"/>
        <w:gridCol w:w="2551"/>
      </w:tblGrid>
      <w:tr w:rsidR="00F57B54" w:rsidRPr="00F32542" w14:paraId="138265A5" w14:textId="77777777" w:rsidTr="00B65D24">
        <w:trPr>
          <w:trHeight w:val="593"/>
          <w:tblHeader/>
          <w:jc w:val="center"/>
        </w:trPr>
        <w:tc>
          <w:tcPr>
            <w:tcW w:w="1980" w:type="dxa"/>
            <w:shd w:val="clear" w:color="auto" w:fill="AEAAAA"/>
            <w:noWrap/>
            <w:vAlign w:val="center"/>
            <w:hideMark/>
          </w:tcPr>
          <w:p w14:paraId="1EBC3A1D" w14:textId="77777777" w:rsidR="00F57B54" w:rsidRPr="00F32542" w:rsidRDefault="00F57B54" w:rsidP="00F57B54">
            <w:pPr>
              <w:spacing w:after="0" w:line="240" w:lineRule="auto"/>
              <w:jc w:val="center"/>
              <w:rPr>
                <w:rFonts w:ascii="Arial" w:eastAsia="Calibri" w:hAnsi="Arial" w:cs="Arial"/>
                <w:b/>
                <w:bCs/>
                <w:color w:val="000000" w:themeColor="text1"/>
                <w:sz w:val="20"/>
                <w:szCs w:val="20"/>
                <w:lang w:val="es-ES" w:eastAsia="es-MX"/>
              </w:rPr>
            </w:pPr>
            <w:r w:rsidRPr="00F32542">
              <w:rPr>
                <w:rFonts w:ascii="Arial" w:eastAsia="Calibri" w:hAnsi="Arial" w:cs="Arial"/>
                <w:b/>
                <w:bCs/>
                <w:color w:val="000000" w:themeColor="text1"/>
                <w:sz w:val="20"/>
                <w:szCs w:val="20"/>
                <w:lang w:val="es-ES" w:eastAsia="es-MX"/>
              </w:rPr>
              <w:t xml:space="preserve">Partido </w:t>
            </w:r>
          </w:p>
          <w:p w14:paraId="360E285A" w14:textId="77777777" w:rsidR="00F57B54" w:rsidRPr="00F32542" w:rsidRDefault="00F57B54" w:rsidP="00F57B54">
            <w:pPr>
              <w:spacing w:after="0" w:line="240" w:lineRule="auto"/>
              <w:jc w:val="center"/>
              <w:rPr>
                <w:rFonts w:ascii="Arial" w:eastAsia="Calibri" w:hAnsi="Arial" w:cs="Arial"/>
                <w:b/>
                <w:bCs/>
                <w:color w:val="000000" w:themeColor="text1"/>
                <w:sz w:val="20"/>
                <w:szCs w:val="20"/>
                <w:lang w:val="es-ES" w:eastAsia="es-MX"/>
              </w:rPr>
            </w:pPr>
            <w:r w:rsidRPr="00F32542">
              <w:rPr>
                <w:rFonts w:ascii="Arial" w:eastAsia="Calibri" w:hAnsi="Arial" w:cs="Arial"/>
                <w:b/>
                <w:bCs/>
                <w:color w:val="000000" w:themeColor="text1"/>
                <w:sz w:val="20"/>
                <w:szCs w:val="20"/>
                <w:lang w:val="es-ES" w:eastAsia="es-MX"/>
              </w:rPr>
              <w:t>político</w:t>
            </w:r>
          </w:p>
        </w:tc>
        <w:tc>
          <w:tcPr>
            <w:tcW w:w="1843" w:type="dxa"/>
            <w:shd w:val="clear" w:color="auto" w:fill="AEAAAA"/>
            <w:vAlign w:val="center"/>
          </w:tcPr>
          <w:p w14:paraId="582ED8EA" w14:textId="77777777" w:rsidR="00F57B54" w:rsidRPr="00F32542" w:rsidRDefault="00F57B54" w:rsidP="00F57B54">
            <w:pPr>
              <w:spacing w:after="0" w:line="240" w:lineRule="auto"/>
              <w:jc w:val="center"/>
              <w:rPr>
                <w:rFonts w:ascii="Arial" w:eastAsia="Calibri" w:hAnsi="Arial" w:cs="Arial"/>
                <w:b/>
                <w:bCs/>
                <w:color w:val="000000" w:themeColor="text1"/>
                <w:sz w:val="20"/>
                <w:szCs w:val="20"/>
                <w:lang w:val="es-ES" w:eastAsia="es-MX"/>
              </w:rPr>
            </w:pPr>
            <w:r w:rsidRPr="00F32542">
              <w:rPr>
                <w:rFonts w:ascii="Arial" w:eastAsia="Calibri" w:hAnsi="Arial" w:cs="Arial"/>
                <w:b/>
                <w:bCs/>
                <w:color w:val="000000" w:themeColor="text1"/>
                <w:sz w:val="20"/>
                <w:szCs w:val="20"/>
                <w:lang w:val="es-ES" w:eastAsia="es-MX"/>
              </w:rPr>
              <w:t>Resto mayor</w:t>
            </w:r>
          </w:p>
        </w:tc>
        <w:tc>
          <w:tcPr>
            <w:tcW w:w="2551" w:type="dxa"/>
            <w:shd w:val="clear" w:color="auto" w:fill="AEAAAA"/>
            <w:vAlign w:val="center"/>
          </w:tcPr>
          <w:p w14:paraId="18446925" w14:textId="77777777" w:rsidR="00F57B54" w:rsidRPr="00F32542" w:rsidRDefault="00F57B54" w:rsidP="00F57B54">
            <w:pPr>
              <w:spacing w:after="0" w:line="240" w:lineRule="auto"/>
              <w:jc w:val="center"/>
              <w:rPr>
                <w:rFonts w:ascii="Arial" w:eastAsia="Calibri" w:hAnsi="Arial" w:cs="Arial"/>
                <w:b/>
                <w:bCs/>
                <w:color w:val="000000" w:themeColor="text1"/>
                <w:sz w:val="20"/>
                <w:szCs w:val="20"/>
                <w:lang w:val="es-ES" w:eastAsia="es-MX"/>
              </w:rPr>
            </w:pPr>
            <w:r w:rsidRPr="00F32542">
              <w:rPr>
                <w:rFonts w:ascii="Arial" w:eastAsia="Calibri" w:hAnsi="Arial" w:cs="Arial"/>
                <w:b/>
                <w:bCs/>
                <w:color w:val="000000" w:themeColor="text1"/>
                <w:sz w:val="20"/>
                <w:szCs w:val="20"/>
                <w:lang w:val="es-ES" w:eastAsia="es-MX"/>
              </w:rPr>
              <w:t>Diputaciones asignadas</w:t>
            </w:r>
          </w:p>
        </w:tc>
      </w:tr>
      <w:tr w:rsidR="002C3EA5" w:rsidRPr="00F32542" w14:paraId="174EC81E" w14:textId="77777777" w:rsidTr="00B65D24">
        <w:trPr>
          <w:trHeight w:val="284"/>
          <w:jc w:val="center"/>
        </w:trPr>
        <w:tc>
          <w:tcPr>
            <w:tcW w:w="1980" w:type="dxa"/>
            <w:shd w:val="clear" w:color="auto" w:fill="auto"/>
            <w:noWrap/>
            <w:vAlign w:val="center"/>
          </w:tcPr>
          <w:p w14:paraId="0C821D12" w14:textId="77777777" w:rsidR="002C3EA5" w:rsidRPr="00F32542" w:rsidRDefault="002C3EA5" w:rsidP="002C3EA5">
            <w:pPr>
              <w:spacing w:after="0" w:line="240" w:lineRule="auto"/>
              <w:jc w:val="center"/>
              <w:rPr>
                <w:rFonts w:ascii="Arial" w:eastAsia="Calibri" w:hAnsi="Arial" w:cs="Arial"/>
                <w:color w:val="000000" w:themeColor="text1"/>
                <w:sz w:val="26"/>
                <w:szCs w:val="26"/>
              </w:rPr>
            </w:pPr>
            <w:r w:rsidRPr="00F32542">
              <w:rPr>
                <w:rFonts w:ascii="Arial" w:eastAsia="Calibri" w:hAnsi="Arial" w:cs="Arial"/>
                <w:color w:val="000000" w:themeColor="text1"/>
                <w:sz w:val="26"/>
                <w:szCs w:val="26"/>
              </w:rPr>
              <w:t>PAN</w:t>
            </w:r>
          </w:p>
        </w:tc>
        <w:tc>
          <w:tcPr>
            <w:tcW w:w="1843" w:type="dxa"/>
            <w:shd w:val="clear" w:color="auto" w:fill="auto"/>
            <w:vAlign w:val="center"/>
          </w:tcPr>
          <w:p w14:paraId="76A202DE" w14:textId="77777777" w:rsidR="002C3EA5" w:rsidRPr="00F32542" w:rsidRDefault="002C3EA5" w:rsidP="002C3EA5">
            <w:pPr>
              <w:spacing w:after="0" w:line="240" w:lineRule="auto"/>
              <w:jc w:val="center"/>
              <w:rPr>
                <w:rFonts w:ascii="Arial" w:eastAsia="Calibri" w:hAnsi="Arial" w:cs="Arial"/>
                <w:color w:val="000000" w:themeColor="text1"/>
                <w:lang w:val="es-ES"/>
              </w:rPr>
            </w:pPr>
            <w:r w:rsidRPr="00F32542">
              <w:rPr>
                <w:rFonts w:ascii="Arial" w:hAnsi="Arial" w:cs="Arial"/>
                <w:color w:val="000000" w:themeColor="text1"/>
              </w:rPr>
              <w:t>20,523</w:t>
            </w:r>
          </w:p>
        </w:tc>
        <w:tc>
          <w:tcPr>
            <w:tcW w:w="2551" w:type="dxa"/>
            <w:vAlign w:val="center"/>
          </w:tcPr>
          <w:p w14:paraId="4054FBDB" w14:textId="77777777" w:rsidR="002C3EA5" w:rsidRPr="00F32542" w:rsidRDefault="002C3EA5" w:rsidP="002C3EA5">
            <w:pPr>
              <w:spacing w:after="0" w:line="240" w:lineRule="auto"/>
              <w:jc w:val="center"/>
              <w:rPr>
                <w:rFonts w:ascii="Arial" w:eastAsia="Calibri" w:hAnsi="Arial" w:cs="Arial"/>
                <w:color w:val="000000" w:themeColor="text1"/>
                <w:sz w:val="20"/>
                <w:szCs w:val="20"/>
                <w:lang w:val="es-ES"/>
              </w:rPr>
            </w:pPr>
          </w:p>
        </w:tc>
      </w:tr>
      <w:tr w:rsidR="002C3EA5" w:rsidRPr="00F32542" w14:paraId="20065FF0" w14:textId="77777777" w:rsidTr="00B65D24">
        <w:trPr>
          <w:trHeight w:val="284"/>
          <w:jc w:val="center"/>
        </w:trPr>
        <w:tc>
          <w:tcPr>
            <w:tcW w:w="1980" w:type="dxa"/>
            <w:shd w:val="clear" w:color="auto" w:fill="auto"/>
            <w:noWrap/>
            <w:vAlign w:val="center"/>
          </w:tcPr>
          <w:p w14:paraId="445FEC48" w14:textId="77777777" w:rsidR="002C3EA5" w:rsidRPr="00F32542" w:rsidRDefault="002C3EA5" w:rsidP="002C3EA5">
            <w:pPr>
              <w:spacing w:after="0" w:line="240" w:lineRule="auto"/>
              <w:jc w:val="center"/>
              <w:rPr>
                <w:rFonts w:ascii="Arial" w:eastAsia="Calibri" w:hAnsi="Arial" w:cs="Arial"/>
                <w:color w:val="000000" w:themeColor="text1"/>
                <w:sz w:val="26"/>
                <w:szCs w:val="26"/>
              </w:rPr>
            </w:pPr>
            <w:r w:rsidRPr="00F32542">
              <w:rPr>
                <w:rFonts w:ascii="Arial" w:eastAsia="Calibri" w:hAnsi="Arial" w:cs="Arial"/>
                <w:color w:val="000000" w:themeColor="text1"/>
                <w:sz w:val="26"/>
                <w:szCs w:val="26"/>
              </w:rPr>
              <w:t>PRI</w:t>
            </w:r>
          </w:p>
        </w:tc>
        <w:tc>
          <w:tcPr>
            <w:tcW w:w="1843" w:type="dxa"/>
            <w:shd w:val="clear" w:color="auto" w:fill="auto"/>
            <w:vAlign w:val="center"/>
          </w:tcPr>
          <w:p w14:paraId="2EF867A4" w14:textId="77777777" w:rsidR="002C3EA5" w:rsidRPr="00F32542" w:rsidRDefault="002C3EA5" w:rsidP="002C3EA5">
            <w:pPr>
              <w:spacing w:after="0" w:line="240" w:lineRule="auto"/>
              <w:jc w:val="center"/>
              <w:rPr>
                <w:rFonts w:ascii="Arial" w:eastAsia="Calibri" w:hAnsi="Arial" w:cs="Arial"/>
                <w:color w:val="000000" w:themeColor="text1"/>
                <w:lang w:val="es-ES"/>
              </w:rPr>
            </w:pPr>
            <w:r w:rsidRPr="00F32542">
              <w:rPr>
                <w:rFonts w:ascii="Arial" w:hAnsi="Arial" w:cs="Arial"/>
                <w:color w:val="000000" w:themeColor="text1"/>
              </w:rPr>
              <w:t>18,845</w:t>
            </w:r>
          </w:p>
        </w:tc>
        <w:tc>
          <w:tcPr>
            <w:tcW w:w="2551" w:type="dxa"/>
            <w:vAlign w:val="center"/>
          </w:tcPr>
          <w:p w14:paraId="0AACBE1F" w14:textId="77777777" w:rsidR="002C3EA5" w:rsidRPr="00F32542" w:rsidRDefault="002C3EA5" w:rsidP="002C3EA5">
            <w:pPr>
              <w:spacing w:after="0" w:line="240" w:lineRule="auto"/>
              <w:jc w:val="center"/>
              <w:rPr>
                <w:rFonts w:ascii="Arial" w:eastAsia="Calibri" w:hAnsi="Arial" w:cs="Arial"/>
                <w:color w:val="000000" w:themeColor="text1"/>
                <w:sz w:val="20"/>
                <w:szCs w:val="20"/>
                <w:lang w:val="es-ES"/>
              </w:rPr>
            </w:pPr>
          </w:p>
        </w:tc>
      </w:tr>
      <w:tr w:rsidR="002C3EA5" w:rsidRPr="00F32542" w14:paraId="2DD327E7" w14:textId="77777777" w:rsidTr="00B65D24">
        <w:trPr>
          <w:trHeight w:val="284"/>
          <w:jc w:val="center"/>
        </w:trPr>
        <w:tc>
          <w:tcPr>
            <w:tcW w:w="1980" w:type="dxa"/>
            <w:shd w:val="clear" w:color="auto" w:fill="auto"/>
            <w:noWrap/>
            <w:vAlign w:val="center"/>
          </w:tcPr>
          <w:p w14:paraId="2F9B4844" w14:textId="77777777" w:rsidR="002C3EA5" w:rsidRPr="00F32542" w:rsidRDefault="002C3EA5" w:rsidP="002C3EA5">
            <w:pPr>
              <w:spacing w:after="0" w:line="240" w:lineRule="auto"/>
              <w:jc w:val="center"/>
              <w:rPr>
                <w:rFonts w:ascii="Arial" w:eastAsia="Calibri" w:hAnsi="Arial" w:cs="Arial"/>
                <w:color w:val="000000" w:themeColor="text1"/>
                <w:sz w:val="26"/>
                <w:szCs w:val="26"/>
              </w:rPr>
            </w:pPr>
            <w:r w:rsidRPr="00F32542">
              <w:rPr>
                <w:rFonts w:ascii="Arial" w:eastAsia="Calibri" w:hAnsi="Arial" w:cs="Arial"/>
                <w:color w:val="000000" w:themeColor="text1"/>
                <w:sz w:val="26"/>
                <w:szCs w:val="26"/>
              </w:rPr>
              <w:t>PRD</w:t>
            </w:r>
          </w:p>
        </w:tc>
        <w:tc>
          <w:tcPr>
            <w:tcW w:w="1843" w:type="dxa"/>
            <w:shd w:val="clear" w:color="auto" w:fill="auto"/>
            <w:vAlign w:val="center"/>
          </w:tcPr>
          <w:p w14:paraId="73301684" w14:textId="77777777" w:rsidR="002C3EA5" w:rsidRPr="00F32542" w:rsidRDefault="002C3EA5" w:rsidP="002C3EA5">
            <w:pPr>
              <w:spacing w:after="0" w:line="240" w:lineRule="auto"/>
              <w:jc w:val="center"/>
              <w:rPr>
                <w:rFonts w:ascii="Arial" w:eastAsia="Calibri" w:hAnsi="Arial" w:cs="Arial"/>
                <w:color w:val="000000" w:themeColor="text1"/>
                <w:lang w:val="es-ES"/>
              </w:rPr>
            </w:pPr>
            <w:r w:rsidRPr="00F32542">
              <w:rPr>
                <w:rFonts w:ascii="Arial" w:hAnsi="Arial" w:cs="Arial"/>
                <w:color w:val="000000" w:themeColor="text1"/>
              </w:rPr>
              <w:t>95,329</w:t>
            </w:r>
          </w:p>
        </w:tc>
        <w:tc>
          <w:tcPr>
            <w:tcW w:w="2551" w:type="dxa"/>
            <w:vAlign w:val="center"/>
          </w:tcPr>
          <w:p w14:paraId="16DCC08A" w14:textId="77777777" w:rsidR="002C3EA5" w:rsidRPr="00F32542" w:rsidRDefault="002C3EA5" w:rsidP="002C3EA5">
            <w:pPr>
              <w:spacing w:after="0" w:line="240" w:lineRule="auto"/>
              <w:jc w:val="center"/>
              <w:rPr>
                <w:rFonts w:ascii="Arial" w:eastAsia="Calibri" w:hAnsi="Arial" w:cs="Arial"/>
                <w:color w:val="000000" w:themeColor="text1"/>
                <w:sz w:val="20"/>
                <w:szCs w:val="20"/>
                <w:lang w:val="es-ES"/>
              </w:rPr>
            </w:pPr>
            <w:r w:rsidRPr="00F32542">
              <w:rPr>
                <w:rFonts w:ascii="Arial" w:eastAsia="Calibri" w:hAnsi="Arial" w:cs="Arial"/>
                <w:color w:val="000000" w:themeColor="text1"/>
                <w:sz w:val="20"/>
                <w:szCs w:val="20"/>
                <w:lang w:val="es-ES"/>
              </w:rPr>
              <w:t>1</w:t>
            </w:r>
          </w:p>
        </w:tc>
      </w:tr>
      <w:tr w:rsidR="002C3EA5" w:rsidRPr="00F32542" w14:paraId="4A7F2E0D" w14:textId="77777777" w:rsidTr="00B65D24">
        <w:trPr>
          <w:trHeight w:val="284"/>
          <w:jc w:val="center"/>
        </w:trPr>
        <w:tc>
          <w:tcPr>
            <w:tcW w:w="1980" w:type="dxa"/>
            <w:shd w:val="clear" w:color="auto" w:fill="auto"/>
            <w:noWrap/>
            <w:vAlign w:val="center"/>
          </w:tcPr>
          <w:p w14:paraId="18AEA47C" w14:textId="77777777" w:rsidR="002C3EA5" w:rsidRPr="00F32542" w:rsidRDefault="002C3EA5" w:rsidP="002C3EA5">
            <w:pPr>
              <w:spacing w:after="0" w:line="240" w:lineRule="auto"/>
              <w:jc w:val="center"/>
              <w:rPr>
                <w:rFonts w:ascii="Arial" w:eastAsia="Calibri" w:hAnsi="Arial" w:cs="Arial"/>
                <w:color w:val="000000" w:themeColor="text1"/>
                <w:sz w:val="26"/>
                <w:szCs w:val="26"/>
              </w:rPr>
            </w:pPr>
            <w:r w:rsidRPr="00F32542">
              <w:rPr>
                <w:rFonts w:ascii="Arial" w:eastAsia="Calibri" w:hAnsi="Arial" w:cs="Arial"/>
                <w:color w:val="000000" w:themeColor="text1"/>
                <w:sz w:val="26"/>
                <w:szCs w:val="26"/>
              </w:rPr>
              <w:t>PVEM</w:t>
            </w:r>
          </w:p>
        </w:tc>
        <w:tc>
          <w:tcPr>
            <w:tcW w:w="1843" w:type="dxa"/>
            <w:shd w:val="clear" w:color="auto" w:fill="auto"/>
            <w:vAlign w:val="center"/>
          </w:tcPr>
          <w:p w14:paraId="7EE8DB2C" w14:textId="77777777" w:rsidR="002C3EA5" w:rsidRPr="00F32542" w:rsidRDefault="002C3EA5" w:rsidP="002C3EA5">
            <w:pPr>
              <w:spacing w:after="0" w:line="240" w:lineRule="auto"/>
              <w:jc w:val="center"/>
              <w:rPr>
                <w:rFonts w:ascii="Arial" w:eastAsia="Calibri" w:hAnsi="Arial" w:cs="Arial"/>
                <w:color w:val="000000" w:themeColor="text1"/>
                <w:lang w:val="es-ES"/>
              </w:rPr>
            </w:pPr>
            <w:r w:rsidRPr="00F32542">
              <w:rPr>
                <w:rFonts w:ascii="Arial" w:hAnsi="Arial" w:cs="Arial"/>
                <w:color w:val="000000" w:themeColor="text1"/>
              </w:rPr>
              <w:t>12,730</w:t>
            </w:r>
          </w:p>
        </w:tc>
        <w:tc>
          <w:tcPr>
            <w:tcW w:w="2551" w:type="dxa"/>
            <w:vAlign w:val="center"/>
          </w:tcPr>
          <w:p w14:paraId="462D14AE" w14:textId="77777777" w:rsidR="002C3EA5" w:rsidRPr="00F32542" w:rsidRDefault="002C3EA5" w:rsidP="002C3EA5">
            <w:pPr>
              <w:spacing w:after="0" w:line="240" w:lineRule="auto"/>
              <w:jc w:val="center"/>
              <w:rPr>
                <w:rFonts w:ascii="Arial" w:eastAsia="Calibri" w:hAnsi="Arial" w:cs="Arial"/>
                <w:color w:val="000000" w:themeColor="text1"/>
                <w:sz w:val="20"/>
                <w:szCs w:val="20"/>
                <w:lang w:val="es-ES"/>
              </w:rPr>
            </w:pPr>
          </w:p>
        </w:tc>
      </w:tr>
      <w:tr w:rsidR="002C3EA5" w:rsidRPr="00F32542" w14:paraId="75E5EE8C" w14:textId="77777777" w:rsidTr="00B65D24">
        <w:trPr>
          <w:trHeight w:val="284"/>
          <w:jc w:val="center"/>
        </w:trPr>
        <w:tc>
          <w:tcPr>
            <w:tcW w:w="1980" w:type="dxa"/>
            <w:shd w:val="clear" w:color="auto" w:fill="auto"/>
            <w:noWrap/>
            <w:vAlign w:val="center"/>
          </w:tcPr>
          <w:p w14:paraId="0C169692" w14:textId="77777777" w:rsidR="002C3EA5" w:rsidRPr="00F32542" w:rsidRDefault="002C3EA5" w:rsidP="002C3EA5">
            <w:pPr>
              <w:spacing w:after="0" w:line="240" w:lineRule="auto"/>
              <w:jc w:val="center"/>
              <w:rPr>
                <w:rFonts w:ascii="Arial" w:eastAsia="Calibri" w:hAnsi="Arial" w:cs="Arial"/>
                <w:color w:val="000000" w:themeColor="text1"/>
                <w:sz w:val="26"/>
                <w:szCs w:val="26"/>
              </w:rPr>
            </w:pPr>
            <w:r w:rsidRPr="00F32542">
              <w:rPr>
                <w:rFonts w:ascii="Arial" w:eastAsia="Calibri" w:hAnsi="Arial" w:cs="Arial"/>
                <w:color w:val="000000" w:themeColor="text1"/>
                <w:sz w:val="26"/>
                <w:szCs w:val="26"/>
              </w:rPr>
              <w:t>MC</w:t>
            </w:r>
          </w:p>
        </w:tc>
        <w:tc>
          <w:tcPr>
            <w:tcW w:w="1843" w:type="dxa"/>
            <w:shd w:val="clear" w:color="auto" w:fill="auto"/>
            <w:vAlign w:val="center"/>
          </w:tcPr>
          <w:p w14:paraId="599B1D74" w14:textId="77777777" w:rsidR="002C3EA5" w:rsidRPr="00F32542" w:rsidRDefault="002C3EA5" w:rsidP="002C3EA5">
            <w:pPr>
              <w:spacing w:after="0" w:line="240" w:lineRule="auto"/>
              <w:jc w:val="center"/>
              <w:rPr>
                <w:rFonts w:ascii="Arial" w:eastAsia="Calibri" w:hAnsi="Arial" w:cs="Arial"/>
                <w:color w:val="000000" w:themeColor="text1"/>
                <w:lang w:val="es-ES"/>
              </w:rPr>
            </w:pPr>
            <w:r w:rsidRPr="00F32542">
              <w:rPr>
                <w:rFonts w:ascii="Arial" w:hAnsi="Arial" w:cs="Arial"/>
                <w:color w:val="000000" w:themeColor="text1"/>
              </w:rPr>
              <w:t>27,758</w:t>
            </w:r>
          </w:p>
        </w:tc>
        <w:tc>
          <w:tcPr>
            <w:tcW w:w="2551" w:type="dxa"/>
            <w:vAlign w:val="center"/>
          </w:tcPr>
          <w:p w14:paraId="2EC5D0BF" w14:textId="77777777" w:rsidR="002C3EA5" w:rsidRPr="00F32542" w:rsidRDefault="002C3EA5" w:rsidP="002C3EA5">
            <w:pPr>
              <w:spacing w:after="0" w:line="240" w:lineRule="auto"/>
              <w:jc w:val="center"/>
              <w:rPr>
                <w:rFonts w:ascii="Arial" w:eastAsia="Calibri" w:hAnsi="Arial" w:cs="Arial"/>
                <w:color w:val="000000" w:themeColor="text1"/>
                <w:sz w:val="20"/>
                <w:szCs w:val="20"/>
                <w:lang w:val="es-ES"/>
              </w:rPr>
            </w:pPr>
          </w:p>
        </w:tc>
      </w:tr>
      <w:tr w:rsidR="002C3EA5" w:rsidRPr="00F32542" w14:paraId="47F98178" w14:textId="77777777" w:rsidTr="00B65D24">
        <w:trPr>
          <w:trHeight w:val="284"/>
          <w:jc w:val="center"/>
        </w:trPr>
        <w:tc>
          <w:tcPr>
            <w:tcW w:w="1980" w:type="dxa"/>
            <w:shd w:val="clear" w:color="auto" w:fill="auto"/>
            <w:noWrap/>
            <w:vAlign w:val="center"/>
          </w:tcPr>
          <w:p w14:paraId="10FD75C9" w14:textId="77777777" w:rsidR="002C3EA5" w:rsidRPr="00F32542" w:rsidRDefault="002C3EA5" w:rsidP="002C3EA5">
            <w:pPr>
              <w:spacing w:after="0" w:line="240" w:lineRule="auto"/>
              <w:jc w:val="center"/>
              <w:rPr>
                <w:rFonts w:ascii="Arial" w:eastAsia="Calibri" w:hAnsi="Arial" w:cs="Arial"/>
                <w:color w:val="000000" w:themeColor="text1"/>
                <w:sz w:val="26"/>
                <w:szCs w:val="26"/>
              </w:rPr>
            </w:pPr>
            <w:r w:rsidRPr="00F32542">
              <w:rPr>
                <w:rFonts w:ascii="Arial" w:eastAsia="Calibri" w:hAnsi="Arial" w:cs="Arial"/>
                <w:color w:val="000000" w:themeColor="text1"/>
                <w:sz w:val="26"/>
                <w:szCs w:val="26"/>
              </w:rPr>
              <w:t>MORENA</w:t>
            </w:r>
          </w:p>
        </w:tc>
        <w:tc>
          <w:tcPr>
            <w:tcW w:w="1843" w:type="dxa"/>
            <w:shd w:val="clear" w:color="auto" w:fill="auto"/>
            <w:vAlign w:val="center"/>
          </w:tcPr>
          <w:p w14:paraId="669C5C7C" w14:textId="77777777" w:rsidR="002C3EA5" w:rsidRPr="00F32542" w:rsidRDefault="002C3EA5" w:rsidP="002C3EA5">
            <w:pPr>
              <w:spacing w:after="0" w:line="240" w:lineRule="auto"/>
              <w:jc w:val="center"/>
              <w:rPr>
                <w:rFonts w:ascii="Arial" w:eastAsia="Calibri" w:hAnsi="Arial" w:cs="Arial"/>
                <w:color w:val="000000" w:themeColor="text1"/>
                <w:lang w:val="es-ES"/>
              </w:rPr>
            </w:pPr>
            <w:r w:rsidRPr="00F32542">
              <w:rPr>
                <w:rFonts w:ascii="Arial" w:hAnsi="Arial" w:cs="Arial"/>
                <w:color w:val="000000" w:themeColor="text1"/>
              </w:rPr>
              <w:t>49,967</w:t>
            </w:r>
          </w:p>
        </w:tc>
        <w:tc>
          <w:tcPr>
            <w:tcW w:w="2551" w:type="dxa"/>
            <w:vAlign w:val="center"/>
          </w:tcPr>
          <w:p w14:paraId="1794F14B" w14:textId="77777777" w:rsidR="002C3EA5" w:rsidRPr="00F32542" w:rsidRDefault="002C3EA5" w:rsidP="002C3EA5">
            <w:pPr>
              <w:spacing w:after="0" w:line="240" w:lineRule="auto"/>
              <w:jc w:val="center"/>
              <w:rPr>
                <w:rFonts w:ascii="Arial" w:eastAsia="Calibri" w:hAnsi="Arial" w:cs="Arial"/>
                <w:color w:val="000000" w:themeColor="text1"/>
                <w:sz w:val="20"/>
                <w:szCs w:val="20"/>
                <w:lang w:val="es-ES"/>
              </w:rPr>
            </w:pPr>
            <w:r w:rsidRPr="00F32542">
              <w:rPr>
                <w:rFonts w:ascii="Arial" w:eastAsia="Calibri" w:hAnsi="Arial" w:cs="Arial"/>
                <w:color w:val="000000" w:themeColor="text1"/>
                <w:sz w:val="20"/>
                <w:szCs w:val="20"/>
                <w:lang w:val="es-ES"/>
              </w:rPr>
              <w:t>1</w:t>
            </w:r>
          </w:p>
        </w:tc>
      </w:tr>
      <w:tr w:rsidR="00F57B54" w:rsidRPr="00F32542" w14:paraId="7BA37254" w14:textId="77777777" w:rsidTr="00B65D24">
        <w:trPr>
          <w:trHeight w:val="446"/>
          <w:jc w:val="center"/>
        </w:trPr>
        <w:tc>
          <w:tcPr>
            <w:tcW w:w="1980" w:type="dxa"/>
            <w:shd w:val="clear" w:color="auto" w:fill="AEAAAA"/>
            <w:noWrap/>
            <w:vAlign w:val="center"/>
            <w:hideMark/>
          </w:tcPr>
          <w:p w14:paraId="49E8AD6A" w14:textId="77777777" w:rsidR="00F57B54" w:rsidRPr="00F32542" w:rsidRDefault="00F57B54" w:rsidP="00F57B54">
            <w:pPr>
              <w:spacing w:after="0" w:line="240" w:lineRule="auto"/>
              <w:jc w:val="center"/>
              <w:rPr>
                <w:rFonts w:ascii="Arial" w:eastAsia="Calibri" w:hAnsi="Arial" w:cs="Arial"/>
                <w:b/>
                <w:bCs/>
                <w:color w:val="000000" w:themeColor="text1"/>
                <w:sz w:val="20"/>
                <w:szCs w:val="20"/>
                <w:lang w:val="es-ES" w:eastAsia="es-MX"/>
              </w:rPr>
            </w:pPr>
            <w:r w:rsidRPr="00F32542">
              <w:rPr>
                <w:rFonts w:ascii="Arial" w:eastAsia="Calibri" w:hAnsi="Arial" w:cs="Arial"/>
                <w:b/>
                <w:bCs/>
                <w:color w:val="000000" w:themeColor="text1"/>
                <w:sz w:val="20"/>
                <w:szCs w:val="20"/>
                <w:lang w:val="es-ES" w:eastAsia="es-MX"/>
              </w:rPr>
              <w:t>Total</w:t>
            </w:r>
          </w:p>
        </w:tc>
        <w:tc>
          <w:tcPr>
            <w:tcW w:w="1843" w:type="dxa"/>
            <w:shd w:val="clear" w:color="auto" w:fill="AEAAAA"/>
            <w:vAlign w:val="center"/>
          </w:tcPr>
          <w:p w14:paraId="7E5186A8" w14:textId="77777777" w:rsidR="00F57B54" w:rsidRPr="00F32542" w:rsidRDefault="00F57B54" w:rsidP="00F57B54">
            <w:pPr>
              <w:spacing w:after="0" w:line="240" w:lineRule="auto"/>
              <w:jc w:val="center"/>
              <w:rPr>
                <w:rFonts w:ascii="Arial" w:eastAsia="Calibri" w:hAnsi="Arial" w:cs="Arial"/>
                <w:b/>
                <w:bCs/>
                <w:color w:val="000000" w:themeColor="text1"/>
                <w:sz w:val="20"/>
                <w:szCs w:val="20"/>
                <w:lang w:val="es-ES" w:eastAsia="es-MX"/>
              </w:rPr>
            </w:pPr>
          </w:p>
        </w:tc>
        <w:tc>
          <w:tcPr>
            <w:tcW w:w="2551" w:type="dxa"/>
            <w:shd w:val="clear" w:color="auto" w:fill="AEAAAA"/>
            <w:vAlign w:val="center"/>
          </w:tcPr>
          <w:p w14:paraId="18A7E25B" w14:textId="77777777" w:rsidR="00F57B54" w:rsidRPr="00F32542" w:rsidRDefault="00F57B54" w:rsidP="00F57B54">
            <w:pPr>
              <w:spacing w:after="0" w:line="240" w:lineRule="auto"/>
              <w:jc w:val="center"/>
              <w:rPr>
                <w:rFonts w:ascii="Arial" w:eastAsia="Calibri" w:hAnsi="Arial" w:cs="Arial"/>
                <w:b/>
                <w:bCs/>
                <w:color w:val="000000" w:themeColor="text1"/>
                <w:sz w:val="20"/>
                <w:szCs w:val="20"/>
                <w:lang w:val="es-ES"/>
              </w:rPr>
            </w:pPr>
            <w:r w:rsidRPr="00F32542">
              <w:rPr>
                <w:rFonts w:ascii="Arial" w:eastAsia="Calibri" w:hAnsi="Arial" w:cs="Arial"/>
                <w:b/>
                <w:bCs/>
                <w:color w:val="000000" w:themeColor="text1"/>
                <w:sz w:val="20"/>
                <w:szCs w:val="20"/>
                <w:lang w:val="es-ES"/>
              </w:rPr>
              <w:t>2</w:t>
            </w:r>
          </w:p>
        </w:tc>
      </w:tr>
    </w:tbl>
    <w:p w14:paraId="48660656" w14:textId="77777777" w:rsidR="00F57B54" w:rsidRPr="00F32542" w:rsidRDefault="00F57B54" w:rsidP="00F94B48">
      <w:pPr>
        <w:spacing w:after="0" w:line="360" w:lineRule="auto"/>
        <w:contextualSpacing/>
        <w:jc w:val="both"/>
        <w:rPr>
          <w:rFonts w:ascii="Arial" w:eastAsia="Calibri" w:hAnsi="Arial" w:cs="Arial"/>
          <w:spacing w:val="4"/>
          <w:sz w:val="28"/>
        </w:rPr>
      </w:pPr>
    </w:p>
    <w:p w14:paraId="0D0DFAF8" w14:textId="77777777" w:rsidR="00F94B48" w:rsidRPr="00F32542" w:rsidRDefault="00F94B48" w:rsidP="00F94B48">
      <w:p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t xml:space="preserve">Por tanto, la asignación de las treinta y dos diputaciones de representación proporcional es la siguiente: </w:t>
      </w:r>
    </w:p>
    <w:p w14:paraId="6C61BAE2" w14:textId="77777777" w:rsidR="00F94B48" w:rsidRPr="00F32542" w:rsidRDefault="00F94B48" w:rsidP="00F94B48">
      <w:pPr>
        <w:spacing w:after="0" w:line="360" w:lineRule="auto"/>
        <w:contextualSpacing/>
        <w:jc w:val="both"/>
        <w:rPr>
          <w:rFonts w:ascii="Arial" w:eastAsia="Calibri" w:hAnsi="Arial" w:cs="Arial"/>
          <w:sz w:val="28"/>
        </w:rPr>
      </w:pPr>
    </w:p>
    <w:tbl>
      <w:tblPr>
        <w:tblW w:w="7366" w:type="dxa"/>
        <w:jc w:val="center"/>
        <w:tblLayout w:type="fixed"/>
        <w:tblCellMar>
          <w:left w:w="70" w:type="dxa"/>
          <w:right w:w="70" w:type="dxa"/>
        </w:tblCellMar>
        <w:tblLook w:val="04A0" w:firstRow="1" w:lastRow="0" w:firstColumn="1" w:lastColumn="0" w:noHBand="0" w:noVBand="1"/>
      </w:tblPr>
      <w:tblGrid>
        <w:gridCol w:w="1771"/>
        <w:gridCol w:w="2052"/>
        <w:gridCol w:w="1842"/>
        <w:gridCol w:w="1701"/>
      </w:tblGrid>
      <w:tr w:rsidR="00F94B48" w:rsidRPr="00F32542" w14:paraId="282306BA" w14:textId="77777777" w:rsidTr="00F94B48">
        <w:trPr>
          <w:trHeight w:val="1005"/>
          <w:tblHeader/>
          <w:jc w:val="center"/>
        </w:trPr>
        <w:tc>
          <w:tcPr>
            <w:tcW w:w="1771" w:type="dxa"/>
            <w:tcBorders>
              <w:top w:val="single" w:sz="4" w:space="0" w:color="auto"/>
              <w:left w:val="single" w:sz="4" w:space="0" w:color="auto"/>
              <w:bottom w:val="single" w:sz="4" w:space="0" w:color="auto"/>
              <w:right w:val="single" w:sz="4" w:space="0" w:color="auto"/>
            </w:tcBorders>
            <w:shd w:val="clear" w:color="auto" w:fill="AEAAAA"/>
            <w:noWrap/>
            <w:vAlign w:val="center"/>
            <w:hideMark/>
          </w:tcPr>
          <w:p w14:paraId="7C4B522E" w14:textId="77777777" w:rsidR="00F94B48" w:rsidRPr="00F32542" w:rsidRDefault="00F94B48" w:rsidP="00F94B48">
            <w:pPr>
              <w:spacing w:after="0" w:line="240" w:lineRule="auto"/>
              <w:jc w:val="center"/>
              <w:rPr>
                <w:rFonts w:ascii="Arial" w:eastAsia="Calibri" w:hAnsi="Arial" w:cs="Arial"/>
                <w:b/>
                <w:bCs/>
                <w:lang w:val="es-ES" w:eastAsia="es-MX"/>
              </w:rPr>
            </w:pPr>
            <w:r w:rsidRPr="00F32542">
              <w:rPr>
                <w:rFonts w:ascii="Arial" w:eastAsia="Calibri" w:hAnsi="Arial" w:cs="Arial"/>
                <w:b/>
                <w:bCs/>
                <w:lang w:val="es-ES" w:eastAsia="es-MX"/>
              </w:rPr>
              <w:t>Partido</w:t>
            </w:r>
          </w:p>
          <w:p w14:paraId="709CA612" w14:textId="77777777" w:rsidR="00F94B48" w:rsidRPr="00F32542" w:rsidRDefault="00F94B48" w:rsidP="00F94B48">
            <w:pPr>
              <w:spacing w:after="0" w:line="240" w:lineRule="auto"/>
              <w:jc w:val="center"/>
              <w:rPr>
                <w:rFonts w:ascii="Arial" w:eastAsia="Calibri" w:hAnsi="Arial" w:cs="Arial"/>
                <w:b/>
                <w:bCs/>
                <w:lang w:val="es-ES" w:eastAsia="es-MX"/>
              </w:rPr>
            </w:pPr>
            <w:r w:rsidRPr="00F32542">
              <w:rPr>
                <w:rFonts w:ascii="Arial" w:eastAsia="Calibri" w:hAnsi="Arial" w:cs="Arial"/>
                <w:b/>
                <w:bCs/>
                <w:lang w:val="es-ES" w:eastAsia="es-MX"/>
              </w:rPr>
              <w:t>Político</w:t>
            </w:r>
          </w:p>
        </w:tc>
        <w:tc>
          <w:tcPr>
            <w:tcW w:w="2052" w:type="dxa"/>
            <w:tcBorders>
              <w:top w:val="single" w:sz="4" w:space="0" w:color="auto"/>
              <w:left w:val="nil"/>
              <w:bottom w:val="single" w:sz="4" w:space="0" w:color="auto"/>
              <w:right w:val="single" w:sz="4" w:space="0" w:color="auto"/>
            </w:tcBorders>
            <w:shd w:val="clear" w:color="auto" w:fill="AEAAAA"/>
            <w:vAlign w:val="center"/>
          </w:tcPr>
          <w:p w14:paraId="449BE804" w14:textId="77777777" w:rsidR="00F94B48" w:rsidRPr="00F32542" w:rsidRDefault="00F94B48" w:rsidP="00F94B48">
            <w:pPr>
              <w:spacing w:after="0" w:line="240" w:lineRule="auto"/>
              <w:jc w:val="center"/>
              <w:rPr>
                <w:rFonts w:ascii="Arial" w:eastAsia="Calibri" w:hAnsi="Arial" w:cs="Arial"/>
                <w:b/>
                <w:bCs/>
                <w:lang w:val="es-ES" w:eastAsia="es-MX"/>
              </w:rPr>
            </w:pPr>
            <w:r w:rsidRPr="00F32542">
              <w:rPr>
                <w:rFonts w:ascii="Arial" w:eastAsia="Calibri" w:hAnsi="Arial" w:cs="Arial"/>
                <w:b/>
                <w:bCs/>
                <w:lang w:val="es-ES" w:eastAsia="es-MX"/>
              </w:rPr>
              <w:t>(A)</w:t>
            </w:r>
          </w:p>
          <w:p w14:paraId="2C20B573" w14:textId="77777777" w:rsidR="00F94B48" w:rsidRPr="00F32542" w:rsidRDefault="00F94B48" w:rsidP="00F94B48">
            <w:pPr>
              <w:spacing w:after="0" w:line="240" w:lineRule="auto"/>
              <w:jc w:val="center"/>
              <w:rPr>
                <w:rFonts w:ascii="Arial" w:eastAsia="Calibri" w:hAnsi="Arial" w:cs="Arial"/>
                <w:b/>
                <w:bCs/>
                <w:lang w:val="es-ES" w:eastAsia="es-MX"/>
              </w:rPr>
            </w:pPr>
            <w:r w:rsidRPr="00F32542">
              <w:rPr>
                <w:rFonts w:ascii="Arial" w:eastAsia="Calibri" w:hAnsi="Arial" w:cs="Arial"/>
                <w:b/>
                <w:bCs/>
                <w:lang w:val="es-ES" w:eastAsia="es-MX"/>
              </w:rPr>
              <w:t>Diputaciones distribuidas mediante cociente electoral</w:t>
            </w:r>
          </w:p>
        </w:tc>
        <w:tc>
          <w:tcPr>
            <w:tcW w:w="1842" w:type="dxa"/>
            <w:tcBorders>
              <w:top w:val="single" w:sz="4" w:space="0" w:color="auto"/>
              <w:left w:val="nil"/>
              <w:bottom w:val="single" w:sz="4" w:space="0" w:color="auto"/>
              <w:right w:val="single" w:sz="4" w:space="0" w:color="auto"/>
            </w:tcBorders>
            <w:shd w:val="clear" w:color="auto" w:fill="AEAAAA"/>
            <w:vAlign w:val="center"/>
          </w:tcPr>
          <w:p w14:paraId="7DDDC800" w14:textId="77777777" w:rsidR="00F94B48" w:rsidRPr="00F32542" w:rsidRDefault="00F94B48" w:rsidP="00F94B48">
            <w:pPr>
              <w:spacing w:after="0" w:line="240" w:lineRule="auto"/>
              <w:jc w:val="center"/>
              <w:rPr>
                <w:rFonts w:ascii="Arial" w:eastAsia="Calibri" w:hAnsi="Arial" w:cs="Arial"/>
                <w:b/>
                <w:bCs/>
                <w:lang w:eastAsia="es-MX"/>
              </w:rPr>
            </w:pPr>
            <w:r w:rsidRPr="00F32542">
              <w:rPr>
                <w:rFonts w:ascii="Arial" w:eastAsia="Calibri" w:hAnsi="Arial" w:cs="Arial"/>
                <w:b/>
                <w:bCs/>
                <w:lang w:eastAsia="es-MX"/>
              </w:rPr>
              <w:t>(B)</w:t>
            </w:r>
          </w:p>
          <w:p w14:paraId="404EB64A" w14:textId="77777777" w:rsidR="00F94B48" w:rsidRPr="00F32542" w:rsidRDefault="00F94B48" w:rsidP="00F94B48">
            <w:pPr>
              <w:spacing w:after="0" w:line="240" w:lineRule="auto"/>
              <w:jc w:val="center"/>
              <w:rPr>
                <w:rFonts w:ascii="Arial" w:eastAsia="Calibri" w:hAnsi="Arial" w:cs="Arial"/>
                <w:b/>
                <w:bCs/>
                <w:lang w:eastAsia="es-MX"/>
              </w:rPr>
            </w:pPr>
            <w:r w:rsidRPr="00F32542">
              <w:rPr>
                <w:rFonts w:ascii="Arial" w:eastAsia="Calibri" w:hAnsi="Arial" w:cs="Arial"/>
                <w:b/>
                <w:bCs/>
                <w:lang w:eastAsia="es-MX"/>
              </w:rPr>
              <w:t>Diputaciones distribuidas mediante resto mayor</w:t>
            </w:r>
          </w:p>
        </w:tc>
        <w:tc>
          <w:tcPr>
            <w:tcW w:w="1701" w:type="dxa"/>
            <w:tcBorders>
              <w:top w:val="single" w:sz="4" w:space="0" w:color="auto"/>
              <w:left w:val="nil"/>
              <w:bottom w:val="single" w:sz="4" w:space="0" w:color="auto"/>
              <w:right w:val="single" w:sz="4" w:space="0" w:color="auto"/>
            </w:tcBorders>
            <w:shd w:val="clear" w:color="auto" w:fill="AEAAAA"/>
            <w:vAlign w:val="center"/>
          </w:tcPr>
          <w:p w14:paraId="26B40C53" w14:textId="77777777" w:rsidR="00F94B48" w:rsidRPr="00F32542" w:rsidRDefault="00F94B48" w:rsidP="00F94B48">
            <w:pPr>
              <w:spacing w:after="0" w:line="240" w:lineRule="auto"/>
              <w:jc w:val="center"/>
              <w:rPr>
                <w:rFonts w:ascii="Arial" w:eastAsia="Calibri" w:hAnsi="Arial" w:cs="Arial"/>
                <w:b/>
                <w:bCs/>
                <w:lang w:val="es-ES" w:eastAsia="es-MX"/>
              </w:rPr>
            </w:pPr>
            <w:r w:rsidRPr="00F32542">
              <w:rPr>
                <w:rFonts w:ascii="Arial" w:eastAsia="Calibri" w:hAnsi="Arial" w:cs="Arial"/>
                <w:b/>
                <w:bCs/>
                <w:lang w:val="es-ES" w:eastAsia="es-MX"/>
              </w:rPr>
              <w:t>(A+B)</w:t>
            </w:r>
          </w:p>
          <w:p w14:paraId="6449A504" w14:textId="77777777" w:rsidR="00F94B48" w:rsidRPr="00F32542" w:rsidRDefault="00F94B48" w:rsidP="00F94B48">
            <w:pPr>
              <w:spacing w:after="0" w:line="240" w:lineRule="auto"/>
              <w:jc w:val="center"/>
              <w:rPr>
                <w:rFonts w:ascii="Arial" w:eastAsia="Calibri" w:hAnsi="Arial" w:cs="Arial"/>
                <w:b/>
                <w:bCs/>
                <w:lang w:val="es-ES" w:eastAsia="es-MX"/>
              </w:rPr>
            </w:pPr>
          </w:p>
          <w:p w14:paraId="784C74A0" w14:textId="77777777" w:rsidR="00F94B48" w:rsidRPr="00F32542" w:rsidRDefault="00F94B48" w:rsidP="00F94B48">
            <w:pPr>
              <w:spacing w:after="0" w:line="240" w:lineRule="auto"/>
              <w:jc w:val="center"/>
              <w:rPr>
                <w:rFonts w:ascii="Arial" w:eastAsia="Calibri" w:hAnsi="Arial" w:cs="Arial"/>
                <w:b/>
                <w:bCs/>
                <w:lang w:val="es-ES" w:eastAsia="es-MX"/>
              </w:rPr>
            </w:pPr>
            <w:r w:rsidRPr="00F32542">
              <w:rPr>
                <w:rFonts w:ascii="Arial" w:eastAsia="Calibri" w:hAnsi="Arial" w:cs="Arial"/>
                <w:b/>
                <w:bCs/>
                <w:lang w:val="es-ES" w:eastAsia="es-MX"/>
              </w:rPr>
              <w:t>Total</w:t>
            </w:r>
          </w:p>
        </w:tc>
      </w:tr>
      <w:tr w:rsidR="00F94B48" w:rsidRPr="00F32542" w14:paraId="2B68653E" w14:textId="77777777" w:rsidTr="00B65D24">
        <w:trPr>
          <w:trHeight w:val="284"/>
          <w:jc w:val="center"/>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5D6EC" w14:textId="77777777" w:rsidR="00F94B48" w:rsidRPr="00F32542" w:rsidRDefault="00F94B48" w:rsidP="00F94B48">
            <w:pPr>
              <w:spacing w:after="0" w:line="240" w:lineRule="auto"/>
              <w:jc w:val="center"/>
              <w:rPr>
                <w:rFonts w:ascii="Arial" w:eastAsia="Calibri" w:hAnsi="Arial" w:cs="Arial"/>
                <w:sz w:val="26"/>
                <w:szCs w:val="26"/>
              </w:rPr>
            </w:pPr>
            <w:r w:rsidRPr="00F32542">
              <w:rPr>
                <w:rFonts w:ascii="Arial" w:eastAsia="Calibri" w:hAnsi="Arial" w:cs="Arial"/>
                <w:sz w:val="26"/>
                <w:szCs w:val="26"/>
              </w:rPr>
              <w:t>PAN</w:t>
            </w:r>
          </w:p>
        </w:tc>
        <w:tc>
          <w:tcPr>
            <w:tcW w:w="2052" w:type="dxa"/>
            <w:tcBorders>
              <w:top w:val="single" w:sz="4" w:space="0" w:color="auto"/>
              <w:left w:val="nil"/>
              <w:bottom w:val="single" w:sz="4" w:space="0" w:color="auto"/>
              <w:right w:val="single" w:sz="4" w:space="0" w:color="auto"/>
            </w:tcBorders>
            <w:vAlign w:val="center"/>
          </w:tcPr>
          <w:p w14:paraId="5AD31544"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9</w:t>
            </w:r>
          </w:p>
        </w:tc>
        <w:tc>
          <w:tcPr>
            <w:tcW w:w="1842" w:type="dxa"/>
            <w:tcBorders>
              <w:top w:val="single" w:sz="4" w:space="0" w:color="auto"/>
              <w:left w:val="nil"/>
              <w:bottom w:val="single" w:sz="4" w:space="0" w:color="auto"/>
              <w:right w:val="single" w:sz="4" w:space="0" w:color="auto"/>
            </w:tcBorders>
            <w:vAlign w:val="center"/>
          </w:tcPr>
          <w:p w14:paraId="6EE3C35E" w14:textId="77777777" w:rsidR="00F94B48" w:rsidRPr="00F32542" w:rsidRDefault="00F94B48" w:rsidP="00F94B48">
            <w:pPr>
              <w:spacing w:after="0" w:line="240" w:lineRule="auto"/>
              <w:jc w:val="center"/>
              <w:rPr>
                <w:rFonts w:ascii="Arial" w:eastAsia="Calibri" w:hAnsi="Arial" w:cs="Arial"/>
                <w:color w:val="000000"/>
                <w:lang w:val="es-ES"/>
              </w:rPr>
            </w:pPr>
          </w:p>
        </w:tc>
        <w:tc>
          <w:tcPr>
            <w:tcW w:w="1701" w:type="dxa"/>
            <w:tcBorders>
              <w:top w:val="single" w:sz="4" w:space="0" w:color="auto"/>
              <w:left w:val="nil"/>
              <w:bottom w:val="single" w:sz="4" w:space="0" w:color="auto"/>
              <w:right w:val="single" w:sz="4" w:space="0" w:color="auto"/>
            </w:tcBorders>
            <w:vAlign w:val="center"/>
          </w:tcPr>
          <w:p w14:paraId="32CADC0B"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9</w:t>
            </w:r>
          </w:p>
        </w:tc>
      </w:tr>
      <w:tr w:rsidR="00F94B48" w:rsidRPr="00F32542" w14:paraId="7A85F25A" w14:textId="77777777" w:rsidTr="00B65D24">
        <w:trPr>
          <w:trHeight w:val="284"/>
          <w:jc w:val="center"/>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0CDCB" w14:textId="77777777" w:rsidR="00F94B48" w:rsidRPr="00F32542" w:rsidRDefault="00F94B48" w:rsidP="00F94B48">
            <w:pPr>
              <w:spacing w:after="0" w:line="240" w:lineRule="auto"/>
              <w:jc w:val="center"/>
              <w:rPr>
                <w:rFonts w:ascii="Arial" w:eastAsia="Calibri" w:hAnsi="Arial" w:cs="Arial"/>
                <w:sz w:val="26"/>
                <w:szCs w:val="26"/>
              </w:rPr>
            </w:pPr>
            <w:r w:rsidRPr="00F32542">
              <w:rPr>
                <w:rFonts w:ascii="Arial" w:eastAsia="Calibri" w:hAnsi="Arial" w:cs="Arial"/>
                <w:sz w:val="26"/>
                <w:szCs w:val="26"/>
              </w:rPr>
              <w:t>PRI</w:t>
            </w:r>
          </w:p>
        </w:tc>
        <w:tc>
          <w:tcPr>
            <w:tcW w:w="2052" w:type="dxa"/>
            <w:tcBorders>
              <w:top w:val="single" w:sz="4" w:space="0" w:color="auto"/>
              <w:left w:val="nil"/>
              <w:bottom w:val="single" w:sz="4" w:space="0" w:color="auto"/>
              <w:right w:val="single" w:sz="4" w:space="0" w:color="auto"/>
            </w:tcBorders>
            <w:vAlign w:val="center"/>
          </w:tcPr>
          <w:p w14:paraId="3CE3CF85"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5</w:t>
            </w:r>
          </w:p>
        </w:tc>
        <w:tc>
          <w:tcPr>
            <w:tcW w:w="1842" w:type="dxa"/>
            <w:tcBorders>
              <w:top w:val="single" w:sz="4" w:space="0" w:color="auto"/>
              <w:left w:val="nil"/>
              <w:bottom w:val="single" w:sz="4" w:space="0" w:color="auto"/>
              <w:right w:val="single" w:sz="4" w:space="0" w:color="auto"/>
            </w:tcBorders>
            <w:vAlign w:val="center"/>
          </w:tcPr>
          <w:p w14:paraId="0A9CF4F1" w14:textId="77777777" w:rsidR="00F94B48" w:rsidRPr="00F32542" w:rsidRDefault="00F94B48" w:rsidP="00F94B48">
            <w:pPr>
              <w:spacing w:after="0" w:line="240" w:lineRule="auto"/>
              <w:jc w:val="center"/>
              <w:rPr>
                <w:rFonts w:ascii="Arial" w:eastAsia="Calibri" w:hAnsi="Arial" w:cs="Arial"/>
                <w:color w:val="000000"/>
                <w:lang w:val="es-ES"/>
              </w:rPr>
            </w:pPr>
          </w:p>
        </w:tc>
        <w:tc>
          <w:tcPr>
            <w:tcW w:w="1701" w:type="dxa"/>
            <w:tcBorders>
              <w:top w:val="single" w:sz="4" w:space="0" w:color="auto"/>
              <w:left w:val="nil"/>
              <w:bottom w:val="single" w:sz="4" w:space="0" w:color="auto"/>
              <w:right w:val="single" w:sz="4" w:space="0" w:color="auto"/>
            </w:tcBorders>
            <w:vAlign w:val="center"/>
          </w:tcPr>
          <w:p w14:paraId="426D69F0"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5</w:t>
            </w:r>
          </w:p>
        </w:tc>
      </w:tr>
      <w:tr w:rsidR="00F94B48" w:rsidRPr="00F32542" w14:paraId="41CFC92A" w14:textId="77777777" w:rsidTr="00B65D24">
        <w:trPr>
          <w:trHeight w:val="284"/>
          <w:jc w:val="center"/>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F628C" w14:textId="77777777" w:rsidR="00F94B48" w:rsidRPr="00F32542" w:rsidRDefault="00F94B48" w:rsidP="00F94B48">
            <w:pPr>
              <w:spacing w:after="0" w:line="240" w:lineRule="auto"/>
              <w:jc w:val="center"/>
              <w:rPr>
                <w:rFonts w:ascii="Arial" w:eastAsia="Calibri" w:hAnsi="Arial" w:cs="Arial"/>
                <w:sz w:val="26"/>
                <w:szCs w:val="26"/>
              </w:rPr>
            </w:pPr>
            <w:r w:rsidRPr="00F32542">
              <w:rPr>
                <w:rFonts w:ascii="Arial" w:eastAsia="Calibri" w:hAnsi="Arial" w:cs="Arial"/>
                <w:sz w:val="26"/>
                <w:szCs w:val="26"/>
              </w:rPr>
              <w:t>PRD</w:t>
            </w:r>
          </w:p>
        </w:tc>
        <w:tc>
          <w:tcPr>
            <w:tcW w:w="2052" w:type="dxa"/>
            <w:tcBorders>
              <w:top w:val="single" w:sz="4" w:space="0" w:color="auto"/>
              <w:left w:val="nil"/>
              <w:bottom w:val="single" w:sz="4" w:space="0" w:color="auto"/>
              <w:right w:val="single" w:sz="4" w:space="0" w:color="auto"/>
            </w:tcBorders>
            <w:vAlign w:val="center"/>
          </w:tcPr>
          <w:p w14:paraId="06649ECE"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c>
          <w:tcPr>
            <w:tcW w:w="1842" w:type="dxa"/>
            <w:tcBorders>
              <w:top w:val="single" w:sz="4" w:space="0" w:color="auto"/>
              <w:left w:val="nil"/>
              <w:bottom w:val="single" w:sz="4" w:space="0" w:color="auto"/>
              <w:right w:val="single" w:sz="4" w:space="0" w:color="auto"/>
            </w:tcBorders>
            <w:vAlign w:val="center"/>
          </w:tcPr>
          <w:p w14:paraId="5D2D07BF"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c>
          <w:tcPr>
            <w:tcW w:w="1701" w:type="dxa"/>
            <w:tcBorders>
              <w:top w:val="single" w:sz="4" w:space="0" w:color="auto"/>
              <w:left w:val="nil"/>
              <w:bottom w:val="single" w:sz="4" w:space="0" w:color="auto"/>
              <w:right w:val="single" w:sz="4" w:space="0" w:color="auto"/>
            </w:tcBorders>
            <w:vAlign w:val="center"/>
          </w:tcPr>
          <w:p w14:paraId="238F0C18"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2</w:t>
            </w:r>
          </w:p>
        </w:tc>
      </w:tr>
      <w:tr w:rsidR="00F94B48" w:rsidRPr="00F32542" w14:paraId="3DDE6234" w14:textId="77777777" w:rsidTr="00B65D24">
        <w:trPr>
          <w:trHeight w:val="284"/>
          <w:jc w:val="center"/>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51EEE" w14:textId="77777777" w:rsidR="00F94B48" w:rsidRPr="00F32542" w:rsidRDefault="00F94B48" w:rsidP="00F94B48">
            <w:pPr>
              <w:spacing w:after="0" w:line="240" w:lineRule="auto"/>
              <w:jc w:val="center"/>
              <w:rPr>
                <w:rFonts w:ascii="Arial" w:eastAsia="Calibri" w:hAnsi="Arial" w:cs="Arial"/>
                <w:sz w:val="26"/>
                <w:szCs w:val="26"/>
              </w:rPr>
            </w:pPr>
            <w:r w:rsidRPr="00F32542">
              <w:rPr>
                <w:rFonts w:ascii="Arial" w:eastAsia="Calibri" w:hAnsi="Arial" w:cs="Arial"/>
                <w:sz w:val="26"/>
                <w:szCs w:val="26"/>
              </w:rPr>
              <w:t>PVEM</w:t>
            </w:r>
          </w:p>
        </w:tc>
        <w:tc>
          <w:tcPr>
            <w:tcW w:w="2052" w:type="dxa"/>
            <w:tcBorders>
              <w:top w:val="single" w:sz="4" w:space="0" w:color="auto"/>
              <w:left w:val="nil"/>
              <w:bottom w:val="single" w:sz="4" w:space="0" w:color="auto"/>
              <w:right w:val="single" w:sz="4" w:space="0" w:color="auto"/>
            </w:tcBorders>
            <w:vAlign w:val="center"/>
          </w:tcPr>
          <w:p w14:paraId="51608606"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c>
          <w:tcPr>
            <w:tcW w:w="1842" w:type="dxa"/>
            <w:tcBorders>
              <w:top w:val="single" w:sz="4" w:space="0" w:color="auto"/>
              <w:left w:val="nil"/>
              <w:bottom w:val="single" w:sz="4" w:space="0" w:color="auto"/>
              <w:right w:val="single" w:sz="4" w:space="0" w:color="auto"/>
            </w:tcBorders>
            <w:vAlign w:val="center"/>
          </w:tcPr>
          <w:p w14:paraId="7F026DCA" w14:textId="77777777" w:rsidR="00F94B48" w:rsidRPr="00F32542" w:rsidRDefault="00F94B48" w:rsidP="00F94B48">
            <w:pPr>
              <w:spacing w:after="0" w:line="240" w:lineRule="auto"/>
              <w:jc w:val="center"/>
              <w:rPr>
                <w:rFonts w:ascii="Arial" w:eastAsia="Calibri" w:hAnsi="Arial" w:cs="Arial"/>
                <w:color w:val="000000"/>
                <w:lang w:val="es-ES"/>
              </w:rPr>
            </w:pPr>
          </w:p>
        </w:tc>
        <w:tc>
          <w:tcPr>
            <w:tcW w:w="1701" w:type="dxa"/>
            <w:tcBorders>
              <w:top w:val="single" w:sz="4" w:space="0" w:color="auto"/>
              <w:left w:val="nil"/>
              <w:bottom w:val="single" w:sz="4" w:space="0" w:color="auto"/>
              <w:right w:val="single" w:sz="4" w:space="0" w:color="auto"/>
            </w:tcBorders>
            <w:vAlign w:val="center"/>
          </w:tcPr>
          <w:p w14:paraId="1B3AE7E1"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r>
      <w:tr w:rsidR="00F94B48" w:rsidRPr="00F32542" w14:paraId="3BCDFB07" w14:textId="77777777" w:rsidTr="00B65D24">
        <w:trPr>
          <w:trHeight w:val="284"/>
          <w:jc w:val="center"/>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A38F7" w14:textId="77777777" w:rsidR="00F94B48" w:rsidRPr="00F32542" w:rsidRDefault="00F94B48" w:rsidP="00F94B48">
            <w:pPr>
              <w:spacing w:after="0" w:line="240" w:lineRule="auto"/>
              <w:jc w:val="center"/>
              <w:rPr>
                <w:rFonts w:ascii="Arial" w:eastAsia="Calibri" w:hAnsi="Arial" w:cs="Arial"/>
                <w:sz w:val="26"/>
                <w:szCs w:val="26"/>
              </w:rPr>
            </w:pPr>
            <w:r w:rsidRPr="00F32542">
              <w:rPr>
                <w:rFonts w:ascii="Arial" w:eastAsia="Calibri" w:hAnsi="Arial" w:cs="Arial"/>
                <w:sz w:val="26"/>
                <w:szCs w:val="26"/>
              </w:rPr>
              <w:t>MC</w:t>
            </w:r>
          </w:p>
        </w:tc>
        <w:tc>
          <w:tcPr>
            <w:tcW w:w="2052" w:type="dxa"/>
            <w:tcBorders>
              <w:top w:val="single" w:sz="4" w:space="0" w:color="auto"/>
              <w:left w:val="nil"/>
              <w:bottom w:val="single" w:sz="4" w:space="0" w:color="auto"/>
              <w:right w:val="single" w:sz="4" w:space="0" w:color="auto"/>
            </w:tcBorders>
            <w:vAlign w:val="center"/>
          </w:tcPr>
          <w:p w14:paraId="61180790"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c>
          <w:tcPr>
            <w:tcW w:w="1842" w:type="dxa"/>
            <w:tcBorders>
              <w:top w:val="single" w:sz="4" w:space="0" w:color="auto"/>
              <w:left w:val="nil"/>
              <w:bottom w:val="single" w:sz="4" w:space="0" w:color="auto"/>
              <w:right w:val="single" w:sz="4" w:space="0" w:color="auto"/>
            </w:tcBorders>
            <w:vAlign w:val="center"/>
          </w:tcPr>
          <w:p w14:paraId="71E7031D" w14:textId="77777777" w:rsidR="00F94B48" w:rsidRPr="00F32542" w:rsidRDefault="00F94B48" w:rsidP="00F94B48">
            <w:pPr>
              <w:spacing w:after="0" w:line="240" w:lineRule="auto"/>
              <w:jc w:val="center"/>
              <w:rPr>
                <w:rFonts w:ascii="Arial" w:eastAsia="Calibri" w:hAnsi="Arial" w:cs="Arial"/>
                <w:color w:val="000000"/>
                <w:lang w:val="es-ES"/>
              </w:rPr>
            </w:pPr>
          </w:p>
        </w:tc>
        <w:tc>
          <w:tcPr>
            <w:tcW w:w="1701" w:type="dxa"/>
            <w:tcBorders>
              <w:top w:val="single" w:sz="4" w:space="0" w:color="auto"/>
              <w:left w:val="nil"/>
              <w:bottom w:val="single" w:sz="4" w:space="0" w:color="auto"/>
              <w:right w:val="single" w:sz="4" w:space="0" w:color="auto"/>
            </w:tcBorders>
            <w:vAlign w:val="center"/>
          </w:tcPr>
          <w:p w14:paraId="466F6DA4"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r>
      <w:tr w:rsidR="00F94B48" w:rsidRPr="00F32542" w14:paraId="12D0C04A" w14:textId="77777777" w:rsidTr="00B65D24">
        <w:trPr>
          <w:trHeight w:val="284"/>
          <w:jc w:val="center"/>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41C33" w14:textId="77777777" w:rsidR="00F94B48" w:rsidRPr="00F32542" w:rsidRDefault="00F94B48" w:rsidP="00F94B48">
            <w:pPr>
              <w:spacing w:after="0" w:line="240" w:lineRule="auto"/>
              <w:jc w:val="center"/>
              <w:rPr>
                <w:rFonts w:ascii="Arial" w:eastAsia="Calibri" w:hAnsi="Arial" w:cs="Arial"/>
                <w:sz w:val="26"/>
                <w:szCs w:val="26"/>
              </w:rPr>
            </w:pPr>
            <w:r w:rsidRPr="00F32542">
              <w:rPr>
                <w:rFonts w:ascii="Arial" w:eastAsia="Calibri" w:hAnsi="Arial" w:cs="Arial"/>
                <w:sz w:val="26"/>
                <w:szCs w:val="26"/>
              </w:rPr>
              <w:t>MORENA</w:t>
            </w:r>
          </w:p>
        </w:tc>
        <w:tc>
          <w:tcPr>
            <w:tcW w:w="2052" w:type="dxa"/>
            <w:tcBorders>
              <w:top w:val="single" w:sz="4" w:space="0" w:color="auto"/>
              <w:left w:val="nil"/>
              <w:bottom w:val="single" w:sz="4" w:space="0" w:color="auto"/>
              <w:right w:val="single" w:sz="4" w:space="0" w:color="auto"/>
            </w:tcBorders>
            <w:vAlign w:val="center"/>
          </w:tcPr>
          <w:p w14:paraId="4C5AB681"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13</w:t>
            </w:r>
          </w:p>
        </w:tc>
        <w:tc>
          <w:tcPr>
            <w:tcW w:w="1842" w:type="dxa"/>
            <w:tcBorders>
              <w:top w:val="single" w:sz="4" w:space="0" w:color="auto"/>
              <w:left w:val="nil"/>
              <w:bottom w:val="single" w:sz="4" w:space="0" w:color="auto"/>
              <w:right w:val="single" w:sz="4" w:space="0" w:color="auto"/>
            </w:tcBorders>
            <w:vAlign w:val="center"/>
          </w:tcPr>
          <w:p w14:paraId="4F1854DE"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c>
          <w:tcPr>
            <w:tcW w:w="1701" w:type="dxa"/>
            <w:tcBorders>
              <w:top w:val="single" w:sz="4" w:space="0" w:color="auto"/>
              <w:left w:val="nil"/>
              <w:bottom w:val="single" w:sz="4" w:space="0" w:color="auto"/>
              <w:right w:val="single" w:sz="4" w:space="0" w:color="auto"/>
            </w:tcBorders>
            <w:vAlign w:val="center"/>
          </w:tcPr>
          <w:p w14:paraId="737CB8F7"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14</w:t>
            </w:r>
          </w:p>
        </w:tc>
      </w:tr>
      <w:tr w:rsidR="00F94B48" w:rsidRPr="00F32542" w14:paraId="64152775" w14:textId="77777777" w:rsidTr="00F94B48">
        <w:trPr>
          <w:trHeight w:val="410"/>
          <w:jc w:val="center"/>
        </w:trPr>
        <w:tc>
          <w:tcPr>
            <w:tcW w:w="1771" w:type="dxa"/>
            <w:tcBorders>
              <w:top w:val="single" w:sz="4" w:space="0" w:color="auto"/>
              <w:left w:val="single" w:sz="4" w:space="0" w:color="auto"/>
              <w:bottom w:val="single" w:sz="4" w:space="0" w:color="auto"/>
              <w:right w:val="single" w:sz="4" w:space="0" w:color="auto"/>
            </w:tcBorders>
            <w:shd w:val="clear" w:color="auto" w:fill="AEAAAA"/>
            <w:noWrap/>
            <w:vAlign w:val="center"/>
            <w:hideMark/>
          </w:tcPr>
          <w:p w14:paraId="6D6D815D" w14:textId="77777777" w:rsidR="00F94B48" w:rsidRPr="00F32542" w:rsidRDefault="00F94B48" w:rsidP="00F94B48">
            <w:pPr>
              <w:spacing w:after="0" w:line="240" w:lineRule="auto"/>
              <w:jc w:val="center"/>
              <w:rPr>
                <w:rFonts w:ascii="Arial" w:eastAsia="Calibri" w:hAnsi="Arial" w:cs="Arial"/>
                <w:b/>
                <w:bCs/>
                <w:lang w:val="es-ES" w:eastAsia="es-MX"/>
              </w:rPr>
            </w:pPr>
            <w:r w:rsidRPr="00F32542">
              <w:rPr>
                <w:rFonts w:ascii="Arial" w:eastAsia="Calibri" w:hAnsi="Arial" w:cs="Arial"/>
                <w:b/>
                <w:bCs/>
                <w:lang w:val="es-ES" w:eastAsia="es-MX"/>
              </w:rPr>
              <w:t>Total</w:t>
            </w:r>
          </w:p>
        </w:tc>
        <w:tc>
          <w:tcPr>
            <w:tcW w:w="2052" w:type="dxa"/>
            <w:tcBorders>
              <w:top w:val="single" w:sz="4" w:space="0" w:color="auto"/>
              <w:left w:val="nil"/>
              <w:bottom w:val="single" w:sz="4" w:space="0" w:color="auto"/>
              <w:right w:val="single" w:sz="4" w:space="0" w:color="auto"/>
            </w:tcBorders>
            <w:shd w:val="clear" w:color="auto" w:fill="AEAAAA"/>
            <w:vAlign w:val="center"/>
          </w:tcPr>
          <w:p w14:paraId="1D08CC9E"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fldChar w:fldCharType="begin"/>
            </w:r>
            <w:r w:rsidRPr="00F32542">
              <w:rPr>
                <w:rFonts w:ascii="Arial" w:eastAsia="Calibri" w:hAnsi="Arial" w:cs="Arial"/>
                <w:b/>
                <w:lang w:val="es-ES"/>
              </w:rPr>
              <w:instrText xml:space="preserve"> =SUM(ABOVE) </w:instrText>
            </w:r>
            <w:r w:rsidRPr="00F32542">
              <w:rPr>
                <w:rFonts w:ascii="Arial" w:eastAsia="Calibri" w:hAnsi="Arial" w:cs="Arial"/>
                <w:b/>
                <w:lang w:val="es-ES"/>
              </w:rPr>
              <w:fldChar w:fldCharType="separate"/>
            </w:r>
            <w:r w:rsidRPr="00F32542">
              <w:rPr>
                <w:rFonts w:ascii="Arial" w:eastAsia="Calibri" w:hAnsi="Arial" w:cs="Arial"/>
                <w:b/>
                <w:noProof/>
                <w:lang w:val="es-ES"/>
              </w:rPr>
              <w:t>30</w:t>
            </w:r>
            <w:r w:rsidRPr="00F32542">
              <w:rPr>
                <w:rFonts w:ascii="Arial" w:eastAsia="Calibri" w:hAnsi="Arial" w:cs="Arial"/>
                <w:b/>
                <w:lang w:val="es-ES"/>
              </w:rPr>
              <w:fldChar w:fldCharType="end"/>
            </w:r>
          </w:p>
        </w:tc>
        <w:tc>
          <w:tcPr>
            <w:tcW w:w="1842" w:type="dxa"/>
            <w:tcBorders>
              <w:top w:val="single" w:sz="4" w:space="0" w:color="auto"/>
              <w:left w:val="nil"/>
              <w:bottom w:val="single" w:sz="4" w:space="0" w:color="auto"/>
              <w:right w:val="single" w:sz="4" w:space="0" w:color="auto"/>
            </w:tcBorders>
            <w:shd w:val="clear" w:color="auto" w:fill="AEAAAA"/>
            <w:vAlign w:val="center"/>
          </w:tcPr>
          <w:p w14:paraId="759E7860"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2</w:t>
            </w:r>
          </w:p>
        </w:tc>
        <w:tc>
          <w:tcPr>
            <w:tcW w:w="1701" w:type="dxa"/>
            <w:tcBorders>
              <w:top w:val="single" w:sz="4" w:space="0" w:color="auto"/>
              <w:left w:val="nil"/>
              <w:bottom w:val="single" w:sz="4" w:space="0" w:color="auto"/>
              <w:right w:val="single" w:sz="4" w:space="0" w:color="auto"/>
            </w:tcBorders>
            <w:shd w:val="clear" w:color="auto" w:fill="AEAAAA"/>
            <w:vAlign w:val="center"/>
          </w:tcPr>
          <w:p w14:paraId="5B7CF6CE"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fldChar w:fldCharType="begin"/>
            </w:r>
            <w:r w:rsidRPr="00F32542">
              <w:rPr>
                <w:rFonts w:ascii="Arial" w:eastAsia="Calibri" w:hAnsi="Arial" w:cs="Arial"/>
                <w:b/>
                <w:lang w:val="es-ES"/>
              </w:rPr>
              <w:instrText xml:space="preserve"> =SUM(ABOVE) </w:instrText>
            </w:r>
            <w:r w:rsidRPr="00F32542">
              <w:rPr>
                <w:rFonts w:ascii="Arial" w:eastAsia="Calibri" w:hAnsi="Arial" w:cs="Arial"/>
                <w:b/>
                <w:lang w:val="es-ES"/>
              </w:rPr>
              <w:fldChar w:fldCharType="separate"/>
            </w:r>
            <w:r w:rsidRPr="00F32542">
              <w:rPr>
                <w:rFonts w:ascii="Arial" w:eastAsia="Calibri" w:hAnsi="Arial" w:cs="Arial"/>
                <w:b/>
                <w:noProof/>
                <w:lang w:val="es-ES"/>
              </w:rPr>
              <w:t>32</w:t>
            </w:r>
            <w:r w:rsidRPr="00F32542">
              <w:rPr>
                <w:rFonts w:ascii="Arial" w:eastAsia="Calibri" w:hAnsi="Arial" w:cs="Arial"/>
                <w:b/>
                <w:lang w:val="es-ES"/>
              </w:rPr>
              <w:fldChar w:fldCharType="end"/>
            </w:r>
          </w:p>
        </w:tc>
      </w:tr>
    </w:tbl>
    <w:p w14:paraId="1A979F8E" w14:textId="77777777" w:rsidR="00F94B48" w:rsidRPr="00F32542" w:rsidRDefault="00F94B48" w:rsidP="00F94B48">
      <w:pPr>
        <w:spacing w:after="0" w:line="360" w:lineRule="auto"/>
        <w:contextualSpacing/>
        <w:jc w:val="both"/>
        <w:rPr>
          <w:rFonts w:ascii="Arial" w:eastAsia="Calibri" w:hAnsi="Arial" w:cs="Arial"/>
          <w:sz w:val="28"/>
        </w:rPr>
      </w:pPr>
    </w:p>
    <w:p w14:paraId="45D0BB37" w14:textId="77777777" w:rsidR="00F94B48" w:rsidRPr="00F32542" w:rsidRDefault="00F94B48" w:rsidP="00F94B48">
      <w:pPr>
        <w:spacing w:after="0" w:line="360" w:lineRule="auto"/>
        <w:contextualSpacing/>
        <w:jc w:val="both"/>
        <w:rPr>
          <w:rFonts w:ascii="Arial" w:eastAsia="Calibri" w:hAnsi="Arial" w:cs="Arial"/>
          <w:sz w:val="28"/>
        </w:rPr>
      </w:pPr>
      <w:r w:rsidRPr="00F32542">
        <w:rPr>
          <w:rFonts w:ascii="Arial" w:eastAsia="Calibri" w:hAnsi="Arial" w:cs="Arial"/>
          <w:sz w:val="28"/>
        </w:rPr>
        <w:lastRenderedPageBreak/>
        <w:t xml:space="preserve">Como se advierte, el reparto de diputaciones de representación proporcional con el cómputo total de la elección modificado arroja idénticos resultados que los obtenidos por el </w:t>
      </w:r>
      <w:r w:rsidRPr="00F32542">
        <w:rPr>
          <w:rFonts w:ascii="Arial" w:eastAsia="Calibri" w:hAnsi="Arial" w:cs="Arial"/>
          <w:i/>
          <w:sz w:val="28"/>
        </w:rPr>
        <w:t>Consejo General</w:t>
      </w:r>
      <w:r w:rsidRPr="00F32542">
        <w:rPr>
          <w:rFonts w:ascii="Arial" w:eastAsia="Calibri" w:hAnsi="Arial" w:cs="Arial"/>
          <w:sz w:val="28"/>
        </w:rPr>
        <w:t xml:space="preserve">, ya que no existe variación alguna en la asignación por cociente natural y resto mayor a los partidos políticos aludidos. </w:t>
      </w:r>
    </w:p>
    <w:p w14:paraId="73AB0265" w14:textId="77777777" w:rsidR="00F94B48" w:rsidRPr="00F32542" w:rsidRDefault="00F94B48" w:rsidP="00F94B48">
      <w:pPr>
        <w:spacing w:after="0" w:line="360" w:lineRule="auto"/>
        <w:contextualSpacing/>
        <w:jc w:val="both"/>
        <w:rPr>
          <w:rFonts w:ascii="Arial" w:eastAsia="Calibri" w:hAnsi="Arial" w:cs="Arial"/>
          <w:sz w:val="28"/>
        </w:rPr>
      </w:pPr>
    </w:p>
    <w:p w14:paraId="0287DF98" w14:textId="77777777" w:rsidR="00F94B48" w:rsidRPr="00F32542" w:rsidRDefault="00F94B48" w:rsidP="00137439">
      <w:pPr>
        <w:spacing w:after="0" w:line="360" w:lineRule="auto"/>
        <w:contextualSpacing/>
        <w:jc w:val="both"/>
        <w:rPr>
          <w:rFonts w:ascii="Arial" w:eastAsia="Calibri" w:hAnsi="Arial" w:cs="Arial"/>
          <w:b/>
          <w:spacing w:val="4"/>
          <w:sz w:val="28"/>
        </w:rPr>
      </w:pPr>
      <w:r w:rsidRPr="00F32542">
        <w:rPr>
          <w:rFonts w:ascii="Arial" w:eastAsia="Calibri" w:hAnsi="Arial" w:cs="Arial"/>
          <w:b/>
          <w:spacing w:val="4"/>
          <w:sz w:val="28"/>
        </w:rPr>
        <w:t>Límite de cuarenta diputaciones por ambos principios y sobrer</w:t>
      </w:r>
      <w:r w:rsidR="00137439" w:rsidRPr="00F32542">
        <w:rPr>
          <w:rFonts w:ascii="Arial" w:eastAsia="Calibri" w:hAnsi="Arial" w:cs="Arial"/>
          <w:b/>
          <w:spacing w:val="4"/>
          <w:sz w:val="28"/>
        </w:rPr>
        <w:t>r</w:t>
      </w:r>
      <w:r w:rsidRPr="00F32542">
        <w:rPr>
          <w:rFonts w:ascii="Arial" w:eastAsia="Calibri" w:hAnsi="Arial" w:cs="Arial"/>
          <w:b/>
          <w:spacing w:val="4"/>
          <w:sz w:val="28"/>
        </w:rPr>
        <w:t>epresentación y subrepresentación</w:t>
      </w:r>
    </w:p>
    <w:p w14:paraId="31998A49" w14:textId="77777777" w:rsidR="00F94B48" w:rsidRPr="00F32542" w:rsidRDefault="00F94B48" w:rsidP="00F94B48">
      <w:pPr>
        <w:spacing w:after="0" w:line="360" w:lineRule="auto"/>
        <w:contextualSpacing/>
        <w:jc w:val="both"/>
        <w:rPr>
          <w:rFonts w:ascii="Arial" w:eastAsia="Calibri" w:hAnsi="Arial" w:cs="Arial"/>
          <w:b/>
          <w:spacing w:val="4"/>
          <w:sz w:val="28"/>
        </w:rPr>
      </w:pPr>
    </w:p>
    <w:p w14:paraId="6A5AD19C" w14:textId="77777777" w:rsidR="00F94B48" w:rsidRPr="00F32542" w:rsidRDefault="00F94B48" w:rsidP="00F94B48">
      <w:p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t xml:space="preserve">La distribución es idéntica a la determinada en el acuerdo impugnado, hay coincidencia en que ninguno de los partidos políticos excede las cuarenta (40) curules por ambos principios como se advierte enseguida: </w:t>
      </w:r>
    </w:p>
    <w:p w14:paraId="39283C44" w14:textId="77777777" w:rsidR="00F94B48" w:rsidRPr="00F32542" w:rsidRDefault="00F94B48" w:rsidP="00F94B48">
      <w:pPr>
        <w:spacing w:after="0" w:line="360" w:lineRule="auto"/>
        <w:contextualSpacing/>
        <w:jc w:val="both"/>
        <w:rPr>
          <w:rFonts w:ascii="Arial" w:eastAsia="Calibri" w:hAnsi="Arial" w:cs="Arial"/>
          <w:spacing w:val="4"/>
          <w:sz w:val="28"/>
        </w:rPr>
      </w:pPr>
    </w:p>
    <w:tbl>
      <w:tblPr>
        <w:tblStyle w:val="Tablaconcuadrcula131"/>
        <w:tblW w:w="7933" w:type="dxa"/>
        <w:jc w:val="center"/>
        <w:tblLayout w:type="fixed"/>
        <w:tblLook w:val="04A0" w:firstRow="1" w:lastRow="0" w:firstColumn="1" w:lastColumn="0" w:noHBand="0" w:noVBand="1"/>
      </w:tblPr>
      <w:tblGrid>
        <w:gridCol w:w="1555"/>
        <w:gridCol w:w="1984"/>
        <w:gridCol w:w="1985"/>
        <w:gridCol w:w="1417"/>
        <w:gridCol w:w="992"/>
      </w:tblGrid>
      <w:tr w:rsidR="00F94B48" w:rsidRPr="00F32542" w14:paraId="3774DD72" w14:textId="77777777" w:rsidTr="00F94B48">
        <w:trPr>
          <w:trHeight w:val="570"/>
          <w:tblHeader/>
          <w:jc w:val="center"/>
        </w:trPr>
        <w:tc>
          <w:tcPr>
            <w:tcW w:w="7933" w:type="dxa"/>
            <w:gridSpan w:val="5"/>
            <w:shd w:val="clear" w:color="auto" w:fill="AEAAAA"/>
            <w:vAlign w:val="center"/>
          </w:tcPr>
          <w:p w14:paraId="579CDA70" w14:textId="77777777" w:rsidR="00F94B48" w:rsidRPr="00F32542" w:rsidRDefault="00F94B48" w:rsidP="00F94B48">
            <w:pPr>
              <w:spacing w:after="0" w:line="240" w:lineRule="auto"/>
              <w:jc w:val="center"/>
              <w:rPr>
                <w:rFonts w:ascii="Arial" w:eastAsia="Calibri" w:hAnsi="Arial" w:cs="Arial"/>
                <w:b/>
                <w:bCs/>
                <w:lang w:val="es-ES"/>
              </w:rPr>
            </w:pPr>
            <w:r w:rsidRPr="00F32542">
              <w:rPr>
                <w:rFonts w:ascii="Arial" w:eastAsia="Calibri" w:hAnsi="Arial" w:cs="Arial"/>
                <w:b/>
                <w:bCs/>
                <w:lang w:val="es-ES"/>
              </w:rPr>
              <w:t>Distribución total de diputaciones</w:t>
            </w:r>
          </w:p>
        </w:tc>
      </w:tr>
      <w:tr w:rsidR="00F94B48" w:rsidRPr="00F32542" w14:paraId="37B1CBE3" w14:textId="77777777" w:rsidTr="00F94B48">
        <w:trPr>
          <w:trHeight w:val="570"/>
          <w:tblHeader/>
          <w:jc w:val="center"/>
        </w:trPr>
        <w:tc>
          <w:tcPr>
            <w:tcW w:w="1555" w:type="dxa"/>
            <w:shd w:val="clear" w:color="auto" w:fill="E7E6E6"/>
            <w:vAlign w:val="center"/>
          </w:tcPr>
          <w:p w14:paraId="19602154" w14:textId="77777777" w:rsidR="00F94B48" w:rsidRPr="00F32542" w:rsidRDefault="00F94B48" w:rsidP="00F94B48">
            <w:pPr>
              <w:spacing w:after="0" w:line="240" w:lineRule="auto"/>
              <w:jc w:val="center"/>
              <w:rPr>
                <w:rFonts w:ascii="Arial" w:eastAsia="Calibri" w:hAnsi="Arial" w:cs="Arial"/>
                <w:b/>
                <w:bCs/>
                <w:lang w:val="es-ES"/>
              </w:rPr>
            </w:pPr>
            <w:r w:rsidRPr="00F32542">
              <w:rPr>
                <w:rFonts w:ascii="Arial" w:eastAsia="Calibri" w:hAnsi="Arial" w:cs="Arial"/>
                <w:b/>
                <w:bCs/>
                <w:lang w:val="es-ES"/>
              </w:rPr>
              <w:t>Partido político</w:t>
            </w:r>
          </w:p>
        </w:tc>
        <w:tc>
          <w:tcPr>
            <w:tcW w:w="1984" w:type="dxa"/>
            <w:shd w:val="clear" w:color="auto" w:fill="E7E6E6"/>
            <w:vAlign w:val="center"/>
          </w:tcPr>
          <w:p w14:paraId="17EB4EDD" w14:textId="77777777" w:rsidR="00F94B48" w:rsidRPr="00F32542" w:rsidRDefault="00F94B48" w:rsidP="00F94B48">
            <w:pPr>
              <w:spacing w:after="0" w:line="240" w:lineRule="auto"/>
              <w:jc w:val="center"/>
              <w:rPr>
                <w:rFonts w:ascii="Arial" w:eastAsia="Calibri" w:hAnsi="Arial" w:cs="Arial"/>
                <w:b/>
                <w:bCs/>
                <w:lang w:val="es-ES"/>
              </w:rPr>
            </w:pPr>
            <w:r w:rsidRPr="00F32542">
              <w:rPr>
                <w:rFonts w:ascii="Arial" w:eastAsia="Calibri" w:hAnsi="Arial" w:cs="Arial"/>
                <w:b/>
                <w:bCs/>
                <w:lang w:val="es-ES"/>
              </w:rPr>
              <w:t>Diputaciones de mayoría relativa</w:t>
            </w:r>
          </w:p>
        </w:tc>
        <w:tc>
          <w:tcPr>
            <w:tcW w:w="1985" w:type="dxa"/>
            <w:shd w:val="clear" w:color="auto" w:fill="E7E6E6"/>
            <w:vAlign w:val="center"/>
          </w:tcPr>
          <w:p w14:paraId="393D225E" w14:textId="77777777" w:rsidR="00F94B48" w:rsidRPr="00F32542" w:rsidRDefault="00F94B48" w:rsidP="00F94B48">
            <w:pPr>
              <w:spacing w:after="0" w:line="240" w:lineRule="auto"/>
              <w:jc w:val="center"/>
              <w:rPr>
                <w:rFonts w:ascii="Arial" w:eastAsia="Calibri" w:hAnsi="Arial" w:cs="Arial"/>
                <w:b/>
                <w:bCs/>
                <w:lang w:val="es-ES"/>
              </w:rPr>
            </w:pPr>
            <w:r w:rsidRPr="00F32542">
              <w:rPr>
                <w:rFonts w:ascii="Arial" w:eastAsia="Calibri" w:hAnsi="Arial" w:cs="Arial"/>
                <w:b/>
                <w:bCs/>
                <w:lang w:val="es-ES"/>
              </w:rPr>
              <w:t>Diputaciones de representación proporcional</w:t>
            </w:r>
          </w:p>
        </w:tc>
        <w:tc>
          <w:tcPr>
            <w:tcW w:w="1417" w:type="dxa"/>
            <w:shd w:val="clear" w:color="auto" w:fill="E7E6E6"/>
            <w:vAlign w:val="center"/>
          </w:tcPr>
          <w:p w14:paraId="795C3ED2" w14:textId="77777777" w:rsidR="00F94B48" w:rsidRPr="00F32542" w:rsidRDefault="00F94B48" w:rsidP="00F94B48">
            <w:pPr>
              <w:spacing w:after="0" w:line="240" w:lineRule="auto"/>
              <w:jc w:val="center"/>
              <w:rPr>
                <w:rFonts w:ascii="Arial" w:eastAsia="Calibri" w:hAnsi="Arial" w:cs="Arial"/>
                <w:b/>
                <w:bCs/>
                <w:lang w:val="es-ES"/>
              </w:rPr>
            </w:pPr>
            <w:r w:rsidRPr="00F32542">
              <w:rPr>
                <w:rFonts w:ascii="Arial" w:eastAsia="Calibri" w:hAnsi="Arial" w:cs="Arial"/>
                <w:b/>
                <w:bCs/>
                <w:lang w:val="es-ES"/>
              </w:rPr>
              <w:t>Diputación migrante</w:t>
            </w:r>
          </w:p>
        </w:tc>
        <w:tc>
          <w:tcPr>
            <w:tcW w:w="992" w:type="dxa"/>
            <w:shd w:val="clear" w:color="auto" w:fill="E7E6E6"/>
            <w:vAlign w:val="center"/>
          </w:tcPr>
          <w:p w14:paraId="62E2F3DA" w14:textId="77777777" w:rsidR="00F94B48" w:rsidRPr="00F32542" w:rsidRDefault="00F94B48" w:rsidP="00F94B48">
            <w:pPr>
              <w:spacing w:after="0" w:line="240" w:lineRule="auto"/>
              <w:jc w:val="center"/>
              <w:rPr>
                <w:rFonts w:ascii="Arial" w:eastAsia="Calibri" w:hAnsi="Arial" w:cs="Arial"/>
                <w:b/>
                <w:bCs/>
                <w:lang w:val="es-ES"/>
              </w:rPr>
            </w:pPr>
            <w:r w:rsidRPr="00F32542">
              <w:rPr>
                <w:rFonts w:ascii="Arial" w:eastAsia="Calibri" w:hAnsi="Arial" w:cs="Arial"/>
                <w:b/>
                <w:bCs/>
                <w:lang w:val="es-ES"/>
              </w:rPr>
              <w:t>Total</w:t>
            </w:r>
          </w:p>
        </w:tc>
      </w:tr>
      <w:tr w:rsidR="00F94B48" w:rsidRPr="00F32542" w14:paraId="487AC4D1" w14:textId="77777777" w:rsidTr="00F94B48">
        <w:trPr>
          <w:jc w:val="center"/>
        </w:trPr>
        <w:tc>
          <w:tcPr>
            <w:tcW w:w="1555" w:type="dxa"/>
            <w:shd w:val="clear" w:color="auto" w:fill="FFFFFF"/>
            <w:vAlign w:val="center"/>
          </w:tcPr>
          <w:p w14:paraId="3AE78733" w14:textId="77777777" w:rsidR="00F94B48" w:rsidRPr="00F32542" w:rsidRDefault="00F94B48" w:rsidP="00F94B48">
            <w:pPr>
              <w:spacing w:after="0" w:line="240" w:lineRule="auto"/>
              <w:jc w:val="center"/>
              <w:rPr>
                <w:rFonts w:ascii="Arial" w:eastAsia="Calibri" w:hAnsi="Arial" w:cs="Arial"/>
                <w:sz w:val="26"/>
                <w:szCs w:val="26"/>
              </w:rPr>
            </w:pPr>
            <w:r w:rsidRPr="00F32542">
              <w:rPr>
                <w:rFonts w:ascii="Arial" w:eastAsia="Calibri" w:hAnsi="Arial" w:cs="Arial"/>
                <w:sz w:val="26"/>
                <w:szCs w:val="26"/>
              </w:rPr>
              <w:t>PAN</w:t>
            </w:r>
          </w:p>
        </w:tc>
        <w:tc>
          <w:tcPr>
            <w:tcW w:w="1984" w:type="dxa"/>
            <w:shd w:val="clear" w:color="auto" w:fill="FFFFFF"/>
            <w:vAlign w:val="center"/>
          </w:tcPr>
          <w:p w14:paraId="5F3A9128"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7</w:t>
            </w:r>
          </w:p>
        </w:tc>
        <w:tc>
          <w:tcPr>
            <w:tcW w:w="1985" w:type="dxa"/>
            <w:shd w:val="clear" w:color="auto" w:fill="FFFFFF"/>
            <w:vAlign w:val="center"/>
          </w:tcPr>
          <w:p w14:paraId="64DF9F5E"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9</w:t>
            </w:r>
          </w:p>
        </w:tc>
        <w:tc>
          <w:tcPr>
            <w:tcW w:w="1417" w:type="dxa"/>
            <w:shd w:val="clear" w:color="auto" w:fill="FFFFFF"/>
            <w:vAlign w:val="center"/>
          </w:tcPr>
          <w:p w14:paraId="71F1D24E"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c>
          <w:tcPr>
            <w:tcW w:w="992" w:type="dxa"/>
            <w:shd w:val="clear" w:color="auto" w:fill="FFFFFF"/>
            <w:vAlign w:val="center"/>
          </w:tcPr>
          <w:p w14:paraId="651DEF86"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17</w:t>
            </w:r>
          </w:p>
        </w:tc>
      </w:tr>
      <w:tr w:rsidR="00F94B48" w:rsidRPr="00F32542" w14:paraId="2AB8E4E7" w14:textId="77777777" w:rsidTr="00F94B48">
        <w:trPr>
          <w:jc w:val="center"/>
        </w:trPr>
        <w:tc>
          <w:tcPr>
            <w:tcW w:w="1555" w:type="dxa"/>
            <w:shd w:val="clear" w:color="auto" w:fill="FFFFFF"/>
            <w:vAlign w:val="center"/>
          </w:tcPr>
          <w:p w14:paraId="28DD574D" w14:textId="77777777" w:rsidR="00F94B48" w:rsidRPr="00F32542" w:rsidRDefault="00F94B48" w:rsidP="00F94B48">
            <w:pPr>
              <w:spacing w:after="0" w:line="240" w:lineRule="auto"/>
              <w:jc w:val="center"/>
              <w:rPr>
                <w:rFonts w:ascii="Arial" w:eastAsia="Calibri" w:hAnsi="Arial" w:cs="Arial"/>
                <w:sz w:val="26"/>
                <w:szCs w:val="26"/>
              </w:rPr>
            </w:pPr>
            <w:r w:rsidRPr="00F32542">
              <w:rPr>
                <w:rFonts w:ascii="Arial" w:eastAsia="Calibri" w:hAnsi="Arial" w:cs="Arial"/>
                <w:sz w:val="26"/>
                <w:szCs w:val="26"/>
              </w:rPr>
              <w:t>PRI</w:t>
            </w:r>
          </w:p>
        </w:tc>
        <w:tc>
          <w:tcPr>
            <w:tcW w:w="1984" w:type="dxa"/>
            <w:shd w:val="clear" w:color="auto" w:fill="FFFFFF"/>
            <w:vAlign w:val="center"/>
          </w:tcPr>
          <w:p w14:paraId="4E6AE27D"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4</w:t>
            </w:r>
          </w:p>
        </w:tc>
        <w:tc>
          <w:tcPr>
            <w:tcW w:w="1985" w:type="dxa"/>
            <w:shd w:val="clear" w:color="auto" w:fill="FFFFFF"/>
            <w:vAlign w:val="center"/>
          </w:tcPr>
          <w:p w14:paraId="757FB41E"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5</w:t>
            </w:r>
          </w:p>
        </w:tc>
        <w:tc>
          <w:tcPr>
            <w:tcW w:w="1417" w:type="dxa"/>
            <w:shd w:val="clear" w:color="auto" w:fill="FFFFFF"/>
            <w:vAlign w:val="center"/>
          </w:tcPr>
          <w:p w14:paraId="3F2DD384" w14:textId="77777777" w:rsidR="00F94B48" w:rsidRPr="00F32542" w:rsidRDefault="00F94B48" w:rsidP="00F94B48">
            <w:pPr>
              <w:spacing w:after="0" w:line="240" w:lineRule="auto"/>
              <w:jc w:val="center"/>
              <w:rPr>
                <w:rFonts w:ascii="Arial" w:eastAsia="Calibri" w:hAnsi="Arial" w:cs="Arial"/>
                <w:color w:val="000000"/>
                <w:lang w:val="es-ES"/>
              </w:rPr>
            </w:pPr>
          </w:p>
        </w:tc>
        <w:tc>
          <w:tcPr>
            <w:tcW w:w="992" w:type="dxa"/>
            <w:shd w:val="clear" w:color="auto" w:fill="FFFFFF"/>
            <w:vAlign w:val="center"/>
          </w:tcPr>
          <w:p w14:paraId="5C184917"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9</w:t>
            </w:r>
          </w:p>
        </w:tc>
      </w:tr>
      <w:tr w:rsidR="00F94B48" w:rsidRPr="00F32542" w14:paraId="7B237EBF" w14:textId="77777777" w:rsidTr="00F94B48">
        <w:trPr>
          <w:jc w:val="center"/>
        </w:trPr>
        <w:tc>
          <w:tcPr>
            <w:tcW w:w="1555" w:type="dxa"/>
            <w:shd w:val="clear" w:color="auto" w:fill="FFFFFF"/>
            <w:vAlign w:val="center"/>
          </w:tcPr>
          <w:p w14:paraId="12323AD4" w14:textId="77777777" w:rsidR="00F94B48" w:rsidRPr="00F32542" w:rsidRDefault="00F94B48" w:rsidP="00F94B48">
            <w:pPr>
              <w:spacing w:after="0" w:line="240" w:lineRule="auto"/>
              <w:jc w:val="center"/>
              <w:rPr>
                <w:rFonts w:ascii="Arial" w:eastAsia="Calibri" w:hAnsi="Arial" w:cs="Arial"/>
                <w:sz w:val="26"/>
                <w:szCs w:val="26"/>
              </w:rPr>
            </w:pPr>
            <w:r w:rsidRPr="00F32542">
              <w:rPr>
                <w:rFonts w:ascii="Arial" w:eastAsia="Calibri" w:hAnsi="Arial" w:cs="Arial"/>
                <w:sz w:val="26"/>
                <w:szCs w:val="26"/>
              </w:rPr>
              <w:t>PRD</w:t>
            </w:r>
          </w:p>
        </w:tc>
        <w:tc>
          <w:tcPr>
            <w:tcW w:w="1984" w:type="dxa"/>
            <w:shd w:val="clear" w:color="auto" w:fill="FFFFFF"/>
            <w:vAlign w:val="center"/>
          </w:tcPr>
          <w:p w14:paraId="2C078061"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3</w:t>
            </w:r>
          </w:p>
        </w:tc>
        <w:tc>
          <w:tcPr>
            <w:tcW w:w="1985" w:type="dxa"/>
            <w:shd w:val="clear" w:color="auto" w:fill="FFFFFF"/>
            <w:vAlign w:val="center"/>
          </w:tcPr>
          <w:p w14:paraId="36D4C6E8"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2</w:t>
            </w:r>
          </w:p>
        </w:tc>
        <w:tc>
          <w:tcPr>
            <w:tcW w:w="1417" w:type="dxa"/>
            <w:shd w:val="clear" w:color="auto" w:fill="FFFFFF"/>
            <w:vAlign w:val="center"/>
          </w:tcPr>
          <w:p w14:paraId="1BDF7891" w14:textId="77777777" w:rsidR="00F94B48" w:rsidRPr="00F32542" w:rsidRDefault="00F94B48" w:rsidP="00F94B48">
            <w:pPr>
              <w:spacing w:after="0" w:line="240" w:lineRule="auto"/>
              <w:jc w:val="center"/>
              <w:rPr>
                <w:rFonts w:ascii="Arial" w:eastAsia="Calibri" w:hAnsi="Arial" w:cs="Arial"/>
                <w:color w:val="000000"/>
                <w:lang w:val="es-ES"/>
              </w:rPr>
            </w:pPr>
          </w:p>
        </w:tc>
        <w:tc>
          <w:tcPr>
            <w:tcW w:w="992" w:type="dxa"/>
            <w:shd w:val="clear" w:color="auto" w:fill="FFFFFF"/>
            <w:vAlign w:val="center"/>
          </w:tcPr>
          <w:p w14:paraId="672114AF"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5</w:t>
            </w:r>
          </w:p>
        </w:tc>
      </w:tr>
      <w:tr w:rsidR="00F94B48" w:rsidRPr="00F32542" w14:paraId="3B8D9A0F" w14:textId="77777777" w:rsidTr="00F94B48">
        <w:trPr>
          <w:jc w:val="center"/>
        </w:trPr>
        <w:tc>
          <w:tcPr>
            <w:tcW w:w="1555" w:type="dxa"/>
            <w:shd w:val="clear" w:color="auto" w:fill="FFFFFF"/>
            <w:vAlign w:val="center"/>
          </w:tcPr>
          <w:p w14:paraId="1BC26B49" w14:textId="77777777" w:rsidR="00F94B48" w:rsidRPr="00F32542" w:rsidRDefault="00F94B48" w:rsidP="00F94B48">
            <w:pPr>
              <w:spacing w:after="0" w:line="240" w:lineRule="auto"/>
              <w:jc w:val="center"/>
              <w:rPr>
                <w:rFonts w:ascii="Arial" w:eastAsia="Calibri" w:hAnsi="Arial" w:cs="Arial"/>
                <w:sz w:val="26"/>
                <w:szCs w:val="26"/>
              </w:rPr>
            </w:pPr>
            <w:r w:rsidRPr="00F32542">
              <w:rPr>
                <w:rFonts w:ascii="Arial" w:eastAsia="Calibri" w:hAnsi="Arial" w:cs="Arial"/>
                <w:sz w:val="26"/>
                <w:szCs w:val="26"/>
              </w:rPr>
              <w:t>PVEM</w:t>
            </w:r>
          </w:p>
        </w:tc>
        <w:tc>
          <w:tcPr>
            <w:tcW w:w="1984" w:type="dxa"/>
            <w:shd w:val="clear" w:color="auto" w:fill="FFFFFF"/>
            <w:vAlign w:val="center"/>
          </w:tcPr>
          <w:p w14:paraId="0C9A99C7"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c>
          <w:tcPr>
            <w:tcW w:w="1985" w:type="dxa"/>
            <w:shd w:val="clear" w:color="auto" w:fill="FFFFFF"/>
            <w:vAlign w:val="center"/>
          </w:tcPr>
          <w:p w14:paraId="220A1AFF"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c>
          <w:tcPr>
            <w:tcW w:w="1417" w:type="dxa"/>
            <w:shd w:val="clear" w:color="auto" w:fill="FFFFFF"/>
            <w:vAlign w:val="center"/>
          </w:tcPr>
          <w:p w14:paraId="78BA68D9" w14:textId="77777777" w:rsidR="00F94B48" w:rsidRPr="00F32542" w:rsidRDefault="00F94B48" w:rsidP="00F94B48">
            <w:pPr>
              <w:spacing w:after="0" w:line="240" w:lineRule="auto"/>
              <w:jc w:val="center"/>
              <w:rPr>
                <w:rFonts w:ascii="Arial" w:eastAsia="Calibri" w:hAnsi="Arial" w:cs="Arial"/>
                <w:color w:val="000000"/>
                <w:lang w:val="es-ES"/>
              </w:rPr>
            </w:pPr>
          </w:p>
        </w:tc>
        <w:tc>
          <w:tcPr>
            <w:tcW w:w="992" w:type="dxa"/>
            <w:shd w:val="clear" w:color="auto" w:fill="FFFFFF"/>
            <w:vAlign w:val="center"/>
          </w:tcPr>
          <w:p w14:paraId="22554039"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2</w:t>
            </w:r>
          </w:p>
        </w:tc>
      </w:tr>
      <w:tr w:rsidR="00F94B48" w:rsidRPr="00F32542" w14:paraId="4FBCC44B" w14:textId="77777777" w:rsidTr="00F94B48">
        <w:trPr>
          <w:jc w:val="center"/>
        </w:trPr>
        <w:tc>
          <w:tcPr>
            <w:tcW w:w="1555" w:type="dxa"/>
            <w:shd w:val="clear" w:color="auto" w:fill="FFFFFF"/>
            <w:vAlign w:val="center"/>
          </w:tcPr>
          <w:p w14:paraId="425BF2A3" w14:textId="77777777" w:rsidR="00F94B48" w:rsidRPr="00F32542" w:rsidRDefault="00F94B48" w:rsidP="00F94B48">
            <w:pPr>
              <w:spacing w:after="0" w:line="240" w:lineRule="auto"/>
              <w:jc w:val="center"/>
              <w:rPr>
                <w:rFonts w:ascii="Arial" w:eastAsia="Calibri" w:hAnsi="Arial" w:cs="Arial"/>
                <w:sz w:val="26"/>
                <w:szCs w:val="26"/>
              </w:rPr>
            </w:pPr>
            <w:r w:rsidRPr="00F32542">
              <w:rPr>
                <w:rFonts w:ascii="Arial" w:eastAsia="Calibri" w:hAnsi="Arial" w:cs="Arial"/>
                <w:sz w:val="26"/>
                <w:szCs w:val="26"/>
              </w:rPr>
              <w:t>MC</w:t>
            </w:r>
          </w:p>
        </w:tc>
        <w:tc>
          <w:tcPr>
            <w:tcW w:w="1984" w:type="dxa"/>
            <w:shd w:val="clear" w:color="auto" w:fill="FFFFFF"/>
            <w:vAlign w:val="center"/>
          </w:tcPr>
          <w:p w14:paraId="5C78321A" w14:textId="77777777" w:rsidR="00F94B48" w:rsidRPr="00F32542" w:rsidRDefault="00F94B48" w:rsidP="00F94B48">
            <w:pPr>
              <w:spacing w:after="0" w:line="240" w:lineRule="auto"/>
              <w:jc w:val="center"/>
              <w:rPr>
                <w:rFonts w:ascii="Arial" w:eastAsia="Calibri" w:hAnsi="Arial" w:cs="Arial"/>
                <w:color w:val="000000"/>
                <w:lang w:val="es-ES"/>
              </w:rPr>
            </w:pPr>
          </w:p>
        </w:tc>
        <w:tc>
          <w:tcPr>
            <w:tcW w:w="1985" w:type="dxa"/>
            <w:shd w:val="clear" w:color="auto" w:fill="FFFFFF"/>
            <w:vAlign w:val="center"/>
          </w:tcPr>
          <w:p w14:paraId="0A26F5F3"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c>
          <w:tcPr>
            <w:tcW w:w="1417" w:type="dxa"/>
            <w:shd w:val="clear" w:color="auto" w:fill="FFFFFF"/>
            <w:vAlign w:val="center"/>
          </w:tcPr>
          <w:p w14:paraId="13B63157" w14:textId="77777777" w:rsidR="00F94B48" w:rsidRPr="00F32542" w:rsidRDefault="00F94B48" w:rsidP="00F94B48">
            <w:pPr>
              <w:spacing w:after="0" w:line="240" w:lineRule="auto"/>
              <w:jc w:val="center"/>
              <w:rPr>
                <w:rFonts w:ascii="Arial" w:eastAsia="Calibri" w:hAnsi="Arial" w:cs="Arial"/>
                <w:color w:val="000000"/>
                <w:lang w:val="es-ES"/>
              </w:rPr>
            </w:pPr>
          </w:p>
        </w:tc>
        <w:tc>
          <w:tcPr>
            <w:tcW w:w="992" w:type="dxa"/>
            <w:shd w:val="clear" w:color="auto" w:fill="FFFFFF"/>
            <w:vAlign w:val="center"/>
          </w:tcPr>
          <w:p w14:paraId="4F8F83B6"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r>
      <w:tr w:rsidR="00F94B48" w:rsidRPr="00F32542" w14:paraId="279E91AB" w14:textId="77777777" w:rsidTr="00B65D24">
        <w:trPr>
          <w:jc w:val="center"/>
        </w:trPr>
        <w:tc>
          <w:tcPr>
            <w:tcW w:w="1555" w:type="dxa"/>
            <w:shd w:val="clear" w:color="auto" w:fill="auto"/>
            <w:vAlign w:val="center"/>
          </w:tcPr>
          <w:p w14:paraId="17C34FA9" w14:textId="77777777" w:rsidR="00F94B48" w:rsidRPr="00F32542" w:rsidRDefault="00F94B48" w:rsidP="00F94B48">
            <w:pPr>
              <w:spacing w:after="0" w:line="240" w:lineRule="auto"/>
              <w:jc w:val="center"/>
              <w:rPr>
                <w:rFonts w:ascii="Arial" w:eastAsia="Calibri" w:hAnsi="Arial" w:cs="Arial"/>
                <w:sz w:val="26"/>
                <w:szCs w:val="26"/>
              </w:rPr>
            </w:pPr>
            <w:r w:rsidRPr="00F32542">
              <w:rPr>
                <w:rFonts w:ascii="Arial" w:eastAsia="Calibri" w:hAnsi="Arial" w:cs="Arial"/>
                <w:sz w:val="26"/>
                <w:szCs w:val="26"/>
              </w:rPr>
              <w:t>MORENA</w:t>
            </w:r>
          </w:p>
        </w:tc>
        <w:tc>
          <w:tcPr>
            <w:tcW w:w="1984" w:type="dxa"/>
            <w:shd w:val="clear" w:color="auto" w:fill="auto"/>
            <w:vAlign w:val="center"/>
          </w:tcPr>
          <w:p w14:paraId="3AD3B4C7"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18</w:t>
            </w:r>
          </w:p>
        </w:tc>
        <w:tc>
          <w:tcPr>
            <w:tcW w:w="1985" w:type="dxa"/>
            <w:shd w:val="clear" w:color="auto" w:fill="auto"/>
            <w:vAlign w:val="center"/>
          </w:tcPr>
          <w:p w14:paraId="66CAFA7A"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14</w:t>
            </w:r>
          </w:p>
        </w:tc>
        <w:tc>
          <w:tcPr>
            <w:tcW w:w="1417" w:type="dxa"/>
            <w:shd w:val="clear" w:color="auto" w:fill="auto"/>
            <w:vAlign w:val="center"/>
          </w:tcPr>
          <w:p w14:paraId="13F7FF67" w14:textId="77777777" w:rsidR="00F94B48" w:rsidRPr="00F32542" w:rsidRDefault="00F94B48" w:rsidP="00F94B48">
            <w:pPr>
              <w:spacing w:after="0" w:line="240" w:lineRule="auto"/>
              <w:jc w:val="center"/>
              <w:rPr>
                <w:rFonts w:ascii="Arial" w:eastAsia="Calibri" w:hAnsi="Arial" w:cs="Arial"/>
                <w:color w:val="000000"/>
                <w:lang w:val="es-ES"/>
              </w:rPr>
            </w:pPr>
          </w:p>
        </w:tc>
        <w:tc>
          <w:tcPr>
            <w:tcW w:w="992" w:type="dxa"/>
            <w:shd w:val="clear" w:color="auto" w:fill="auto"/>
            <w:vAlign w:val="center"/>
          </w:tcPr>
          <w:p w14:paraId="2C0DC72B"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32</w:t>
            </w:r>
          </w:p>
        </w:tc>
      </w:tr>
      <w:tr w:rsidR="00F94B48" w:rsidRPr="00F32542" w14:paraId="52AD8FE2" w14:textId="77777777" w:rsidTr="00F94B48">
        <w:trPr>
          <w:trHeight w:val="539"/>
          <w:jc w:val="center"/>
        </w:trPr>
        <w:tc>
          <w:tcPr>
            <w:tcW w:w="1555" w:type="dxa"/>
            <w:shd w:val="clear" w:color="auto" w:fill="AEAAAA"/>
            <w:vAlign w:val="center"/>
          </w:tcPr>
          <w:p w14:paraId="094706D2" w14:textId="77777777" w:rsidR="00F94B48" w:rsidRPr="00F32542" w:rsidRDefault="00F94B48" w:rsidP="00F94B48">
            <w:pPr>
              <w:spacing w:after="0" w:line="240" w:lineRule="auto"/>
              <w:jc w:val="center"/>
              <w:rPr>
                <w:rFonts w:ascii="Arial" w:eastAsia="Calibri" w:hAnsi="Arial" w:cs="Arial"/>
                <w:b/>
                <w:bCs/>
                <w:lang w:val="es-ES"/>
              </w:rPr>
            </w:pPr>
            <w:r w:rsidRPr="00F32542">
              <w:rPr>
                <w:rFonts w:ascii="Arial" w:eastAsia="Calibri" w:hAnsi="Arial" w:cs="Arial"/>
                <w:b/>
                <w:bCs/>
                <w:lang w:val="es-ES"/>
              </w:rPr>
              <w:t>Total</w:t>
            </w:r>
          </w:p>
        </w:tc>
        <w:tc>
          <w:tcPr>
            <w:tcW w:w="1984" w:type="dxa"/>
            <w:shd w:val="clear" w:color="auto" w:fill="AEAAAA"/>
            <w:vAlign w:val="center"/>
          </w:tcPr>
          <w:p w14:paraId="04DD5486" w14:textId="77777777" w:rsidR="00F94B48" w:rsidRPr="00F32542" w:rsidRDefault="00F94B48" w:rsidP="00F94B48">
            <w:pPr>
              <w:spacing w:after="0" w:line="240" w:lineRule="auto"/>
              <w:jc w:val="center"/>
              <w:rPr>
                <w:rFonts w:ascii="Arial" w:eastAsia="Calibri" w:hAnsi="Arial" w:cs="Arial"/>
                <w:b/>
                <w:bCs/>
                <w:lang w:val="es-ES"/>
              </w:rPr>
            </w:pPr>
            <w:r w:rsidRPr="00F32542">
              <w:rPr>
                <w:rFonts w:ascii="Arial" w:eastAsia="Calibri" w:hAnsi="Arial" w:cs="Arial"/>
                <w:b/>
                <w:bCs/>
                <w:lang w:val="es-ES"/>
              </w:rPr>
              <w:t>33</w:t>
            </w:r>
          </w:p>
        </w:tc>
        <w:tc>
          <w:tcPr>
            <w:tcW w:w="1985" w:type="dxa"/>
            <w:shd w:val="clear" w:color="auto" w:fill="AEAAAA"/>
            <w:vAlign w:val="center"/>
          </w:tcPr>
          <w:p w14:paraId="3A004EEE" w14:textId="77777777" w:rsidR="00F94B48" w:rsidRPr="00F32542" w:rsidRDefault="00F94B48" w:rsidP="00F94B48">
            <w:pPr>
              <w:spacing w:after="0" w:line="240" w:lineRule="auto"/>
              <w:jc w:val="center"/>
              <w:rPr>
                <w:rFonts w:ascii="Arial" w:eastAsia="Calibri" w:hAnsi="Arial" w:cs="Arial"/>
                <w:b/>
                <w:bCs/>
                <w:lang w:val="es-ES"/>
              </w:rPr>
            </w:pPr>
            <w:r w:rsidRPr="00F32542">
              <w:rPr>
                <w:rFonts w:ascii="Arial" w:eastAsia="Calibri" w:hAnsi="Arial" w:cs="Arial"/>
                <w:b/>
                <w:bCs/>
                <w:lang w:val="es-ES"/>
              </w:rPr>
              <w:t>32</w:t>
            </w:r>
          </w:p>
        </w:tc>
        <w:tc>
          <w:tcPr>
            <w:tcW w:w="1417" w:type="dxa"/>
            <w:shd w:val="clear" w:color="auto" w:fill="AEAAAA"/>
            <w:vAlign w:val="center"/>
          </w:tcPr>
          <w:p w14:paraId="38E0C76B" w14:textId="77777777" w:rsidR="00F94B48" w:rsidRPr="00F32542" w:rsidRDefault="00F94B48" w:rsidP="00F94B48">
            <w:pPr>
              <w:spacing w:after="0" w:line="240" w:lineRule="auto"/>
              <w:jc w:val="center"/>
              <w:rPr>
                <w:rFonts w:ascii="Arial" w:eastAsia="Calibri" w:hAnsi="Arial" w:cs="Arial"/>
                <w:b/>
                <w:bCs/>
                <w:lang w:val="es-ES"/>
              </w:rPr>
            </w:pPr>
            <w:r w:rsidRPr="00F32542">
              <w:rPr>
                <w:rFonts w:ascii="Arial" w:eastAsia="Calibri" w:hAnsi="Arial" w:cs="Arial"/>
                <w:b/>
                <w:bCs/>
                <w:lang w:val="es-ES"/>
              </w:rPr>
              <w:t>1</w:t>
            </w:r>
          </w:p>
        </w:tc>
        <w:tc>
          <w:tcPr>
            <w:tcW w:w="992" w:type="dxa"/>
            <w:shd w:val="clear" w:color="auto" w:fill="AEAAAA"/>
            <w:vAlign w:val="center"/>
          </w:tcPr>
          <w:p w14:paraId="224F2E3D" w14:textId="77777777" w:rsidR="00F94B48" w:rsidRPr="00F32542" w:rsidRDefault="00F94B48" w:rsidP="00F94B48">
            <w:pPr>
              <w:spacing w:after="0" w:line="240" w:lineRule="auto"/>
              <w:jc w:val="center"/>
              <w:rPr>
                <w:rFonts w:ascii="Arial" w:eastAsia="Calibri" w:hAnsi="Arial" w:cs="Arial"/>
                <w:b/>
                <w:bCs/>
                <w:lang w:val="es-ES"/>
              </w:rPr>
            </w:pPr>
            <w:r w:rsidRPr="00F32542">
              <w:rPr>
                <w:rFonts w:ascii="Arial" w:eastAsia="Calibri" w:hAnsi="Arial" w:cs="Arial"/>
                <w:b/>
                <w:bCs/>
                <w:lang w:val="es-ES"/>
              </w:rPr>
              <w:fldChar w:fldCharType="begin"/>
            </w:r>
            <w:r w:rsidRPr="00F32542">
              <w:rPr>
                <w:rFonts w:ascii="Arial" w:eastAsia="Calibri" w:hAnsi="Arial" w:cs="Arial"/>
                <w:b/>
                <w:bCs/>
                <w:lang w:val="es-ES"/>
              </w:rPr>
              <w:instrText xml:space="preserve"> =SUM(ABOVE) </w:instrText>
            </w:r>
            <w:r w:rsidRPr="00F32542">
              <w:rPr>
                <w:rFonts w:ascii="Arial" w:eastAsia="Calibri" w:hAnsi="Arial" w:cs="Arial"/>
                <w:b/>
                <w:bCs/>
                <w:lang w:val="es-ES"/>
              </w:rPr>
              <w:fldChar w:fldCharType="separate"/>
            </w:r>
            <w:r w:rsidRPr="00F32542">
              <w:rPr>
                <w:rFonts w:ascii="Arial" w:eastAsia="Calibri" w:hAnsi="Arial" w:cs="Arial"/>
                <w:b/>
                <w:bCs/>
                <w:noProof/>
                <w:lang w:val="es-ES"/>
              </w:rPr>
              <w:t>66</w:t>
            </w:r>
            <w:r w:rsidRPr="00F32542">
              <w:rPr>
                <w:rFonts w:ascii="Arial" w:eastAsia="Calibri" w:hAnsi="Arial" w:cs="Arial"/>
                <w:b/>
                <w:bCs/>
                <w:lang w:val="es-ES"/>
              </w:rPr>
              <w:fldChar w:fldCharType="end"/>
            </w:r>
          </w:p>
        </w:tc>
      </w:tr>
    </w:tbl>
    <w:p w14:paraId="6775B401" w14:textId="77777777" w:rsidR="00F94B48" w:rsidRPr="00F32542" w:rsidRDefault="00F94B48" w:rsidP="00F94B48">
      <w:pPr>
        <w:spacing w:after="0" w:line="360" w:lineRule="auto"/>
        <w:contextualSpacing/>
        <w:jc w:val="both"/>
        <w:rPr>
          <w:rFonts w:ascii="Arial" w:eastAsia="Calibri" w:hAnsi="Arial" w:cs="Arial"/>
          <w:spacing w:val="4"/>
          <w:sz w:val="28"/>
        </w:rPr>
      </w:pPr>
    </w:p>
    <w:p w14:paraId="29878193" w14:textId="77777777" w:rsidR="00F94B48" w:rsidRPr="00F32542" w:rsidRDefault="00F94B48" w:rsidP="00F94B48">
      <w:p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t>De igual forma, ningún partido político presenta sobrer</w:t>
      </w:r>
      <w:r w:rsidR="00137439" w:rsidRPr="00F32542">
        <w:rPr>
          <w:rFonts w:ascii="Arial" w:eastAsia="Calibri" w:hAnsi="Arial" w:cs="Arial"/>
          <w:spacing w:val="4"/>
          <w:sz w:val="28"/>
        </w:rPr>
        <w:t>r</w:t>
      </w:r>
      <w:r w:rsidRPr="00F32542">
        <w:rPr>
          <w:rFonts w:ascii="Arial" w:eastAsia="Calibri" w:hAnsi="Arial" w:cs="Arial"/>
          <w:spacing w:val="4"/>
          <w:sz w:val="28"/>
        </w:rPr>
        <w:t xml:space="preserve">epresentación mayor al ocho por ciento (8%) de su </w:t>
      </w:r>
      <w:r w:rsidRPr="00F32542">
        <w:rPr>
          <w:rFonts w:ascii="Arial" w:eastAsia="Calibri" w:hAnsi="Arial" w:cs="Arial"/>
          <w:b/>
          <w:spacing w:val="4"/>
          <w:sz w:val="28"/>
        </w:rPr>
        <w:t>votación local emitida</w:t>
      </w:r>
      <w:r w:rsidRPr="00F32542">
        <w:rPr>
          <w:rFonts w:ascii="Arial" w:eastAsia="Calibri" w:hAnsi="Arial" w:cs="Arial"/>
          <w:spacing w:val="4"/>
          <w:sz w:val="28"/>
        </w:rPr>
        <w:t xml:space="preserve"> que no sea producto de sus triunfos de mayoría relativa, como se observa enseguida: </w:t>
      </w:r>
    </w:p>
    <w:p w14:paraId="4E82BDDE" w14:textId="77777777" w:rsidR="00F57B54" w:rsidRPr="00F32542" w:rsidRDefault="00F57B54" w:rsidP="00F57B54">
      <w:pPr>
        <w:spacing w:after="0" w:line="360" w:lineRule="auto"/>
        <w:contextualSpacing/>
        <w:jc w:val="both"/>
        <w:rPr>
          <w:rFonts w:ascii="Arial" w:eastAsia="Calibri" w:hAnsi="Arial" w:cs="Arial"/>
          <w:color w:val="000000" w:themeColor="text1"/>
          <w:spacing w:val="4"/>
          <w:sz w:val="28"/>
        </w:rPr>
      </w:pPr>
    </w:p>
    <w:tbl>
      <w:tblPr>
        <w:tblStyle w:val="Tablaconcuadrcula252"/>
        <w:tblW w:w="8359" w:type="dxa"/>
        <w:jc w:val="center"/>
        <w:tblLook w:val="04A0" w:firstRow="1" w:lastRow="0" w:firstColumn="1" w:lastColumn="0" w:noHBand="0" w:noVBand="1"/>
      </w:tblPr>
      <w:tblGrid>
        <w:gridCol w:w="1182"/>
        <w:gridCol w:w="1681"/>
        <w:gridCol w:w="1612"/>
        <w:gridCol w:w="2103"/>
        <w:gridCol w:w="1781"/>
      </w:tblGrid>
      <w:tr w:rsidR="00F57B54" w:rsidRPr="00F32542" w14:paraId="5672E2A6" w14:textId="77777777" w:rsidTr="00B65D24">
        <w:trPr>
          <w:jc w:val="center"/>
        </w:trPr>
        <w:tc>
          <w:tcPr>
            <w:tcW w:w="1182" w:type="dxa"/>
            <w:shd w:val="clear" w:color="auto" w:fill="AEAAAA"/>
            <w:vAlign w:val="center"/>
          </w:tcPr>
          <w:p w14:paraId="08BAC2D8" w14:textId="77777777" w:rsidR="00F57B54" w:rsidRPr="00F32542" w:rsidRDefault="00F57B54" w:rsidP="00F57B54">
            <w:pPr>
              <w:spacing w:after="0" w:line="240" w:lineRule="auto"/>
              <w:jc w:val="center"/>
              <w:rPr>
                <w:rFonts w:ascii="Arial" w:eastAsia="Calibri" w:hAnsi="Arial" w:cs="Arial"/>
                <w:b/>
                <w:color w:val="000000" w:themeColor="text1"/>
                <w:sz w:val="20"/>
                <w:szCs w:val="20"/>
              </w:rPr>
            </w:pPr>
            <w:r w:rsidRPr="00F32542">
              <w:rPr>
                <w:rFonts w:ascii="Arial" w:eastAsia="Calibri" w:hAnsi="Arial" w:cs="Arial"/>
                <w:b/>
                <w:color w:val="000000" w:themeColor="text1"/>
                <w:sz w:val="20"/>
                <w:szCs w:val="20"/>
              </w:rPr>
              <w:t>Partido político</w:t>
            </w:r>
          </w:p>
        </w:tc>
        <w:tc>
          <w:tcPr>
            <w:tcW w:w="1681" w:type="dxa"/>
            <w:shd w:val="clear" w:color="auto" w:fill="AEAAAA"/>
            <w:vAlign w:val="center"/>
          </w:tcPr>
          <w:p w14:paraId="7FD1A019" w14:textId="77777777" w:rsidR="00F57B54" w:rsidRPr="00F32542" w:rsidRDefault="00F57B54" w:rsidP="00F57B54">
            <w:pPr>
              <w:spacing w:after="0" w:line="240" w:lineRule="auto"/>
              <w:jc w:val="center"/>
              <w:rPr>
                <w:rFonts w:ascii="Arial" w:eastAsia="Calibri" w:hAnsi="Arial" w:cs="Arial"/>
                <w:b/>
                <w:color w:val="000000" w:themeColor="text1"/>
                <w:sz w:val="20"/>
                <w:szCs w:val="20"/>
              </w:rPr>
            </w:pPr>
            <w:r w:rsidRPr="00F32542">
              <w:rPr>
                <w:rFonts w:ascii="Arial" w:eastAsia="Calibri" w:hAnsi="Arial" w:cs="Arial"/>
                <w:b/>
                <w:color w:val="000000" w:themeColor="text1"/>
                <w:sz w:val="20"/>
                <w:szCs w:val="20"/>
              </w:rPr>
              <w:t>(A)</w:t>
            </w:r>
          </w:p>
          <w:p w14:paraId="27F7D1CD" w14:textId="77777777" w:rsidR="00F57B54" w:rsidRPr="00F32542" w:rsidRDefault="00F57B54" w:rsidP="00F57B54">
            <w:pPr>
              <w:spacing w:after="0" w:line="240" w:lineRule="auto"/>
              <w:jc w:val="center"/>
              <w:rPr>
                <w:rFonts w:ascii="Arial" w:eastAsia="Calibri" w:hAnsi="Arial" w:cs="Arial"/>
                <w:b/>
                <w:color w:val="000000" w:themeColor="text1"/>
                <w:sz w:val="20"/>
                <w:szCs w:val="20"/>
              </w:rPr>
            </w:pPr>
            <w:proofErr w:type="gramStart"/>
            <w:r w:rsidRPr="00F32542">
              <w:rPr>
                <w:rFonts w:ascii="Arial" w:eastAsia="Calibri" w:hAnsi="Arial" w:cs="Arial"/>
                <w:b/>
                <w:color w:val="000000" w:themeColor="text1"/>
                <w:sz w:val="20"/>
                <w:szCs w:val="20"/>
              </w:rPr>
              <w:t>Total</w:t>
            </w:r>
            <w:proofErr w:type="gramEnd"/>
            <w:r w:rsidRPr="00F32542">
              <w:rPr>
                <w:rFonts w:ascii="Arial" w:eastAsia="Calibri" w:hAnsi="Arial" w:cs="Arial"/>
                <w:b/>
                <w:color w:val="000000" w:themeColor="text1"/>
                <w:sz w:val="20"/>
                <w:szCs w:val="20"/>
              </w:rPr>
              <w:t xml:space="preserve"> de diputaciones </w:t>
            </w:r>
            <w:r w:rsidRPr="00F32542">
              <w:rPr>
                <w:rFonts w:ascii="Arial" w:eastAsia="Calibri" w:hAnsi="Arial" w:cs="Arial"/>
                <w:b/>
                <w:color w:val="000000" w:themeColor="text1"/>
                <w:sz w:val="20"/>
                <w:szCs w:val="20"/>
              </w:rPr>
              <w:lastRenderedPageBreak/>
              <w:t>por partido político</w:t>
            </w:r>
          </w:p>
        </w:tc>
        <w:tc>
          <w:tcPr>
            <w:tcW w:w="1612" w:type="dxa"/>
            <w:shd w:val="clear" w:color="auto" w:fill="AEAAAA"/>
            <w:vAlign w:val="center"/>
          </w:tcPr>
          <w:p w14:paraId="69385C8B" w14:textId="77777777" w:rsidR="00F57B54" w:rsidRPr="00F32542" w:rsidRDefault="00F57B54" w:rsidP="00F57B54">
            <w:pPr>
              <w:spacing w:after="0" w:line="240" w:lineRule="auto"/>
              <w:jc w:val="center"/>
              <w:rPr>
                <w:rFonts w:ascii="Arial" w:eastAsia="Calibri" w:hAnsi="Arial" w:cs="Arial"/>
                <w:b/>
                <w:color w:val="000000" w:themeColor="text1"/>
                <w:sz w:val="20"/>
                <w:szCs w:val="20"/>
              </w:rPr>
            </w:pPr>
            <w:r w:rsidRPr="00F32542">
              <w:rPr>
                <w:rFonts w:ascii="Arial" w:eastAsia="Calibri" w:hAnsi="Arial" w:cs="Arial"/>
                <w:b/>
                <w:color w:val="000000" w:themeColor="text1"/>
                <w:sz w:val="20"/>
                <w:szCs w:val="20"/>
              </w:rPr>
              <w:lastRenderedPageBreak/>
              <w:t>[B=(A/66)x100]</w:t>
            </w:r>
          </w:p>
          <w:p w14:paraId="32432DBE" w14:textId="77777777" w:rsidR="00F57B54" w:rsidRPr="00F32542" w:rsidRDefault="00F57B54" w:rsidP="00F57B54">
            <w:pPr>
              <w:spacing w:after="0" w:line="240" w:lineRule="auto"/>
              <w:jc w:val="center"/>
              <w:rPr>
                <w:rFonts w:ascii="Arial" w:eastAsia="Calibri" w:hAnsi="Arial" w:cs="Arial"/>
                <w:b/>
                <w:color w:val="000000" w:themeColor="text1"/>
                <w:sz w:val="20"/>
                <w:szCs w:val="20"/>
              </w:rPr>
            </w:pPr>
            <w:r w:rsidRPr="00F32542">
              <w:rPr>
                <w:rFonts w:ascii="Arial" w:eastAsia="Calibri" w:hAnsi="Arial" w:cs="Arial"/>
                <w:b/>
                <w:color w:val="000000" w:themeColor="text1"/>
                <w:sz w:val="20"/>
                <w:szCs w:val="20"/>
              </w:rPr>
              <w:t>Porcentaje de curules del Congreso</w:t>
            </w:r>
          </w:p>
        </w:tc>
        <w:tc>
          <w:tcPr>
            <w:tcW w:w="2103" w:type="dxa"/>
            <w:shd w:val="clear" w:color="auto" w:fill="AEAAAA"/>
            <w:vAlign w:val="center"/>
          </w:tcPr>
          <w:p w14:paraId="563EA56B" w14:textId="77777777" w:rsidR="00F57B54" w:rsidRPr="00F32542" w:rsidRDefault="00F57B54" w:rsidP="00F57B54">
            <w:pPr>
              <w:spacing w:after="0" w:line="240" w:lineRule="auto"/>
              <w:jc w:val="center"/>
              <w:rPr>
                <w:rFonts w:ascii="Arial" w:eastAsia="Calibri" w:hAnsi="Arial" w:cs="Arial"/>
                <w:b/>
                <w:color w:val="000000" w:themeColor="text1"/>
                <w:sz w:val="20"/>
                <w:szCs w:val="20"/>
              </w:rPr>
            </w:pPr>
            <w:r w:rsidRPr="00F32542">
              <w:rPr>
                <w:rFonts w:ascii="Arial" w:eastAsia="Calibri" w:hAnsi="Arial" w:cs="Arial"/>
                <w:b/>
                <w:color w:val="000000" w:themeColor="text1"/>
                <w:sz w:val="20"/>
                <w:szCs w:val="20"/>
              </w:rPr>
              <w:t>[C=(VPP/VLE)X100]</w:t>
            </w:r>
          </w:p>
          <w:p w14:paraId="3C5CDA14" w14:textId="77777777" w:rsidR="00F57B54" w:rsidRPr="00F32542" w:rsidRDefault="00F57B54" w:rsidP="00F57B54">
            <w:pPr>
              <w:spacing w:after="0" w:line="240" w:lineRule="auto"/>
              <w:jc w:val="center"/>
              <w:rPr>
                <w:rFonts w:ascii="Arial" w:eastAsia="Calibri" w:hAnsi="Arial" w:cs="Arial"/>
                <w:b/>
                <w:color w:val="000000" w:themeColor="text1"/>
                <w:sz w:val="20"/>
                <w:szCs w:val="20"/>
              </w:rPr>
            </w:pPr>
            <w:r w:rsidRPr="00F32542">
              <w:rPr>
                <w:rFonts w:ascii="Arial" w:eastAsia="Calibri" w:hAnsi="Arial" w:cs="Arial"/>
                <w:b/>
                <w:color w:val="000000" w:themeColor="text1"/>
                <w:sz w:val="20"/>
                <w:szCs w:val="20"/>
              </w:rPr>
              <w:t>Porcentaje de votación local emitida</w:t>
            </w:r>
          </w:p>
        </w:tc>
        <w:tc>
          <w:tcPr>
            <w:tcW w:w="1781" w:type="dxa"/>
            <w:shd w:val="clear" w:color="auto" w:fill="AEAAAA"/>
            <w:vAlign w:val="center"/>
          </w:tcPr>
          <w:p w14:paraId="512713CC" w14:textId="77777777" w:rsidR="00F57B54" w:rsidRPr="00F32542" w:rsidRDefault="00F57B54" w:rsidP="00F57B54">
            <w:pPr>
              <w:spacing w:after="0" w:line="240" w:lineRule="auto"/>
              <w:jc w:val="center"/>
              <w:rPr>
                <w:rFonts w:ascii="Arial" w:eastAsia="Calibri" w:hAnsi="Arial" w:cs="Arial"/>
                <w:b/>
                <w:color w:val="000000" w:themeColor="text1"/>
                <w:sz w:val="20"/>
                <w:szCs w:val="20"/>
              </w:rPr>
            </w:pPr>
            <w:r w:rsidRPr="00F32542">
              <w:rPr>
                <w:rFonts w:ascii="Arial" w:eastAsia="Calibri" w:hAnsi="Arial" w:cs="Arial"/>
                <w:b/>
                <w:color w:val="000000" w:themeColor="text1"/>
                <w:sz w:val="20"/>
                <w:szCs w:val="20"/>
              </w:rPr>
              <w:t>(B-C)</w:t>
            </w:r>
          </w:p>
          <w:p w14:paraId="632F4D7A" w14:textId="77777777" w:rsidR="00F57B54" w:rsidRPr="00F32542" w:rsidRDefault="00F57B54" w:rsidP="00F57B54">
            <w:pPr>
              <w:spacing w:after="0" w:line="240" w:lineRule="auto"/>
              <w:jc w:val="center"/>
              <w:rPr>
                <w:rFonts w:ascii="Arial" w:eastAsia="Calibri" w:hAnsi="Arial" w:cs="Arial"/>
                <w:b/>
                <w:color w:val="000000" w:themeColor="text1"/>
                <w:sz w:val="20"/>
                <w:szCs w:val="20"/>
              </w:rPr>
            </w:pPr>
            <w:r w:rsidRPr="00F32542">
              <w:rPr>
                <w:rFonts w:ascii="Arial" w:eastAsia="Calibri" w:hAnsi="Arial" w:cs="Arial"/>
                <w:b/>
                <w:color w:val="000000" w:themeColor="text1"/>
                <w:sz w:val="20"/>
                <w:szCs w:val="20"/>
              </w:rPr>
              <w:t>Sobre</w:t>
            </w:r>
          </w:p>
          <w:p w14:paraId="28BC2F64" w14:textId="77777777" w:rsidR="00F57B54" w:rsidRPr="00F32542" w:rsidRDefault="00F57B54" w:rsidP="00F57B54">
            <w:pPr>
              <w:spacing w:after="0" w:line="240" w:lineRule="auto"/>
              <w:jc w:val="center"/>
              <w:rPr>
                <w:rFonts w:ascii="Arial" w:eastAsia="Calibri" w:hAnsi="Arial" w:cs="Arial"/>
                <w:b/>
                <w:color w:val="000000" w:themeColor="text1"/>
                <w:sz w:val="20"/>
                <w:szCs w:val="20"/>
              </w:rPr>
            </w:pPr>
            <w:r w:rsidRPr="00F32542">
              <w:rPr>
                <w:rFonts w:ascii="Arial" w:eastAsia="Calibri" w:hAnsi="Arial" w:cs="Arial"/>
                <w:b/>
                <w:color w:val="000000" w:themeColor="text1"/>
                <w:sz w:val="20"/>
                <w:szCs w:val="20"/>
              </w:rPr>
              <w:t>representación</w:t>
            </w:r>
          </w:p>
        </w:tc>
      </w:tr>
      <w:tr w:rsidR="00455864" w:rsidRPr="00F32542" w14:paraId="0DC87016" w14:textId="77777777" w:rsidTr="00B65D24">
        <w:trPr>
          <w:jc w:val="center"/>
        </w:trPr>
        <w:tc>
          <w:tcPr>
            <w:tcW w:w="1182" w:type="dxa"/>
            <w:vAlign w:val="center"/>
          </w:tcPr>
          <w:p w14:paraId="106DD38C"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PAN</w:t>
            </w:r>
          </w:p>
        </w:tc>
        <w:tc>
          <w:tcPr>
            <w:tcW w:w="1681" w:type="dxa"/>
            <w:vAlign w:val="center"/>
          </w:tcPr>
          <w:p w14:paraId="60596225"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17</w:t>
            </w:r>
          </w:p>
        </w:tc>
        <w:tc>
          <w:tcPr>
            <w:tcW w:w="1612" w:type="dxa"/>
            <w:vAlign w:val="center"/>
          </w:tcPr>
          <w:p w14:paraId="60171FCC"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25.75</w:t>
            </w:r>
          </w:p>
        </w:tc>
        <w:tc>
          <w:tcPr>
            <w:tcW w:w="2103" w:type="dxa"/>
            <w:vAlign w:val="center"/>
          </w:tcPr>
          <w:p w14:paraId="722BC6B3"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28.69%</w:t>
            </w:r>
          </w:p>
        </w:tc>
        <w:tc>
          <w:tcPr>
            <w:tcW w:w="1781" w:type="dxa"/>
            <w:vAlign w:val="bottom"/>
          </w:tcPr>
          <w:p w14:paraId="1472A8F5"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Calibri" w:hAnsi="Calibri" w:cs="Calibri"/>
                <w:color w:val="000000" w:themeColor="text1"/>
              </w:rPr>
              <w:t>-2.94</w:t>
            </w:r>
          </w:p>
        </w:tc>
      </w:tr>
      <w:tr w:rsidR="00455864" w:rsidRPr="00F32542" w14:paraId="7CB92150" w14:textId="77777777" w:rsidTr="00B65D24">
        <w:trPr>
          <w:jc w:val="center"/>
        </w:trPr>
        <w:tc>
          <w:tcPr>
            <w:tcW w:w="1182" w:type="dxa"/>
            <w:vAlign w:val="center"/>
          </w:tcPr>
          <w:p w14:paraId="5D80AE7E"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PRI</w:t>
            </w:r>
          </w:p>
        </w:tc>
        <w:tc>
          <w:tcPr>
            <w:tcW w:w="1681" w:type="dxa"/>
            <w:vAlign w:val="center"/>
          </w:tcPr>
          <w:p w14:paraId="2CB301F3"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9</w:t>
            </w:r>
          </w:p>
        </w:tc>
        <w:tc>
          <w:tcPr>
            <w:tcW w:w="1612" w:type="dxa"/>
            <w:vAlign w:val="center"/>
          </w:tcPr>
          <w:p w14:paraId="6A5E8983"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13.63</w:t>
            </w:r>
          </w:p>
        </w:tc>
        <w:tc>
          <w:tcPr>
            <w:tcW w:w="2103" w:type="dxa"/>
            <w:vAlign w:val="center"/>
          </w:tcPr>
          <w:p w14:paraId="47CE564F"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16.15%</w:t>
            </w:r>
          </w:p>
        </w:tc>
        <w:tc>
          <w:tcPr>
            <w:tcW w:w="1781" w:type="dxa"/>
            <w:vAlign w:val="bottom"/>
          </w:tcPr>
          <w:p w14:paraId="51D1E7DE"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Calibri" w:hAnsi="Calibri" w:cs="Calibri"/>
                <w:color w:val="000000" w:themeColor="text1"/>
              </w:rPr>
              <w:t>-2.52</w:t>
            </w:r>
          </w:p>
        </w:tc>
      </w:tr>
      <w:tr w:rsidR="00455864" w:rsidRPr="00F32542" w14:paraId="1F523693" w14:textId="77777777" w:rsidTr="00B65D24">
        <w:trPr>
          <w:jc w:val="center"/>
        </w:trPr>
        <w:tc>
          <w:tcPr>
            <w:tcW w:w="1182" w:type="dxa"/>
            <w:vAlign w:val="center"/>
          </w:tcPr>
          <w:p w14:paraId="653FE8F4"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PRD</w:t>
            </w:r>
          </w:p>
        </w:tc>
        <w:tc>
          <w:tcPr>
            <w:tcW w:w="1681" w:type="dxa"/>
            <w:vAlign w:val="center"/>
          </w:tcPr>
          <w:p w14:paraId="5FD8D23F"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5</w:t>
            </w:r>
          </w:p>
        </w:tc>
        <w:tc>
          <w:tcPr>
            <w:tcW w:w="1612" w:type="dxa"/>
            <w:vAlign w:val="center"/>
          </w:tcPr>
          <w:p w14:paraId="1C06B386"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7.57</w:t>
            </w:r>
          </w:p>
        </w:tc>
        <w:tc>
          <w:tcPr>
            <w:tcW w:w="2103" w:type="dxa"/>
            <w:vAlign w:val="center"/>
          </w:tcPr>
          <w:p w14:paraId="4821E017"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5.77%</w:t>
            </w:r>
          </w:p>
        </w:tc>
        <w:tc>
          <w:tcPr>
            <w:tcW w:w="1781" w:type="dxa"/>
            <w:vAlign w:val="bottom"/>
          </w:tcPr>
          <w:p w14:paraId="569EA5F9"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Calibri" w:hAnsi="Calibri" w:cs="Calibri"/>
                <w:color w:val="000000" w:themeColor="text1"/>
              </w:rPr>
              <w:t>1.8</w:t>
            </w:r>
          </w:p>
        </w:tc>
      </w:tr>
      <w:tr w:rsidR="00455864" w:rsidRPr="00F32542" w14:paraId="3102AAE4" w14:textId="77777777" w:rsidTr="00B65D24">
        <w:trPr>
          <w:jc w:val="center"/>
        </w:trPr>
        <w:tc>
          <w:tcPr>
            <w:tcW w:w="1182" w:type="dxa"/>
            <w:vAlign w:val="center"/>
          </w:tcPr>
          <w:p w14:paraId="30045535"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PVEM</w:t>
            </w:r>
          </w:p>
        </w:tc>
        <w:tc>
          <w:tcPr>
            <w:tcW w:w="1681" w:type="dxa"/>
            <w:vAlign w:val="center"/>
          </w:tcPr>
          <w:p w14:paraId="3145A7C0"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2</w:t>
            </w:r>
          </w:p>
        </w:tc>
        <w:tc>
          <w:tcPr>
            <w:tcW w:w="1612" w:type="dxa"/>
            <w:vAlign w:val="center"/>
          </w:tcPr>
          <w:p w14:paraId="58412DE4"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3.03</w:t>
            </w:r>
          </w:p>
        </w:tc>
        <w:tc>
          <w:tcPr>
            <w:tcW w:w="2103" w:type="dxa"/>
            <w:vAlign w:val="center"/>
          </w:tcPr>
          <w:p w14:paraId="578A660F"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3.48%</w:t>
            </w:r>
          </w:p>
        </w:tc>
        <w:tc>
          <w:tcPr>
            <w:tcW w:w="1781" w:type="dxa"/>
            <w:vAlign w:val="bottom"/>
          </w:tcPr>
          <w:p w14:paraId="737A2C4E"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Calibri" w:hAnsi="Calibri" w:cs="Calibri"/>
                <w:color w:val="000000" w:themeColor="text1"/>
              </w:rPr>
              <w:t>-0.45</w:t>
            </w:r>
          </w:p>
        </w:tc>
      </w:tr>
      <w:tr w:rsidR="00455864" w:rsidRPr="00F32542" w14:paraId="7195C14E" w14:textId="77777777" w:rsidTr="00B65D24">
        <w:trPr>
          <w:jc w:val="center"/>
        </w:trPr>
        <w:tc>
          <w:tcPr>
            <w:tcW w:w="1182" w:type="dxa"/>
            <w:vAlign w:val="center"/>
          </w:tcPr>
          <w:p w14:paraId="4E62BEB9"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MC</w:t>
            </w:r>
          </w:p>
        </w:tc>
        <w:tc>
          <w:tcPr>
            <w:tcW w:w="1681" w:type="dxa"/>
            <w:vAlign w:val="center"/>
          </w:tcPr>
          <w:p w14:paraId="3D3BAD81"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1</w:t>
            </w:r>
          </w:p>
        </w:tc>
        <w:tc>
          <w:tcPr>
            <w:tcW w:w="1612" w:type="dxa"/>
            <w:vAlign w:val="center"/>
          </w:tcPr>
          <w:p w14:paraId="357BEFBA"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1.51</w:t>
            </w:r>
          </w:p>
        </w:tc>
        <w:tc>
          <w:tcPr>
            <w:tcW w:w="2103" w:type="dxa"/>
            <w:vAlign w:val="center"/>
          </w:tcPr>
          <w:p w14:paraId="6EA87F72"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3.89%</w:t>
            </w:r>
          </w:p>
        </w:tc>
        <w:tc>
          <w:tcPr>
            <w:tcW w:w="1781" w:type="dxa"/>
            <w:vAlign w:val="bottom"/>
          </w:tcPr>
          <w:p w14:paraId="512E2030"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Calibri" w:hAnsi="Calibri" w:cs="Calibri"/>
                <w:color w:val="000000" w:themeColor="text1"/>
              </w:rPr>
              <w:t>-2.38</w:t>
            </w:r>
          </w:p>
        </w:tc>
      </w:tr>
      <w:tr w:rsidR="00455864" w:rsidRPr="00F32542" w14:paraId="48521F97" w14:textId="77777777" w:rsidTr="00B65D24">
        <w:trPr>
          <w:jc w:val="center"/>
        </w:trPr>
        <w:tc>
          <w:tcPr>
            <w:tcW w:w="1182" w:type="dxa"/>
            <w:vAlign w:val="center"/>
          </w:tcPr>
          <w:p w14:paraId="1925AE72"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MORENA</w:t>
            </w:r>
          </w:p>
        </w:tc>
        <w:tc>
          <w:tcPr>
            <w:tcW w:w="1681" w:type="dxa"/>
            <w:vAlign w:val="center"/>
          </w:tcPr>
          <w:p w14:paraId="55A20E79"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32</w:t>
            </w:r>
          </w:p>
        </w:tc>
        <w:tc>
          <w:tcPr>
            <w:tcW w:w="1612" w:type="dxa"/>
            <w:vAlign w:val="center"/>
          </w:tcPr>
          <w:p w14:paraId="4512279A"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48.48</w:t>
            </w:r>
          </w:p>
        </w:tc>
        <w:tc>
          <w:tcPr>
            <w:tcW w:w="2103" w:type="dxa"/>
            <w:vAlign w:val="center"/>
          </w:tcPr>
          <w:p w14:paraId="64860B25"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Arial" w:eastAsia="Calibri" w:hAnsi="Arial" w:cs="Arial"/>
                <w:color w:val="000000" w:themeColor="text1"/>
              </w:rPr>
              <w:t>42.01%</w:t>
            </w:r>
          </w:p>
        </w:tc>
        <w:tc>
          <w:tcPr>
            <w:tcW w:w="1781" w:type="dxa"/>
            <w:vAlign w:val="bottom"/>
          </w:tcPr>
          <w:p w14:paraId="0566803C" w14:textId="77777777" w:rsidR="00455864" w:rsidRPr="00F32542" w:rsidRDefault="00455864" w:rsidP="00455864">
            <w:pPr>
              <w:spacing w:after="0" w:line="240" w:lineRule="auto"/>
              <w:jc w:val="center"/>
              <w:rPr>
                <w:rFonts w:ascii="Arial" w:eastAsia="Calibri" w:hAnsi="Arial" w:cs="Arial"/>
                <w:color w:val="000000" w:themeColor="text1"/>
              </w:rPr>
            </w:pPr>
            <w:r w:rsidRPr="00F32542">
              <w:rPr>
                <w:rFonts w:ascii="Calibri" w:hAnsi="Calibri" w:cs="Calibri"/>
                <w:color w:val="000000" w:themeColor="text1"/>
              </w:rPr>
              <w:t>6.47</w:t>
            </w:r>
          </w:p>
        </w:tc>
      </w:tr>
    </w:tbl>
    <w:p w14:paraId="1192BAA0" w14:textId="77777777" w:rsidR="00F57B54" w:rsidRPr="00F32542" w:rsidRDefault="00F57B54" w:rsidP="00F94B48">
      <w:pPr>
        <w:spacing w:after="0" w:line="360" w:lineRule="auto"/>
        <w:contextualSpacing/>
        <w:jc w:val="both"/>
        <w:rPr>
          <w:rFonts w:ascii="Arial" w:eastAsia="Calibri" w:hAnsi="Arial" w:cs="Arial"/>
          <w:spacing w:val="4"/>
          <w:sz w:val="28"/>
        </w:rPr>
      </w:pPr>
    </w:p>
    <w:p w14:paraId="450E4CA3" w14:textId="77777777" w:rsidR="00F94B48" w:rsidRPr="00F32542" w:rsidRDefault="00F94B48" w:rsidP="00F94B48">
      <w:p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t>Por tanto, es innecesario realizar algún ajuste por sobrer</w:t>
      </w:r>
      <w:r w:rsidR="00137439" w:rsidRPr="00F32542">
        <w:rPr>
          <w:rFonts w:ascii="Arial" w:eastAsia="Calibri" w:hAnsi="Arial" w:cs="Arial"/>
          <w:spacing w:val="4"/>
          <w:sz w:val="28"/>
        </w:rPr>
        <w:t>r</w:t>
      </w:r>
      <w:r w:rsidRPr="00F32542">
        <w:rPr>
          <w:rFonts w:ascii="Arial" w:eastAsia="Calibri" w:hAnsi="Arial" w:cs="Arial"/>
          <w:spacing w:val="4"/>
          <w:sz w:val="28"/>
        </w:rPr>
        <w:t xml:space="preserve">epresentación. </w:t>
      </w:r>
    </w:p>
    <w:p w14:paraId="509EF21D" w14:textId="77777777" w:rsidR="00F94B48" w:rsidRPr="00F32542" w:rsidRDefault="00F94B48" w:rsidP="00F94B48">
      <w:pPr>
        <w:spacing w:after="0" w:line="360" w:lineRule="auto"/>
        <w:contextualSpacing/>
        <w:jc w:val="both"/>
        <w:rPr>
          <w:rFonts w:ascii="Arial" w:eastAsia="Calibri" w:hAnsi="Arial" w:cs="Arial"/>
          <w:spacing w:val="4"/>
          <w:sz w:val="28"/>
        </w:rPr>
      </w:pPr>
    </w:p>
    <w:p w14:paraId="7CBB27C3" w14:textId="77777777" w:rsidR="00F94B48" w:rsidRPr="00F32542" w:rsidRDefault="00F57B54" w:rsidP="00F94B48">
      <w:pPr>
        <w:spacing w:after="0" w:line="360" w:lineRule="auto"/>
        <w:contextualSpacing/>
        <w:jc w:val="both"/>
        <w:rPr>
          <w:rFonts w:ascii="Arial" w:eastAsia="Calibri" w:hAnsi="Arial" w:cs="Arial"/>
          <w:spacing w:val="4"/>
          <w:sz w:val="28"/>
        </w:rPr>
      </w:pPr>
      <w:r w:rsidRPr="00F32542">
        <w:rPr>
          <w:rFonts w:ascii="Arial" w:eastAsia="Calibri" w:hAnsi="Arial" w:cs="Arial"/>
          <w:spacing w:val="4"/>
          <w:sz w:val="28"/>
        </w:rPr>
        <w:t>Asimismo</w:t>
      </w:r>
      <w:r w:rsidR="00F94B48" w:rsidRPr="00F32542">
        <w:rPr>
          <w:rFonts w:ascii="Arial" w:eastAsia="Calibri" w:hAnsi="Arial" w:cs="Arial"/>
          <w:spacing w:val="4"/>
          <w:sz w:val="28"/>
        </w:rPr>
        <w:t xml:space="preserve">, se advierte que ningún partido presenta subrepresentación mayor al ocho por ciento (8%), por ende, la asignación de diputaciones de representación proporcional queda en los términos siguientes: </w:t>
      </w:r>
    </w:p>
    <w:p w14:paraId="32F14CE4" w14:textId="77777777" w:rsidR="00F94B48" w:rsidRPr="00F32542" w:rsidRDefault="00F94B48" w:rsidP="00F94B48">
      <w:pPr>
        <w:spacing w:after="0" w:line="360" w:lineRule="auto"/>
        <w:contextualSpacing/>
        <w:jc w:val="both"/>
        <w:rPr>
          <w:rFonts w:ascii="Arial" w:eastAsia="Calibri" w:hAnsi="Arial" w:cs="Arial"/>
          <w:spacing w:val="4"/>
          <w:sz w:val="28"/>
        </w:rPr>
      </w:pPr>
    </w:p>
    <w:tbl>
      <w:tblPr>
        <w:tblW w:w="7366" w:type="dxa"/>
        <w:jc w:val="center"/>
        <w:tblLayout w:type="fixed"/>
        <w:tblCellMar>
          <w:left w:w="70" w:type="dxa"/>
          <w:right w:w="70" w:type="dxa"/>
        </w:tblCellMar>
        <w:tblLook w:val="04A0" w:firstRow="1" w:lastRow="0" w:firstColumn="1" w:lastColumn="0" w:noHBand="0" w:noVBand="1"/>
      </w:tblPr>
      <w:tblGrid>
        <w:gridCol w:w="1771"/>
        <w:gridCol w:w="2052"/>
        <w:gridCol w:w="1842"/>
        <w:gridCol w:w="1701"/>
      </w:tblGrid>
      <w:tr w:rsidR="00F94B48" w:rsidRPr="00F32542" w14:paraId="3AA11FC4" w14:textId="77777777" w:rsidTr="00F94B48">
        <w:trPr>
          <w:trHeight w:val="1005"/>
          <w:tblHeader/>
          <w:jc w:val="center"/>
        </w:trPr>
        <w:tc>
          <w:tcPr>
            <w:tcW w:w="1771" w:type="dxa"/>
            <w:tcBorders>
              <w:top w:val="single" w:sz="4" w:space="0" w:color="auto"/>
              <w:left w:val="single" w:sz="4" w:space="0" w:color="auto"/>
              <w:bottom w:val="single" w:sz="4" w:space="0" w:color="auto"/>
              <w:right w:val="single" w:sz="4" w:space="0" w:color="auto"/>
            </w:tcBorders>
            <w:shd w:val="clear" w:color="auto" w:fill="AEAAAA"/>
            <w:noWrap/>
            <w:vAlign w:val="center"/>
            <w:hideMark/>
          </w:tcPr>
          <w:p w14:paraId="6E1F93C7" w14:textId="77777777" w:rsidR="00F94B48" w:rsidRPr="00F32542" w:rsidRDefault="00F94B48" w:rsidP="00F94B48">
            <w:pPr>
              <w:spacing w:after="0" w:line="240" w:lineRule="auto"/>
              <w:jc w:val="center"/>
              <w:rPr>
                <w:rFonts w:ascii="Arial" w:eastAsia="Calibri" w:hAnsi="Arial" w:cs="Arial"/>
                <w:b/>
                <w:bCs/>
                <w:lang w:val="es-ES" w:eastAsia="es-MX"/>
              </w:rPr>
            </w:pPr>
            <w:r w:rsidRPr="00F32542">
              <w:rPr>
                <w:rFonts w:ascii="Arial" w:eastAsia="Calibri" w:hAnsi="Arial" w:cs="Arial"/>
                <w:b/>
                <w:bCs/>
                <w:lang w:val="es-ES" w:eastAsia="es-MX"/>
              </w:rPr>
              <w:t>Partido</w:t>
            </w:r>
          </w:p>
          <w:p w14:paraId="4C752809" w14:textId="77777777" w:rsidR="00F94B48" w:rsidRPr="00F32542" w:rsidRDefault="00F94B48" w:rsidP="00F94B48">
            <w:pPr>
              <w:spacing w:after="0" w:line="240" w:lineRule="auto"/>
              <w:jc w:val="center"/>
              <w:rPr>
                <w:rFonts w:ascii="Arial" w:eastAsia="Calibri" w:hAnsi="Arial" w:cs="Arial"/>
                <w:b/>
                <w:bCs/>
                <w:lang w:val="es-ES" w:eastAsia="es-MX"/>
              </w:rPr>
            </w:pPr>
            <w:r w:rsidRPr="00F32542">
              <w:rPr>
                <w:rFonts w:ascii="Arial" w:eastAsia="Calibri" w:hAnsi="Arial" w:cs="Arial"/>
                <w:b/>
                <w:bCs/>
                <w:lang w:val="es-ES" w:eastAsia="es-MX"/>
              </w:rPr>
              <w:t>Político</w:t>
            </w:r>
          </w:p>
        </w:tc>
        <w:tc>
          <w:tcPr>
            <w:tcW w:w="2052" w:type="dxa"/>
            <w:tcBorders>
              <w:top w:val="single" w:sz="4" w:space="0" w:color="auto"/>
              <w:left w:val="nil"/>
              <w:bottom w:val="single" w:sz="4" w:space="0" w:color="auto"/>
              <w:right w:val="single" w:sz="4" w:space="0" w:color="auto"/>
            </w:tcBorders>
            <w:shd w:val="clear" w:color="auto" w:fill="AEAAAA"/>
            <w:vAlign w:val="center"/>
          </w:tcPr>
          <w:p w14:paraId="458DCD17" w14:textId="77777777" w:rsidR="00F94B48" w:rsidRPr="00F32542" w:rsidRDefault="00F94B48" w:rsidP="00F94B48">
            <w:pPr>
              <w:spacing w:after="0" w:line="240" w:lineRule="auto"/>
              <w:jc w:val="center"/>
              <w:rPr>
                <w:rFonts w:ascii="Arial" w:eastAsia="Calibri" w:hAnsi="Arial" w:cs="Arial"/>
                <w:b/>
                <w:bCs/>
                <w:lang w:val="es-ES" w:eastAsia="es-MX"/>
              </w:rPr>
            </w:pPr>
            <w:r w:rsidRPr="00F32542">
              <w:rPr>
                <w:rFonts w:ascii="Arial" w:eastAsia="Calibri" w:hAnsi="Arial" w:cs="Arial"/>
                <w:b/>
                <w:bCs/>
                <w:lang w:val="es-ES" w:eastAsia="es-MX"/>
              </w:rPr>
              <w:t>(A)</w:t>
            </w:r>
          </w:p>
          <w:p w14:paraId="6C01D3CE" w14:textId="77777777" w:rsidR="00F94B48" w:rsidRPr="00F32542" w:rsidRDefault="00F94B48" w:rsidP="00F94B48">
            <w:pPr>
              <w:spacing w:after="0" w:line="240" w:lineRule="auto"/>
              <w:jc w:val="center"/>
              <w:rPr>
                <w:rFonts w:ascii="Arial" w:eastAsia="Calibri" w:hAnsi="Arial" w:cs="Arial"/>
                <w:b/>
                <w:bCs/>
                <w:lang w:val="es-ES" w:eastAsia="es-MX"/>
              </w:rPr>
            </w:pPr>
            <w:r w:rsidRPr="00F32542">
              <w:rPr>
                <w:rFonts w:ascii="Arial" w:eastAsia="Calibri" w:hAnsi="Arial" w:cs="Arial"/>
                <w:b/>
                <w:bCs/>
                <w:lang w:val="es-ES" w:eastAsia="es-MX"/>
              </w:rPr>
              <w:t>Diputaciones distribuidas mediante cociente electoral</w:t>
            </w:r>
          </w:p>
        </w:tc>
        <w:tc>
          <w:tcPr>
            <w:tcW w:w="1842" w:type="dxa"/>
            <w:tcBorders>
              <w:top w:val="single" w:sz="4" w:space="0" w:color="auto"/>
              <w:left w:val="nil"/>
              <w:bottom w:val="single" w:sz="4" w:space="0" w:color="auto"/>
              <w:right w:val="single" w:sz="4" w:space="0" w:color="auto"/>
            </w:tcBorders>
            <w:shd w:val="clear" w:color="auto" w:fill="AEAAAA"/>
            <w:vAlign w:val="center"/>
          </w:tcPr>
          <w:p w14:paraId="1D27679F" w14:textId="77777777" w:rsidR="00F94B48" w:rsidRPr="00F32542" w:rsidRDefault="00F94B48" w:rsidP="00F94B48">
            <w:pPr>
              <w:spacing w:after="0" w:line="240" w:lineRule="auto"/>
              <w:jc w:val="center"/>
              <w:rPr>
                <w:rFonts w:ascii="Arial" w:eastAsia="Calibri" w:hAnsi="Arial" w:cs="Arial"/>
                <w:b/>
                <w:bCs/>
                <w:lang w:eastAsia="es-MX"/>
              </w:rPr>
            </w:pPr>
            <w:r w:rsidRPr="00F32542">
              <w:rPr>
                <w:rFonts w:ascii="Arial" w:eastAsia="Calibri" w:hAnsi="Arial" w:cs="Arial"/>
                <w:b/>
                <w:bCs/>
                <w:lang w:eastAsia="es-MX"/>
              </w:rPr>
              <w:t>(B)</w:t>
            </w:r>
          </w:p>
          <w:p w14:paraId="0BBEF3E4" w14:textId="77777777" w:rsidR="00F94B48" w:rsidRPr="00F32542" w:rsidRDefault="00F94B48" w:rsidP="00F94B48">
            <w:pPr>
              <w:spacing w:after="0" w:line="240" w:lineRule="auto"/>
              <w:jc w:val="center"/>
              <w:rPr>
                <w:rFonts w:ascii="Arial" w:eastAsia="Calibri" w:hAnsi="Arial" w:cs="Arial"/>
                <w:b/>
                <w:bCs/>
                <w:lang w:eastAsia="es-MX"/>
              </w:rPr>
            </w:pPr>
            <w:r w:rsidRPr="00F32542">
              <w:rPr>
                <w:rFonts w:ascii="Arial" w:eastAsia="Calibri" w:hAnsi="Arial" w:cs="Arial"/>
                <w:b/>
                <w:bCs/>
                <w:lang w:eastAsia="es-MX"/>
              </w:rPr>
              <w:t>Diputaciones distribuidas mediante resto mayor</w:t>
            </w:r>
          </w:p>
        </w:tc>
        <w:tc>
          <w:tcPr>
            <w:tcW w:w="1701" w:type="dxa"/>
            <w:tcBorders>
              <w:top w:val="single" w:sz="4" w:space="0" w:color="auto"/>
              <w:left w:val="nil"/>
              <w:bottom w:val="single" w:sz="4" w:space="0" w:color="auto"/>
              <w:right w:val="single" w:sz="4" w:space="0" w:color="auto"/>
            </w:tcBorders>
            <w:shd w:val="clear" w:color="auto" w:fill="AEAAAA"/>
            <w:vAlign w:val="center"/>
          </w:tcPr>
          <w:p w14:paraId="379F1CFD" w14:textId="77777777" w:rsidR="00F94B48" w:rsidRPr="00F32542" w:rsidRDefault="00F94B48" w:rsidP="00F94B48">
            <w:pPr>
              <w:spacing w:after="0" w:line="240" w:lineRule="auto"/>
              <w:jc w:val="center"/>
              <w:rPr>
                <w:rFonts w:ascii="Arial" w:eastAsia="Calibri" w:hAnsi="Arial" w:cs="Arial"/>
                <w:b/>
                <w:bCs/>
                <w:lang w:val="es-ES" w:eastAsia="es-MX"/>
              </w:rPr>
            </w:pPr>
            <w:r w:rsidRPr="00F32542">
              <w:rPr>
                <w:rFonts w:ascii="Arial" w:eastAsia="Calibri" w:hAnsi="Arial" w:cs="Arial"/>
                <w:b/>
                <w:bCs/>
                <w:lang w:val="es-ES" w:eastAsia="es-MX"/>
              </w:rPr>
              <w:t>(A+B)</w:t>
            </w:r>
          </w:p>
          <w:p w14:paraId="6E27E15C" w14:textId="77777777" w:rsidR="00F94B48" w:rsidRPr="00F32542" w:rsidRDefault="00F94B48" w:rsidP="00F94B48">
            <w:pPr>
              <w:spacing w:after="0" w:line="240" w:lineRule="auto"/>
              <w:jc w:val="center"/>
              <w:rPr>
                <w:rFonts w:ascii="Arial" w:eastAsia="Calibri" w:hAnsi="Arial" w:cs="Arial"/>
                <w:b/>
                <w:bCs/>
                <w:lang w:val="es-ES" w:eastAsia="es-MX"/>
              </w:rPr>
            </w:pPr>
          </w:p>
          <w:p w14:paraId="0AFD8342" w14:textId="77777777" w:rsidR="00F94B48" w:rsidRPr="00F32542" w:rsidRDefault="00F94B48" w:rsidP="00F94B48">
            <w:pPr>
              <w:spacing w:after="0" w:line="240" w:lineRule="auto"/>
              <w:jc w:val="center"/>
              <w:rPr>
                <w:rFonts w:ascii="Arial" w:eastAsia="Calibri" w:hAnsi="Arial" w:cs="Arial"/>
                <w:b/>
                <w:bCs/>
                <w:lang w:val="es-ES" w:eastAsia="es-MX"/>
              </w:rPr>
            </w:pPr>
            <w:r w:rsidRPr="00F32542">
              <w:rPr>
                <w:rFonts w:ascii="Arial" w:eastAsia="Calibri" w:hAnsi="Arial" w:cs="Arial"/>
                <w:b/>
                <w:bCs/>
                <w:lang w:val="es-ES" w:eastAsia="es-MX"/>
              </w:rPr>
              <w:t>Total</w:t>
            </w:r>
          </w:p>
        </w:tc>
      </w:tr>
      <w:tr w:rsidR="00F94B48" w:rsidRPr="00F32542" w14:paraId="1B3DECBC" w14:textId="77777777" w:rsidTr="00B65D24">
        <w:trPr>
          <w:trHeight w:val="284"/>
          <w:jc w:val="center"/>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C8329" w14:textId="77777777" w:rsidR="00F94B48" w:rsidRPr="00F32542" w:rsidRDefault="00F94B48" w:rsidP="00F94B48">
            <w:pPr>
              <w:spacing w:after="0" w:line="240" w:lineRule="auto"/>
              <w:jc w:val="center"/>
              <w:rPr>
                <w:rFonts w:ascii="Arial" w:eastAsia="Calibri" w:hAnsi="Arial" w:cs="Arial"/>
                <w:sz w:val="26"/>
                <w:szCs w:val="26"/>
              </w:rPr>
            </w:pPr>
            <w:r w:rsidRPr="00F32542">
              <w:rPr>
                <w:rFonts w:ascii="Arial" w:eastAsia="Calibri" w:hAnsi="Arial" w:cs="Arial"/>
                <w:sz w:val="26"/>
                <w:szCs w:val="26"/>
              </w:rPr>
              <w:t>PAN</w:t>
            </w:r>
          </w:p>
        </w:tc>
        <w:tc>
          <w:tcPr>
            <w:tcW w:w="2052" w:type="dxa"/>
            <w:tcBorders>
              <w:top w:val="single" w:sz="4" w:space="0" w:color="auto"/>
              <w:left w:val="nil"/>
              <w:bottom w:val="single" w:sz="4" w:space="0" w:color="auto"/>
              <w:right w:val="single" w:sz="4" w:space="0" w:color="auto"/>
            </w:tcBorders>
            <w:vAlign w:val="center"/>
          </w:tcPr>
          <w:p w14:paraId="5C509761"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9</w:t>
            </w:r>
          </w:p>
        </w:tc>
        <w:tc>
          <w:tcPr>
            <w:tcW w:w="1842" w:type="dxa"/>
            <w:tcBorders>
              <w:top w:val="single" w:sz="4" w:space="0" w:color="auto"/>
              <w:left w:val="nil"/>
              <w:bottom w:val="single" w:sz="4" w:space="0" w:color="auto"/>
              <w:right w:val="single" w:sz="4" w:space="0" w:color="auto"/>
            </w:tcBorders>
            <w:vAlign w:val="center"/>
          </w:tcPr>
          <w:p w14:paraId="1ACC5C20" w14:textId="77777777" w:rsidR="00F94B48" w:rsidRPr="00F32542" w:rsidRDefault="00F94B48" w:rsidP="00F94B48">
            <w:pPr>
              <w:spacing w:after="0" w:line="240" w:lineRule="auto"/>
              <w:jc w:val="center"/>
              <w:rPr>
                <w:rFonts w:ascii="Arial" w:eastAsia="Calibri" w:hAnsi="Arial" w:cs="Arial"/>
                <w:color w:val="000000"/>
                <w:lang w:val="es-ES"/>
              </w:rPr>
            </w:pPr>
          </w:p>
        </w:tc>
        <w:tc>
          <w:tcPr>
            <w:tcW w:w="1701" w:type="dxa"/>
            <w:tcBorders>
              <w:top w:val="single" w:sz="4" w:space="0" w:color="auto"/>
              <w:left w:val="nil"/>
              <w:bottom w:val="single" w:sz="4" w:space="0" w:color="auto"/>
              <w:right w:val="single" w:sz="4" w:space="0" w:color="auto"/>
            </w:tcBorders>
            <w:vAlign w:val="center"/>
          </w:tcPr>
          <w:p w14:paraId="2CF70314"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9</w:t>
            </w:r>
          </w:p>
        </w:tc>
      </w:tr>
      <w:tr w:rsidR="00F94B48" w:rsidRPr="00F32542" w14:paraId="65674F35" w14:textId="77777777" w:rsidTr="00B65D24">
        <w:trPr>
          <w:trHeight w:val="284"/>
          <w:jc w:val="center"/>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FB34D" w14:textId="77777777" w:rsidR="00F94B48" w:rsidRPr="00F32542" w:rsidRDefault="00F94B48" w:rsidP="00F94B48">
            <w:pPr>
              <w:spacing w:after="0" w:line="240" w:lineRule="auto"/>
              <w:jc w:val="center"/>
              <w:rPr>
                <w:rFonts w:ascii="Arial" w:eastAsia="Calibri" w:hAnsi="Arial" w:cs="Arial"/>
                <w:sz w:val="26"/>
                <w:szCs w:val="26"/>
              </w:rPr>
            </w:pPr>
            <w:r w:rsidRPr="00F32542">
              <w:rPr>
                <w:rFonts w:ascii="Arial" w:eastAsia="Calibri" w:hAnsi="Arial" w:cs="Arial"/>
                <w:sz w:val="26"/>
                <w:szCs w:val="26"/>
              </w:rPr>
              <w:t>PRI</w:t>
            </w:r>
          </w:p>
        </w:tc>
        <w:tc>
          <w:tcPr>
            <w:tcW w:w="2052" w:type="dxa"/>
            <w:tcBorders>
              <w:top w:val="single" w:sz="4" w:space="0" w:color="auto"/>
              <w:left w:val="nil"/>
              <w:bottom w:val="single" w:sz="4" w:space="0" w:color="auto"/>
              <w:right w:val="single" w:sz="4" w:space="0" w:color="auto"/>
            </w:tcBorders>
            <w:vAlign w:val="center"/>
          </w:tcPr>
          <w:p w14:paraId="3C7E63FE"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5</w:t>
            </w:r>
          </w:p>
        </w:tc>
        <w:tc>
          <w:tcPr>
            <w:tcW w:w="1842" w:type="dxa"/>
            <w:tcBorders>
              <w:top w:val="single" w:sz="4" w:space="0" w:color="auto"/>
              <w:left w:val="nil"/>
              <w:bottom w:val="single" w:sz="4" w:space="0" w:color="auto"/>
              <w:right w:val="single" w:sz="4" w:space="0" w:color="auto"/>
            </w:tcBorders>
            <w:vAlign w:val="center"/>
          </w:tcPr>
          <w:p w14:paraId="57CEEB00" w14:textId="77777777" w:rsidR="00F94B48" w:rsidRPr="00F32542" w:rsidRDefault="00F94B48" w:rsidP="00F94B48">
            <w:pPr>
              <w:spacing w:after="0" w:line="240" w:lineRule="auto"/>
              <w:jc w:val="center"/>
              <w:rPr>
                <w:rFonts w:ascii="Arial" w:eastAsia="Calibri" w:hAnsi="Arial" w:cs="Arial"/>
                <w:color w:val="000000"/>
                <w:lang w:val="es-ES"/>
              </w:rPr>
            </w:pPr>
          </w:p>
        </w:tc>
        <w:tc>
          <w:tcPr>
            <w:tcW w:w="1701" w:type="dxa"/>
            <w:tcBorders>
              <w:top w:val="single" w:sz="4" w:space="0" w:color="auto"/>
              <w:left w:val="nil"/>
              <w:bottom w:val="single" w:sz="4" w:space="0" w:color="auto"/>
              <w:right w:val="single" w:sz="4" w:space="0" w:color="auto"/>
            </w:tcBorders>
            <w:vAlign w:val="center"/>
          </w:tcPr>
          <w:p w14:paraId="381A5623"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5</w:t>
            </w:r>
          </w:p>
        </w:tc>
      </w:tr>
      <w:tr w:rsidR="00F94B48" w:rsidRPr="00F32542" w14:paraId="4CF5C1A2" w14:textId="77777777" w:rsidTr="00B65D24">
        <w:trPr>
          <w:trHeight w:val="284"/>
          <w:jc w:val="center"/>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6A3EE" w14:textId="77777777" w:rsidR="00F94B48" w:rsidRPr="00F32542" w:rsidRDefault="00F94B48" w:rsidP="00F94B48">
            <w:pPr>
              <w:spacing w:after="0" w:line="240" w:lineRule="auto"/>
              <w:jc w:val="center"/>
              <w:rPr>
                <w:rFonts w:ascii="Arial" w:eastAsia="Calibri" w:hAnsi="Arial" w:cs="Arial"/>
                <w:sz w:val="26"/>
                <w:szCs w:val="26"/>
              </w:rPr>
            </w:pPr>
            <w:r w:rsidRPr="00F32542">
              <w:rPr>
                <w:rFonts w:ascii="Arial" w:eastAsia="Calibri" w:hAnsi="Arial" w:cs="Arial"/>
                <w:sz w:val="26"/>
                <w:szCs w:val="26"/>
              </w:rPr>
              <w:t>PRD</w:t>
            </w:r>
          </w:p>
        </w:tc>
        <w:tc>
          <w:tcPr>
            <w:tcW w:w="2052" w:type="dxa"/>
            <w:tcBorders>
              <w:top w:val="single" w:sz="4" w:space="0" w:color="auto"/>
              <w:left w:val="nil"/>
              <w:bottom w:val="single" w:sz="4" w:space="0" w:color="auto"/>
              <w:right w:val="single" w:sz="4" w:space="0" w:color="auto"/>
            </w:tcBorders>
            <w:vAlign w:val="center"/>
          </w:tcPr>
          <w:p w14:paraId="61DBCF14"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c>
          <w:tcPr>
            <w:tcW w:w="1842" w:type="dxa"/>
            <w:tcBorders>
              <w:top w:val="single" w:sz="4" w:space="0" w:color="auto"/>
              <w:left w:val="nil"/>
              <w:bottom w:val="single" w:sz="4" w:space="0" w:color="auto"/>
              <w:right w:val="single" w:sz="4" w:space="0" w:color="auto"/>
            </w:tcBorders>
            <w:vAlign w:val="center"/>
          </w:tcPr>
          <w:p w14:paraId="48A42881"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c>
          <w:tcPr>
            <w:tcW w:w="1701" w:type="dxa"/>
            <w:tcBorders>
              <w:top w:val="single" w:sz="4" w:space="0" w:color="auto"/>
              <w:left w:val="nil"/>
              <w:bottom w:val="single" w:sz="4" w:space="0" w:color="auto"/>
              <w:right w:val="single" w:sz="4" w:space="0" w:color="auto"/>
            </w:tcBorders>
            <w:vAlign w:val="center"/>
          </w:tcPr>
          <w:p w14:paraId="5CB2A877"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2</w:t>
            </w:r>
          </w:p>
        </w:tc>
      </w:tr>
      <w:tr w:rsidR="00F94B48" w:rsidRPr="00F32542" w14:paraId="6FD68279" w14:textId="77777777" w:rsidTr="00B65D24">
        <w:trPr>
          <w:trHeight w:val="284"/>
          <w:jc w:val="center"/>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24CFB" w14:textId="77777777" w:rsidR="00F94B48" w:rsidRPr="00F32542" w:rsidRDefault="00F94B48" w:rsidP="00F94B48">
            <w:pPr>
              <w:spacing w:after="0" w:line="240" w:lineRule="auto"/>
              <w:jc w:val="center"/>
              <w:rPr>
                <w:rFonts w:ascii="Arial" w:eastAsia="Calibri" w:hAnsi="Arial" w:cs="Arial"/>
                <w:sz w:val="26"/>
                <w:szCs w:val="26"/>
              </w:rPr>
            </w:pPr>
            <w:r w:rsidRPr="00F32542">
              <w:rPr>
                <w:rFonts w:ascii="Arial" w:eastAsia="Calibri" w:hAnsi="Arial" w:cs="Arial"/>
                <w:sz w:val="26"/>
                <w:szCs w:val="26"/>
              </w:rPr>
              <w:t>PVEM</w:t>
            </w:r>
          </w:p>
        </w:tc>
        <w:tc>
          <w:tcPr>
            <w:tcW w:w="2052" w:type="dxa"/>
            <w:tcBorders>
              <w:top w:val="single" w:sz="4" w:space="0" w:color="auto"/>
              <w:left w:val="nil"/>
              <w:bottom w:val="single" w:sz="4" w:space="0" w:color="auto"/>
              <w:right w:val="single" w:sz="4" w:space="0" w:color="auto"/>
            </w:tcBorders>
            <w:vAlign w:val="center"/>
          </w:tcPr>
          <w:p w14:paraId="581FE697"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c>
          <w:tcPr>
            <w:tcW w:w="1842" w:type="dxa"/>
            <w:tcBorders>
              <w:top w:val="single" w:sz="4" w:space="0" w:color="auto"/>
              <w:left w:val="nil"/>
              <w:bottom w:val="single" w:sz="4" w:space="0" w:color="auto"/>
              <w:right w:val="single" w:sz="4" w:space="0" w:color="auto"/>
            </w:tcBorders>
            <w:vAlign w:val="center"/>
          </w:tcPr>
          <w:p w14:paraId="5ADE0B8A" w14:textId="77777777" w:rsidR="00F94B48" w:rsidRPr="00F32542" w:rsidRDefault="00F94B48" w:rsidP="00F94B48">
            <w:pPr>
              <w:spacing w:after="0" w:line="240" w:lineRule="auto"/>
              <w:jc w:val="center"/>
              <w:rPr>
                <w:rFonts w:ascii="Arial" w:eastAsia="Calibri" w:hAnsi="Arial" w:cs="Arial"/>
                <w:color w:val="000000"/>
                <w:lang w:val="es-ES"/>
              </w:rPr>
            </w:pPr>
          </w:p>
        </w:tc>
        <w:tc>
          <w:tcPr>
            <w:tcW w:w="1701" w:type="dxa"/>
            <w:tcBorders>
              <w:top w:val="single" w:sz="4" w:space="0" w:color="auto"/>
              <w:left w:val="nil"/>
              <w:bottom w:val="single" w:sz="4" w:space="0" w:color="auto"/>
              <w:right w:val="single" w:sz="4" w:space="0" w:color="auto"/>
            </w:tcBorders>
            <w:vAlign w:val="center"/>
          </w:tcPr>
          <w:p w14:paraId="136DA16D"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r>
      <w:tr w:rsidR="00F94B48" w:rsidRPr="00F32542" w14:paraId="58C21D7D" w14:textId="77777777" w:rsidTr="00B65D24">
        <w:trPr>
          <w:trHeight w:val="284"/>
          <w:jc w:val="center"/>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85EC9" w14:textId="77777777" w:rsidR="00F94B48" w:rsidRPr="00F32542" w:rsidRDefault="00F94B48" w:rsidP="00F94B48">
            <w:pPr>
              <w:spacing w:after="0" w:line="240" w:lineRule="auto"/>
              <w:jc w:val="center"/>
              <w:rPr>
                <w:rFonts w:ascii="Arial" w:eastAsia="Calibri" w:hAnsi="Arial" w:cs="Arial"/>
                <w:sz w:val="26"/>
                <w:szCs w:val="26"/>
              </w:rPr>
            </w:pPr>
            <w:r w:rsidRPr="00F32542">
              <w:rPr>
                <w:rFonts w:ascii="Arial" w:eastAsia="Calibri" w:hAnsi="Arial" w:cs="Arial"/>
                <w:sz w:val="26"/>
                <w:szCs w:val="26"/>
              </w:rPr>
              <w:t>MC</w:t>
            </w:r>
          </w:p>
        </w:tc>
        <w:tc>
          <w:tcPr>
            <w:tcW w:w="2052" w:type="dxa"/>
            <w:tcBorders>
              <w:top w:val="single" w:sz="4" w:space="0" w:color="auto"/>
              <w:left w:val="nil"/>
              <w:bottom w:val="single" w:sz="4" w:space="0" w:color="auto"/>
              <w:right w:val="single" w:sz="4" w:space="0" w:color="auto"/>
            </w:tcBorders>
            <w:vAlign w:val="center"/>
          </w:tcPr>
          <w:p w14:paraId="4038FE31"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c>
          <w:tcPr>
            <w:tcW w:w="1842" w:type="dxa"/>
            <w:tcBorders>
              <w:top w:val="single" w:sz="4" w:space="0" w:color="auto"/>
              <w:left w:val="nil"/>
              <w:bottom w:val="single" w:sz="4" w:space="0" w:color="auto"/>
              <w:right w:val="single" w:sz="4" w:space="0" w:color="auto"/>
            </w:tcBorders>
            <w:vAlign w:val="center"/>
          </w:tcPr>
          <w:p w14:paraId="657C67FA" w14:textId="77777777" w:rsidR="00F94B48" w:rsidRPr="00F32542" w:rsidRDefault="00F94B48" w:rsidP="00F94B48">
            <w:pPr>
              <w:spacing w:after="0" w:line="240" w:lineRule="auto"/>
              <w:jc w:val="center"/>
              <w:rPr>
                <w:rFonts w:ascii="Arial" w:eastAsia="Calibri" w:hAnsi="Arial" w:cs="Arial"/>
                <w:color w:val="000000"/>
                <w:lang w:val="es-ES"/>
              </w:rPr>
            </w:pPr>
          </w:p>
        </w:tc>
        <w:tc>
          <w:tcPr>
            <w:tcW w:w="1701" w:type="dxa"/>
            <w:tcBorders>
              <w:top w:val="single" w:sz="4" w:space="0" w:color="auto"/>
              <w:left w:val="nil"/>
              <w:bottom w:val="single" w:sz="4" w:space="0" w:color="auto"/>
              <w:right w:val="single" w:sz="4" w:space="0" w:color="auto"/>
            </w:tcBorders>
            <w:vAlign w:val="center"/>
          </w:tcPr>
          <w:p w14:paraId="70ADDB47"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r>
      <w:tr w:rsidR="00F94B48" w:rsidRPr="00F32542" w14:paraId="64456CEE" w14:textId="77777777" w:rsidTr="00B65D24">
        <w:trPr>
          <w:trHeight w:val="284"/>
          <w:jc w:val="center"/>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2376D" w14:textId="77777777" w:rsidR="00F94B48" w:rsidRPr="00F32542" w:rsidRDefault="00F94B48" w:rsidP="00F94B48">
            <w:pPr>
              <w:spacing w:after="0" w:line="240" w:lineRule="auto"/>
              <w:jc w:val="center"/>
              <w:rPr>
                <w:rFonts w:ascii="Arial" w:eastAsia="Calibri" w:hAnsi="Arial" w:cs="Arial"/>
                <w:sz w:val="26"/>
                <w:szCs w:val="26"/>
              </w:rPr>
            </w:pPr>
            <w:r w:rsidRPr="00F32542">
              <w:rPr>
                <w:rFonts w:ascii="Arial" w:eastAsia="Calibri" w:hAnsi="Arial" w:cs="Arial"/>
                <w:sz w:val="26"/>
                <w:szCs w:val="26"/>
              </w:rPr>
              <w:t>MORENA</w:t>
            </w:r>
          </w:p>
        </w:tc>
        <w:tc>
          <w:tcPr>
            <w:tcW w:w="2052" w:type="dxa"/>
            <w:tcBorders>
              <w:top w:val="single" w:sz="4" w:space="0" w:color="auto"/>
              <w:left w:val="nil"/>
              <w:bottom w:val="single" w:sz="4" w:space="0" w:color="auto"/>
              <w:right w:val="single" w:sz="4" w:space="0" w:color="auto"/>
            </w:tcBorders>
            <w:vAlign w:val="center"/>
          </w:tcPr>
          <w:p w14:paraId="4C452378"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13</w:t>
            </w:r>
          </w:p>
        </w:tc>
        <w:tc>
          <w:tcPr>
            <w:tcW w:w="1842" w:type="dxa"/>
            <w:tcBorders>
              <w:top w:val="single" w:sz="4" w:space="0" w:color="auto"/>
              <w:left w:val="nil"/>
              <w:bottom w:val="single" w:sz="4" w:space="0" w:color="auto"/>
              <w:right w:val="single" w:sz="4" w:space="0" w:color="auto"/>
            </w:tcBorders>
            <w:vAlign w:val="center"/>
          </w:tcPr>
          <w:p w14:paraId="136E8864"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c>
          <w:tcPr>
            <w:tcW w:w="1701" w:type="dxa"/>
            <w:tcBorders>
              <w:top w:val="single" w:sz="4" w:space="0" w:color="auto"/>
              <w:left w:val="nil"/>
              <w:bottom w:val="single" w:sz="4" w:space="0" w:color="auto"/>
              <w:right w:val="single" w:sz="4" w:space="0" w:color="auto"/>
            </w:tcBorders>
            <w:vAlign w:val="center"/>
          </w:tcPr>
          <w:p w14:paraId="127316FC" w14:textId="77777777" w:rsidR="00F94B48" w:rsidRPr="00F32542" w:rsidRDefault="00F94B48" w:rsidP="00F94B48">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14</w:t>
            </w:r>
          </w:p>
        </w:tc>
      </w:tr>
      <w:tr w:rsidR="00F94B48" w:rsidRPr="00F32542" w14:paraId="388979AA" w14:textId="77777777" w:rsidTr="00F94B48">
        <w:trPr>
          <w:trHeight w:val="410"/>
          <w:jc w:val="center"/>
        </w:trPr>
        <w:tc>
          <w:tcPr>
            <w:tcW w:w="1771" w:type="dxa"/>
            <w:tcBorders>
              <w:top w:val="single" w:sz="4" w:space="0" w:color="auto"/>
              <w:left w:val="single" w:sz="4" w:space="0" w:color="auto"/>
              <w:bottom w:val="single" w:sz="4" w:space="0" w:color="auto"/>
              <w:right w:val="single" w:sz="4" w:space="0" w:color="auto"/>
            </w:tcBorders>
            <w:shd w:val="clear" w:color="auto" w:fill="AEAAAA"/>
            <w:noWrap/>
            <w:vAlign w:val="center"/>
            <w:hideMark/>
          </w:tcPr>
          <w:p w14:paraId="5670C6D1" w14:textId="77777777" w:rsidR="00F94B48" w:rsidRPr="00F32542" w:rsidRDefault="00F94B48" w:rsidP="00F94B48">
            <w:pPr>
              <w:spacing w:after="0" w:line="240" w:lineRule="auto"/>
              <w:jc w:val="center"/>
              <w:rPr>
                <w:rFonts w:ascii="Arial" w:eastAsia="Calibri" w:hAnsi="Arial" w:cs="Arial"/>
                <w:b/>
                <w:bCs/>
                <w:lang w:val="es-ES" w:eastAsia="es-MX"/>
              </w:rPr>
            </w:pPr>
            <w:r w:rsidRPr="00F32542">
              <w:rPr>
                <w:rFonts w:ascii="Arial" w:eastAsia="Calibri" w:hAnsi="Arial" w:cs="Arial"/>
                <w:b/>
                <w:bCs/>
                <w:lang w:val="es-ES" w:eastAsia="es-MX"/>
              </w:rPr>
              <w:t>Total</w:t>
            </w:r>
          </w:p>
        </w:tc>
        <w:tc>
          <w:tcPr>
            <w:tcW w:w="2052" w:type="dxa"/>
            <w:tcBorders>
              <w:top w:val="single" w:sz="4" w:space="0" w:color="auto"/>
              <w:left w:val="nil"/>
              <w:bottom w:val="single" w:sz="4" w:space="0" w:color="auto"/>
              <w:right w:val="single" w:sz="4" w:space="0" w:color="auto"/>
            </w:tcBorders>
            <w:shd w:val="clear" w:color="auto" w:fill="AEAAAA"/>
            <w:vAlign w:val="center"/>
          </w:tcPr>
          <w:p w14:paraId="3F883065"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fldChar w:fldCharType="begin"/>
            </w:r>
            <w:r w:rsidRPr="00F32542">
              <w:rPr>
                <w:rFonts w:ascii="Arial" w:eastAsia="Calibri" w:hAnsi="Arial" w:cs="Arial"/>
                <w:b/>
                <w:lang w:val="es-ES"/>
              </w:rPr>
              <w:instrText xml:space="preserve"> =SUM(ABOVE) </w:instrText>
            </w:r>
            <w:r w:rsidRPr="00F32542">
              <w:rPr>
                <w:rFonts w:ascii="Arial" w:eastAsia="Calibri" w:hAnsi="Arial" w:cs="Arial"/>
                <w:b/>
                <w:lang w:val="es-ES"/>
              </w:rPr>
              <w:fldChar w:fldCharType="separate"/>
            </w:r>
            <w:r w:rsidRPr="00F32542">
              <w:rPr>
                <w:rFonts w:ascii="Arial" w:eastAsia="Calibri" w:hAnsi="Arial" w:cs="Arial"/>
                <w:b/>
                <w:noProof/>
                <w:lang w:val="es-ES"/>
              </w:rPr>
              <w:t>30</w:t>
            </w:r>
            <w:r w:rsidRPr="00F32542">
              <w:rPr>
                <w:rFonts w:ascii="Arial" w:eastAsia="Calibri" w:hAnsi="Arial" w:cs="Arial"/>
                <w:b/>
                <w:lang w:val="es-ES"/>
              </w:rPr>
              <w:fldChar w:fldCharType="end"/>
            </w:r>
          </w:p>
        </w:tc>
        <w:tc>
          <w:tcPr>
            <w:tcW w:w="1842" w:type="dxa"/>
            <w:tcBorders>
              <w:top w:val="single" w:sz="4" w:space="0" w:color="auto"/>
              <w:left w:val="nil"/>
              <w:bottom w:val="single" w:sz="4" w:space="0" w:color="auto"/>
              <w:right w:val="single" w:sz="4" w:space="0" w:color="auto"/>
            </w:tcBorders>
            <w:shd w:val="clear" w:color="auto" w:fill="AEAAAA"/>
            <w:vAlign w:val="center"/>
          </w:tcPr>
          <w:p w14:paraId="66B55ED1"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2</w:t>
            </w:r>
          </w:p>
        </w:tc>
        <w:tc>
          <w:tcPr>
            <w:tcW w:w="1701" w:type="dxa"/>
            <w:tcBorders>
              <w:top w:val="single" w:sz="4" w:space="0" w:color="auto"/>
              <w:left w:val="nil"/>
              <w:bottom w:val="single" w:sz="4" w:space="0" w:color="auto"/>
              <w:right w:val="single" w:sz="4" w:space="0" w:color="auto"/>
            </w:tcBorders>
            <w:shd w:val="clear" w:color="auto" w:fill="AEAAAA"/>
            <w:vAlign w:val="center"/>
          </w:tcPr>
          <w:p w14:paraId="570366BE"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fldChar w:fldCharType="begin"/>
            </w:r>
            <w:r w:rsidRPr="00F32542">
              <w:rPr>
                <w:rFonts w:ascii="Arial" w:eastAsia="Calibri" w:hAnsi="Arial" w:cs="Arial"/>
                <w:b/>
                <w:lang w:val="es-ES"/>
              </w:rPr>
              <w:instrText xml:space="preserve"> =SUM(ABOVE) </w:instrText>
            </w:r>
            <w:r w:rsidRPr="00F32542">
              <w:rPr>
                <w:rFonts w:ascii="Arial" w:eastAsia="Calibri" w:hAnsi="Arial" w:cs="Arial"/>
                <w:b/>
                <w:lang w:val="es-ES"/>
              </w:rPr>
              <w:fldChar w:fldCharType="separate"/>
            </w:r>
            <w:r w:rsidRPr="00F32542">
              <w:rPr>
                <w:rFonts w:ascii="Arial" w:eastAsia="Calibri" w:hAnsi="Arial" w:cs="Arial"/>
                <w:b/>
                <w:noProof/>
                <w:lang w:val="es-ES"/>
              </w:rPr>
              <w:t>32</w:t>
            </w:r>
            <w:r w:rsidRPr="00F32542">
              <w:rPr>
                <w:rFonts w:ascii="Arial" w:eastAsia="Calibri" w:hAnsi="Arial" w:cs="Arial"/>
                <w:b/>
                <w:lang w:val="es-ES"/>
              </w:rPr>
              <w:fldChar w:fldCharType="end"/>
            </w:r>
          </w:p>
        </w:tc>
      </w:tr>
    </w:tbl>
    <w:p w14:paraId="0D0D4527" w14:textId="77777777" w:rsidR="00F94B48" w:rsidRPr="00F32542" w:rsidRDefault="00F94B48" w:rsidP="00F94B48">
      <w:pPr>
        <w:spacing w:after="0" w:line="360" w:lineRule="auto"/>
        <w:contextualSpacing/>
        <w:jc w:val="both"/>
        <w:rPr>
          <w:rFonts w:ascii="Arial" w:eastAsia="Calibri" w:hAnsi="Arial" w:cs="Arial"/>
          <w:spacing w:val="4"/>
          <w:sz w:val="28"/>
        </w:rPr>
      </w:pPr>
    </w:p>
    <w:p w14:paraId="5122AD34" w14:textId="77777777" w:rsidR="00F94B48" w:rsidRPr="00F32542" w:rsidRDefault="00137439" w:rsidP="00137439">
      <w:pPr>
        <w:spacing w:after="0" w:line="360" w:lineRule="auto"/>
        <w:contextualSpacing/>
        <w:jc w:val="both"/>
        <w:rPr>
          <w:rFonts w:ascii="Arial" w:eastAsia="Calibri" w:hAnsi="Arial" w:cs="Arial"/>
          <w:b/>
          <w:sz w:val="28"/>
        </w:rPr>
      </w:pPr>
      <w:r w:rsidRPr="00F32542">
        <w:rPr>
          <w:rFonts w:ascii="Arial" w:eastAsia="Calibri" w:hAnsi="Arial" w:cs="Arial"/>
          <w:b/>
          <w:sz w:val="28"/>
        </w:rPr>
        <w:t>X</w:t>
      </w:r>
      <w:r w:rsidR="00E84D46" w:rsidRPr="00F32542">
        <w:rPr>
          <w:rFonts w:ascii="Arial" w:eastAsia="Calibri" w:hAnsi="Arial" w:cs="Arial"/>
          <w:b/>
          <w:sz w:val="28"/>
        </w:rPr>
        <w:t>VI</w:t>
      </w:r>
      <w:r w:rsidRPr="00F32542">
        <w:rPr>
          <w:rFonts w:ascii="Arial" w:eastAsia="Calibri" w:hAnsi="Arial" w:cs="Arial"/>
          <w:b/>
          <w:sz w:val="28"/>
        </w:rPr>
        <w:t xml:space="preserve">. </w:t>
      </w:r>
      <w:r w:rsidR="00F94B48" w:rsidRPr="00F32542">
        <w:rPr>
          <w:rFonts w:ascii="Arial" w:eastAsia="Calibri" w:hAnsi="Arial" w:cs="Arial"/>
          <w:b/>
          <w:sz w:val="28"/>
        </w:rPr>
        <w:t xml:space="preserve">Verificación del principio de paridad de género en la integración total del </w:t>
      </w:r>
      <w:r w:rsidR="00F94B48" w:rsidRPr="00F32542">
        <w:rPr>
          <w:rFonts w:ascii="Arial" w:eastAsia="Calibri" w:hAnsi="Arial" w:cs="Arial"/>
          <w:b/>
          <w:i/>
          <w:sz w:val="28"/>
        </w:rPr>
        <w:t>Congreso</w:t>
      </w:r>
    </w:p>
    <w:p w14:paraId="3A5B7B08" w14:textId="77777777" w:rsidR="00F94B48" w:rsidRPr="00F32542" w:rsidRDefault="00F94B48" w:rsidP="00F94B48">
      <w:pPr>
        <w:spacing w:after="0" w:line="360" w:lineRule="auto"/>
        <w:contextualSpacing/>
        <w:jc w:val="both"/>
        <w:rPr>
          <w:rFonts w:ascii="Arial" w:eastAsia="Calibri" w:hAnsi="Arial" w:cs="Arial"/>
          <w:sz w:val="28"/>
        </w:rPr>
      </w:pPr>
    </w:p>
    <w:p w14:paraId="628BC542" w14:textId="77777777" w:rsidR="00F94B48" w:rsidRPr="00F32542" w:rsidRDefault="00F94B48" w:rsidP="00F94B48">
      <w:pPr>
        <w:spacing w:after="0" w:line="360" w:lineRule="auto"/>
        <w:contextualSpacing/>
        <w:jc w:val="both"/>
        <w:rPr>
          <w:rFonts w:ascii="Arial" w:eastAsia="Calibri" w:hAnsi="Arial" w:cs="Arial"/>
          <w:sz w:val="28"/>
        </w:rPr>
      </w:pPr>
      <w:r w:rsidRPr="00F32542">
        <w:rPr>
          <w:rFonts w:ascii="Arial" w:eastAsia="Calibri" w:hAnsi="Arial" w:cs="Arial"/>
          <w:sz w:val="28"/>
        </w:rPr>
        <w:t xml:space="preserve">Una vez asignadas el total de las diputaciones por el principio de representación proporcional a cada uno de los partidos políticos, procede verificar si se cumple con el principio de paridad en la integración total del </w:t>
      </w:r>
      <w:r w:rsidRPr="00F32542">
        <w:rPr>
          <w:rFonts w:ascii="Arial" w:eastAsia="Calibri" w:hAnsi="Arial" w:cs="Arial"/>
          <w:i/>
          <w:sz w:val="28"/>
        </w:rPr>
        <w:t>Congreso</w:t>
      </w:r>
      <w:r w:rsidRPr="00F32542">
        <w:rPr>
          <w:rFonts w:ascii="Arial" w:eastAsia="Calibri" w:hAnsi="Arial" w:cs="Arial"/>
          <w:sz w:val="28"/>
        </w:rPr>
        <w:t xml:space="preserve">. </w:t>
      </w:r>
    </w:p>
    <w:p w14:paraId="271B6FA3" w14:textId="77777777" w:rsidR="00F94B48" w:rsidRPr="00F32542" w:rsidRDefault="00F94B48" w:rsidP="00F94B48">
      <w:pPr>
        <w:spacing w:after="0" w:line="360" w:lineRule="auto"/>
        <w:contextualSpacing/>
        <w:jc w:val="both"/>
        <w:rPr>
          <w:rFonts w:ascii="Arial" w:eastAsia="Calibri" w:hAnsi="Arial" w:cs="Arial"/>
          <w:sz w:val="28"/>
        </w:rPr>
      </w:pPr>
    </w:p>
    <w:p w14:paraId="629680F3" w14:textId="77777777" w:rsidR="00F94B48" w:rsidRPr="00F32542" w:rsidRDefault="00F94B48" w:rsidP="00F94B48">
      <w:pPr>
        <w:spacing w:after="0" w:line="360" w:lineRule="auto"/>
        <w:contextualSpacing/>
        <w:jc w:val="both"/>
        <w:rPr>
          <w:rFonts w:ascii="Arial" w:eastAsia="Calibri" w:hAnsi="Arial" w:cs="Arial"/>
          <w:sz w:val="28"/>
        </w:rPr>
      </w:pPr>
      <w:r w:rsidRPr="00F32542">
        <w:rPr>
          <w:rFonts w:ascii="Arial" w:eastAsia="Calibri" w:hAnsi="Arial" w:cs="Arial"/>
          <w:sz w:val="28"/>
        </w:rPr>
        <w:lastRenderedPageBreak/>
        <w:t xml:space="preserve">Para tal efecto, es preciso destacar que, si bien las recomposiciones a los cómputos de las elecciones de diputaciones de mayoría relativa de los distritos electorales </w:t>
      </w:r>
      <w:r w:rsidRPr="00F32542">
        <w:rPr>
          <w:rFonts w:ascii="Arial" w:eastAsia="Calibri" w:hAnsi="Arial" w:cs="Arial"/>
          <w:b/>
          <w:sz w:val="28"/>
        </w:rPr>
        <w:t>1, 3, 4, 5, 6, 7, 9, 11, 18, 21, 22, 25, 28 y 32</w:t>
      </w:r>
      <w:r w:rsidRPr="00F32542">
        <w:rPr>
          <w:rFonts w:ascii="Arial" w:eastAsia="Calibri" w:hAnsi="Arial" w:cs="Arial"/>
          <w:sz w:val="28"/>
        </w:rPr>
        <w:t xml:space="preserve"> que determinó este </w:t>
      </w:r>
      <w:r w:rsidRPr="00F32542">
        <w:rPr>
          <w:rFonts w:ascii="Arial" w:eastAsia="Calibri" w:hAnsi="Arial" w:cs="Arial"/>
          <w:i/>
          <w:sz w:val="28"/>
        </w:rPr>
        <w:t>Tribunal Electoral</w:t>
      </w:r>
      <w:r w:rsidRPr="00F32542">
        <w:rPr>
          <w:rFonts w:ascii="Arial" w:eastAsia="Calibri" w:hAnsi="Arial" w:cs="Arial"/>
          <w:sz w:val="28"/>
          <w:vertAlign w:val="superscript"/>
        </w:rPr>
        <w:footnoteReference w:id="58"/>
      </w:r>
      <w:r w:rsidRPr="00F32542">
        <w:rPr>
          <w:rFonts w:ascii="Arial" w:eastAsia="Calibri" w:hAnsi="Arial" w:cs="Arial"/>
          <w:sz w:val="28"/>
        </w:rPr>
        <w:t xml:space="preserve"> tienen impacto en los porcentajes de votación de las fórmulas contendientes para efectos de las listas B de los partidos políticos, lo cierto es que no implican modificaciones sustanciales, puesto que las posiciones se mantienen en los mismo términos</w:t>
      </w:r>
      <w:r w:rsidR="00F57B54" w:rsidRPr="00F32542">
        <w:rPr>
          <w:rFonts w:ascii="Arial" w:eastAsia="Calibri" w:hAnsi="Arial" w:cs="Arial"/>
          <w:sz w:val="28"/>
        </w:rPr>
        <w:t>, como se demostrará enseguida:</w:t>
      </w:r>
      <w:r w:rsidRPr="00F32542">
        <w:rPr>
          <w:rFonts w:ascii="Arial" w:eastAsia="Calibri" w:hAnsi="Arial" w:cs="Arial"/>
          <w:sz w:val="28"/>
        </w:rPr>
        <w:t xml:space="preserve"> </w:t>
      </w:r>
    </w:p>
    <w:p w14:paraId="42DDE815" w14:textId="77777777" w:rsidR="00F94B48" w:rsidRPr="00F32542" w:rsidRDefault="00F94B48" w:rsidP="00F94B48">
      <w:pPr>
        <w:spacing w:after="0" w:line="360" w:lineRule="auto"/>
        <w:contextualSpacing/>
        <w:jc w:val="both"/>
        <w:rPr>
          <w:rFonts w:ascii="Arial" w:eastAsia="Calibri" w:hAnsi="Arial" w:cs="Arial"/>
          <w:sz w:val="28"/>
        </w:rPr>
      </w:pPr>
    </w:p>
    <w:p w14:paraId="561D467E" w14:textId="77777777" w:rsidR="00026972" w:rsidRPr="00F32542" w:rsidRDefault="00026972" w:rsidP="00026972">
      <w:pPr>
        <w:spacing w:after="0" w:line="360" w:lineRule="auto"/>
        <w:contextualSpacing/>
        <w:jc w:val="both"/>
        <w:rPr>
          <w:rFonts w:ascii="Arial" w:eastAsia="Calibri" w:hAnsi="Arial" w:cs="Arial"/>
          <w:color w:val="000000" w:themeColor="text1"/>
          <w:sz w:val="28"/>
        </w:rPr>
      </w:pPr>
      <w:r w:rsidRPr="00F32542">
        <w:rPr>
          <w:rFonts w:ascii="Arial" w:eastAsia="Calibri" w:hAnsi="Arial" w:cs="Arial"/>
          <w:color w:val="000000" w:themeColor="text1"/>
          <w:sz w:val="28"/>
        </w:rPr>
        <w:t xml:space="preserve">Para ello, es preciso destacar que, a fin de obtener los porcentajes de votación distrital de cada una de las candidaturas, de conformidad con los artículos 24, fracción IV, y 26, fracción II, del Código Electoral, se realizó el cálculo siguiente: </w:t>
      </w:r>
    </w:p>
    <w:p w14:paraId="3C2639F3" w14:textId="77777777" w:rsidR="00026972" w:rsidRPr="00F32542" w:rsidRDefault="00026972" w:rsidP="00026972">
      <w:pPr>
        <w:spacing w:after="0" w:line="360" w:lineRule="auto"/>
        <w:contextualSpacing/>
        <w:jc w:val="both"/>
        <w:rPr>
          <w:rFonts w:ascii="Arial" w:eastAsia="Calibri" w:hAnsi="Arial" w:cs="Arial"/>
          <w:color w:val="000000" w:themeColor="text1"/>
          <w:sz w:val="28"/>
        </w:rPr>
      </w:pPr>
    </w:p>
    <w:p w14:paraId="2189E184" w14:textId="77777777" w:rsidR="00026972" w:rsidRPr="00F32542" w:rsidRDefault="00026972" w:rsidP="009B6ED0">
      <w:pPr>
        <w:numPr>
          <w:ilvl w:val="0"/>
          <w:numId w:val="36"/>
        </w:numPr>
        <w:spacing w:after="0" w:line="360" w:lineRule="auto"/>
        <w:contextualSpacing/>
        <w:jc w:val="both"/>
        <w:rPr>
          <w:rFonts w:ascii="Arial" w:eastAsia="Calibri" w:hAnsi="Arial" w:cs="Arial"/>
          <w:color w:val="000000" w:themeColor="text1"/>
          <w:sz w:val="28"/>
          <w:szCs w:val="24"/>
          <w:lang w:eastAsia="es-ES"/>
        </w:rPr>
      </w:pPr>
      <w:r w:rsidRPr="00F32542">
        <w:rPr>
          <w:rFonts w:ascii="Arial" w:eastAsia="Calibri" w:hAnsi="Arial" w:cs="Arial"/>
          <w:color w:val="000000" w:themeColor="text1"/>
          <w:sz w:val="28"/>
          <w:szCs w:val="24"/>
          <w:lang w:eastAsia="es-ES"/>
        </w:rPr>
        <w:t xml:space="preserve">Se obtuvo la votación total en cada distrito electoral, la cual es la correspondiente a todos los votos emitidos en ese ámbito territorial. </w:t>
      </w:r>
    </w:p>
    <w:p w14:paraId="419D4E4F" w14:textId="77777777" w:rsidR="00026972" w:rsidRPr="00F32542" w:rsidRDefault="00026972" w:rsidP="00026972">
      <w:pPr>
        <w:spacing w:after="0" w:line="360" w:lineRule="auto"/>
        <w:ind w:left="720"/>
        <w:contextualSpacing/>
        <w:jc w:val="both"/>
        <w:rPr>
          <w:rFonts w:ascii="Arial" w:eastAsia="Calibri" w:hAnsi="Arial" w:cs="Arial"/>
          <w:color w:val="000000" w:themeColor="text1"/>
          <w:sz w:val="28"/>
          <w:szCs w:val="24"/>
          <w:lang w:eastAsia="es-ES"/>
        </w:rPr>
      </w:pPr>
    </w:p>
    <w:p w14:paraId="4AD1FFDF" w14:textId="77777777" w:rsidR="00026972" w:rsidRPr="00F32542" w:rsidRDefault="00026972" w:rsidP="009B6ED0">
      <w:pPr>
        <w:numPr>
          <w:ilvl w:val="0"/>
          <w:numId w:val="36"/>
        </w:numPr>
        <w:spacing w:after="0" w:line="360" w:lineRule="auto"/>
        <w:contextualSpacing/>
        <w:jc w:val="both"/>
        <w:rPr>
          <w:rFonts w:ascii="Arial" w:eastAsia="Calibri" w:hAnsi="Arial" w:cs="Arial"/>
          <w:color w:val="000000" w:themeColor="text1"/>
          <w:sz w:val="28"/>
          <w:szCs w:val="24"/>
          <w:lang w:eastAsia="es-ES"/>
        </w:rPr>
      </w:pPr>
      <w:r w:rsidRPr="00F32542">
        <w:rPr>
          <w:rFonts w:ascii="Arial" w:eastAsia="Calibri" w:hAnsi="Arial" w:cs="Arial"/>
          <w:color w:val="000000" w:themeColor="text1"/>
          <w:sz w:val="28"/>
          <w:szCs w:val="24"/>
          <w:lang w:eastAsia="es-ES"/>
        </w:rPr>
        <w:t xml:space="preserve">A dicha votación se le restaron los votos correspondientes a candidaturas no registradas, los votos nulos, y la votación de los partidos políticos </w:t>
      </w:r>
      <w:r w:rsidRPr="00F32542">
        <w:rPr>
          <w:rFonts w:ascii="Arial" w:eastAsia="Calibri" w:hAnsi="Arial" w:cs="Arial"/>
          <w:i/>
          <w:color w:val="000000" w:themeColor="text1"/>
          <w:sz w:val="28"/>
          <w:szCs w:val="24"/>
          <w:lang w:eastAsia="es-ES"/>
        </w:rPr>
        <w:t xml:space="preserve">PT, ELIGE, PES, RSP </w:t>
      </w:r>
      <w:r w:rsidRPr="00F32542">
        <w:rPr>
          <w:rFonts w:ascii="Arial" w:eastAsia="Calibri" w:hAnsi="Arial" w:cs="Arial"/>
          <w:color w:val="000000" w:themeColor="text1"/>
          <w:sz w:val="28"/>
          <w:szCs w:val="24"/>
          <w:lang w:eastAsia="es-ES"/>
        </w:rPr>
        <w:t>y</w:t>
      </w:r>
      <w:r w:rsidRPr="00F32542">
        <w:rPr>
          <w:rFonts w:ascii="Arial" w:eastAsia="Calibri" w:hAnsi="Arial" w:cs="Arial"/>
          <w:i/>
          <w:color w:val="000000" w:themeColor="text1"/>
          <w:sz w:val="28"/>
          <w:szCs w:val="24"/>
          <w:lang w:eastAsia="es-ES"/>
        </w:rPr>
        <w:t xml:space="preserve"> </w:t>
      </w:r>
      <w:proofErr w:type="spellStart"/>
      <w:r w:rsidRPr="00F32542">
        <w:rPr>
          <w:rFonts w:ascii="Arial" w:eastAsia="Calibri" w:hAnsi="Arial" w:cs="Arial"/>
          <w:i/>
          <w:color w:val="000000" w:themeColor="text1"/>
          <w:sz w:val="28"/>
          <w:szCs w:val="24"/>
          <w:lang w:eastAsia="es-ES"/>
        </w:rPr>
        <w:t>FxM</w:t>
      </w:r>
      <w:proofErr w:type="spellEnd"/>
      <w:r w:rsidRPr="00F32542">
        <w:rPr>
          <w:rFonts w:ascii="Arial" w:eastAsia="Calibri" w:hAnsi="Arial" w:cs="Arial"/>
          <w:color w:val="000000" w:themeColor="text1"/>
          <w:sz w:val="28"/>
          <w:szCs w:val="24"/>
          <w:lang w:eastAsia="es-ES"/>
        </w:rPr>
        <w:t xml:space="preserve">, que no alcanzaron al menos el tres por ciento (3%) de votación válida en la circunscripción, es decir, en la Ciudad de México, puesto que, como lo asentó la autoridad en el acuerdo </w:t>
      </w:r>
      <w:r w:rsidRPr="00F32542">
        <w:rPr>
          <w:rFonts w:ascii="Arial" w:eastAsia="Calibri" w:hAnsi="Arial" w:cs="Arial"/>
          <w:color w:val="000000" w:themeColor="text1"/>
          <w:sz w:val="28"/>
          <w:szCs w:val="24"/>
          <w:lang w:eastAsia="es-ES"/>
        </w:rPr>
        <w:lastRenderedPageBreak/>
        <w:t xml:space="preserve">impugnado –y se confirmó en la presente sentencia, una vez modificado el cómputo total de la elección -, esos institutos políticos no tienen derecho a participar en la asignación y, por ende, su votación no debe ser considerada; de manera que así se obtuvo la votación local emitida a nivel distrital. </w:t>
      </w:r>
    </w:p>
    <w:p w14:paraId="7551D950" w14:textId="77777777" w:rsidR="00026972" w:rsidRPr="00F32542" w:rsidRDefault="00026972" w:rsidP="00026972">
      <w:pPr>
        <w:spacing w:after="160" w:line="360" w:lineRule="auto"/>
        <w:contextualSpacing/>
        <w:rPr>
          <w:rFonts w:ascii="Arial" w:eastAsia="Calibri" w:hAnsi="Arial" w:cs="Arial"/>
          <w:color w:val="000000" w:themeColor="text1"/>
          <w:lang w:val="es-ES"/>
        </w:rPr>
      </w:pPr>
    </w:p>
    <w:p w14:paraId="600AC0F4" w14:textId="77777777" w:rsidR="00026972" w:rsidRPr="00F32542" w:rsidRDefault="00026972" w:rsidP="009B6ED0">
      <w:pPr>
        <w:numPr>
          <w:ilvl w:val="0"/>
          <w:numId w:val="36"/>
        </w:numPr>
        <w:spacing w:after="0" w:line="360" w:lineRule="auto"/>
        <w:contextualSpacing/>
        <w:jc w:val="both"/>
        <w:rPr>
          <w:rFonts w:ascii="Arial" w:eastAsia="Calibri" w:hAnsi="Arial" w:cs="Arial"/>
          <w:color w:val="000000" w:themeColor="text1"/>
          <w:sz w:val="28"/>
          <w:szCs w:val="24"/>
          <w:lang w:eastAsia="es-ES"/>
        </w:rPr>
      </w:pPr>
      <w:r w:rsidRPr="00F32542">
        <w:rPr>
          <w:rFonts w:ascii="Arial" w:eastAsia="Calibri" w:hAnsi="Arial" w:cs="Arial"/>
          <w:color w:val="000000" w:themeColor="text1"/>
          <w:sz w:val="28"/>
          <w:szCs w:val="24"/>
          <w:lang w:eastAsia="es-ES"/>
        </w:rPr>
        <w:t>De esa votación local emitida a nivel distrital se obtuvo el porcentaje de votación que obtuvo cada candidatura en específico (</w:t>
      </w:r>
      <w:r w:rsidRPr="00F32542">
        <w:rPr>
          <w:rFonts w:ascii="Arial" w:eastAsia="Calibri" w:hAnsi="Arial" w:cs="Arial"/>
          <w:i/>
          <w:color w:val="000000" w:themeColor="text1"/>
          <w:sz w:val="28"/>
          <w:szCs w:val="24"/>
          <w:lang w:eastAsia="es-ES"/>
        </w:rPr>
        <w:t>Votación obtenida por la candidatura x 100 / votación local emitida a nivel distrital</w:t>
      </w:r>
      <w:r w:rsidRPr="00F32542">
        <w:rPr>
          <w:rFonts w:ascii="Arial" w:eastAsia="Calibri" w:hAnsi="Arial" w:cs="Arial"/>
          <w:color w:val="000000" w:themeColor="text1"/>
          <w:sz w:val="28"/>
          <w:szCs w:val="24"/>
          <w:lang w:eastAsia="es-ES"/>
        </w:rPr>
        <w:t>).</w:t>
      </w:r>
    </w:p>
    <w:p w14:paraId="17994A41" w14:textId="77777777" w:rsidR="00026972" w:rsidRPr="00F32542" w:rsidRDefault="00026972" w:rsidP="00026972">
      <w:pPr>
        <w:spacing w:after="0" w:line="240" w:lineRule="auto"/>
        <w:ind w:left="708"/>
        <w:jc w:val="both"/>
        <w:rPr>
          <w:rFonts w:ascii="Arial" w:eastAsia="Calibri" w:hAnsi="Arial" w:cs="Arial"/>
          <w:color w:val="000000" w:themeColor="text1"/>
          <w:sz w:val="28"/>
          <w:szCs w:val="24"/>
          <w:lang w:eastAsia="es-ES"/>
        </w:rPr>
      </w:pPr>
    </w:p>
    <w:p w14:paraId="6EC24B85" w14:textId="77777777" w:rsidR="00026972" w:rsidRPr="00F32542" w:rsidRDefault="00026972" w:rsidP="009B6ED0">
      <w:pPr>
        <w:numPr>
          <w:ilvl w:val="0"/>
          <w:numId w:val="36"/>
        </w:numPr>
        <w:spacing w:after="0" w:line="360" w:lineRule="auto"/>
        <w:contextualSpacing/>
        <w:jc w:val="both"/>
        <w:rPr>
          <w:rFonts w:ascii="Arial" w:eastAsia="Calibri" w:hAnsi="Arial" w:cs="Arial"/>
          <w:color w:val="000000" w:themeColor="text1"/>
          <w:sz w:val="28"/>
          <w:szCs w:val="24"/>
          <w:lang w:eastAsia="es-ES"/>
        </w:rPr>
      </w:pPr>
      <w:r w:rsidRPr="00F32542">
        <w:rPr>
          <w:rFonts w:ascii="Arial" w:eastAsia="Calibri" w:hAnsi="Arial" w:cs="Arial"/>
          <w:color w:val="000000" w:themeColor="text1"/>
          <w:sz w:val="28"/>
          <w:szCs w:val="24"/>
          <w:lang w:eastAsia="es-ES"/>
        </w:rPr>
        <w:t xml:space="preserve">Esas operaciones se practicaron respecto de la votación de cada distrito, a fin de comparar el porcentaje de votación distrital de cada candidatura, respecto de otras fórmulas de su propio partido en esa misma elección (diputaciones de mayoría relativa). </w:t>
      </w:r>
    </w:p>
    <w:p w14:paraId="2ED81817" w14:textId="77777777" w:rsidR="00026972" w:rsidRPr="00F32542" w:rsidRDefault="00026972" w:rsidP="00026972">
      <w:pPr>
        <w:spacing w:after="0" w:line="240" w:lineRule="auto"/>
        <w:ind w:left="708"/>
        <w:jc w:val="both"/>
        <w:rPr>
          <w:rFonts w:ascii="Arial" w:eastAsia="Calibri" w:hAnsi="Arial" w:cs="Arial"/>
          <w:color w:val="000000" w:themeColor="text1"/>
          <w:sz w:val="28"/>
          <w:szCs w:val="24"/>
          <w:lang w:eastAsia="es-ES"/>
        </w:rPr>
      </w:pPr>
    </w:p>
    <w:p w14:paraId="3320FE0D" w14:textId="77777777" w:rsidR="00026972" w:rsidRPr="00F32542" w:rsidRDefault="00026972" w:rsidP="00F94B48">
      <w:pPr>
        <w:spacing w:after="0" w:line="360" w:lineRule="auto"/>
        <w:contextualSpacing/>
        <w:jc w:val="both"/>
        <w:rPr>
          <w:rFonts w:ascii="Arial" w:eastAsia="Calibri" w:hAnsi="Arial" w:cs="Arial"/>
          <w:color w:val="000000" w:themeColor="text1"/>
          <w:sz w:val="28"/>
        </w:rPr>
      </w:pPr>
      <w:r w:rsidRPr="00F32542">
        <w:rPr>
          <w:rFonts w:ascii="Arial" w:eastAsia="Calibri" w:hAnsi="Arial" w:cs="Arial"/>
          <w:color w:val="000000" w:themeColor="text1"/>
          <w:sz w:val="28"/>
        </w:rPr>
        <w:t xml:space="preserve">Acorde con lo anterior, enseguida se insertan la lista B de cada partido político con el comparativo del porcentaje de votación local emitida a nivel distrital establecido en el acuerdo impugnado y el que resulta de la recomposición de los cómputos distritales.  </w:t>
      </w:r>
    </w:p>
    <w:p w14:paraId="13BF0E72" w14:textId="77777777" w:rsidR="00F94B48" w:rsidRPr="00F32542" w:rsidRDefault="00F94B48" w:rsidP="00F94B48">
      <w:pPr>
        <w:spacing w:after="0" w:line="259" w:lineRule="auto"/>
        <w:rPr>
          <w:rFonts w:ascii="Calibri" w:eastAsia="Times New Roman" w:hAnsi="Calibri" w:cs="Times New Roman"/>
          <w:lang w:eastAsia="es-MX"/>
        </w:rPr>
      </w:pPr>
    </w:p>
    <w:p w14:paraId="2399D719" w14:textId="77777777" w:rsidR="00026972" w:rsidRPr="00F32542" w:rsidRDefault="00026972" w:rsidP="00026972">
      <w:pPr>
        <w:spacing w:after="0" w:line="360" w:lineRule="auto"/>
        <w:contextualSpacing/>
        <w:jc w:val="both"/>
        <w:rPr>
          <w:rFonts w:ascii="Arial" w:eastAsia="Calibri" w:hAnsi="Arial" w:cs="Arial"/>
          <w:color w:val="000000" w:themeColor="text1"/>
          <w:sz w:val="28"/>
        </w:rPr>
      </w:pPr>
    </w:p>
    <w:tbl>
      <w:tblPr>
        <w:tblStyle w:val="Tablaconcuadrcula253"/>
        <w:tblW w:w="0" w:type="auto"/>
        <w:jc w:val="center"/>
        <w:tblLook w:val="04A0" w:firstRow="1" w:lastRow="0" w:firstColumn="1" w:lastColumn="0" w:noHBand="0" w:noVBand="1"/>
      </w:tblPr>
      <w:tblGrid>
        <w:gridCol w:w="457"/>
        <w:gridCol w:w="626"/>
        <w:gridCol w:w="647"/>
        <w:gridCol w:w="1900"/>
        <w:gridCol w:w="1919"/>
        <w:gridCol w:w="1366"/>
        <w:gridCol w:w="1347"/>
      </w:tblGrid>
      <w:tr w:rsidR="00026972" w:rsidRPr="00F32542" w14:paraId="4D3C20F7" w14:textId="77777777" w:rsidTr="00B65D24">
        <w:trPr>
          <w:trHeight w:val="539"/>
          <w:jc w:val="center"/>
        </w:trPr>
        <w:tc>
          <w:tcPr>
            <w:tcW w:w="8410" w:type="dxa"/>
            <w:gridSpan w:val="7"/>
            <w:shd w:val="clear" w:color="auto" w:fill="AEAAAA"/>
          </w:tcPr>
          <w:p w14:paraId="5FDDAFF3" w14:textId="77777777" w:rsidR="00026972" w:rsidRPr="00F32542" w:rsidRDefault="00026972" w:rsidP="00026972">
            <w:pPr>
              <w:spacing w:after="0" w:line="240" w:lineRule="auto"/>
              <w:jc w:val="center"/>
              <w:rPr>
                <w:rFonts w:ascii="Arial" w:eastAsia="Times New Roman" w:hAnsi="Arial" w:cs="Arial"/>
                <w:b/>
                <w:color w:val="000000" w:themeColor="text1"/>
                <w:sz w:val="24"/>
                <w:szCs w:val="24"/>
                <w:lang w:eastAsia="es-MX"/>
              </w:rPr>
            </w:pPr>
            <w:r w:rsidRPr="00F32542">
              <w:rPr>
                <w:rFonts w:ascii="Arial" w:eastAsia="Times New Roman" w:hAnsi="Arial" w:cs="Arial"/>
                <w:b/>
                <w:color w:val="000000" w:themeColor="text1"/>
                <w:sz w:val="24"/>
                <w:szCs w:val="24"/>
                <w:lang w:eastAsia="es-MX"/>
              </w:rPr>
              <w:t>LISTA B</w:t>
            </w:r>
          </w:p>
          <w:p w14:paraId="56B3DD42" w14:textId="77777777" w:rsidR="00026972" w:rsidRPr="00F32542" w:rsidRDefault="00026972" w:rsidP="00026972">
            <w:pPr>
              <w:spacing w:after="0" w:line="240" w:lineRule="auto"/>
              <w:jc w:val="center"/>
              <w:rPr>
                <w:rFonts w:ascii="Arial" w:eastAsia="Times New Roman" w:hAnsi="Arial" w:cs="Arial"/>
                <w:b/>
                <w:color w:val="000000" w:themeColor="text1"/>
                <w:sz w:val="24"/>
                <w:szCs w:val="24"/>
                <w:lang w:eastAsia="es-MX"/>
              </w:rPr>
            </w:pPr>
            <w:r w:rsidRPr="00F32542">
              <w:rPr>
                <w:rFonts w:ascii="Arial" w:eastAsia="Times New Roman" w:hAnsi="Arial" w:cs="Arial"/>
                <w:b/>
                <w:color w:val="000000" w:themeColor="text1"/>
                <w:sz w:val="24"/>
                <w:szCs w:val="24"/>
                <w:lang w:eastAsia="es-MX"/>
              </w:rPr>
              <w:t>PAN</w:t>
            </w:r>
          </w:p>
        </w:tc>
      </w:tr>
      <w:tr w:rsidR="00026972" w:rsidRPr="00F32542" w14:paraId="0AD9AD50" w14:textId="77777777" w:rsidTr="00B65D24">
        <w:trPr>
          <w:jc w:val="center"/>
        </w:trPr>
        <w:tc>
          <w:tcPr>
            <w:tcW w:w="45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16C98477"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No</w:t>
            </w:r>
          </w:p>
        </w:tc>
        <w:tc>
          <w:tcPr>
            <w:tcW w:w="626"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4BEB8FD0"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proofErr w:type="spellStart"/>
            <w:r w:rsidRPr="00F32542">
              <w:rPr>
                <w:rFonts w:ascii="Arial" w:eastAsia="Arial" w:hAnsi="Arial" w:cs="Arial"/>
                <w:b/>
                <w:color w:val="000000" w:themeColor="text1"/>
                <w:sz w:val="18"/>
                <w:szCs w:val="18"/>
              </w:rPr>
              <w:t>Dtto</w:t>
            </w:r>
            <w:proofErr w:type="spellEnd"/>
            <w:r w:rsidRPr="00F32542">
              <w:rPr>
                <w:rFonts w:ascii="Arial" w:eastAsia="Arial" w:hAnsi="Arial" w:cs="Arial"/>
                <w:b/>
                <w:color w:val="000000" w:themeColor="text1"/>
                <w:sz w:val="18"/>
                <w:szCs w:val="18"/>
              </w:rPr>
              <w:t>.</w:t>
            </w:r>
          </w:p>
        </w:tc>
        <w:tc>
          <w:tcPr>
            <w:tcW w:w="64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26F8FC73"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Sexo</w:t>
            </w:r>
          </w:p>
        </w:tc>
        <w:tc>
          <w:tcPr>
            <w:tcW w:w="195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38F9921B"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Candidatura propietaria</w:t>
            </w:r>
          </w:p>
        </w:tc>
        <w:tc>
          <w:tcPr>
            <w:tcW w:w="1986"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5966F6D7"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Candidatura suplente</w:t>
            </w:r>
          </w:p>
        </w:tc>
        <w:tc>
          <w:tcPr>
            <w:tcW w:w="1390"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5E18788F"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Porcentaje de votación distrital emitida acorde con el cómputo distrital original</w:t>
            </w:r>
          </w:p>
        </w:tc>
        <w:tc>
          <w:tcPr>
            <w:tcW w:w="1347" w:type="dxa"/>
            <w:tcBorders>
              <w:top w:val="single" w:sz="4" w:space="0" w:color="000000"/>
              <w:left w:val="single" w:sz="4" w:space="0" w:color="000000"/>
              <w:bottom w:val="single" w:sz="4" w:space="0" w:color="auto"/>
              <w:right w:val="single" w:sz="4" w:space="0" w:color="000000"/>
            </w:tcBorders>
            <w:shd w:val="clear" w:color="auto" w:fill="D0CECE"/>
            <w:vAlign w:val="center"/>
          </w:tcPr>
          <w:p w14:paraId="6BD5F9B6" w14:textId="77777777" w:rsidR="00026972" w:rsidRPr="00F32542" w:rsidRDefault="00026972" w:rsidP="00026972">
            <w:pPr>
              <w:spacing w:after="0" w:line="240" w:lineRule="auto"/>
              <w:jc w:val="center"/>
              <w:rPr>
                <w:rFonts w:ascii="Arial" w:eastAsia="Arial" w:hAnsi="Arial" w:cs="Arial"/>
                <w:b/>
                <w:color w:val="000000" w:themeColor="text1"/>
                <w:sz w:val="18"/>
                <w:szCs w:val="18"/>
              </w:rPr>
            </w:pPr>
            <w:r w:rsidRPr="00F32542">
              <w:rPr>
                <w:rFonts w:ascii="Arial" w:eastAsia="Arial" w:hAnsi="Arial" w:cs="Arial"/>
                <w:b/>
                <w:color w:val="000000" w:themeColor="text1"/>
                <w:sz w:val="18"/>
                <w:szCs w:val="18"/>
              </w:rPr>
              <w:t xml:space="preserve">Porcentaje de votación distrital emitida acorde </w:t>
            </w:r>
            <w:proofErr w:type="gramStart"/>
            <w:r w:rsidRPr="00F32542">
              <w:rPr>
                <w:rFonts w:ascii="Arial" w:eastAsia="Arial" w:hAnsi="Arial" w:cs="Arial"/>
                <w:b/>
                <w:color w:val="000000" w:themeColor="text1"/>
                <w:sz w:val="18"/>
                <w:szCs w:val="18"/>
              </w:rPr>
              <w:t>con  el</w:t>
            </w:r>
            <w:proofErr w:type="gramEnd"/>
            <w:r w:rsidRPr="00F32542">
              <w:rPr>
                <w:rFonts w:ascii="Arial" w:eastAsia="Arial" w:hAnsi="Arial" w:cs="Arial"/>
                <w:b/>
                <w:color w:val="000000" w:themeColor="text1"/>
                <w:sz w:val="18"/>
                <w:szCs w:val="18"/>
              </w:rPr>
              <w:t xml:space="preserve"> cómputo distrital recompuesto</w:t>
            </w:r>
          </w:p>
        </w:tc>
      </w:tr>
      <w:tr w:rsidR="00026972" w:rsidRPr="00F32542" w14:paraId="3C1F5F19" w14:textId="77777777" w:rsidTr="00B65D24">
        <w:trPr>
          <w:jc w:val="center"/>
        </w:trPr>
        <w:tc>
          <w:tcPr>
            <w:tcW w:w="457" w:type="dxa"/>
          </w:tcPr>
          <w:p w14:paraId="5BDA82A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1 </w:t>
            </w:r>
          </w:p>
        </w:tc>
        <w:tc>
          <w:tcPr>
            <w:tcW w:w="626" w:type="dxa"/>
          </w:tcPr>
          <w:p w14:paraId="68D2D0B3"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5 </w:t>
            </w:r>
          </w:p>
        </w:tc>
        <w:tc>
          <w:tcPr>
            <w:tcW w:w="647" w:type="dxa"/>
          </w:tcPr>
          <w:p w14:paraId="7A9D5E48"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M </w:t>
            </w:r>
          </w:p>
        </w:tc>
        <w:tc>
          <w:tcPr>
            <w:tcW w:w="1957" w:type="dxa"/>
            <w:vAlign w:val="center"/>
          </w:tcPr>
          <w:p w14:paraId="0236E8A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María Gabriela Salido Magos</w:t>
            </w:r>
          </w:p>
        </w:tc>
        <w:tc>
          <w:tcPr>
            <w:tcW w:w="1986" w:type="dxa"/>
            <w:vAlign w:val="center"/>
          </w:tcPr>
          <w:p w14:paraId="0F87B86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Vania </w:t>
            </w:r>
            <w:proofErr w:type="spellStart"/>
            <w:r w:rsidRPr="00F32542">
              <w:rPr>
                <w:rFonts w:ascii="Arial" w:eastAsia="Calibri" w:hAnsi="Arial" w:cs="Arial"/>
                <w:color w:val="000000" w:themeColor="text1"/>
                <w:sz w:val="20"/>
                <w:szCs w:val="20"/>
              </w:rPr>
              <w:t>Yael</w:t>
            </w:r>
            <w:proofErr w:type="spellEnd"/>
            <w:r w:rsidRPr="00F32542">
              <w:rPr>
                <w:rFonts w:ascii="Arial" w:eastAsia="Calibri" w:hAnsi="Arial" w:cs="Arial"/>
                <w:color w:val="000000" w:themeColor="text1"/>
                <w:sz w:val="20"/>
                <w:szCs w:val="20"/>
              </w:rPr>
              <w:t xml:space="preserve"> González Veloz</w:t>
            </w:r>
          </w:p>
        </w:tc>
        <w:tc>
          <w:tcPr>
            <w:tcW w:w="1390" w:type="dxa"/>
            <w:vAlign w:val="center"/>
          </w:tcPr>
          <w:p w14:paraId="64BA965F"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37.29</w:t>
            </w:r>
          </w:p>
        </w:tc>
        <w:tc>
          <w:tcPr>
            <w:tcW w:w="1347" w:type="dxa"/>
            <w:tcBorders>
              <w:top w:val="single" w:sz="4" w:space="0" w:color="auto"/>
              <w:left w:val="nil"/>
              <w:bottom w:val="single" w:sz="4" w:space="0" w:color="auto"/>
              <w:right w:val="single" w:sz="4" w:space="0" w:color="auto"/>
            </w:tcBorders>
            <w:shd w:val="clear" w:color="auto" w:fill="FFFFFF"/>
            <w:vAlign w:val="center"/>
          </w:tcPr>
          <w:p w14:paraId="65279F83"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37.44</w:t>
            </w:r>
          </w:p>
        </w:tc>
      </w:tr>
      <w:tr w:rsidR="00026972" w:rsidRPr="00F32542" w14:paraId="28035FAB" w14:textId="77777777" w:rsidTr="00B65D24">
        <w:trPr>
          <w:jc w:val="center"/>
        </w:trPr>
        <w:tc>
          <w:tcPr>
            <w:tcW w:w="457" w:type="dxa"/>
          </w:tcPr>
          <w:p w14:paraId="1A901B40"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2 </w:t>
            </w:r>
          </w:p>
        </w:tc>
        <w:tc>
          <w:tcPr>
            <w:tcW w:w="626" w:type="dxa"/>
          </w:tcPr>
          <w:p w14:paraId="25721F92"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14 </w:t>
            </w:r>
          </w:p>
        </w:tc>
        <w:tc>
          <w:tcPr>
            <w:tcW w:w="647" w:type="dxa"/>
          </w:tcPr>
          <w:p w14:paraId="2631FC28"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H </w:t>
            </w:r>
          </w:p>
        </w:tc>
        <w:tc>
          <w:tcPr>
            <w:tcW w:w="1957" w:type="dxa"/>
            <w:vAlign w:val="center"/>
          </w:tcPr>
          <w:p w14:paraId="66A35562"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Luis Alberto Chávez García</w:t>
            </w:r>
          </w:p>
        </w:tc>
        <w:tc>
          <w:tcPr>
            <w:tcW w:w="1986" w:type="dxa"/>
            <w:vAlign w:val="center"/>
          </w:tcPr>
          <w:p w14:paraId="230F7C0D"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Frida Fernanda Alcántara</w:t>
            </w:r>
          </w:p>
          <w:p w14:paraId="2416C45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Cabrera</w:t>
            </w:r>
          </w:p>
        </w:tc>
        <w:tc>
          <w:tcPr>
            <w:tcW w:w="1390" w:type="dxa"/>
            <w:vAlign w:val="center"/>
          </w:tcPr>
          <w:p w14:paraId="1876C0E8"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28.35</w:t>
            </w:r>
          </w:p>
        </w:tc>
        <w:tc>
          <w:tcPr>
            <w:tcW w:w="1347" w:type="dxa"/>
            <w:tcBorders>
              <w:top w:val="single" w:sz="4" w:space="0" w:color="auto"/>
              <w:left w:val="nil"/>
              <w:bottom w:val="single" w:sz="4" w:space="0" w:color="auto"/>
              <w:right w:val="single" w:sz="4" w:space="0" w:color="auto"/>
            </w:tcBorders>
            <w:shd w:val="clear" w:color="auto" w:fill="FFFFFF"/>
            <w:vAlign w:val="center"/>
          </w:tcPr>
          <w:p w14:paraId="1ED33776" w14:textId="77777777" w:rsidR="00026972" w:rsidRPr="00F32542" w:rsidRDefault="00026972" w:rsidP="00026972">
            <w:pPr>
              <w:spacing w:after="0" w:line="36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28.35</w:t>
            </w:r>
          </w:p>
        </w:tc>
      </w:tr>
      <w:tr w:rsidR="00026972" w:rsidRPr="00F32542" w14:paraId="6241982D" w14:textId="77777777" w:rsidTr="00B65D24">
        <w:trPr>
          <w:jc w:val="center"/>
        </w:trPr>
        <w:tc>
          <w:tcPr>
            <w:tcW w:w="457" w:type="dxa"/>
          </w:tcPr>
          <w:p w14:paraId="2479E6A2"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3 </w:t>
            </w:r>
          </w:p>
        </w:tc>
        <w:tc>
          <w:tcPr>
            <w:tcW w:w="626" w:type="dxa"/>
          </w:tcPr>
          <w:p w14:paraId="7391A193"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28 </w:t>
            </w:r>
          </w:p>
        </w:tc>
        <w:tc>
          <w:tcPr>
            <w:tcW w:w="647" w:type="dxa"/>
          </w:tcPr>
          <w:p w14:paraId="34F0849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M </w:t>
            </w:r>
          </w:p>
        </w:tc>
        <w:tc>
          <w:tcPr>
            <w:tcW w:w="1957" w:type="dxa"/>
            <w:vAlign w:val="center"/>
          </w:tcPr>
          <w:p w14:paraId="0A1C000F"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Andrea </w:t>
            </w:r>
            <w:proofErr w:type="spellStart"/>
            <w:r w:rsidRPr="00F32542">
              <w:rPr>
                <w:rFonts w:ascii="Arial" w:eastAsia="Calibri" w:hAnsi="Arial" w:cs="Arial"/>
                <w:color w:val="000000" w:themeColor="text1"/>
                <w:sz w:val="20"/>
                <w:szCs w:val="20"/>
              </w:rPr>
              <w:t>Evelyne</w:t>
            </w:r>
            <w:proofErr w:type="spellEnd"/>
            <w:r w:rsidRPr="00F32542">
              <w:rPr>
                <w:rFonts w:ascii="Arial" w:eastAsia="Calibri" w:hAnsi="Arial" w:cs="Arial"/>
                <w:color w:val="000000" w:themeColor="text1"/>
                <w:sz w:val="20"/>
                <w:szCs w:val="20"/>
              </w:rPr>
              <w:t xml:space="preserve"> </w:t>
            </w:r>
            <w:proofErr w:type="spellStart"/>
            <w:r w:rsidRPr="00F32542">
              <w:rPr>
                <w:rFonts w:ascii="Arial" w:eastAsia="Calibri" w:hAnsi="Arial" w:cs="Arial"/>
                <w:color w:val="000000" w:themeColor="text1"/>
                <w:sz w:val="20"/>
                <w:szCs w:val="20"/>
              </w:rPr>
              <w:t>Vicenteño</w:t>
            </w:r>
            <w:proofErr w:type="spellEnd"/>
          </w:p>
          <w:p w14:paraId="6F3AF97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lastRenderedPageBreak/>
              <w:t>Barrientos</w:t>
            </w:r>
          </w:p>
        </w:tc>
        <w:tc>
          <w:tcPr>
            <w:tcW w:w="1986" w:type="dxa"/>
            <w:vAlign w:val="center"/>
          </w:tcPr>
          <w:p w14:paraId="4480548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lastRenderedPageBreak/>
              <w:t xml:space="preserve">Suri </w:t>
            </w:r>
            <w:proofErr w:type="spellStart"/>
            <w:r w:rsidRPr="00F32542">
              <w:rPr>
                <w:rFonts w:ascii="Arial" w:eastAsia="Calibri" w:hAnsi="Arial" w:cs="Arial"/>
                <w:color w:val="000000" w:themeColor="text1"/>
                <w:sz w:val="20"/>
                <w:szCs w:val="20"/>
              </w:rPr>
              <w:t>Zaday</w:t>
            </w:r>
            <w:proofErr w:type="spellEnd"/>
            <w:r w:rsidRPr="00F32542">
              <w:rPr>
                <w:rFonts w:ascii="Arial" w:eastAsia="Calibri" w:hAnsi="Arial" w:cs="Arial"/>
                <w:color w:val="000000" w:themeColor="text1"/>
                <w:sz w:val="20"/>
                <w:szCs w:val="20"/>
              </w:rPr>
              <w:t xml:space="preserve"> Aquino Cholula</w:t>
            </w:r>
          </w:p>
        </w:tc>
        <w:tc>
          <w:tcPr>
            <w:tcW w:w="1390" w:type="dxa"/>
            <w:vAlign w:val="center"/>
          </w:tcPr>
          <w:p w14:paraId="0A373E86"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22.19</w:t>
            </w:r>
          </w:p>
        </w:tc>
        <w:tc>
          <w:tcPr>
            <w:tcW w:w="1347" w:type="dxa"/>
            <w:tcBorders>
              <w:top w:val="single" w:sz="4" w:space="0" w:color="auto"/>
              <w:left w:val="nil"/>
              <w:bottom w:val="single" w:sz="4" w:space="0" w:color="auto"/>
              <w:right w:val="single" w:sz="4" w:space="0" w:color="auto"/>
            </w:tcBorders>
            <w:shd w:val="clear" w:color="auto" w:fill="FFFFFF"/>
            <w:vAlign w:val="center"/>
          </w:tcPr>
          <w:p w14:paraId="046643BF" w14:textId="77777777" w:rsidR="00026972" w:rsidRPr="00F32542" w:rsidRDefault="00026972" w:rsidP="00026972">
            <w:pPr>
              <w:spacing w:after="0" w:line="36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22.31</w:t>
            </w:r>
          </w:p>
        </w:tc>
      </w:tr>
      <w:tr w:rsidR="00026972" w:rsidRPr="00F32542" w14:paraId="7BDA3820" w14:textId="77777777" w:rsidTr="00B65D24">
        <w:trPr>
          <w:jc w:val="center"/>
        </w:trPr>
        <w:tc>
          <w:tcPr>
            <w:tcW w:w="457" w:type="dxa"/>
          </w:tcPr>
          <w:p w14:paraId="0977F37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4 </w:t>
            </w:r>
          </w:p>
        </w:tc>
        <w:tc>
          <w:tcPr>
            <w:tcW w:w="626" w:type="dxa"/>
          </w:tcPr>
          <w:p w14:paraId="59C47632"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20 </w:t>
            </w:r>
          </w:p>
        </w:tc>
        <w:tc>
          <w:tcPr>
            <w:tcW w:w="647" w:type="dxa"/>
          </w:tcPr>
          <w:p w14:paraId="60F74510"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H </w:t>
            </w:r>
          </w:p>
        </w:tc>
        <w:tc>
          <w:tcPr>
            <w:tcW w:w="1957" w:type="dxa"/>
            <w:vAlign w:val="center"/>
          </w:tcPr>
          <w:p w14:paraId="09215C0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José Gonzalo Espina Miranda</w:t>
            </w:r>
          </w:p>
        </w:tc>
        <w:tc>
          <w:tcPr>
            <w:tcW w:w="1986" w:type="dxa"/>
            <w:vAlign w:val="center"/>
          </w:tcPr>
          <w:p w14:paraId="5FD4D4AE"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Mario Raphael De Cárcer</w:t>
            </w:r>
          </w:p>
        </w:tc>
        <w:tc>
          <w:tcPr>
            <w:tcW w:w="1390" w:type="dxa"/>
            <w:vAlign w:val="center"/>
          </w:tcPr>
          <w:p w14:paraId="02F00A6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27.57</w:t>
            </w:r>
          </w:p>
        </w:tc>
        <w:tc>
          <w:tcPr>
            <w:tcW w:w="1347" w:type="dxa"/>
            <w:tcBorders>
              <w:top w:val="single" w:sz="4" w:space="0" w:color="auto"/>
              <w:left w:val="nil"/>
              <w:bottom w:val="single" w:sz="4" w:space="0" w:color="auto"/>
              <w:right w:val="single" w:sz="4" w:space="0" w:color="auto"/>
            </w:tcBorders>
            <w:shd w:val="clear" w:color="auto" w:fill="FFFFFF"/>
            <w:vAlign w:val="center"/>
          </w:tcPr>
          <w:p w14:paraId="4DCAE5AF" w14:textId="77777777" w:rsidR="00026972" w:rsidRPr="00F32542" w:rsidRDefault="00026972" w:rsidP="00026972">
            <w:pPr>
              <w:spacing w:after="0" w:line="36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27.57</w:t>
            </w:r>
          </w:p>
        </w:tc>
      </w:tr>
      <w:tr w:rsidR="00026972" w:rsidRPr="00F32542" w14:paraId="46A766B3" w14:textId="77777777" w:rsidTr="00B65D24">
        <w:trPr>
          <w:jc w:val="center"/>
        </w:trPr>
        <w:tc>
          <w:tcPr>
            <w:tcW w:w="457" w:type="dxa"/>
          </w:tcPr>
          <w:p w14:paraId="7DA81463"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5 </w:t>
            </w:r>
          </w:p>
        </w:tc>
        <w:tc>
          <w:tcPr>
            <w:tcW w:w="626" w:type="dxa"/>
          </w:tcPr>
          <w:p w14:paraId="34232868"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11 </w:t>
            </w:r>
          </w:p>
        </w:tc>
        <w:tc>
          <w:tcPr>
            <w:tcW w:w="647" w:type="dxa"/>
          </w:tcPr>
          <w:p w14:paraId="43D1DCC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M </w:t>
            </w:r>
          </w:p>
        </w:tc>
        <w:tc>
          <w:tcPr>
            <w:tcW w:w="1957" w:type="dxa"/>
            <w:vAlign w:val="center"/>
          </w:tcPr>
          <w:p w14:paraId="65104EB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Mónica Jessica Menocal del Moral</w:t>
            </w:r>
          </w:p>
        </w:tc>
        <w:tc>
          <w:tcPr>
            <w:tcW w:w="1986" w:type="dxa"/>
            <w:vAlign w:val="center"/>
          </w:tcPr>
          <w:p w14:paraId="3DA946D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Fabiola Menocal Del Moral</w:t>
            </w:r>
          </w:p>
        </w:tc>
        <w:tc>
          <w:tcPr>
            <w:tcW w:w="1390" w:type="dxa"/>
            <w:vAlign w:val="center"/>
          </w:tcPr>
          <w:p w14:paraId="2210211E"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19.65</w:t>
            </w:r>
          </w:p>
        </w:tc>
        <w:tc>
          <w:tcPr>
            <w:tcW w:w="1347" w:type="dxa"/>
            <w:tcBorders>
              <w:top w:val="single" w:sz="4" w:space="0" w:color="auto"/>
              <w:left w:val="nil"/>
              <w:bottom w:val="single" w:sz="4" w:space="0" w:color="auto"/>
              <w:right w:val="single" w:sz="4" w:space="0" w:color="auto"/>
            </w:tcBorders>
            <w:shd w:val="clear" w:color="auto" w:fill="FFFFFF"/>
            <w:vAlign w:val="center"/>
          </w:tcPr>
          <w:p w14:paraId="5FD34268" w14:textId="77777777" w:rsidR="00026972" w:rsidRPr="00F32542" w:rsidRDefault="00026972" w:rsidP="00026972">
            <w:pPr>
              <w:spacing w:after="0" w:line="36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19.67</w:t>
            </w:r>
          </w:p>
        </w:tc>
      </w:tr>
      <w:tr w:rsidR="00026972" w:rsidRPr="00F32542" w14:paraId="61925761" w14:textId="77777777" w:rsidTr="00B65D24">
        <w:trPr>
          <w:jc w:val="center"/>
        </w:trPr>
        <w:tc>
          <w:tcPr>
            <w:tcW w:w="457" w:type="dxa"/>
          </w:tcPr>
          <w:p w14:paraId="1F1BAF7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6 </w:t>
            </w:r>
          </w:p>
        </w:tc>
        <w:tc>
          <w:tcPr>
            <w:tcW w:w="626" w:type="dxa"/>
          </w:tcPr>
          <w:p w14:paraId="0427BBF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15 </w:t>
            </w:r>
          </w:p>
        </w:tc>
        <w:tc>
          <w:tcPr>
            <w:tcW w:w="647" w:type="dxa"/>
          </w:tcPr>
          <w:p w14:paraId="03634BCD"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H </w:t>
            </w:r>
          </w:p>
        </w:tc>
        <w:tc>
          <w:tcPr>
            <w:tcW w:w="1957" w:type="dxa"/>
            <w:vAlign w:val="center"/>
          </w:tcPr>
          <w:p w14:paraId="135FB31E"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Fernando </w:t>
            </w:r>
            <w:proofErr w:type="spellStart"/>
            <w:r w:rsidRPr="00F32542">
              <w:rPr>
                <w:rFonts w:ascii="Arial" w:eastAsia="Calibri" w:hAnsi="Arial" w:cs="Arial"/>
                <w:color w:val="000000" w:themeColor="text1"/>
                <w:sz w:val="20"/>
                <w:szCs w:val="20"/>
              </w:rPr>
              <w:t>Belau</w:t>
            </w:r>
            <w:r w:rsidR="00A56585" w:rsidRPr="00F32542">
              <w:rPr>
                <w:rFonts w:ascii="Arial" w:eastAsia="Calibri" w:hAnsi="Arial" w:cs="Arial"/>
                <w:color w:val="000000" w:themeColor="text1"/>
                <w:sz w:val="20"/>
                <w:szCs w:val="20"/>
              </w:rPr>
              <w:t>n</w:t>
            </w:r>
            <w:r w:rsidRPr="00F32542">
              <w:rPr>
                <w:rFonts w:ascii="Arial" w:eastAsia="Calibri" w:hAnsi="Arial" w:cs="Arial"/>
                <w:color w:val="000000" w:themeColor="text1"/>
                <w:sz w:val="20"/>
                <w:szCs w:val="20"/>
              </w:rPr>
              <w:t>zarán</w:t>
            </w:r>
            <w:proofErr w:type="spellEnd"/>
            <w:r w:rsidRPr="00F32542">
              <w:rPr>
                <w:rFonts w:ascii="Arial" w:eastAsia="Calibri" w:hAnsi="Arial" w:cs="Arial"/>
                <w:color w:val="000000" w:themeColor="text1"/>
                <w:sz w:val="20"/>
                <w:szCs w:val="20"/>
              </w:rPr>
              <w:t xml:space="preserve"> </w:t>
            </w:r>
            <w:proofErr w:type="spellStart"/>
            <w:r w:rsidRPr="00F32542">
              <w:rPr>
                <w:rFonts w:ascii="Arial" w:eastAsia="Calibri" w:hAnsi="Arial" w:cs="Arial"/>
                <w:color w:val="000000" w:themeColor="text1"/>
                <w:sz w:val="20"/>
                <w:szCs w:val="20"/>
              </w:rPr>
              <w:t>Mendéz</w:t>
            </w:r>
            <w:proofErr w:type="spellEnd"/>
          </w:p>
        </w:tc>
        <w:tc>
          <w:tcPr>
            <w:tcW w:w="1986" w:type="dxa"/>
            <w:vAlign w:val="center"/>
          </w:tcPr>
          <w:p w14:paraId="59674FDA"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Ángel Luna Pacheco</w:t>
            </w:r>
          </w:p>
        </w:tc>
        <w:tc>
          <w:tcPr>
            <w:tcW w:w="1390" w:type="dxa"/>
            <w:vAlign w:val="center"/>
          </w:tcPr>
          <w:p w14:paraId="6B6F42BF"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26.31</w:t>
            </w:r>
          </w:p>
        </w:tc>
        <w:tc>
          <w:tcPr>
            <w:tcW w:w="1347" w:type="dxa"/>
            <w:tcBorders>
              <w:top w:val="single" w:sz="4" w:space="0" w:color="auto"/>
              <w:left w:val="nil"/>
              <w:bottom w:val="single" w:sz="4" w:space="0" w:color="auto"/>
              <w:right w:val="single" w:sz="4" w:space="0" w:color="auto"/>
            </w:tcBorders>
            <w:shd w:val="clear" w:color="auto" w:fill="FFFFFF"/>
            <w:vAlign w:val="center"/>
          </w:tcPr>
          <w:p w14:paraId="26609073" w14:textId="77777777" w:rsidR="00026972" w:rsidRPr="00F32542" w:rsidRDefault="00026972" w:rsidP="00026972">
            <w:pPr>
              <w:spacing w:after="0" w:line="36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26.31</w:t>
            </w:r>
          </w:p>
        </w:tc>
      </w:tr>
      <w:tr w:rsidR="00026972" w:rsidRPr="00F32542" w14:paraId="31D56F5B" w14:textId="77777777" w:rsidTr="00B65D24">
        <w:trPr>
          <w:jc w:val="center"/>
        </w:trPr>
        <w:tc>
          <w:tcPr>
            <w:tcW w:w="457" w:type="dxa"/>
          </w:tcPr>
          <w:p w14:paraId="462F08A4"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7 </w:t>
            </w:r>
          </w:p>
        </w:tc>
        <w:tc>
          <w:tcPr>
            <w:tcW w:w="626" w:type="dxa"/>
          </w:tcPr>
          <w:p w14:paraId="156B64B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21 </w:t>
            </w:r>
          </w:p>
        </w:tc>
        <w:tc>
          <w:tcPr>
            <w:tcW w:w="647" w:type="dxa"/>
          </w:tcPr>
          <w:p w14:paraId="54032129"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M </w:t>
            </w:r>
          </w:p>
        </w:tc>
        <w:tc>
          <w:tcPr>
            <w:tcW w:w="1957" w:type="dxa"/>
            <w:vAlign w:val="center"/>
          </w:tcPr>
          <w:p w14:paraId="171BFE9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Georgina </w:t>
            </w:r>
            <w:proofErr w:type="spellStart"/>
            <w:r w:rsidRPr="00F32542">
              <w:rPr>
                <w:rFonts w:ascii="Arial" w:eastAsia="Calibri" w:hAnsi="Arial" w:cs="Arial"/>
                <w:color w:val="000000" w:themeColor="text1"/>
                <w:sz w:val="20"/>
                <w:szCs w:val="20"/>
              </w:rPr>
              <w:t>Muguía</w:t>
            </w:r>
            <w:proofErr w:type="spellEnd"/>
            <w:r w:rsidRPr="00F32542">
              <w:rPr>
                <w:rFonts w:ascii="Arial" w:eastAsia="Calibri" w:hAnsi="Arial" w:cs="Arial"/>
                <w:color w:val="000000" w:themeColor="text1"/>
                <w:sz w:val="20"/>
                <w:szCs w:val="20"/>
              </w:rPr>
              <w:t xml:space="preserve"> López</w:t>
            </w:r>
          </w:p>
        </w:tc>
        <w:tc>
          <w:tcPr>
            <w:tcW w:w="1986" w:type="dxa"/>
            <w:vAlign w:val="center"/>
          </w:tcPr>
          <w:p w14:paraId="2802680E"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Silvia Beltrán Cervantes</w:t>
            </w:r>
          </w:p>
        </w:tc>
        <w:tc>
          <w:tcPr>
            <w:tcW w:w="1390" w:type="dxa"/>
            <w:vAlign w:val="center"/>
          </w:tcPr>
          <w:p w14:paraId="7F5EB753"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16.63</w:t>
            </w:r>
          </w:p>
        </w:tc>
        <w:tc>
          <w:tcPr>
            <w:tcW w:w="1347" w:type="dxa"/>
            <w:tcBorders>
              <w:top w:val="single" w:sz="4" w:space="0" w:color="auto"/>
              <w:left w:val="nil"/>
              <w:bottom w:val="single" w:sz="4" w:space="0" w:color="auto"/>
              <w:right w:val="single" w:sz="4" w:space="0" w:color="auto"/>
            </w:tcBorders>
            <w:shd w:val="clear" w:color="auto" w:fill="FFFFFF"/>
            <w:vAlign w:val="center"/>
          </w:tcPr>
          <w:p w14:paraId="6FABEDF9" w14:textId="77777777" w:rsidR="00026972" w:rsidRPr="00F32542" w:rsidRDefault="00026972" w:rsidP="00026972">
            <w:pPr>
              <w:spacing w:after="0" w:line="36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16.76</w:t>
            </w:r>
          </w:p>
        </w:tc>
      </w:tr>
      <w:tr w:rsidR="00026972" w:rsidRPr="00F32542" w14:paraId="0FD37503" w14:textId="77777777" w:rsidTr="00B65D24">
        <w:trPr>
          <w:jc w:val="center"/>
        </w:trPr>
        <w:tc>
          <w:tcPr>
            <w:tcW w:w="457" w:type="dxa"/>
          </w:tcPr>
          <w:p w14:paraId="641DC050"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8 </w:t>
            </w:r>
          </w:p>
        </w:tc>
        <w:tc>
          <w:tcPr>
            <w:tcW w:w="626" w:type="dxa"/>
          </w:tcPr>
          <w:p w14:paraId="64679720"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22 </w:t>
            </w:r>
          </w:p>
        </w:tc>
        <w:tc>
          <w:tcPr>
            <w:tcW w:w="647" w:type="dxa"/>
          </w:tcPr>
          <w:p w14:paraId="751D8D33"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H </w:t>
            </w:r>
          </w:p>
        </w:tc>
        <w:tc>
          <w:tcPr>
            <w:tcW w:w="1957" w:type="dxa"/>
            <w:vAlign w:val="center"/>
          </w:tcPr>
          <w:p w14:paraId="09BED0E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Ernesto Fernández </w:t>
            </w:r>
            <w:proofErr w:type="spellStart"/>
            <w:r w:rsidRPr="00F32542">
              <w:rPr>
                <w:rFonts w:ascii="Arial" w:eastAsia="Calibri" w:hAnsi="Arial" w:cs="Arial"/>
                <w:color w:val="000000" w:themeColor="text1"/>
                <w:sz w:val="20"/>
                <w:szCs w:val="20"/>
              </w:rPr>
              <w:t>Tachiquín</w:t>
            </w:r>
            <w:proofErr w:type="spellEnd"/>
          </w:p>
        </w:tc>
        <w:tc>
          <w:tcPr>
            <w:tcW w:w="1986" w:type="dxa"/>
            <w:vAlign w:val="center"/>
          </w:tcPr>
          <w:p w14:paraId="786196B8"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Raymundo Espinoza </w:t>
            </w:r>
            <w:proofErr w:type="spellStart"/>
            <w:r w:rsidRPr="00F32542">
              <w:rPr>
                <w:rFonts w:ascii="Arial" w:eastAsia="Calibri" w:hAnsi="Arial" w:cs="Arial"/>
                <w:color w:val="000000" w:themeColor="text1"/>
                <w:sz w:val="20"/>
                <w:szCs w:val="20"/>
              </w:rPr>
              <w:t>Amezquita</w:t>
            </w:r>
            <w:proofErr w:type="spellEnd"/>
          </w:p>
        </w:tc>
        <w:tc>
          <w:tcPr>
            <w:tcW w:w="1390" w:type="dxa"/>
            <w:vAlign w:val="center"/>
          </w:tcPr>
          <w:p w14:paraId="52DFF86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12.04</w:t>
            </w:r>
          </w:p>
        </w:tc>
        <w:tc>
          <w:tcPr>
            <w:tcW w:w="1347" w:type="dxa"/>
            <w:tcBorders>
              <w:top w:val="single" w:sz="4" w:space="0" w:color="auto"/>
              <w:left w:val="nil"/>
              <w:bottom w:val="single" w:sz="4" w:space="0" w:color="auto"/>
              <w:right w:val="single" w:sz="4" w:space="0" w:color="auto"/>
            </w:tcBorders>
            <w:shd w:val="clear" w:color="auto" w:fill="FFFFFF"/>
            <w:vAlign w:val="center"/>
          </w:tcPr>
          <w:p w14:paraId="754915BA" w14:textId="77777777" w:rsidR="00026972" w:rsidRPr="00F32542" w:rsidRDefault="00026972" w:rsidP="00026972">
            <w:pPr>
              <w:spacing w:after="0" w:line="36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12.09</w:t>
            </w:r>
          </w:p>
        </w:tc>
      </w:tr>
      <w:tr w:rsidR="00026972" w:rsidRPr="00F32542" w14:paraId="3AB23C89" w14:textId="77777777" w:rsidTr="00B65D24">
        <w:trPr>
          <w:jc w:val="center"/>
        </w:trPr>
        <w:tc>
          <w:tcPr>
            <w:tcW w:w="457" w:type="dxa"/>
          </w:tcPr>
          <w:p w14:paraId="3E3CB20E"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9 </w:t>
            </w:r>
          </w:p>
        </w:tc>
        <w:tc>
          <w:tcPr>
            <w:tcW w:w="626" w:type="dxa"/>
          </w:tcPr>
          <w:p w14:paraId="3987A53E"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4 </w:t>
            </w:r>
          </w:p>
        </w:tc>
        <w:tc>
          <w:tcPr>
            <w:tcW w:w="647" w:type="dxa"/>
          </w:tcPr>
          <w:p w14:paraId="23DB136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M </w:t>
            </w:r>
          </w:p>
        </w:tc>
        <w:tc>
          <w:tcPr>
            <w:tcW w:w="1957" w:type="dxa"/>
            <w:vAlign w:val="center"/>
          </w:tcPr>
          <w:p w14:paraId="2684A5D2"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Diana </w:t>
            </w:r>
            <w:proofErr w:type="spellStart"/>
            <w:r w:rsidRPr="00F32542">
              <w:rPr>
                <w:rFonts w:ascii="Arial" w:eastAsia="Calibri" w:hAnsi="Arial" w:cs="Arial"/>
                <w:color w:val="000000" w:themeColor="text1"/>
                <w:sz w:val="20"/>
                <w:szCs w:val="20"/>
              </w:rPr>
              <w:t>Karine</w:t>
            </w:r>
            <w:proofErr w:type="spellEnd"/>
            <w:r w:rsidRPr="00F32542">
              <w:rPr>
                <w:rFonts w:ascii="Arial" w:eastAsia="Calibri" w:hAnsi="Arial" w:cs="Arial"/>
                <w:color w:val="000000" w:themeColor="text1"/>
                <w:sz w:val="20"/>
                <w:szCs w:val="20"/>
              </w:rPr>
              <w:t xml:space="preserve"> Raya Govea</w:t>
            </w:r>
          </w:p>
        </w:tc>
        <w:tc>
          <w:tcPr>
            <w:tcW w:w="1986" w:type="dxa"/>
            <w:vAlign w:val="center"/>
          </w:tcPr>
          <w:p w14:paraId="49DA3AB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Karina Isabel Reyes Flores</w:t>
            </w:r>
          </w:p>
        </w:tc>
        <w:tc>
          <w:tcPr>
            <w:tcW w:w="1390" w:type="dxa"/>
            <w:vAlign w:val="center"/>
          </w:tcPr>
          <w:p w14:paraId="540C292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15.92</w:t>
            </w:r>
          </w:p>
        </w:tc>
        <w:tc>
          <w:tcPr>
            <w:tcW w:w="1347" w:type="dxa"/>
            <w:tcBorders>
              <w:top w:val="single" w:sz="4" w:space="0" w:color="auto"/>
              <w:left w:val="nil"/>
              <w:bottom w:val="single" w:sz="4" w:space="0" w:color="auto"/>
              <w:right w:val="single" w:sz="4" w:space="0" w:color="auto"/>
            </w:tcBorders>
            <w:shd w:val="clear" w:color="auto" w:fill="FFFFFF"/>
            <w:vAlign w:val="center"/>
          </w:tcPr>
          <w:p w14:paraId="71934B07" w14:textId="77777777" w:rsidR="00026972" w:rsidRPr="00F32542" w:rsidRDefault="00026972" w:rsidP="00026972">
            <w:pPr>
              <w:spacing w:after="0" w:line="36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15.97</w:t>
            </w:r>
          </w:p>
        </w:tc>
      </w:tr>
      <w:tr w:rsidR="00026972" w:rsidRPr="00F32542" w14:paraId="6CD25695" w14:textId="77777777" w:rsidTr="00B65D24">
        <w:trPr>
          <w:jc w:val="center"/>
        </w:trPr>
        <w:tc>
          <w:tcPr>
            <w:tcW w:w="457" w:type="dxa"/>
          </w:tcPr>
          <w:p w14:paraId="62C92A4F"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10 </w:t>
            </w:r>
          </w:p>
        </w:tc>
        <w:tc>
          <w:tcPr>
            <w:tcW w:w="626" w:type="dxa"/>
          </w:tcPr>
          <w:p w14:paraId="5A691108"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7 </w:t>
            </w:r>
          </w:p>
        </w:tc>
        <w:tc>
          <w:tcPr>
            <w:tcW w:w="647" w:type="dxa"/>
          </w:tcPr>
          <w:p w14:paraId="0BBF552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H </w:t>
            </w:r>
          </w:p>
        </w:tc>
        <w:tc>
          <w:tcPr>
            <w:tcW w:w="1957" w:type="dxa"/>
            <w:vAlign w:val="center"/>
          </w:tcPr>
          <w:p w14:paraId="463336BA"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Emiliano Aguilar Esquivel</w:t>
            </w:r>
          </w:p>
        </w:tc>
        <w:tc>
          <w:tcPr>
            <w:tcW w:w="1986" w:type="dxa"/>
            <w:vAlign w:val="center"/>
          </w:tcPr>
          <w:p w14:paraId="35C74AD3"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Viridiana Meza Olivares</w:t>
            </w:r>
          </w:p>
        </w:tc>
        <w:tc>
          <w:tcPr>
            <w:tcW w:w="1390" w:type="dxa"/>
            <w:vAlign w:val="center"/>
          </w:tcPr>
          <w:p w14:paraId="398E3E8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7.59</w:t>
            </w:r>
          </w:p>
        </w:tc>
        <w:tc>
          <w:tcPr>
            <w:tcW w:w="1347" w:type="dxa"/>
            <w:tcBorders>
              <w:top w:val="single" w:sz="4" w:space="0" w:color="auto"/>
              <w:left w:val="nil"/>
              <w:bottom w:val="single" w:sz="4" w:space="0" w:color="auto"/>
              <w:right w:val="single" w:sz="4" w:space="0" w:color="auto"/>
            </w:tcBorders>
            <w:shd w:val="clear" w:color="auto" w:fill="FFFFFF"/>
            <w:vAlign w:val="center"/>
          </w:tcPr>
          <w:p w14:paraId="210235B0" w14:textId="77777777" w:rsidR="00026972" w:rsidRPr="00F32542" w:rsidRDefault="00026972" w:rsidP="00026972">
            <w:pPr>
              <w:spacing w:after="0" w:line="36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7.59</w:t>
            </w:r>
          </w:p>
        </w:tc>
      </w:tr>
    </w:tbl>
    <w:p w14:paraId="5C50946E" w14:textId="77777777" w:rsidR="00026972" w:rsidRPr="00F32542" w:rsidRDefault="00026972" w:rsidP="00026972">
      <w:pPr>
        <w:spacing w:after="0" w:line="259" w:lineRule="auto"/>
        <w:rPr>
          <w:rFonts w:ascii="Calibri" w:eastAsia="Times New Roman" w:hAnsi="Calibri" w:cs="Times New Roman"/>
          <w:color w:val="000000" w:themeColor="text1"/>
          <w:lang w:eastAsia="es-MX"/>
        </w:rPr>
      </w:pPr>
    </w:p>
    <w:p w14:paraId="1A5B1502" w14:textId="77777777" w:rsidR="00026972" w:rsidRPr="00F32542" w:rsidRDefault="00026972" w:rsidP="00026972">
      <w:pPr>
        <w:spacing w:after="0" w:line="259" w:lineRule="auto"/>
        <w:rPr>
          <w:rFonts w:ascii="Calibri" w:eastAsia="Times New Roman" w:hAnsi="Calibri" w:cs="Times New Roman"/>
          <w:color w:val="000000" w:themeColor="text1"/>
          <w:lang w:eastAsia="es-MX"/>
        </w:rPr>
      </w:pPr>
    </w:p>
    <w:tbl>
      <w:tblPr>
        <w:tblStyle w:val="Tablaconcuadrcula253"/>
        <w:tblW w:w="0" w:type="auto"/>
        <w:jc w:val="center"/>
        <w:tblLook w:val="04A0" w:firstRow="1" w:lastRow="0" w:firstColumn="1" w:lastColumn="0" w:noHBand="0" w:noVBand="1"/>
      </w:tblPr>
      <w:tblGrid>
        <w:gridCol w:w="457"/>
        <w:gridCol w:w="626"/>
        <w:gridCol w:w="647"/>
        <w:gridCol w:w="1897"/>
        <w:gridCol w:w="1921"/>
        <w:gridCol w:w="1367"/>
        <w:gridCol w:w="1347"/>
      </w:tblGrid>
      <w:tr w:rsidR="00026972" w:rsidRPr="00F32542" w14:paraId="12FFD7A1" w14:textId="77777777" w:rsidTr="00B65D24">
        <w:trPr>
          <w:trHeight w:val="539"/>
          <w:jc w:val="center"/>
        </w:trPr>
        <w:tc>
          <w:tcPr>
            <w:tcW w:w="8410" w:type="dxa"/>
            <w:gridSpan w:val="7"/>
            <w:shd w:val="clear" w:color="auto" w:fill="AEAAAA"/>
          </w:tcPr>
          <w:p w14:paraId="3341A76C" w14:textId="77777777" w:rsidR="00026972" w:rsidRPr="00F32542" w:rsidRDefault="00026972" w:rsidP="00026972">
            <w:pPr>
              <w:spacing w:after="0" w:line="240" w:lineRule="auto"/>
              <w:jc w:val="center"/>
              <w:rPr>
                <w:rFonts w:ascii="Arial" w:eastAsia="Times New Roman" w:hAnsi="Arial" w:cs="Arial"/>
                <w:b/>
                <w:color w:val="000000" w:themeColor="text1"/>
                <w:sz w:val="24"/>
                <w:szCs w:val="24"/>
                <w:lang w:eastAsia="es-MX"/>
              </w:rPr>
            </w:pPr>
            <w:r w:rsidRPr="00F32542">
              <w:rPr>
                <w:rFonts w:ascii="Arial" w:eastAsia="Times New Roman" w:hAnsi="Arial" w:cs="Arial"/>
                <w:b/>
                <w:color w:val="000000" w:themeColor="text1"/>
                <w:sz w:val="24"/>
                <w:szCs w:val="24"/>
                <w:lang w:eastAsia="es-MX"/>
              </w:rPr>
              <w:t>LISTA B</w:t>
            </w:r>
          </w:p>
          <w:p w14:paraId="78C0AED3" w14:textId="77777777" w:rsidR="00026972" w:rsidRPr="00F32542" w:rsidRDefault="00026972" w:rsidP="00026972">
            <w:pPr>
              <w:spacing w:after="0" w:line="240" w:lineRule="auto"/>
              <w:jc w:val="center"/>
              <w:rPr>
                <w:rFonts w:ascii="Arial" w:eastAsia="Times New Roman" w:hAnsi="Arial" w:cs="Arial"/>
                <w:b/>
                <w:color w:val="000000" w:themeColor="text1"/>
                <w:sz w:val="24"/>
                <w:szCs w:val="24"/>
                <w:lang w:eastAsia="es-MX"/>
              </w:rPr>
            </w:pPr>
            <w:r w:rsidRPr="00F32542">
              <w:rPr>
                <w:rFonts w:ascii="Arial" w:eastAsia="Times New Roman" w:hAnsi="Arial" w:cs="Arial"/>
                <w:b/>
                <w:color w:val="000000" w:themeColor="text1"/>
                <w:sz w:val="24"/>
                <w:szCs w:val="24"/>
                <w:lang w:eastAsia="es-MX"/>
              </w:rPr>
              <w:t>PRI</w:t>
            </w:r>
          </w:p>
        </w:tc>
      </w:tr>
      <w:tr w:rsidR="00026972" w:rsidRPr="00F32542" w14:paraId="57E5267C" w14:textId="77777777" w:rsidTr="00B65D24">
        <w:trPr>
          <w:jc w:val="center"/>
        </w:trPr>
        <w:tc>
          <w:tcPr>
            <w:tcW w:w="45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7C000271"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No</w:t>
            </w:r>
          </w:p>
        </w:tc>
        <w:tc>
          <w:tcPr>
            <w:tcW w:w="626"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276AA9C8"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proofErr w:type="spellStart"/>
            <w:r w:rsidRPr="00F32542">
              <w:rPr>
                <w:rFonts w:ascii="Arial" w:eastAsia="Arial" w:hAnsi="Arial" w:cs="Arial"/>
                <w:b/>
                <w:color w:val="000000" w:themeColor="text1"/>
                <w:sz w:val="18"/>
                <w:szCs w:val="18"/>
              </w:rPr>
              <w:t>Dtto</w:t>
            </w:r>
            <w:proofErr w:type="spellEnd"/>
            <w:r w:rsidRPr="00F32542">
              <w:rPr>
                <w:rFonts w:ascii="Arial" w:eastAsia="Arial" w:hAnsi="Arial" w:cs="Arial"/>
                <w:b/>
                <w:color w:val="000000" w:themeColor="text1"/>
                <w:sz w:val="18"/>
                <w:szCs w:val="18"/>
              </w:rPr>
              <w:t>.</w:t>
            </w:r>
          </w:p>
        </w:tc>
        <w:tc>
          <w:tcPr>
            <w:tcW w:w="64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42001388"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Sexo</w:t>
            </w:r>
          </w:p>
        </w:tc>
        <w:tc>
          <w:tcPr>
            <w:tcW w:w="195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17FA12E3"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Candidatura propietaria</w:t>
            </w:r>
          </w:p>
        </w:tc>
        <w:tc>
          <w:tcPr>
            <w:tcW w:w="1986"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6FB35711"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Candidatura suplente</w:t>
            </w:r>
          </w:p>
        </w:tc>
        <w:tc>
          <w:tcPr>
            <w:tcW w:w="1390"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4E2027C1"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Porcentaje de votación distrital emitida acorde con el cómputo distrital original</w:t>
            </w:r>
          </w:p>
        </w:tc>
        <w:tc>
          <w:tcPr>
            <w:tcW w:w="1347" w:type="dxa"/>
            <w:tcBorders>
              <w:top w:val="single" w:sz="4" w:space="0" w:color="000000"/>
              <w:left w:val="single" w:sz="4" w:space="0" w:color="000000"/>
              <w:bottom w:val="single" w:sz="4" w:space="0" w:color="auto"/>
              <w:right w:val="single" w:sz="4" w:space="0" w:color="000000"/>
            </w:tcBorders>
            <w:shd w:val="clear" w:color="auto" w:fill="D0CECE"/>
            <w:vAlign w:val="center"/>
          </w:tcPr>
          <w:p w14:paraId="42A1E543" w14:textId="77777777" w:rsidR="00026972" w:rsidRPr="00F32542" w:rsidRDefault="00026972" w:rsidP="00026972">
            <w:pPr>
              <w:spacing w:after="0" w:line="240" w:lineRule="auto"/>
              <w:jc w:val="center"/>
              <w:rPr>
                <w:rFonts w:ascii="Arial" w:eastAsia="Arial" w:hAnsi="Arial" w:cs="Arial"/>
                <w:b/>
                <w:color w:val="000000" w:themeColor="text1"/>
                <w:sz w:val="18"/>
                <w:szCs w:val="18"/>
              </w:rPr>
            </w:pPr>
            <w:r w:rsidRPr="00F32542">
              <w:rPr>
                <w:rFonts w:ascii="Arial" w:eastAsia="Arial" w:hAnsi="Arial" w:cs="Arial"/>
                <w:b/>
                <w:color w:val="000000" w:themeColor="text1"/>
                <w:sz w:val="18"/>
                <w:szCs w:val="18"/>
              </w:rPr>
              <w:t xml:space="preserve">Porcentaje de votación distrital emitida acorde </w:t>
            </w:r>
            <w:proofErr w:type="gramStart"/>
            <w:r w:rsidRPr="00F32542">
              <w:rPr>
                <w:rFonts w:ascii="Arial" w:eastAsia="Arial" w:hAnsi="Arial" w:cs="Arial"/>
                <w:b/>
                <w:color w:val="000000" w:themeColor="text1"/>
                <w:sz w:val="18"/>
                <w:szCs w:val="18"/>
              </w:rPr>
              <w:t>con  el</w:t>
            </w:r>
            <w:proofErr w:type="gramEnd"/>
            <w:r w:rsidRPr="00F32542">
              <w:rPr>
                <w:rFonts w:ascii="Arial" w:eastAsia="Arial" w:hAnsi="Arial" w:cs="Arial"/>
                <w:b/>
                <w:color w:val="000000" w:themeColor="text1"/>
                <w:sz w:val="18"/>
                <w:szCs w:val="18"/>
              </w:rPr>
              <w:t xml:space="preserve"> cómputo distrital recompuesto</w:t>
            </w:r>
          </w:p>
        </w:tc>
      </w:tr>
      <w:tr w:rsidR="00026972" w:rsidRPr="00F32542" w14:paraId="025C7E1C" w14:textId="77777777" w:rsidTr="00B65D24">
        <w:trPr>
          <w:jc w:val="center"/>
        </w:trPr>
        <w:tc>
          <w:tcPr>
            <w:tcW w:w="457" w:type="dxa"/>
            <w:vAlign w:val="center"/>
          </w:tcPr>
          <w:p w14:paraId="0D025983"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w:t>
            </w:r>
          </w:p>
        </w:tc>
        <w:tc>
          <w:tcPr>
            <w:tcW w:w="626" w:type="dxa"/>
            <w:tcBorders>
              <w:top w:val="single" w:sz="4" w:space="0" w:color="000000"/>
              <w:left w:val="single" w:sz="4" w:space="0" w:color="000000"/>
              <w:bottom w:val="single" w:sz="4" w:space="0" w:color="000000"/>
              <w:right w:val="single" w:sz="4" w:space="0" w:color="000000"/>
            </w:tcBorders>
            <w:vAlign w:val="center"/>
          </w:tcPr>
          <w:p w14:paraId="2E30B0B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10</w:t>
            </w:r>
          </w:p>
        </w:tc>
        <w:tc>
          <w:tcPr>
            <w:tcW w:w="647" w:type="dxa"/>
            <w:tcBorders>
              <w:top w:val="single" w:sz="4" w:space="0" w:color="000000"/>
              <w:left w:val="single" w:sz="4" w:space="0" w:color="000000"/>
              <w:bottom w:val="single" w:sz="4" w:space="0" w:color="000000"/>
              <w:right w:val="single" w:sz="4" w:space="0" w:color="000000"/>
            </w:tcBorders>
            <w:vAlign w:val="center"/>
          </w:tcPr>
          <w:p w14:paraId="1CF8F457"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w:t>
            </w:r>
          </w:p>
        </w:tc>
        <w:tc>
          <w:tcPr>
            <w:tcW w:w="1957" w:type="dxa"/>
            <w:tcBorders>
              <w:top w:val="single" w:sz="4" w:space="0" w:color="000000"/>
              <w:left w:val="single" w:sz="4" w:space="0" w:color="000000"/>
              <w:bottom w:val="single" w:sz="4" w:space="0" w:color="000000"/>
              <w:right w:val="single" w:sz="4" w:space="0" w:color="000000"/>
            </w:tcBorders>
            <w:vAlign w:val="center"/>
          </w:tcPr>
          <w:p w14:paraId="15C2717E"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Mónica Fernández César</w:t>
            </w:r>
          </w:p>
        </w:tc>
        <w:tc>
          <w:tcPr>
            <w:tcW w:w="1986" w:type="dxa"/>
            <w:tcBorders>
              <w:top w:val="single" w:sz="4" w:space="0" w:color="000000"/>
              <w:left w:val="single" w:sz="4" w:space="0" w:color="000000"/>
              <w:bottom w:val="single" w:sz="4" w:space="0" w:color="000000"/>
              <w:right w:val="single" w:sz="4" w:space="0" w:color="000000"/>
            </w:tcBorders>
            <w:vAlign w:val="center"/>
          </w:tcPr>
          <w:p w14:paraId="5F88B7FA"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Yolanda Judith Téllez</w:t>
            </w:r>
          </w:p>
          <w:p w14:paraId="1B06DD6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Barragán</w:t>
            </w:r>
          </w:p>
        </w:tc>
        <w:tc>
          <w:tcPr>
            <w:tcW w:w="1390" w:type="dxa"/>
            <w:tcBorders>
              <w:top w:val="single" w:sz="4" w:space="0" w:color="000000"/>
              <w:left w:val="single" w:sz="4" w:space="0" w:color="000000"/>
              <w:bottom w:val="single" w:sz="4" w:space="0" w:color="000000"/>
              <w:right w:val="single" w:sz="4" w:space="0" w:color="000000"/>
            </w:tcBorders>
            <w:vAlign w:val="center"/>
          </w:tcPr>
          <w:p w14:paraId="7169256A"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17.84</w:t>
            </w:r>
          </w:p>
        </w:tc>
        <w:tc>
          <w:tcPr>
            <w:tcW w:w="1347" w:type="dxa"/>
            <w:tcBorders>
              <w:top w:val="single" w:sz="4" w:space="0" w:color="auto"/>
              <w:left w:val="nil"/>
              <w:bottom w:val="single" w:sz="4" w:space="0" w:color="auto"/>
              <w:right w:val="single" w:sz="4" w:space="0" w:color="auto"/>
            </w:tcBorders>
            <w:shd w:val="clear" w:color="auto" w:fill="FFFFFF"/>
            <w:vAlign w:val="center"/>
          </w:tcPr>
          <w:p w14:paraId="69CD41A6"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17.84</w:t>
            </w:r>
          </w:p>
        </w:tc>
      </w:tr>
      <w:tr w:rsidR="00026972" w:rsidRPr="00F32542" w14:paraId="50521257" w14:textId="77777777" w:rsidTr="00B65D24">
        <w:trPr>
          <w:jc w:val="center"/>
        </w:trPr>
        <w:tc>
          <w:tcPr>
            <w:tcW w:w="457" w:type="dxa"/>
            <w:vAlign w:val="center"/>
          </w:tcPr>
          <w:p w14:paraId="315EB4DD"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w:t>
            </w:r>
          </w:p>
        </w:tc>
        <w:tc>
          <w:tcPr>
            <w:tcW w:w="626" w:type="dxa"/>
            <w:tcBorders>
              <w:top w:val="single" w:sz="4" w:space="0" w:color="000000"/>
              <w:left w:val="single" w:sz="4" w:space="0" w:color="000000"/>
              <w:bottom w:val="single" w:sz="4" w:space="0" w:color="000000"/>
              <w:right w:val="single" w:sz="4" w:space="0" w:color="000000"/>
            </w:tcBorders>
            <w:vAlign w:val="center"/>
          </w:tcPr>
          <w:p w14:paraId="194D6113"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30</w:t>
            </w:r>
          </w:p>
        </w:tc>
        <w:tc>
          <w:tcPr>
            <w:tcW w:w="647" w:type="dxa"/>
            <w:tcBorders>
              <w:top w:val="single" w:sz="4" w:space="0" w:color="000000"/>
              <w:left w:val="single" w:sz="4" w:space="0" w:color="000000"/>
              <w:bottom w:val="single" w:sz="4" w:space="0" w:color="000000"/>
              <w:right w:val="single" w:sz="4" w:space="0" w:color="000000"/>
            </w:tcBorders>
            <w:vAlign w:val="center"/>
          </w:tcPr>
          <w:p w14:paraId="4891D7C4"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w:t>
            </w:r>
          </w:p>
        </w:tc>
        <w:tc>
          <w:tcPr>
            <w:tcW w:w="1957" w:type="dxa"/>
            <w:tcBorders>
              <w:top w:val="single" w:sz="4" w:space="0" w:color="000000"/>
              <w:left w:val="single" w:sz="4" w:space="0" w:color="000000"/>
              <w:bottom w:val="single" w:sz="4" w:space="0" w:color="000000"/>
              <w:right w:val="single" w:sz="4" w:space="0" w:color="000000"/>
            </w:tcBorders>
            <w:vAlign w:val="center"/>
          </w:tcPr>
          <w:p w14:paraId="1E0F471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proofErr w:type="spellStart"/>
            <w:r w:rsidRPr="00F32542">
              <w:rPr>
                <w:rFonts w:ascii="Arial" w:eastAsia="Calibri" w:hAnsi="Arial" w:cs="Arial"/>
                <w:color w:val="000000" w:themeColor="text1"/>
                <w:sz w:val="20"/>
                <w:szCs w:val="20"/>
              </w:rPr>
              <w:t>Jhonatan</w:t>
            </w:r>
            <w:proofErr w:type="spellEnd"/>
            <w:r w:rsidRPr="00F32542">
              <w:rPr>
                <w:rFonts w:ascii="Arial" w:eastAsia="Calibri" w:hAnsi="Arial" w:cs="Arial"/>
                <w:color w:val="000000" w:themeColor="text1"/>
                <w:sz w:val="20"/>
                <w:szCs w:val="20"/>
              </w:rPr>
              <w:t xml:space="preserve"> Colmenares</w:t>
            </w:r>
          </w:p>
          <w:p w14:paraId="4B26B20A"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Rentería</w:t>
            </w:r>
          </w:p>
        </w:tc>
        <w:tc>
          <w:tcPr>
            <w:tcW w:w="1986" w:type="dxa"/>
            <w:tcBorders>
              <w:top w:val="single" w:sz="4" w:space="0" w:color="000000"/>
              <w:left w:val="single" w:sz="4" w:space="0" w:color="000000"/>
              <w:bottom w:val="single" w:sz="4" w:space="0" w:color="000000"/>
              <w:right w:val="single" w:sz="4" w:space="0" w:color="000000"/>
            </w:tcBorders>
            <w:vAlign w:val="center"/>
          </w:tcPr>
          <w:p w14:paraId="2689196D"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Jorge Bernardo Franco</w:t>
            </w:r>
          </w:p>
          <w:p w14:paraId="74A144B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proofErr w:type="spellStart"/>
            <w:r w:rsidRPr="00F32542">
              <w:rPr>
                <w:rFonts w:ascii="Arial" w:eastAsia="Calibri" w:hAnsi="Arial" w:cs="Arial"/>
                <w:color w:val="000000" w:themeColor="text1"/>
                <w:sz w:val="20"/>
                <w:szCs w:val="20"/>
              </w:rPr>
              <w:t>Asfura</w:t>
            </w:r>
            <w:proofErr w:type="spellEnd"/>
          </w:p>
        </w:tc>
        <w:tc>
          <w:tcPr>
            <w:tcW w:w="1390" w:type="dxa"/>
            <w:tcBorders>
              <w:top w:val="single" w:sz="4" w:space="0" w:color="000000"/>
              <w:left w:val="single" w:sz="4" w:space="0" w:color="000000"/>
              <w:bottom w:val="single" w:sz="4" w:space="0" w:color="000000"/>
              <w:right w:val="single" w:sz="4" w:space="0" w:color="000000"/>
            </w:tcBorders>
            <w:vAlign w:val="center"/>
          </w:tcPr>
          <w:p w14:paraId="69D6CDD7"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15.61</w:t>
            </w:r>
          </w:p>
        </w:tc>
        <w:tc>
          <w:tcPr>
            <w:tcW w:w="1347" w:type="dxa"/>
            <w:tcBorders>
              <w:top w:val="single" w:sz="4" w:space="0" w:color="auto"/>
              <w:left w:val="nil"/>
              <w:bottom w:val="single" w:sz="4" w:space="0" w:color="auto"/>
              <w:right w:val="single" w:sz="4" w:space="0" w:color="auto"/>
            </w:tcBorders>
            <w:shd w:val="clear" w:color="auto" w:fill="FFFFFF"/>
            <w:vAlign w:val="center"/>
          </w:tcPr>
          <w:p w14:paraId="70A3A08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15.61</w:t>
            </w:r>
          </w:p>
        </w:tc>
      </w:tr>
      <w:tr w:rsidR="00026972" w:rsidRPr="00F32542" w14:paraId="5690C56B" w14:textId="77777777" w:rsidTr="00B65D24">
        <w:trPr>
          <w:jc w:val="center"/>
        </w:trPr>
        <w:tc>
          <w:tcPr>
            <w:tcW w:w="457" w:type="dxa"/>
            <w:vAlign w:val="center"/>
          </w:tcPr>
          <w:p w14:paraId="77966F8A"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w:t>
            </w:r>
          </w:p>
        </w:tc>
        <w:tc>
          <w:tcPr>
            <w:tcW w:w="626" w:type="dxa"/>
            <w:tcBorders>
              <w:top w:val="single" w:sz="4" w:space="0" w:color="000000"/>
              <w:left w:val="single" w:sz="4" w:space="0" w:color="000000"/>
              <w:bottom w:val="single" w:sz="4" w:space="0" w:color="000000"/>
              <w:right w:val="single" w:sz="4" w:space="0" w:color="000000"/>
            </w:tcBorders>
            <w:vAlign w:val="center"/>
          </w:tcPr>
          <w:p w14:paraId="6141FC77"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25</w:t>
            </w:r>
          </w:p>
        </w:tc>
        <w:tc>
          <w:tcPr>
            <w:tcW w:w="647" w:type="dxa"/>
            <w:tcBorders>
              <w:top w:val="single" w:sz="4" w:space="0" w:color="000000"/>
              <w:left w:val="single" w:sz="4" w:space="0" w:color="000000"/>
              <w:bottom w:val="single" w:sz="4" w:space="0" w:color="000000"/>
              <w:right w:val="single" w:sz="4" w:space="0" w:color="000000"/>
            </w:tcBorders>
            <w:vAlign w:val="center"/>
          </w:tcPr>
          <w:p w14:paraId="3B7F3A78"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w:t>
            </w:r>
          </w:p>
        </w:tc>
        <w:tc>
          <w:tcPr>
            <w:tcW w:w="1957" w:type="dxa"/>
            <w:tcBorders>
              <w:top w:val="single" w:sz="4" w:space="0" w:color="000000"/>
              <w:left w:val="single" w:sz="4" w:space="0" w:color="000000"/>
              <w:bottom w:val="single" w:sz="4" w:space="0" w:color="000000"/>
              <w:right w:val="single" w:sz="4" w:space="0" w:color="000000"/>
            </w:tcBorders>
            <w:vAlign w:val="center"/>
          </w:tcPr>
          <w:p w14:paraId="1AF2F440"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proofErr w:type="spellStart"/>
            <w:r w:rsidRPr="00F32542">
              <w:rPr>
                <w:rFonts w:ascii="Arial" w:eastAsia="Calibri" w:hAnsi="Arial" w:cs="Arial"/>
                <w:color w:val="000000" w:themeColor="text1"/>
                <w:sz w:val="20"/>
                <w:szCs w:val="20"/>
              </w:rPr>
              <w:t>Nitzia</w:t>
            </w:r>
            <w:proofErr w:type="spellEnd"/>
            <w:r w:rsidRPr="00F32542">
              <w:rPr>
                <w:rFonts w:ascii="Arial" w:eastAsia="Calibri" w:hAnsi="Arial" w:cs="Arial"/>
                <w:color w:val="000000" w:themeColor="text1"/>
                <w:sz w:val="20"/>
                <w:szCs w:val="20"/>
              </w:rPr>
              <w:t xml:space="preserve"> Lucero Rosas Chávez</w:t>
            </w:r>
          </w:p>
        </w:tc>
        <w:tc>
          <w:tcPr>
            <w:tcW w:w="1986" w:type="dxa"/>
            <w:tcBorders>
              <w:top w:val="single" w:sz="4" w:space="0" w:color="000000"/>
              <w:left w:val="single" w:sz="4" w:space="0" w:color="000000"/>
              <w:bottom w:val="single" w:sz="4" w:space="0" w:color="000000"/>
              <w:right w:val="single" w:sz="4" w:space="0" w:color="000000"/>
            </w:tcBorders>
            <w:vAlign w:val="center"/>
          </w:tcPr>
          <w:p w14:paraId="7590E8E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Lorena Sánchez Becerril</w:t>
            </w:r>
          </w:p>
        </w:tc>
        <w:tc>
          <w:tcPr>
            <w:tcW w:w="1390" w:type="dxa"/>
            <w:tcBorders>
              <w:top w:val="single" w:sz="4" w:space="0" w:color="000000"/>
              <w:left w:val="single" w:sz="4" w:space="0" w:color="000000"/>
              <w:bottom w:val="single" w:sz="4" w:space="0" w:color="000000"/>
              <w:right w:val="single" w:sz="4" w:space="0" w:color="000000"/>
            </w:tcBorders>
            <w:vAlign w:val="center"/>
          </w:tcPr>
          <w:p w14:paraId="5342F154"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15.52</w:t>
            </w:r>
          </w:p>
        </w:tc>
        <w:tc>
          <w:tcPr>
            <w:tcW w:w="1347" w:type="dxa"/>
            <w:tcBorders>
              <w:top w:val="single" w:sz="4" w:space="0" w:color="auto"/>
              <w:left w:val="nil"/>
              <w:bottom w:val="single" w:sz="4" w:space="0" w:color="auto"/>
              <w:right w:val="single" w:sz="4" w:space="0" w:color="auto"/>
            </w:tcBorders>
            <w:shd w:val="clear" w:color="auto" w:fill="FFFFFF"/>
            <w:vAlign w:val="center"/>
          </w:tcPr>
          <w:p w14:paraId="4A310B7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15.52</w:t>
            </w:r>
          </w:p>
        </w:tc>
      </w:tr>
      <w:tr w:rsidR="00026972" w:rsidRPr="00F32542" w14:paraId="780B3C95" w14:textId="77777777" w:rsidTr="00B65D24">
        <w:trPr>
          <w:jc w:val="center"/>
        </w:trPr>
        <w:tc>
          <w:tcPr>
            <w:tcW w:w="457" w:type="dxa"/>
            <w:vAlign w:val="center"/>
          </w:tcPr>
          <w:p w14:paraId="0AF26BC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w:t>
            </w:r>
          </w:p>
        </w:tc>
        <w:tc>
          <w:tcPr>
            <w:tcW w:w="626" w:type="dxa"/>
            <w:tcBorders>
              <w:top w:val="single" w:sz="4" w:space="0" w:color="000000"/>
              <w:left w:val="single" w:sz="4" w:space="0" w:color="000000"/>
              <w:bottom w:val="single" w:sz="4" w:space="0" w:color="000000"/>
              <w:right w:val="single" w:sz="4" w:space="0" w:color="000000"/>
            </w:tcBorders>
            <w:vAlign w:val="center"/>
          </w:tcPr>
          <w:p w14:paraId="111D2C80"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14</w:t>
            </w:r>
          </w:p>
        </w:tc>
        <w:tc>
          <w:tcPr>
            <w:tcW w:w="647" w:type="dxa"/>
            <w:tcBorders>
              <w:top w:val="single" w:sz="4" w:space="0" w:color="000000"/>
              <w:left w:val="single" w:sz="4" w:space="0" w:color="000000"/>
              <w:bottom w:val="single" w:sz="4" w:space="0" w:color="000000"/>
              <w:right w:val="single" w:sz="4" w:space="0" w:color="000000"/>
            </w:tcBorders>
            <w:vAlign w:val="center"/>
          </w:tcPr>
          <w:p w14:paraId="2740EC5D"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w:t>
            </w:r>
          </w:p>
        </w:tc>
        <w:tc>
          <w:tcPr>
            <w:tcW w:w="1957" w:type="dxa"/>
            <w:tcBorders>
              <w:top w:val="single" w:sz="4" w:space="0" w:color="000000"/>
              <w:left w:val="single" w:sz="4" w:space="0" w:color="000000"/>
              <w:bottom w:val="single" w:sz="4" w:space="0" w:color="000000"/>
              <w:right w:val="single" w:sz="4" w:space="0" w:color="000000"/>
            </w:tcBorders>
            <w:vAlign w:val="center"/>
          </w:tcPr>
          <w:p w14:paraId="00B878AA"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Alejandro Argüelles </w:t>
            </w:r>
            <w:proofErr w:type="spellStart"/>
            <w:r w:rsidRPr="00F32542">
              <w:rPr>
                <w:rFonts w:ascii="Arial" w:eastAsia="Calibri" w:hAnsi="Arial" w:cs="Arial"/>
                <w:color w:val="000000" w:themeColor="text1"/>
                <w:sz w:val="20"/>
                <w:szCs w:val="20"/>
              </w:rPr>
              <w:t>Almontes</w:t>
            </w:r>
            <w:proofErr w:type="spellEnd"/>
          </w:p>
        </w:tc>
        <w:tc>
          <w:tcPr>
            <w:tcW w:w="1986" w:type="dxa"/>
            <w:tcBorders>
              <w:top w:val="single" w:sz="4" w:space="0" w:color="000000"/>
              <w:left w:val="single" w:sz="4" w:space="0" w:color="000000"/>
              <w:bottom w:val="single" w:sz="4" w:space="0" w:color="000000"/>
              <w:right w:val="single" w:sz="4" w:space="0" w:color="000000"/>
            </w:tcBorders>
            <w:vAlign w:val="center"/>
          </w:tcPr>
          <w:p w14:paraId="3FF9D32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Pedro Ignacio Castro</w:t>
            </w:r>
          </w:p>
          <w:p w14:paraId="6E27086A"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Enríquez</w:t>
            </w:r>
          </w:p>
        </w:tc>
        <w:tc>
          <w:tcPr>
            <w:tcW w:w="1390" w:type="dxa"/>
            <w:tcBorders>
              <w:top w:val="single" w:sz="4" w:space="0" w:color="000000"/>
              <w:left w:val="single" w:sz="4" w:space="0" w:color="000000"/>
              <w:bottom w:val="single" w:sz="4" w:space="0" w:color="000000"/>
              <w:right w:val="single" w:sz="4" w:space="0" w:color="000000"/>
            </w:tcBorders>
            <w:vAlign w:val="center"/>
          </w:tcPr>
          <w:p w14:paraId="6A7AB01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14.61</w:t>
            </w:r>
          </w:p>
        </w:tc>
        <w:tc>
          <w:tcPr>
            <w:tcW w:w="1347" w:type="dxa"/>
            <w:tcBorders>
              <w:top w:val="single" w:sz="4" w:space="0" w:color="auto"/>
              <w:left w:val="nil"/>
              <w:bottom w:val="single" w:sz="4" w:space="0" w:color="auto"/>
              <w:right w:val="single" w:sz="4" w:space="0" w:color="auto"/>
            </w:tcBorders>
            <w:shd w:val="clear" w:color="auto" w:fill="FFFFFF"/>
            <w:vAlign w:val="center"/>
          </w:tcPr>
          <w:p w14:paraId="7FC307B2"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14.61</w:t>
            </w:r>
          </w:p>
        </w:tc>
      </w:tr>
      <w:tr w:rsidR="00026972" w:rsidRPr="00F32542" w14:paraId="6CF5A06F" w14:textId="77777777" w:rsidTr="00B65D24">
        <w:trPr>
          <w:jc w:val="center"/>
        </w:trPr>
        <w:tc>
          <w:tcPr>
            <w:tcW w:w="457" w:type="dxa"/>
            <w:vAlign w:val="center"/>
          </w:tcPr>
          <w:p w14:paraId="62202952"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5</w:t>
            </w:r>
          </w:p>
        </w:tc>
        <w:tc>
          <w:tcPr>
            <w:tcW w:w="626" w:type="dxa"/>
            <w:tcBorders>
              <w:top w:val="single" w:sz="4" w:space="0" w:color="000000"/>
              <w:left w:val="single" w:sz="4" w:space="0" w:color="000000"/>
              <w:bottom w:val="single" w:sz="4" w:space="0" w:color="000000"/>
              <w:right w:val="single" w:sz="4" w:space="0" w:color="000000"/>
            </w:tcBorders>
            <w:vAlign w:val="center"/>
          </w:tcPr>
          <w:p w14:paraId="06DE1F1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15</w:t>
            </w:r>
          </w:p>
        </w:tc>
        <w:tc>
          <w:tcPr>
            <w:tcW w:w="647" w:type="dxa"/>
            <w:tcBorders>
              <w:top w:val="single" w:sz="4" w:space="0" w:color="000000"/>
              <w:left w:val="single" w:sz="4" w:space="0" w:color="000000"/>
              <w:bottom w:val="single" w:sz="4" w:space="0" w:color="000000"/>
              <w:right w:val="single" w:sz="4" w:space="0" w:color="000000"/>
            </w:tcBorders>
            <w:vAlign w:val="center"/>
          </w:tcPr>
          <w:p w14:paraId="125C335E"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w:t>
            </w:r>
          </w:p>
        </w:tc>
        <w:tc>
          <w:tcPr>
            <w:tcW w:w="1957" w:type="dxa"/>
            <w:tcBorders>
              <w:top w:val="single" w:sz="4" w:space="0" w:color="000000"/>
              <w:left w:val="single" w:sz="4" w:space="0" w:color="000000"/>
              <w:bottom w:val="single" w:sz="4" w:space="0" w:color="000000"/>
              <w:right w:val="single" w:sz="4" w:space="0" w:color="000000"/>
            </w:tcBorders>
            <w:vAlign w:val="center"/>
          </w:tcPr>
          <w:p w14:paraId="762B477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Jessica Morales García</w:t>
            </w:r>
          </w:p>
        </w:tc>
        <w:tc>
          <w:tcPr>
            <w:tcW w:w="1986" w:type="dxa"/>
            <w:tcBorders>
              <w:top w:val="single" w:sz="4" w:space="0" w:color="000000"/>
              <w:left w:val="single" w:sz="4" w:space="0" w:color="000000"/>
              <w:bottom w:val="single" w:sz="4" w:space="0" w:color="000000"/>
              <w:right w:val="single" w:sz="4" w:space="0" w:color="000000"/>
            </w:tcBorders>
            <w:vAlign w:val="center"/>
          </w:tcPr>
          <w:p w14:paraId="75622B92"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Karen Viridiana Valencia</w:t>
            </w:r>
          </w:p>
          <w:p w14:paraId="522E83D6"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Jiménez</w:t>
            </w:r>
          </w:p>
        </w:tc>
        <w:tc>
          <w:tcPr>
            <w:tcW w:w="1390" w:type="dxa"/>
            <w:tcBorders>
              <w:top w:val="single" w:sz="4" w:space="0" w:color="000000"/>
              <w:left w:val="single" w:sz="4" w:space="0" w:color="000000"/>
              <w:bottom w:val="single" w:sz="4" w:space="0" w:color="000000"/>
              <w:right w:val="single" w:sz="4" w:space="0" w:color="000000"/>
            </w:tcBorders>
            <w:vAlign w:val="center"/>
          </w:tcPr>
          <w:p w14:paraId="5D849610"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15.18</w:t>
            </w:r>
          </w:p>
        </w:tc>
        <w:tc>
          <w:tcPr>
            <w:tcW w:w="1347" w:type="dxa"/>
            <w:tcBorders>
              <w:top w:val="single" w:sz="4" w:space="0" w:color="auto"/>
              <w:left w:val="nil"/>
              <w:bottom w:val="single" w:sz="4" w:space="0" w:color="auto"/>
              <w:right w:val="single" w:sz="4" w:space="0" w:color="auto"/>
            </w:tcBorders>
            <w:shd w:val="clear" w:color="auto" w:fill="FFFFFF"/>
            <w:vAlign w:val="center"/>
          </w:tcPr>
          <w:p w14:paraId="427DBE2D"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15.18</w:t>
            </w:r>
          </w:p>
        </w:tc>
      </w:tr>
      <w:tr w:rsidR="00026972" w:rsidRPr="00F32542" w14:paraId="5B8EAE8C" w14:textId="77777777" w:rsidTr="00B65D24">
        <w:trPr>
          <w:jc w:val="center"/>
        </w:trPr>
        <w:tc>
          <w:tcPr>
            <w:tcW w:w="457" w:type="dxa"/>
            <w:vAlign w:val="center"/>
          </w:tcPr>
          <w:p w14:paraId="2618A53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6</w:t>
            </w:r>
          </w:p>
        </w:tc>
        <w:tc>
          <w:tcPr>
            <w:tcW w:w="626" w:type="dxa"/>
            <w:tcBorders>
              <w:top w:val="single" w:sz="4" w:space="0" w:color="000000"/>
              <w:left w:val="single" w:sz="4" w:space="0" w:color="000000"/>
              <w:bottom w:val="single" w:sz="4" w:space="0" w:color="000000"/>
              <w:right w:val="single" w:sz="4" w:space="0" w:color="000000"/>
            </w:tcBorders>
            <w:vAlign w:val="center"/>
          </w:tcPr>
          <w:p w14:paraId="1A879949"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19</w:t>
            </w:r>
          </w:p>
        </w:tc>
        <w:tc>
          <w:tcPr>
            <w:tcW w:w="647" w:type="dxa"/>
            <w:tcBorders>
              <w:top w:val="single" w:sz="4" w:space="0" w:color="000000"/>
              <w:left w:val="single" w:sz="4" w:space="0" w:color="000000"/>
              <w:bottom w:val="single" w:sz="4" w:space="0" w:color="000000"/>
              <w:right w:val="single" w:sz="4" w:space="0" w:color="000000"/>
            </w:tcBorders>
            <w:vAlign w:val="center"/>
          </w:tcPr>
          <w:p w14:paraId="5F10389E"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w:t>
            </w:r>
          </w:p>
        </w:tc>
        <w:tc>
          <w:tcPr>
            <w:tcW w:w="1957" w:type="dxa"/>
            <w:tcBorders>
              <w:top w:val="single" w:sz="4" w:space="0" w:color="000000"/>
              <w:left w:val="single" w:sz="4" w:space="0" w:color="000000"/>
              <w:bottom w:val="single" w:sz="4" w:space="0" w:color="000000"/>
              <w:right w:val="single" w:sz="4" w:space="0" w:color="000000"/>
            </w:tcBorders>
            <w:vAlign w:val="center"/>
          </w:tcPr>
          <w:p w14:paraId="0C5900F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Gustavo Nabor Ojeda Delgado</w:t>
            </w:r>
          </w:p>
        </w:tc>
        <w:tc>
          <w:tcPr>
            <w:tcW w:w="1986" w:type="dxa"/>
            <w:tcBorders>
              <w:top w:val="single" w:sz="4" w:space="0" w:color="000000"/>
              <w:left w:val="single" w:sz="4" w:space="0" w:color="000000"/>
              <w:bottom w:val="single" w:sz="4" w:space="0" w:color="000000"/>
              <w:right w:val="single" w:sz="4" w:space="0" w:color="000000"/>
            </w:tcBorders>
            <w:vAlign w:val="center"/>
          </w:tcPr>
          <w:p w14:paraId="4D867EA3"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Carlos Chávez Velasco</w:t>
            </w:r>
          </w:p>
        </w:tc>
        <w:tc>
          <w:tcPr>
            <w:tcW w:w="1390" w:type="dxa"/>
            <w:tcBorders>
              <w:top w:val="single" w:sz="4" w:space="0" w:color="000000"/>
              <w:left w:val="single" w:sz="4" w:space="0" w:color="000000"/>
              <w:bottom w:val="single" w:sz="4" w:space="0" w:color="000000"/>
              <w:right w:val="single" w:sz="4" w:space="0" w:color="000000"/>
            </w:tcBorders>
            <w:vAlign w:val="center"/>
          </w:tcPr>
          <w:p w14:paraId="3BB4FF9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13.65</w:t>
            </w:r>
          </w:p>
        </w:tc>
        <w:tc>
          <w:tcPr>
            <w:tcW w:w="1347" w:type="dxa"/>
            <w:tcBorders>
              <w:top w:val="single" w:sz="4" w:space="0" w:color="auto"/>
              <w:left w:val="nil"/>
              <w:bottom w:val="single" w:sz="4" w:space="0" w:color="auto"/>
              <w:right w:val="single" w:sz="4" w:space="0" w:color="auto"/>
            </w:tcBorders>
            <w:shd w:val="clear" w:color="auto" w:fill="FFFFFF"/>
            <w:vAlign w:val="center"/>
          </w:tcPr>
          <w:p w14:paraId="29BD3B0A"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13.65</w:t>
            </w:r>
          </w:p>
        </w:tc>
      </w:tr>
      <w:tr w:rsidR="00026972" w:rsidRPr="00F32542" w14:paraId="69389695" w14:textId="77777777" w:rsidTr="00B65D24">
        <w:trPr>
          <w:jc w:val="center"/>
        </w:trPr>
        <w:tc>
          <w:tcPr>
            <w:tcW w:w="457" w:type="dxa"/>
            <w:vAlign w:val="center"/>
          </w:tcPr>
          <w:p w14:paraId="0BCB086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7</w:t>
            </w:r>
          </w:p>
        </w:tc>
        <w:tc>
          <w:tcPr>
            <w:tcW w:w="626" w:type="dxa"/>
            <w:tcBorders>
              <w:top w:val="single" w:sz="4" w:space="0" w:color="000000"/>
              <w:left w:val="single" w:sz="4" w:space="0" w:color="000000"/>
              <w:bottom w:val="single" w:sz="4" w:space="0" w:color="000000"/>
              <w:right w:val="single" w:sz="4" w:space="0" w:color="000000"/>
            </w:tcBorders>
            <w:vAlign w:val="center"/>
          </w:tcPr>
          <w:p w14:paraId="070D2AB6"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28</w:t>
            </w:r>
          </w:p>
        </w:tc>
        <w:tc>
          <w:tcPr>
            <w:tcW w:w="647" w:type="dxa"/>
            <w:tcBorders>
              <w:top w:val="single" w:sz="4" w:space="0" w:color="000000"/>
              <w:left w:val="single" w:sz="4" w:space="0" w:color="000000"/>
              <w:bottom w:val="single" w:sz="4" w:space="0" w:color="000000"/>
              <w:right w:val="single" w:sz="4" w:space="0" w:color="000000"/>
            </w:tcBorders>
            <w:vAlign w:val="center"/>
          </w:tcPr>
          <w:p w14:paraId="1F2C47CF"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w:t>
            </w:r>
          </w:p>
        </w:tc>
        <w:tc>
          <w:tcPr>
            <w:tcW w:w="1957" w:type="dxa"/>
            <w:tcBorders>
              <w:top w:val="single" w:sz="4" w:space="0" w:color="000000"/>
              <w:left w:val="single" w:sz="4" w:space="0" w:color="000000"/>
              <w:bottom w:val="single" w:sz="4" w:space="0" w:color="000000"/>
              <w:right w:val="single" w:sz="4" w:space="0" w:color="000000"/>
            </w:tcBorders>
            <w:vAlign w:val="center"/>
          </w:tcPr>
          <w:p w14:paraId="00CB92D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Dulce Violeta Carrillo Jaime</w:t>
            </w:r>
          </w:p>
        </w:tc>
        <w:tc>
          <w:tcPr>
            <w:tcW w:w="1986" w:type="dxa"/>
            <w:tcBorders>
              <w:top w:val="single" w:sz="4" w:space="0" w:color="000000"/>
              <w:left w:val="single" w:sz="4" w:space="0" w:color="000000"/>
              <w:bottom w:val="single" w:sz="4" w:space="0" w:color="000000"/>
              <w:right w:val="single" w:sz="4" w:space="0" w:color="000000"/>
            </w:tcBorders>
            <w:vAlign w:val="center"/>
          </w:tcPr>
          <w:p w14:paraId="1CCBFB66"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Anahy Moreno Bueno</w:t>
            </w:r>
          </w:p>
        </w:tc>
        <w:tc>
          <w:tcPr>
            <w:tcW w:w="1390" w:type="dxa"/>
            <w:tcBorders>
              <w:top w:val="single" w:sz="4" w:space="0" w:color="000000"/>
              <w:left w:val="single" w:sz="4" w:space="0" w:color="000000"/>
              <w:bottom w:val="single" w:sz="4" w:space="0" w:color="000000"/>
              <w:right w:val="single" w:sz="4" w:space="0" w:color="000000"/>
            </w:tcBorders>
            <w:vAlign w:val="center"/>
          </w:tcPr>
          <w:p w14:paraId="5878369F"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14.54</w:t>
            </w:r>
          </w:p>
        </w:tc>
        <w:tc>
          <w:tcPr>
            <w:tcW w:w="1347" w:type="dxa"/>
            <w:tcBorders>
              <w:top w:val="single" w:sz="4" w:space="0" w:color="auto"/>
              <w:left w:val="nil"/>
              <w:bottom w:val="single" w:sz="4" w:space="0" w:color="auto"/>
              <w:right w:val="single" w:sz="4" w:space="0" w:color="auto"/>
            </w:tcBorders>
            <w:shd w:val="clear" w:color="auto" w:fill="FFFFFF"/>
            <w:vAlign w:val="center"/>
          </w:tcPr>
          <w:p w14:paraId="16D44A7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14.58</w:t>
            </w:r>
          </w:p>
        </w:tc>
      </w:tr>
      <w:tr w:rsidR="00026972" w:rsidRPr="00F32542" w14:paraId="1E6749A1" w14:textId="77777777" w:rsidTr="00B65D24">
        <w:trPr>
          <w:jc w:val="center"/>
        </w:trPr>
        <w:tc>
          <w:tcPr>
            <w:tcW w:w="457" w:type="dxa"/>
            <w:vAlign w:val="center"/>
          </w:tcPr>
          <w:p w14:paraId="3AF5C18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8</w:t>
            </w:r>
          </w:p>
        </w:tc>
        <w:tc>
          <w:tcPr>
            <w:tcW w:w="626" w:type="dxa"/>
            <w:tcBorders>
              <w:top w:val="single" w:sz="4" w:space="0" w:color="000000"/>
              <w:left w:val="single" w:sz="4" w:space="0" w:color="000000"/>
              <w:bottom w:val="single" w:sz="4" w:space="0" w:color="000000"/>
              <w:right w:val="single" w:sz="4" w:space="0" w:color="000000"/>
            </w:tcBorders>
            <w:vAlign w:val="center"/>
          </w:tcPr>
          <w:p w14:paraId="010EF586"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w:t>
            </w:r>
          </w:p>
        </w:tc>
        <w:tc>
          <w:tcPr>
            <w:tcW w:w="647" w:type="dxa"/>
            <w:tcBorders>
              <w:top w:val="single" w:sz="4" w:space="0" w:color="000000"/>
              <w:left w:val="single" w:sz="4" w:space="0" w:color="000000"/>
              <w:bottom w:val="single" w:sz="4" w:space="0" w:color="000000"/>
              <w:right w:val="single" w:sz="4" w:space="0" w:color="000000"/>
            </w:tcBorders>
            <w:vAlign w:val="center"/>
          </w:tcPr>
          <w:p w14:paraId="35EDCB1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w:t>
            </w:r>
          </w:p>
        </w:tc>
        <w:tc>
          <w:tcPr>
            <w:tcW w:w="1957" w:type="dxa"/>
            <w:tcBorders>
              <w:top w:val="single" w:sz="4" w:space="0" w:color="000000"/>
              <w:left w:val="single" w:sz="4" w:space="0" w:color="000000"/>
              <w:bottom w:val="single" w:sz="4" w:space="0" w:color="000000"/>
              <w:right w:val="single" w:sz="4" w:space="0" w:color="000000"/>
            </w:tcBorders>
            <w:vAlign w:val="center"/>
          </w:tcPr>
          <w:p w14:paraId="7E9591D7"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Ángel Gutiérrez Javier</w:t>
            </w:r>
          </w:p>
        </w:tc>
        <w:tc>
          <w:tcPr>
            <w:tcW w:w="1986" w:type="dxa"/>
            <w:tcBorders>
              <w:top w:val="single" w:sz="4" w:space="0" w:color="000000"/>
              <w:left w:val="single" w:sz="4" w:space="0" w:color="000000"/>
              <w:bottom w:val="single" w:sz="4" w:space="0" w:color="000000"/>
              <w:right w:val="single" w:sz="4" w:space="0" w:color="000000"/>
            </w:tcBorders>
            <w:vAlign w:val="center"/>
          </w:tcPr>
          <w:p w14:paraId="4B08D1E7"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Fernando Gómez Miranda</w:t>
            </w:r>
          </w:p>
        </w:tc>
        <w:tc>
          <w:tcPr>
            <w:tcW w:w="1390" w:type="dxa"/>
            <w:tcBorders>
              <w:top w:val="single" w:sz="4" w:space="0" w:color="000000"/>
              <w:left w:val="single" w:sz="4" w:space="0" w:color="000000"/>
              <w:bottom w:val="single" w:sz="4" w:space="0" w:color="000000"/>
              <w:right w:val="single" w:sz="4" w:space="0" w:color="000000"/>
            </w:tcBorders>
            <w:vAlign w:val="center"/>
          </w:tcPr>
          <w:p w14:paraId="2C695ADE"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13.56</w:t>
            </w:r>
          </w:p>
        </w:tc>
        <w:tc>
          <w:tcPr>
            <w:tcW w:w="1347" w:type="dxa"/>
            <w:tcBorders>
              <w:top w:val="single" w:sz="4" w:space="0" w:color="auto"/>
              <w:left w:val="nil"/>
              <w:bottom w:val="single" w:sz="4" w:space="0" w:color="auto"/>
              <w:right w:val="single" w:sz="4" w:space="0" w:color="auto"/>
            </w:tcBorders>
            <w:shd w:val="clear" w:color="auto" w:fill="FFFFFF"/>
            <w:vAlign w:val="center"/>
          </w:tcPr>
          <w:p w14:paraId="60CFC938"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13.56</w:t>
            </w:r>
          </w:p>
        </w:tc>
      </w:tr>
      <w:tr w:rsidR="00026972" w:rsidRPr="00F32542" w14:paraId="319E2281" w14:textId="77777777" w:rsidTr="00B65D24">
        <w:trPr>
          <w:jc w:val="center"/>
        </w:trPr>
        <w:tc>
          <w:tcPr>
            <w:tcW w:w="457" w:type="dxa"/>
            <w:vAlign w:val="center"/>
          </w:tcPr>
          <w:p w14:paraId="7B80689F"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9</w:t>
            </w:r>
          </w:p>
        </w:tc>
        <w:tc>
          <w:tcPr>
            <w:tcW w:w="626" w:type="dxa"/>
            <w:tcBorders>
              <w:top w:val="single" w:sz="4" w:space="0" w:color="000000"/>
              <w:left w:val="single" w:sz="4" w:space="0" w:color="000000"/>
              <w:bottom w:val="single" w:sz="4" w:space="0" w:color="000000"/>
              <w:right w:val="single" w:sz="4" w:space="0" w:color="000000"/>
            </w:tcBorders>
            <w:vAlign w:val="center"/>
          </w:tcPr>
          <w:p w14:paraId="083A9260"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23</w:t>
            </w:r>
          </w:p>
        </w:tc>
        <w:tc>
          <w:tcPr>
            <w:tcW w:w="647" w:type="dxa"/>
            <w:tcBorders>
              <w:top w:val="single" w:sz="4" w:space="0" w:color="000000"/>
              <w:left w:val="single" w:sz="4" w:space="0" w:color="000000"/>
              <w:bottom w:val="single" w:sz="4" w:space="0" w:color="000000"/>
              <w:right w:val="single" w:sz="4" w:space="0" w:color="000000"/>
            </w:tcBorders>
            <w:vAlign w:val="center"/>
          </w:tcPr>
          <w:p w14:paraId="4A0E3508"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w:t>
            </w:r>
          </w:p>
        </w:tc>
        <w:tc>
          <w:tcPr>
            <w:tcW w:w="1957" w:type="dxa"/>
            <w:tcBorders>
              <w:top w:val="single" w:sz="4" w:space="0" w:color="000000"/>
              <w:left w:val="single" w:sz="4" w:space="0" w:color="000000"/>
              <w:bottom w:val="single" w:sz="4" w:space="0" w:color="000000"/>
              <w:right w:val="single" w:sz="4" w:space="0" w:color="000000"/>
            </w:tcBorders>
            <w:vAlign w:val="center"/>
          </w:tcPr>
          <w:p w14:paraId="1E154AAD"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Jacqueline Villarreal García</w:t>
            </w:r>
          </w:p>
        </w:tc>
        <w:tc>
          <w:tcPr>
            <w:tcW w:w="1986" w:type="dxa"/>
            <w:tcBorders>
              <w:top w:val="single" w:sz="4" w:space="0" w:color="000000"/>
              <w:left w:val="single" w:sz="4" w:space="0" w:color="000000"/>
              <w:bottom w:val="single" w:sz="4" w:space="0" w:color="000000"/>
              <w:right w:val="single" w:sz="4" w:space="0" w:color="000000"/>
            </w:tcBorders>
            <w:vAlign w:val="center"/>
          </w:tcPr>
          <w:p w14:paraId="31DE8F5D"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Dayana Karen Peña Cortés</w:t>
            </w:r>
          </w:p>
        </w:tc>
        <w:tc>
          <w:tcPr>
            <w:tcW w:w="1390" w:type="dxa"/>
            <w:tcBorders>
              <w:top w:val="single" w:sz="4" w:space="0" w:color="000000"/>
              <w:left w:val="single" w:sz="4" w:space="0" w:color="000000"/>
              <w:bottom w:val="single" w:sz="4" w:space="0" w:color="000000"/>
              <w:right w:val="single" w:sz="4" w:space="0" w:color="000000"/>
            </w:tcBorders>
            <w:vAlign w:val="center"/>
          </w:tcPr>
          <w:p w14:paraId="422EA552"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14.33</w:t>
            </w:r>
          </w:p>
        </w:tc>
        <w:tc>
          <w:tcPr>
            <w:tcW w:w="1347" w:type="dxa"/>
            <w:tcBorders>
              <w:top w:val="single" w:sz="4" w:space="0" w:color="auto"/>
              <w:left w:val="nil"/>
              <w:bottom w:val="single" w:sz="4" w:space="0" w:color="auto"/>
              <w:right w:val="single" w:sz="4" w:space="0" w:color="auto"/>
            </w:tcBorders>
            <w:shd w:val="clear" w:color="auto" w:fill="FFFFFF"/>
            <w:vAlign w:val="center"/>
          </w:tcPr>
          <w:p w14:paraId="1289200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14.33</w:t>
            </w:r>
          </w:p>
        </w:tc>
      </w:tr>
      <w:tr w:rsidR="00026972" w:rsidRPr="00F32542" w14:paraId="1E79678E" w14:textId="77777777" w:rsidTr="00B65D24">
        <w:trPr>
          <w:jc w:val="center"/>
        </w:trPr>
        <w:tc>
          <w:tcPr>
            <w:tcW w:w="457" w:type="dxa"/>
            <w:vAlign w:val="center"/>
          </w:tcPr>
          <w:p w14:paraId="1A9E7BA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10</w:t>
            </w:r>
          </w:p>
        </w:tc>
        <w:tc>
          <w:tcPr>
            <w:tcW w:w="626" w:type="dxa"/>
            <w:tcBorders>
              <w:top w:val="single" w:sz="4" w:space="0" w:color="000000"/>
              <w:left w:val="single" w:sz="4" w:space="0" w:color="000000"/>
              <w:bottom w:val="single" w:sz="4" w:space="0" w:color="000000"/>
              <w:right w:val="single" w:sz="4" w:space="0" w:color="000000"/>
            </w:tcBorders>
            <w:vAlign w:val="center"/>
          </w:tcPr>
          <w:p w14:paraId="4CFB099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31</w:t>
            </w:r>
          </w:p>
        </w:tc>
        <w:tc>
          <w:tcPr>
            <w:tcW w:w="647" w:type="dxa"/>
            <w:tcBorders>
              <w:top w:val="single" w:sz="4" w:space="0" w:color="000000"/>
              <w:left w:val="single" w:sz="4" w:space="0" w:color="000000"/>
              <w:bottom w:val="single" w:sz="4" w:space="0" w:color="000000"/>
              <w:right w:val="single" w:sz="4" w:space="0" w:color="000000"/>
            </w:tcBorders>
            <w:vAlign w:val="center"/>
          </w:tcPr>
          <w:p w14:paraId="55AACD3A"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w:t>
            </w:r>
          </w:p>
        </w:tc>
        <w:tc>
          <w:tcPr>
            <w:tcW w:w="1957" w:type="dxa"/>
            <w:tcBorders>
              <w:top w:val="single" w:sz="4" w:space="0" w:color="000000"/>
              <w:left w:val="single" w:sz="4" w:space="0" w:color="000000"/>
              <w:bottom w:val="single" w:sz="4" w:space="0" w:color="000000"/>
              <w:right w:val="single" w:sz="4" w:space="0" w:color="000000"/>
            </w:tcBorders>
            <w:vAlign w:val="center"/>
          </w:tcPr>
          <w:p w14:paraId="149003D6"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Efrén Sánchez Jiménez</w:t>
            </w:r>
          </w:p>
        </w:tc>
        <w:tc>
          <w:tcPr>
            <w:tcW w:w="1986" w:type="dxa"/>
            <w:tcBorders>
              <w:top w:val="single" w:sz="4" w:space="0" w:color="000000"/>
              <w:left w:val="single" w:sz="4" w:space="0" w:color="000000"/>
              <w:bottom w:val="single" w:sz="4" w:space="0" w:color="000000"/>
              <w:right w:val="single" w:sz="4" w:space="0" w:color="000000"/>
            </w:tcBorders>
            <w:vAlign w:val="center"/>
          </w:tcPr>
          <w:p w14:paraId="73EFF37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Lucio Ávila Montiel</w:t>
            </w:r>
          </w:p>
        </w:tc>
        <w:tc>
          <w:tcPr>
            <w:tcW w:w="1390" w:type="dxa"/>
            <w:tcBorders>
              <w:top w:val="single" w:sz="4" w:space="0" w:color="000000"/>
              <w:left w:val="single" w:sz="4" w:space="0" w:color="000000"/>
              <w:bottom w:val="single" w:sz="4" w:space="0" w:color="000000"/>
              <w:right w:val="single" w:sz="4" w:space="0" w:color="000000"/>
            </w:tcBorders>
            <w:vAlign w:val="center"/>
          </w:tcPr>
          <w:p w14:paraId="575B39E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13.40</w:t>
            </w:r>
          </w:p>
        </w:tc>
        <w:tc>
          <w:tcPr>
            <w:tcW w:w="1347" w:type="dxa"/>
            <w:tcBorders>
              <w:top w:val="single" w:sz="4" w:space="0" w:color="auto"/>
              <w:left w:val="nil"/>
              <w:bottom w:val="single" w:sz="4" w:space="0" w:color="auto"/>
              <w:right w:val="single" w:sz="4" w:space="0" w:color="auto"/>
            </w:tcBorders>
            <w:shd w:val="clear" w:color="auto" w:fill="FFFFFF"/>
            <w:vAlign w:val="center"/>
          </w:tcPr>
          <w:p w14:paraId="61CA06F2"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13.40</w:t>
            </w:r>
          </w:p>
        </w:tc>
      </w:tr>
    </w:tbl>
    <w:p w14:paraId="32866CCE" w14:textId="77777777" w:rsidR="00026972" w:rsidRPr="00F32542" w:rsidRDefault="00026972" w:rsidP="00026972">
      <w:pPr>
        <w:spacing w:after="0" w:line="259" w:lineRule="auto"/>
        <w:rPr>
          <w:rFonts w:ascii="Calibri" w:eastAsia="Times New Roman" w:hAnsi="Calibri" w:cs="Times New Roman"/>
          <w:color w:val="000000" w:themeColor="text1"/>
          <w:lang w:eastAsia="es-MX"/>
        </w:rPr>
      </w:pPr>
    </w:p>
    <w:p w14:paraId="6A08F9D8" w14:textId="77777777" w:rsidR="00026972" w:rsidRPr="00F32542" w:rsidRDefault="00026972" w:rsidP="00026972">
      <w:pPr>
        <w:spacing w:after="124" w:line="259" w:lineRule="auto"/>
        <w:rPr>
          <w:rFonts w:ascii="Calibri" w:eastAsia="Times New Roman" w:hAnsi="Calibri" w:cs="Times New Roman"/>
          <w:color w:val="000000" w:themeColor="text1"/>
          <w:lang w:eastAsia="es-MX"/>
        </w:rPr>
      </w:pPr>
      <w:r w:rsidRPr="00F32542">
        <w:rPr>
          <w:rFonts w:ascii="Calibri" w:eastAsia="Times New Roman" w:hAnsi="Calibri" w:cs="Times New Roman"/>
          <w:color w:val="000000" w:themeColor="text1"/>
          <w:lang w:eastAsia="es-MX"/>
        </w:rPr>
        <w:t xml:space="preserve">  </w:t>
      </w:r>
    </w:p>
    <w:tbl>
      <w:tblPr>
        <w:tblStyle w:val="Tablaconcuadrcula253"/>
        <w:tblW w:w="0" w:type="auto"/>
        <w:jc w:val="center"/>
        <w:tblLook w:val="04A0" w:firstRow="1" w:lastRow="0" w:firstColumn="1" w:lastColumn="0" w:noHBand="0" w:noVBand="1"/>
      </w:tblPr>
      <w:tblGrid>
        <w:gridCol w:w="458"/>
        <w:gridCol w:w="626"/>
        <w:gridCol w:w="647"/>
        <w:gridCol w:w="1892"/>
        <w:gridCol w:w="1926"/>
        <w:gridCol w:w="1366"/>
        <w:gridCol w:w="1347"/>
      </w:tblGrid>
      <w:tr w:rsidR="00026972" w:rsidRPr="00F32542" w14:paraId="11A9C91F" w14:textId="77777777" w:rsidTr="00B65D24">
        <w:trPr>
          <w:trHeight w:val="539"/>
          <w:jc w:val="center"/>
        </w:trPr>
        <w:tc>
          <w:tcPr>
            <w:tcW w:w="8410" w:type="dxa"/>
            <w:gridSpan w:val="7"/>
            <w:shd w:val="clear" w:color="auto" w:fill="AEAAAA"/>
          </w:tcPr>
          <w:p w14:paraId="7565B998" w14:textId="77777777" w:rsidR="00026972" w:rsidRPr="00F32542" w:rsidRDefault="00026972" w:rsidP="00026972">
            <w:pPr>
              <w:spacing w:after="0" w:line="240" w:lineRule="auto"/>
              <w:jc w:val="center"/>
              <w:rPr>
                <w:rFonts w:ascii="Arial" w:eastAsia="Times New Roman" w:hAnsi="Arial" w:cs="Arial"/>
                <w:b/>
                <w:color w:val="000000" w:themeColor="text1"/>
                <w:sz w:val="24"/>
                <w:szCs w:val="24"/>
                <w:lang w:eastAsia="es-MX"/>
              </w:rPr>
            </w:pPr>
            <w:r w:rsidRPr="00F32542">
              <w:rPr>
                <w:rFonts w:ascii="Arial" w:eastAsia="Times New Roman" w:hAnsi="Arial" w:cs="Arial"/>
                <w:b/>
                <w:color w:val="000000" w:themeColor="text1"/>
                <w:sz w:val="24"/>
                <w:szCs w:val="24"/>
                <w:lang w:eastAsia="es-MX"/>
              </w:rPr>
              <w:t>LISTA B</w:t>
            </w:r>
          </w:p>
          <w:p w14:paraId="5A8DEC29" w14:textId="77777777" w:rsidR="00026972" w:rsidRPr="00F32542" w:rsidRDefault="00026972" w:rsidP="00026972">
            <w:pPr>
              <w:spacing w:after="0" w:line="240" w:lineRule="auto"/>
              <w:jc w:val="center"/>
              <w:rPr>
                <w:rFonts w:ascii="Arial" w:eastAsia="Times New Roman" w:hAnsi="Arial" w:cs="Arial"/>
                <w:b/>
                <w:color w:val="000000" w:themeColor="text1"/>
                <w:sz w:val="24"/>
                <w:szCs w:val="24"/>
                <w:lang w:eastAsia="es-MX"/>
              </w:rPr>
            </w:pPr>
            <w:r w:rsidRPr="00F32542">
              <w:rPr>
                <w:rFonts w:ascii="Arial" w:eastAsia="Times New Roman" w:hAnsi="Arial" w:cs="Arial"/>
                <w:b/>
                <w:color w:val="000000" w:themeColor="text1"/>
                <w:sz w:val="24"/>
                <w:szCs w:val="24"/>
                <w:lang w:eastAsia="es-MX"/>
              </w:rPr>
              <w:t>PRD</w:t>
            </w:r>
          </w:p>
        </w:tc>
      </w:tr>
      <w:tr w:rsidR="00026972" w:rsidRPr="00F32542" w14:paraId="37AC7E1F" w14:textId="77777777" w:rsidTr="00B65D24">
        <w:trPr>
          <w:jc w:val="center"/>
        </w:trPr>
        <w:tc>
          <w:tcPr>
            <w:tcW w:w="45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39957724"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No</w:t>
            </w:r>
          </w:p>
        </w:tc>
        <w:tc>
          <w:tcPr>
            <w:tcW w:w="626"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3608617E"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proofErr w:type="spellStart"/>
            <w:r w:rsidRPr="00F32542">
              <w:rPr>
                <w:rFonts w:ascii="Arial" w:eastAsia="Arial" w:hAnsi="Arial" w:cs="Arial"/>
                <w:b/>
                <w:color w:val="000000" w:themeColor="text1"/>
                <w:sz w:val="18"/>
                <w:szCs w:val="18"/>
              </w:rPr>
              <w:t>Dtto</w:t>
            </w:r>
            <w:proofErr w:type="spellEnd"/>
            <w:r w:rsidRPr="00F32542">
              <w:rPr>
                <w:rFonts w:ascii="Arial" w:eastAsia="Arial" w:hAnsi="Arial" w:cs="Arial"/>
                <w:b/>
                <w:color w:val="000000" w:themeColor="text1"/>
                <w:sz w:val="18"/>
                <w:szCs w:val="18"/>
              </w:rPr>
              <w:t>.</w:t>
            </w:r>
          </w:p>
        </w:tc>
        <w:tc>
          <w:tcPr>
            <w:tcW w:w="64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7A90E833"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Sexo</w:t>
            </w:r>
          </w:p>
        </w:tc>
        <w:tc>
          <w:tcPr>
            <w:tcW w:w="195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2428ED08"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Candidatura propietaria</w:t>
            </w:r>
          </w:p>
        </w:tc>
        <w:tc>
          <w:tcPr>
            <w:tcW w:w="1986"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511A132A"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Candidatura suplente</w:t>
            </w:r>
          </w:p>
        </w:tc>
        <w:tc>
          <w:tcPr>
            <w:tcW w:w="1390"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705E0221"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 xml:space="preserve">Porcentaje de votación distrital </w:t>
            </w:r>
            <w:r w:rsidRPr="00F32542">
              <w:rPr>
                <w:rFonts w:ascii="Arial" w:eastAsia="Arial" w:hAnsi="Arial" w:cs="Arial"/>
                <w:b/>
                <w:color w:val="000000" w:themeColor="text1"/>
                <w:sz w:val="18"/>
                <w:szCs w:val="18"/>
              </w:rPr>
              <w:lastRenderedPageBreak/>
              <w:t>emitida acorde con el cómputo distrital original</w:t>
            </w:r>
          </w:p>
        </w:tc>
        <w:tc>
          <w:tcPr>
            <w:tcW w:w="1347" w:type="dxa"/>
            <w:tcBorders>
              <w:top w:val="single" w:sz="4" w:space="0" w:color="000000"/>
              <w:left w:val="single" w:sz="4" w:space="0" w:color="000000"/>
              <w:bottom w:val="single" w:sz="4" w:space="0" w:color="auto"/>
              <w:right w:val="single" w:sz="4" w:space="0" w:color="000000"/>
            </w:tcBorders>
            <w:shd w:val="clear" w:color="auto" w:fill="D0CECE"/>
            <w:vAlign w:val="center"/>
          </w:tcPr>
          <w:p w14:paraId="61849DF4" w14:textId="77777777" w:rsidR="00026972" w:rsidRPr="00F32542" w:rsidRDefault="00026972" w:rsidP="00026972">
            <w:pPr>
              <w:spacing w:after="0" w:line="240" w:lineRule="auto"/>
              <w:jc w:val="center"/>
              <w:rPr>
                <w:rFonts w:ascii="Arial" w:eastAsia="Arial" w:hAnsi="Arial" w:cs="Arial"/>
                <w:b/>
                <w:color w:val="000000" w:themeColor="text1"/>
                <w:sz w:val="18"/>
                <w:szCs w:val="18"/>
              </w:rPr>
            </w:pPr>
            <w:r w:rsidRPr="00F32542">
              <w:rPr>
                <w:rFonts w:ascii="Arial" w:eastAsia="Arial" w:hAnsi="Arial" w:cs="Arial"/>
                <w:b/>
                <w:color w:val="000000" w:themeColor="text1"/>
                <w:sz w:val="18"/>
                <w:szCs w:val="18"/>
              </w:rPr>
              <w:lastRenderedPageBreak/>
              <w:t xml:space="preserve">Porcentaje de votación distrital </w:t>
            </w:r>
            <w:r w:rsidRPr="00F32542">
              <w:rPr>
                <w:rFonts w:ascii="Arial" w:eastAsia="Arial" w:hAnsi="Arial" w:cs="Arial"/>
                <w:b/>
                <w:color w:val="000000" w:themeColor="text1"/>
                <w:sz w:val="18"/>
                <w:szCs w:val="18"/>
              </w:rPr>
              <w:lastRenderedPageBreak/>
              <w:t xml:space="preserve">emitida acorde </w:t>
            </w:r>
            <w:proofErr w:type="gramStart"/>
            <w:r w:rsidRPr="00F32542">
              <w:rPr>
                <w:rFonts w:ascii="Arial" w:eastAsia="Arial" w:hAnsi="Arial" w:cs="Arial"/>
                <w:b/>
                <w:color w:val="000000" w:themeColor="text1"/>
                <w:sz w:val="18"/>
                <w:szCs w:val="18"/>
              </w:rPr>
              <w:t>con  el</w:t>
            </w:r>
            <w:proofErr w:type="gramEnd"/>
            <w:r w:rsidRPr="00F32542">
              <w:rPr>
                <w:rFonts w:ascii="Arial" w:eastAsia="Arial" w:hAnsi="Arial" w:cs="Arial"/>
                <w:b/>
                <w:color w:val="000000" w:themeColor="text1"/>
                <w:sz w:val="18"/>
                <w:szCs w:val="18"/>
              </w:rPr>
              <w:t xml:space="preserve"> cómputo distrital recompuesto</w:t>
            </w:r>
          </w:p>
        </w:tc>
      </w:tr>
      <w:tr w:rsidR="00026972" w:rsidRPr="00F32542" w14:paraId="23AE9A23" w14:textId="77777777" w:rsidTr="00B65D24">
        <w:trPr>
          <w:jc w:val="center"/>
        </w:trPr>
        <w:tc>
          <w:tcPr>
            <w:tcW w:w="457" w:type="dxa"/>
            <w:shd w:val="clear" w:color="auto" w:fill="FFFFFF"/>
            <w:vAlign w:val="center"/>
          </w:tcPr>
          <w:p w14:paraId="6F6F34FD"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lastRenderedPageBreak/>
              <w:t>1</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0C3ED"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7911DE"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AF6962"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Ricardo </w:t>
            </w:r>
            <w:proofErr w:type="spellStart"/>
            <w:r w:rsidRPr="00F32542">
              <w:rPr>
                <w:rFonts w:ascii="Arial" w:eastAsia="Calibri" w:hAnsi="Arial" w:cs="Arial"/>
                <w:color w:val="000000" w:themeColor="text1"/>
                <w:sz w:val="20"/>
                <w:szCs w:val="20"/>
              </w:rPr>
              <w:t>Janecarlo</w:t>
            </w:r>
            <w:proofErr w:type="spellEnd"/>
            <w:r w:rsidRPr="00F32542">
              <w:rPr>
                <w:rFonts w:ascii="Arial" w:eastAsia="Calibri" w:hAnsi="Arial" w:cs="Arial"/>
                <w:color w:val="000000" w:themeColor="text1"/>
                <w:sz w:val="20"/>
                <w:szCs w:val="20"/>
              </w:rPr>
              <w:t xml:space="preserve"> Lozano</w:t>
            </w:r>
          </w:p>
          <w:p w14:paraId="5C6AB8A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Reynoso</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39E523"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Israel Ramírez Mosqueda</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91831B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17.01</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50388762"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17.01</w:t>
            </w:r>
          </w:p>
        </w:tc>
      </w:tr>
      <w:tr w:rsidR="00026972" w:rsidRPr="00F32542" w14:paraId="09A049BC" w14:textId="77777777" w:rsidTr="00B65D24">
        <w:trPr>
          <w:jc w:val="center"/>
        </w:trPr>
        <w:tc>
          <w:tcPr>
            <w:tcW w:w="457" w:type="dxa"/>
            <w:shd w:val="clear" w:color="auto" w:fill="FFFFFF"/>
            <w:vAlign w:val="center"/>
          </w:tcPr>
          <w:p w14:paraId="7C5BFAE4"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B4F649"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32</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9394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F7C5F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proofErr w:type="spellStart"/>
            <w:r w:rsidRPr="00F32542">
              <w:rPr>
                <w:rFonts w:ascii="Arial" w:eastAsia="Calibri" w:hAnsi="Arial" w:cs="Arial"/>
                <w:color w:val="000000" w:themeColor="text1"/>
                <w:sz w:val="20"/>
                <w:szCs w:val="20"/>
              </w:rPr>
              <w:t>Desiree</w:t>
            </w:r>
            <w:proofErr w:type="spellEnd"/>
            <w:r w:rsidRPr="00F32542">
              <w:rPr>
                <w:rFonts w:ascii="Arial" w:eastAsia="Calibri" w:hAnsi="Arial" w:cs="Arial"/>
                <w:color w:val="000000" w:themeColor="text1"/>
                <w:sz w:val="20"/>
                <w:szCs w:val="20"/>
              </w:rPr>
              <w:t xml:space="preserve"> Guadalupe Navarro</w:t>
            </w:r>
          </w:p>
          <w:p w14:paraId="1D71844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López</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EC1D1D"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Ileana Beatriz Pardo</w:t>
            </w:r>
          </w:p>
          <w:p w14:paraId="4B25B767"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Hernández</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0F9CA68"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10.85</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09D69F0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10.85</w:t>
            </w:r>
          </w:p>
        </w:tc>
      </w:tr>
      <w:tr w:rsidR="00026972" w:rsidRPr="00F32542" w14:paraId="45B97EB5" w14:textId="77777777" w:rsidTr="00B65D24">
        <w:trPr>
          <w:jc w:val="center"/>
        </w:trPr>
        <w:tc>
          <w:tcPr>
            <w:tcW w:w="457" w:type="dxa"/>
            <w:shd w:val="clear" w:color="auto" w:fill="FFFFFF"/>
            <w:vAlign w:val="center"/>
          </w:tcPr>
          <w:p w14:paraId="65395D04"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B24EF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21</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8D0AB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DFE66A"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David Eleazar Quiroga</w:t>
            </w:r>
          </w:p>
          <w:p w14:paraId="70976099"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Anguiano</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61C397"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Emiliano Isauro Filemón</w:t>
            </w:r>
          </w:p>
          <w:p w14:paraId="13997B5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Jiménez López</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21E2382"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9.87</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5944F6B6"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9.86</w:t>
            </w:r>
          </w:p>
        </w:tc>
      </w:tr>
      <w:tr w:rsidR="00026972" w:rsidRPr="00F32542" w14:paraId="476092B1" w14:textId="77777777" w:rsidTr="00B65D24">
        <w:trPr>
          <w:jc w:val="center"/>
        </w:trPr>
        <w:tc>
          <w:tcPr>
            <w:tcW w:w="457" w:type="dxa"/>
            <w:shd w:val="clear" w:color="auto" w:fill="FFFFFF"/>
            <w:vAlign w:val="center"/>
          </w:tcPr>
          <w:p w14:paraId="783EC762"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73EE7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27</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8F37FF"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640E67"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proofErr w:type="spellStart"/>
            <w:r w:rsidRPr="00F32542">
              <w:rPr>
                <w:rFonts w:ascii="Arial" w:eastAsia="Calibri" w:hAnsi="Arial" w:cs="Arial"/>
                <w:color w:val="000000" w:themeColor="text1"/>
                <w:sz w:val="20"/>
                <w:szCs w:val="20"/>
              </w:rPr>
              <w:t>Nury</w:t>
            </w:r>
            <w:proofErr w:type="spellEnd"/>
            <w:r w:rsidRPr="00F32542">
              <w:rPr>
                <w:rFonts w:ascii="Arial" w:eastAsia="Calibri" w:hAnsi="Arial" w:cs="Arial"/>
                <w:color w:val="000000" w:themeColor="text1"/>
                <w:sz w:val="20"/>
                <w:szCs w:val="20"/>
              </w:rPr>
              <w:t xml:space="preserve"> Delia Ruiz Ovando</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8933F4"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Dulce María Flores Varela</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59AC367"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9.16</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1D46FCE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9.16</w:t>
            </w:r>
          </w:p>
        </w:tc>
      </w:tr>
      <w:tr w:rsidR="00026972" w:rsidRPr="00F32542" w14:paraId="70F22802" w14:textId="77777777" w:rsidTr="00B65D24">
        <w:trPr>
          <w:jc w:val="center"/>
        </w:trPr>
        <w:tc>
          <w:tcPr>
            <w:tcW w:w="457" w:type="dxa"/>
            <w:shd w:val="clear" w:color="auto" w:fill="FFFFFF"/>
            <w:vAlign w:val="center"/>
          </w:tcPr>
          <w:p w14:paraId="5EE85E4D"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5</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768D30"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131C6A"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35EE44"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Facundo Domingo Fuentes</w:t>
            </w:r>
          </w:p>
          <w:p w14:paraId="3E0285CA"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López</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D35D1F"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Mario Alfaro Reséndiz</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4A80D5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7.91</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5E154482"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7.88</w:t>
            </w:r>
          </w:p>
        </w:tc>
      </w:tr>
      <w:tr w:rsidR="00026972" w:rsidRPr="00F32542" w14:paraId="5121B316" w14:textId="77777777" w:rsidTr="00B65D24">
        <w:trPr>
          <w:jc w:val="center"/>
        </w:trPr>
        <w:tc>
          <w:tcPr>
            <w:tcW w:w="457" w:type="dxa"/>
            <w:shd w:val="clear" w:color="auto" w:fill="FFFFFF"/>
            <w:vAlign w:val="center"/>
          </w:tcPr>
          <w:p w14:paraId="14F5CD70"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6</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D70D24"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22</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1FF48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F569DE"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Paula Andrea Castillo</w:t>
            </w:r>
          </w:p>
          <w:p w14:paraId="76EB164D"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Mendieta</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C3921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Silvia Margarita Rodríguez</w:t>
            </w:r>
          </w:p>
          <w:p w14:paraId="70C7670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Hernández</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CC82AA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9.16</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1618D14A"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9.06</w:t>
            </w:r>
          </w:p>
        </w:tc>
      </w:tr>
      <w:tr w:rsidR="00026972" w:rsidRPr="00F32542" w14:paraId="672EB261" w14:textId="77777777" w:rsidTr="00B65D24">
        <w:trPr>
          <w:jc w:val="center"/>
        </w:trPr>
        <w:tc>
          <w:tcPr>
            <w:tcW w:w="457" w:type="dxa"/>
            <w:shd w:val="clear" w:color="auto" w:fill="FFFFFF"/>
            <w:vAlign w:val="center"/>
          </w:tcPr>
          <w:p w14:paraId="14E03D78"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7</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A2DC56"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15</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BD4D6"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5110DA"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David Ricardo Nava Martínez</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003F7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David Cossío García</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68F313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6.66</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0E5ED56F"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6.66</w:t>
            </w:r>
          </w:p>
        </w:tc>
      </w:tr>
      <w:tr w:rsidR="00026972" w:rsidRPr="00F32542" w14:paraId="7F84BD46" w14:textId="77777777" w:rsidTr="00B65D24">
        <w:trPr>
          <w:jc w:val="center"/>
        </w:trPr>
        <w:tc>
          <w:tcPr>
            <w:tcW w:w="457" w:type="dxa"/>
            <w:shd w:val="clear" w:color="auto" w:fill="FFFFFF"/>
            <w:vAlign w:val="center"/>
          </w:tcPr>
          <w:p w14:paraId="057E0FC7"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8</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300548"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29</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4779A4"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12644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Rosa Nelly De la Vega Urrutia</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E514F"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Teresa Guevara Garcés</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AA22927"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6.90</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2A1194C3"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6.90</w:t>
            </w:r>
          </w:p>
        </w:tc>
      </w:tr>
      <w:tr w:rsidR="00026972" w:rsidRPr="00F32542" w14:paraId="1A6C5F66" w14:textId="77777777" w:rsidTr="00B65D24">
        <w:trPr>
          <w:jc w:val="center"/>
        </w:trPr>
        <w:tc>
          <w:tcPr>
            <w:tcW w:w="457" w:type="dxa"/>
            <w:shd w:val="clear" w:color="auto" w:fill="FFFFFF"/>
            <w:vAlign w:val="center"/>
          </w:tcPr>
          <w:p w14:paraId="225E2EBA"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9</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3358A2"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14</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C082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30CC8E"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Alberto Caballero Palacios</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43303"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José Cuauhtémoc Serafín</w:t>
            </w:r>
          </w:p>
          <w:p w14:paraId="48C5C23F"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Hernández</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5B9C1A7"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2.65</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22470A8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2.65</w:t>
            </w:r>
          </w:p>
        </w:tc>
      </w:tr>
      <w:tr w:rsidR="00026972" w:rsidRPr="00F32542" w14:paraId="77B2C257" w14:textId="77777777" w:rsidTr="00B65D24">
        <w:trPr>
          <w:jc w:val="center"/>
        </w:trPr>
        <w:tc>
          <w:tcPr>
            <w:tcW w:w="457" w:type="dxa"/>
            <w:shd w:val="clear" w:color="auto" w:fill="FFFFFF"/>
            <w:vAlign w:val="center"/>
          </w:tcPr>
          <w:p w14:paraId="4A948AE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10</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A2426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23</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DAF609"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1D9814"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Giovanna Esperanza Alvarado</w:t>
            </w:r>
          </w:p>
          <w:p w14:paraId="276004D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Carrillo</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A59FB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Yoseline </w:t>
            </w:r>
            <w:proofErr w:type="spellStart"/>
            <w:r w:rsidRPr="00F32542">
              <w:rPr>
                <w:rFonts w:ascii="Arial" w:eastAsia="Calibri" w:hAnsi="Arial" w:cs="Arial"/>
                <w:color w:val="000000" w:themeColor="text1"/>
                <w:sz w:val="20"/>
                <w:szCs w:val="20"/>
              </w:rPr>
              <w:t>Desire</w:t>
            </w:r>
            <w:proofErr w:type="spellEnd"/>
            <w:r w:rsidRPr="00F32542">
              <w:rPr>
                <w:rFonts w:ascii="Arial" w:eastAsia="Calibri" w:hAnsi="Arial" w:cs="Arial"/>
                <w:color w:val="000000" w:themeColor="text1"/>
                <w:sz w:val="20"/>
                <w:szCs w:val="20"/>
              </w:rPr>
              <w:t xml:space="preserve"> Soto</w:t>
            </w:r>
          </w:p>
          <w:p w14:paraId="51EC140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Orduña</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8C847DF"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5.71</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667A2A39"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5.71</w:t>
            </w:r>
          </w:p>
        </w:tc>
      </w:tr>
    </w:tbl>
    <w:p w14:paraId="1FD68A8E" w14:textId="77777777" w:rsidR="00026972" w:rsidRPr="00F32542" w:rsidRDefault="00026972" w:rsidP="00026972">
      <w:pPr>
        <w:spacing w:after="0" w:line="259" w:lineRule="auto"/>
        <w:rPr>
          <w:rFonts w:ascii="Calibri" w:eastAsia="Times New Roman" w:hAnsi="Calibri" w:cs="Times New Roman"/>
          <w:color w:val="000000" w:themeColor="text1"/>
          <w:lang w:eastAsia="es-MX"/>
        </w:rPr>
      </w:pPr>
    </w:p>
    <w:p w14:paraId="048E2250" w14:textId="77777777" w:rsidR="00026972" w:rsidRPr="00F32542" w:rsidRDefault="00026972" w:rsidP="00026972">
      <w:pPr>
        <w:spacing w:after="0" w:line="259" w:lineRule="auto"/>
        <w:rPr>
          <w:rFonts w:ascii="Calibri" w:eastAsia="Times New Roman" w:hAnsi="Calibri" w:cs="Times New Roman"/>
          <w:color w:val="000000" w:themeColor="text1"/>
          <w:lang w:eastAsia="es-MX"/>
        </w:rPr>
      </w:pPr>
    </w:p>
    <w:tbl>
      <w:tblPr>
        <w:tblStyle w:val="Tablaconcuadrcula253"/>
        <w:tblW w:w="0" w:type="auto"/>
        <w:jc w:val="center"/>
        <w:tblLook w:val="04A0" w:firstRow="1" w:lastRow="0" w:firstColumn="1" w:lastColumn="0" w:noHBand="0" w:noVBand="1"/>
      </w:tblPr>
      <w:tblGrid>
        <w:gridCol w:w="457"/>
        <w:gridCol w:w="626"/>
        <w:gridCol w:w="647"/>
        <w:gridCol w:w="1896"/>
        <w:gridCol w:w="1922"/>
        <w:gridCol w:w="1367"/>
        <w:gridCol w:w="1347"/>
      </w:tblGrid>
      <w:tr w:rsidR="00026972" w:rsidRPr="00F32542" w14:paraId="0EB63B1C" w14:textId="77777777" w:rsidTr="00B65D24">
        <w:trPr>
          <w:trHeight w:val="539"/>
          <w:jc w:val="center"/>
        </w:trPr>
        <w:tc>
          <w:tcPr>
            <w:tcW w:w="8410" w:type="dxa"/>
            <w:gridSpan w:val="7"/>
            <w:shd w:val="clear" w:color="auto" w:fill="AEAAAA"/>
          </w:tcPr>
          <w:p w14:paraId="5BC6F76E" w14:textId="77777777" w:rsidR="00026972" w:rsidRPr="00F32542" w:rsidRDefault="00026972" w:rsidP="00026972">
            <w:pPr>
              <w:spacing w:after="0" w:line="240" w:lineRule="auto"/>
              <w:jc w:val="center"/>
              <w:rPr>
                <w:rFonts w:ascii="Arial" w:eastAsia="Times New Roman" w:hAnsi="Arial" w:cs="Arial"/>
                <w:b/>
                <w:color w:val="000000" w:themeColor="text1"/>
                <w:sz w:val="24"/>
                <w:szCs w:val="24"/>
                <w:lang w:eastAsia="es-MX"/>
              </w:rPr>
            </w:pPr>
            <w:r w:rsidRPr="00F32542">
              <w:rPr>
                <w:rFonts w:ascii="Arial" w:eastAsia="Times New Roman" w:hAnsi="Arial" w:cs="Arial"/>
                <w:b/>
                <w:color w:val="000000" w:themeColor="text1"/>
                <w:sz w:val="24"/>
                <w:szCs w:val="24"/>
                <w:lang w:eastAsia="es-MX"/>
              </w:rPr>
              <w:t>LISTA B</w:t>
            </w:r>
          </w:p>
          <w:p w14:paraId="7B0F22C8" w14:textId="77777777" w:rsidR="00026972" w:rsidRPr="00F32542" w:rsidRDefault="00026972" w:rsidP="00026972">
            <w:pPr>
              <w:spacing w:after="0" w:line="240" w:lineRule="auto"/>
              <w:jc w:val="center"/>
              <w:rPr>
                <w:rFonts w:ascii="Arial" w:eastAsia="Times New Roman" w:hAnsi="Arial" w:cs="Arial"/>
                <w:b/>
                <w:color w:val="000000" w:themeColor="text1"/>
                <w:sz w:val="24"/>
                <w:szCs w:val="24"/>
                <w:lang w:eastAsia="es-MX"/>
              </w:rPr>
            </w:pPr>
            <w:r w:rsidRPr="00F32542">
              <w:rPr>
                <w:rFonts w:ascii="Arial" w:eastAsia="Times New Roman" w:hAnsi="Arial" w:cs="Arial"/>
                <w:b/>
                <w:color w:val="000000" w:themeColor="text1"/>
                <w:sz w:val="24"/>
                <w:szCs w:val="24"/>
                <w:lang w:eastAsia="es-MX"/>
              </w:rPr>
              <w:t>PVEM</w:t>
            </w:r>
          </w:p>
        </w:tc>
      </w:tr>
      <w:tr w:rsidR="00026972" w:rsidRPr="00F32542" w14:paraId="3CABDBDF" w14:textId="77777777" w:rsidTr="00B65D24">
        <w:trPr>
          <w:jc w:val="center"/>
        </w:trPr>
        <w:tc>
          <w:tcPr>
            <w:tcW w:w="45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00065CBE"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No</w:t>
            </w:r>
          </w:p>
        </w:tc>
        <w:tc>
          <w:tcPr>
            <w:tcW w:w="626"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0F20A803"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proofErr w:type="spellStart"/>
            <w:r w:rsidRPr="00F32542">
              <w:rPr>
                <w:rFonts w:ascii="Arial" w:eastAsia="Arial" w:hAnsi="Arial" w:cs="Arial"/>
                <w:b/>
                <w:color w:val="000000" w:themeColor="text1"/>
                <w:sz w:val="18"/>
                <w:szCs w:val="18"/>
              </w:rPr>
              <w:t>Dtto</w:t>
            </w:r>
            <w:proofErr w:type="spellEnd"/>
            <w:r w:rsidRPr="00F32542">
              <w:rPr>
                <w:rFonts w:ascii="Arial" w:eastAsia="Arial" w:hAnsi="Arial" w:cs="Arial"/>
                <w:b/>
                <w:color w:val="000000" w:themeColor="text1"/>
                <w:sz w:val="18"/>
                <w:szCs w:val="18"/>
              </w:rPr>
              <w:t>.</w:t>
            </w:r>
          </w:p>
        </w:tc>
        <w:tc>
          <w:tcPr>
            <w:tcW w:w="64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72DA3D66"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Sexo</w:t>
            </w:r>
          </w:p>
        </w:tc>
        <w:tc>
          <w:tcPr>
            <w:tcW w:w="195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39727666"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Candidatura propietaria</w:t>
            </w:r>
          </w:p>
        </w:tc>
        <w:tc>
          <w:tcPr>
            <w:tcW w:w="1986"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7734F08E"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Candidatura suplente</w:t>
            </w:r>
          </w:p>
        </w:tc>
        <w:tc>
          <w:tcPr>
            <w:tcW w:w="1390"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44FD7F0E"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Porcentaje de votación distrital emitida acorde con el cómputo distrital original</w:t>
            </w:r>
          </w:p>
        </w:tc>
        <w:tc>
          <w:tcPr>
            <w:tcW w:w="1347" w:type="dxa"/>
            <w:tcBorders>
              <w:top w:val="single" w:sz="4" w:space="0" w:color="000000"/>
              <w:left w:val="single" w:sz="4" w:space="0" w:color="000000"/>
              <w:bottom w:val="single" w:sz="4" w:space="0" w:color="auto"/>
              <w:right w:val="single" w:sz="4" w:space="0" w:color="000000"/>
            </w:tcBorders>
            <w:shd w:val="clear" w:color="auto" w:fill="D0CECE"/>
            <w:vAlign w:val="center"/>
          </w:tcPr>
          <w:p w14:paraId="4C002582" w14:textId="77777777" w:rsidR="00026972" w:rsidRPr="00F32542" w:rsidRDefault="00026972" w:rsidP="00026972">
            <w:pPr>
              <w:spacing w:after="0" w:line="240" w:lineRule="auto"/>
              <w:jc w:val="center"/>
              <w:rPr>
                <w:rFonts w:ascii="Arial" w:eastAsia="Arial" w:hAnsi="Arial" w:cs="Arial"/>
                <w:b/>
                <w:color w:val="000000" w:themeColor="text1"/>
                <w:sz w:val="18"/>
                <w:szCs w:val="18"/>
              </w:rPr>
            </w:pPr>
            <w:r w:rsidRPr="00F32542">
              <w:rPr>
                <w:rFonts w:ascii="Arial" w:eastAsia="Arial" w:hAnsi="Arial" w:cs="Arial"/>
                <w:b/>
                <w:color w:val="000000" w:themeColor="text1"/>
                <w:sz w:val="18"/>
                <w:szCs w:val="18"/>
              </w:rPr>
              <w:t xml:space="preserve">Porcentaje de votación distrital emitida acorde </w:t>
            </w:r>
            <w:proofErr w:type="gramStart"/>
            <w:r w:rsidRPr="00F32542">
              <w:rPr>
                <w:rFonts w:ascii="Arial" w:eastAsia="Arial" w:hAnsi="Arial" w:cs="Arial"/>
                <w:b/>
                <w:color w:val="000000" w:themeColor="text1"/>
                <w:sz w:val="18"/>
                <w:szCs w:val="18"/>
              </w:rPr>
              <w:t>con  el</w:t>
            </w:r>
            <w:proofErr w:type="gramEnd"/>
            <w:r w:rsidRPr="00F32542">
              <w:rPr>
                <w:rFonts w:ascii="Arial" w:eastAsia="Arial" w:hAnsi="Arial" w:cs="Arial"/>
                <w:b/>
                <w:color w:val="000000" w:themeColor="text1"/>
                <w:sz w:val="18"/>
                <w:szCs w:val="18"/>
              </w:rPr>
              <w:t xml:space="preserve"> cómputo distrital recompuesto</w:t>
            </w:r>
          </w:p>
        </w:tc>
      </w:tr>
      <w:tr w:rsidR="00026972" w:rsidRPr="00F32542" w14:paraId="66EC9152" w14:textId="77777777" w:rsidTr="00B65D24">
        <w:trPr>
          <w:jc w:val="center"/>
        </w:trPr>
        <w:tc>
          <w:tcPr>
            <w:tcW w:w="457" w:type="dxa"/>
            <w:shd w:val="clear" w:color="auto" w:fill="FFFFFF"/>
            <w:vAlign w:val="center"/>
          </w:tcPr>
          <w:p w14:paraId="281EC637"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A6FB68"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15</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078CF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B6A9F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Elizabeth Mateos Hernández</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A2DC84"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Martha Patricia Aguilar</w:t>
            </w:r>
          </w:p>
          <w:p w14:paraId="04F29CD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Ramírez</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A783C6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8.30</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21B2E449"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8.30</w:t>
            </w:r>
          </w:p>
        </w:tc>
      </w:tr>
      <w:tr w:rsidR="00026972" w:rsidRPr="00F32542" w14:paraId="714FCB75" w14:textId="77777777" w:rsidTr="00B65D24">
        <w:trPr>
          <w:jc w:val="center"/>
        </w:trPr>
        <w:tc>
          <w:tcPr>
            <w:tcW w:w="457" w:type="dxa"/>
            <w:shd w:val="clear" w:color="auto" w:fill="FFFFFF"/>
            <w:vAlign w:val="center"/>
          </w:tcPr>
          <w:p w14:paraId="1C8FD799"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4ED622"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7</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79B01D"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663999"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Alberto Abraham Melo Torres</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CA67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Felipe Beltrán Pacheco</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74AA45A"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7.30</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3590065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7.31</w:t>
            </w:r>
          </w:p>
        </w:tc>
      </w:tr>
      <w:tr w:rsidR="00026972" w:rsidRPr="00F32542" w14:paraId="700C8561" w14:textId="77777777" w:rsidTr="00B65D24">
        <w:trPr>
          <w:jc w:val="center"/>
        </w:trPr>
        <w:tc>
          <w:tcPr>
            <w:tcW w:w="457" w:type="dxa"/>
            <w:shd w:val="clear" w:color="auto" w:fill="FFFFFF"/>
            <w:vAlign w:val="center"/>
          </w:tcPr>
          <w:p w14:paraId="1D3D4CE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BB1380"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24</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E8057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25A820"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Rebeca Peralta León</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FB8EE"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Nidia Isabel </w:t>
            </w:r>
            <w:proofErr w:type="spellStart"/>
            <w:r w:rsidRPr="00F32542">
              <w:rPr>
                <w:rFonts w:ascii="Arial" w:eastAsia="Calibri" w:hAnsi="Arial" w:cs="Arial"/>
                <w:color w:val="000000" w:themeColor="text1"/>
                <w:sz w:val="20"/>
                <w:szCs w:val="20"/>
              </w:rPr>
              <w:t>Ancheyta</w:t>
            </w:r>
            <w:proofErr w:type="spellEnd"/>
          </w:p>
          <w:p w14:paraId="25564C1E"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Fernández</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AB2E393"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7.41</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3BD185F3"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7.41</w:t>
            </w:r>
          </w:p>
        </w:tc>
      </w:tr>
      <w:tr w:rsidR="00026972" w:rsidRPr="00F32542" w14:paraId="1193196F" w14:textId="77777777" w:rsidTr="00B65D24">
        <w:trPr>
          <w:jc w:val="center"/>
        </w:trPr>
        <w:tc>
          <w:tcPr>
            <w:tcW w:w="457" w:type="dxa"/>
            <w:shd w:val="clear" w:color="auto" w:fill="FFFFFF"/>
            <w:vAlign w:val="center"/>
          </w:tcPr>
          <w:p w14:paraId="2B65CCB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6BEA63"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0BCA9A"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6872DA"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Sergio Palacios Trejo</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0AE73D"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Fernando Magaña Torres</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C560B6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4.51</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2BFFDB76"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4.53</w:t>
            </w:r>
          </w:p>
        </w:tc>
      </w:tr>
      <w:tr w:rsidR="00026972" w:rsidRPr="00F32542" w14:paraId="70D30A9B" w14:textId="77777777" w:rsidTr="00B65D24">
        <w:trPr>
          <w:jc w:val="center"/>
        </w:trPr>
        <w:tc>
          <w:tcPr>
            <w:tcW w:w="457" w:type="dxa"/>
            <w:shd w:val="clear" w:color="auto" w:fill="FFFFFF"/>
            <w:vAlign w:val="center"/>
          </w:tcPr>
          <w:p w14:paraId="53436973"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5</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314E79"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8</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9C4EC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87D5F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Miriam Jiménez Martínez</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7D66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Pamela </w:t>
            </w:r>
            <w:proofErr w:type="spellStart"/>
            <w:r w:rsidRPr="00F32542">
              <w:rPr>
                <w:rFonts w:ascii="Arial" w:eastAsia="Calibri" w:hAnsi="Arial" w:cs="Arial"/>
                <w:color w:val="000000" w:themeColor="text1"/>
                <w:sz w:val="20"/>
                <w:szCs w:val="20"/>
              </w:rPr>
              <w:t>Janin</w:t>
            </w:r>
            <w:proofErr w:type="spellEnd"/>
            <w:r w:rsidRPr="00F32542">
              <w:rPr>
                <w:rFonts w:ascii="Arial" w:eastAsia="Calibri" w:hAnsi="Arial" w:cs="Arial"/>
                <w:color w:val="000000" w:themeColor="text1"/>
                <w:sz w:val="20"/>
                <w:szCs w:val="20"/>
              </w:rPr>
              <w:t xml:space="preserve"> López Gloria</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259AC7A"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6.26</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453A837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6.26</w:t>
            </w:r>
          </w:p>
        </w:tc>
      </w:tr>
      <w:tr w:rsidR="00026972" w:rsidRPr="00F32542" w14:paraId="37A47E04" w14:textId="77777777" w:rsidTr="00B65D24">
        <w:trPr>
          <w:jc w:val="center"/>
        </w:trPr>
        <w:tc>
          <w:tcPr>
            <w:tcW w:w="457" w:type="dxa"/>
            <w:shd w:val="clear" w:color="auto" w:fill="FFFFFF"/>
            <w:vAlign w:val="center"/>
          </w:tcPr>
          <w:p w14:paraId="6B4AD5FD"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6</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004A84"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31</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376A50"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F68064"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Christopher Antonio Alva</w:t>
            </w:r>
          </w:p>
          <w:p w14:paraId="1EA84396"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Bautista</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5A15E"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Nancy Guadalupe de Jesús</w:t>
            </w:r>
          </w:p>
          <w:p w14:paraId="7C7C5EBF"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proofErr w:type="spellStart"/>
            <w:r w:rsidRPr="00F32542">
              <w:rPr>
                <w:rFonts w:ascii="Arial" w:eastAsia="Calibri" w:hAnsi="Arial" w:cs="Arial"/>
                <w:color w:val="000000" w:themeColor="text1"/>
                <w:sz w:val="20"/>
                <w:szCs w:val="20"/>
              </w:rPr>
              <w:t>Jantes</w:t>
            </w:r>
            <w:proofErr w:type="spellEnd"/>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A4BD027"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4.26</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597D514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4.26</w:t>
            </w:r>
          </w:p>
        </w:tc>
      </w:tr>
      <w:tr w:rsidR="00026972" w:rsidRPr="00F32542" w14:paraId="1C35B0B7" w14:textId="77777777" w:rsidTr="00B65D24">
        <w:trPr>
          <w:jc w:val="center"/>
        </w:trPr>
        <w:tc>
          <w:tcPr>
            <w:tcW w:w="457" w:type="dxa"/>
            <w:shd w:val="clear" w:color="auto" w:fill="FFFFFF"/>
            <w:vAlign w:val="center"/>
          </w:tcPr>
          <w:p w14:paraId="3C833C24"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lastRenderedPageBreak/>
              <w:t>7</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A6FF02"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25</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19F9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A4D9C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Ana Julia Hernández Pérez</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4339F4"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Verónica Sabas Andrade</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C1301E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4.93</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003C1672"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4.92</w:t>
            </w:r>
          </w:p>
        </w:tc>
      </w:tr>
      <w:tr w:rsidR="00026972" w:rsidRPr="00F32542" w14:paraId="7117A350" w14:textId="77777777" w:rsidTr="00B65D24">
        <w:trPr>
          <w:jc w:val="center"/>
        </w:trPr>
        <w:tc>
          <w:tcPr>
            <w:tcW w:w="457" w:type="dxa"/>
            <w:shd w:val="clear" w:color="auto" w:fill="FFFFFF"/>
            <w:vAlign w:val="center"/>
          </w:tcPr>
          <w:p w14:paraId="52C910C8"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8</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95A8A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11</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36934"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7D0A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Mario </w:t>
            </w:r>
            <w:proofErr w:type="spellStart"/>
            <w:r w:rsidRPr="00F32542">
              <w:rPr>
                <w:rFonts w:ascii="Arial" w:eastAsia="Calibri" w:hAnsi="Arial" w:cs="Arial"/>
                <w:color w:val="000000" w:themeColor="text1"/>
                <w:sz w:val="20"/>
                <w:szCs w:val="20"/>
              </w:rPr>
              <w:t>Santeliz</w:t>
            </w:r>
            <w:proofErr w:type="spellEnd"/>
            <w:r w:rsidRPr="00F32542">
              <w:rPr>
                <w:rFonts w:ascii="Arial" w:eastAsia="Calibri" w:hAnsi="Arial" w:cs="Arial"/>
                <w:color w:val="000000" w:themeColor="text1"/>
                <w:sz w:val="20"/>
                <w:szCs w:val="20"/>
              </w:rPr>
              <w:t xml:space="preserve"> Martínez</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B50B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Carlos García López</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BC40DA3"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4.18</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3B4C16E8"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4.19</w:t>
            </w:r>
          </w:p>
        </w:tc>
      </w:tr>
      <w:tr w:rsidR="00026972" w:rsidRPr="00F32542" w14:paraId="202045E4" w14:textId="77777777" w:rsidTr="00B65D24">
        <w:trPr>
          <w:jc w:val="center"/>
        </w:trPr>
        <w:tc>
          <w:tcPr>
            <w:tcW w:w="457" w:type="dxa"/>
            <w:shd w:val="clear" w:color="auto" w:fill="FFFFFF"/>
            <w:vAlign w:val="center"/>
          </w:tcPr>
          <w:p w14:paraId="32E1168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9</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29B9DF"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22</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CC5369"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8D436"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Abril </w:t>
            </w:r>
            <w:proofErr w:type="spellStart"/>
            <w:r w:rsidRPr="00F32542">
              <w:rPr>
                <w:rFonts w:ascii="Arial" w:eastAsia="Calibri" w:hAnsi="Arial" w:cs="Arial"/>
                <w:color w:val="000000" w:themeColor="text1"/>
                <w:sz w:val="20"/>
                <w:szCs w:val="20"/>
              </w:rPr>
              <w:t>Yannette</w:t>
            </w:r>
            <w:proofErr w:type="spellEnd"/>
            <w:r w:rsidRPr="00F32542">
              <w:rPr>
                <w:rFonts w:ascii="Arial" w:eastAsia="Calibri" w:hAnsi="Arial" w:cs="Arial"/>
                <w:color w:val="000000" w:themeColor="text1"/>
                <w:sz w:val="20"/>
                <w:szCs w:val="20"/>
              </w:rPr>
              <w:t xml:space="preserve"> Trujillo Vázquez</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E20784"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Ruth Manuela Cortés</w:t>
            </w:r>
          </w:p>
          <w:p w14:paraId="6D471C0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Esquivel</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C0A5663"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4.57</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13A0EFE8"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4.60</w:t>
            </w:r>
          </w:p>
        </w:tc>
      </w:tr>
      <w:tr w:rsidR="00026972" w:rsidRPr="00F32542" w14:paraId="3525D5B4" w14:textId="77777777" w:rsidTr="00B65D24">
        <w:trPr>
          <w:jc w:val="center"/>
        </w:trPr>
        <w:tc>
          <w:tcPr>
            <w:tcW w:w="457" w:type="dxa"/>
            <w:shd w:val="clear" w:color="auto" w:fill="FFFFFF"/>
            <w:vAlign w:val="center"/>
          </w:tcPr>
          <w:p w14:paraId="1125EE8F"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10</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3D964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19</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BE436"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2EB62D"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proofErr w:type="spellStart"/>
            <w:r w:rsidRPr="00F32542">
              <w:rPr>
                <w:rFonts w:ascii="Arial" w:eastAsia="Calibri" w:hAnsi="Arial" w:cs="Arial"/>
                <w:color w:val="000000" w:themeColor="text1"/>
                <w:sz w:val="20"/>
                <w:szCs w:val="20"/>
              </w:rPr>
              <w:t>Cresencio</w:t>
            </w:r>
            <w:proofErr w:type="spellEnd"/>
            <w:r w:rsidRPr="00F32542">
              <w:rPr>
                <w:rFonts w:ascii="Arial" w:eastAsia="Calibri" w:hAnsi="Arial" w:cs="Arial"/>
                <w:color w:val="000000" w:themeColor="text1"/>
                <w:sz w:val="20"/>
                <w:szCs w:val="20"/>
              </w:rPr>
              <w:t xml:space="preserve"> Mendoza Gutiérrez</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0F8590"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José Manuel Chávez</w:t>
            </w:r>
          </w:p>
          <w:p w14:paraId="2883950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Villanueva</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AF99586"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3.88</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33EA0DF2"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3.88</w:t>
            </w:r>
          </w:p>
        </w:tc>
      </w:tr>
    </w:tbl>
    <w:p w14:paraId="07843D99" w14:textId="77777777" w:rsidR="00026972" w:rsidRPr="00F32542" w:rsidRDefault="00026972" w:rsidP="00026972">
      <w:pPr>
        <w:spacing w:after="0" w:line="259" w:lineRule="auto"/>
        <w:rPr>
          <w:rFonts w:ascii="Calibri" w:eastAsia="Times New Roman" w:hAnsi="Calibri" w:cs="Times New Roman"/>
          <w:color w:val="000000" w:themeColor="text1"/>
          <w:lang w:eastAsia="es-MX"/>
        </w:rPr>
      </w:pPr>
    </w:p>
    <w:p w14:paraId="773BDCF0" w14:textId="77777777" w:rsidR="00026972" w:rsidRPr="00F32542" w:rsidRDefault="00026972" w:rsidP="00026972">
      <w:pPr>
        <w:spacing w:after="0" w:line="259" w:lineRule="auto"/>
        <w:rPr>
          <w:rFonts w:ascii="Calibri" w:eastAsia="Times New Roman" w:hAnsi="Calibri" w:cs="Times New Roman"/>
          <w:color w:val="000000" w:themeColor="text1"/>
          <w:lang w:eastAsia="es-MX"/>
        </w:rPr>
      </w:pPr>
    </w:p>
    <w:tbl>
      <w:tblPr>
        <w:tblStyle w:val="Tablaconcuadrcula253"/>
        <w:tblW w:w="0" w:type="auto"/>
        <w:jc w:val="center"/>
        <w:tblLook w:val="04A0" w:firstRow="1" w:lastRow="0" w:firstColumn="1" w:lastColumn="0" w:noHBand="0" w:noVBand="1"/>
      </w:tblPr>
      <w:tblGrid>
        <w:gridCol w:w="457"/>
        <w:gridCol w:w="626"/>
        <w:gridCol w:w="647"/>
        <w:gridCol w:w="1896"/>
        <w:gridCol w:w="1922"/>
        <w:gridCol w:w="1367"/>
        <w:gridCol w:w="1347"/>
      </w:tblGrid>
      <w:tr w:rsidR="00026972" w:rsidRPr="00F32542" w14:paraId="5DB598BB" w14:textId="77777777" w:rsidTr="00B65D24">
        <w:trPr>
          <w:trHeight w:val="539"/>
          <w:jc w:val="center"/>
        </w:trPr>
        <w:tc>
          <w:tcPr>
            <w:tcW w:w="8410" w:type="dxa"/>
            <w:gridSpan w:val="7"/>
            <w:shd w:val="clear" w:color="auto" w:fill="AEAAAA"/>
          </w:tcPr>
          <w:p w14:paraId="4E97D288" w14:textId="77777777" w:rsidR="00026972" w:rsidRPr="00F32542" w:rsidRDefault="00026972" w:rsidP="00026972">
            <w:pPr>
              <w:spacing w:after="0" w:line="240" w:lineRule="auto"/>
              <w:jc w:val="center"/>
              <w:rPr>
                <w:rFonts w:ascii="Arial" w:eastAsia="Times New Roman" w:hAnsi="Arial" w:cs="Arial"/>
                <w:b/>
                <w:color w:val="000000" w:themeColor="text1"/>
                <w:sz w:val="24"/>
                <w:szCs w:val="24"/>
                <w:lang w:eastAsia="es-MX"/>
              </w:rPr>
            </w:pPr>
            <w:r w:rsidRPr="00F32542">
              <w:rPr>
                <w:rFonts w:ascii="Arial" w:eastAsia="Times New Roman" w:hAnsi="Arial" w:cs="Arial"/>
                <w:b/>
                <w:color w:val="000000" w:themeColor="text1"/>
                <w:sz w:val="24"/>
                <w:szCs w:val="24"/>
                <w:lang w:eastAsia="es-MX"/>
              </w:rPr>
              <w:t>LISTA B</w:t>
            </w:r>
          </w:p>
          <w:p w14:paraId="31748240" w14:textId="77777777" w:rsidR="00026972" w:rsidRPr="00F32542" w:rsidRDefault="00026972" w:rsidP="00026972">
            <w:pPr>
              <w:spacing w:after="0" w:line="240" w:lineRule="auto"/>
              <w:jc w:val="center"/>
              <w:rPr>
                <w:rFonts w:ascii="Arial" w:eastAsia="Times New Roman" w:hAnsi="Arial" w:cs="Arial"/>
                <w:b/>
                <w:color w:val="000000" w:themeColor="text1"/>
                <w:sz w:val="24"/>
                <w:szCs w:val="24"/>
                <w:lang w:eastAsia="es-MX"/>
              </w:rPr>
            </w:pPr>
            <w:r w:rsidRPr="00F32542">
              <w:rPr>
                <w:rFonts w:ascii="Arial" w:eastAsia="Times New Roman" w:hAnsi="Arial" w:cs="Arial"/>
                <w:b/>
                <w:color w:val="000000" w:themeColor="text1"/>
                <w:sz w:val="24"/>
                <w:szCs w:val="24"/>
                <w:lang w:eastAsia="es-MX"/>
              </w:rPr>
              <w:t>MC</w:t>
            </w:r>
          </w:p>
        </w:tc>
      </w:tr>
      <w:tr w:rsidR="00026972" w:rsidRPr="00F32542" w14:paraId="07044351" w14:textId="77777777" w:rsidTr="00B65D24">
        <w:trPr>
          <w:jc w:val="center"/>
        </w:trPr>
        <w:tc>
          <w:tcPr>
            <w:tcW w:w="45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1AB122B7"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No</w:t>
            </w:r>
          </w:p>
        </w:tc>
        <w:tc>
          <w:tcPr>
            <w:tcW w:w="626"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188D85B9"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proofErr w:type="spellStart"/>
            <w:r w:rsidRPr="00F32542">
              <w:rPr>
                <w:rFonts w:ascii="Arial" w:eastAsia="Arial" w:hAnsi="Arial" w:cs="Arial"/>
                <w:b/>
                <w:color w:val="000000" w:themeColor="text1"/>
                <w:sz w:val="18"/>
                <w:szCs w:val="18"/>
              </w:rPr>
              <w:t>Dtto</w:t>
            </w:r>
            <w:proofErr w:type="spellEnd"/>
            <w:r w:rsidRPr="00F32542">
              <w:rPr>
                <w:rFonts w:ascii="Arial" w:eastAsia="Arial" w:hAnsi="Arial" w:cs="Arial"/>
                <w:b/>
                <w:color w:val="000000" w:themeColor="text1"/>
                <w:sz w:val="18"/>
                <w:szCs w:val="18"/>
              </w:rPr>
              <w:t>.</w:t>
            </w:r>
          </w:p>
        </w:tc>
        <w:tc>
          <w:tcPr>
            <w:tcW w:w="64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084FC960"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Sexo</w:t>
            </w:r>
          </w:p>
        </w:tc>
        <w:tc>
          <w:tcPr>
            <w:tcW w:w="195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77ED2011"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Candidatura propietaria</w:t>
            </w:r>
          </w:p>
        </w:tc>
        <w:tc>
          <w:tcPr>
            <w:tcW w:w="1986"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5EF43538"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Candidatura suplente</w:t>
            </w:r>
          </w:p>
        </w:tc>
        <w:tc>
          <w:tcPr>
            <w:tcW w:w="1390"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59AA87B9"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Porcentaje de votación distrital emitida acorde con el cómputo distrital original</w:t>
            </w:r>
          </w:p>
        </w:tc>
        <w:tc>
          <w:tcPr>
            <w:tcW w:w="1347" w:type="dxa"/>
            <w:tcBorders>
              <w:top w:val="single" w:sz="4" w:space="0" w:color="000000"/>
              <w:left w:val="single" w:sz="4" w:space="0" w:color="000000"/>
              <w:bottom w:val="single" w:sz="4" w:space="0" w:color="auto"/>
              <w:right w:val="single" w:sz="4" w:space="0" w:color="000000"/>
            </w:tcBorders>
            <w:shd w:val="clear" w:color="auto" w:fill="D0CECE"/>
            <w:vAlign w:val="center"/>
          </w:tcPr>
          <w:p w14:paraId="7E25B100" w14:textId="77777777" w:rsidR="00026972" w:rsidRPr="00F32542" w:rsidRDefault="00026972" w:rsidP="00026972">
            <w:pPr>
              <w:spacing w:after="0" w:line="240" w:lineRule="auto"/>
              <w:jc w:val="center"/>
              <w:rPr>
                <w:rFonts w:ascii="Arial" w:eastAsia="Arial" w:hAnsi="Arial" w:cs="Arial"/>
                <w:b/>
                <w:color w:val="000000" w:themeColor="text1"/>
                <w:sz w:val="18"/>
                <w:szCs w:val="18"/>
              </w:rPr>
            </w:pPr>
            <w:r w:rsidRPr="00F32542">
              <w:rPr>
                <w:rFonts w:ascii="Arial" w:eastAsia="Arial" w:hAnsi="Arial" w:cs="Arial"/>
                <w:b/>
                <w:color w:val="000000" w:themeColor="text1"/>
                <w:sz w:val="18"/>
                <w:szCs w:val="18"/>
              </w:rPr>
              <w:t xml:space="preserve">Porcentaje de votación distrital emitida acorde </w:t>
            </w:r>
            <w:proofErr w:type="gramStart"/>
            <w:r w:rsidRPr="00F32542">
              <w:rPr>
                <w:rFonts w:ascii="Arial" w:eastAsia="Arial" w:hAnsi="Arial" w:cs="Arial"/>
                <w:b/>
                <w:color w:val="000000" w:themeColor="text1"/>
                <w:sz w:val="18"/>
                <w:szCs w:val="18"/>
              </w:rPr>
              <w:t>con  el</w:t>
            </w:r>
            <w:proofErr w:type="gramEnd"/>
            <w:r w:rsidRPr="00F32542">
              <w:rPr>
                <w:rFonts w:ascii="Arial" w:eastAsia="Arial" w:hAnsi="Arial" w:cs="Arial"/>
                <w:b/>
                <w:color w:val="000000" w:themeColor="text1"/>
                <w:sz w:val="18"/>
                <w:szCs w:val="18"/>
              </w:rPr>
              <w:t xml:space="preserve"> cómputo distrital recompuesto</w:t>
            </w:r>
          </w:p>
        </w:tc>
      </w:tr>
      <w:tr w:rsidR="00026972" w:rsidRPr="00F32542" w14:paraId="10525E1D" w14:textId="77777777" w:rsidTr="00B65D24">
        <w:trPr>
          <w:jc w:val="center"/>
        </w:trPr>
        <w:tc>
          <w:tcPr>
            <w:tcW w:w="457" w:type="dxa"/>
            <w:shd w:val="clear" w:color="auto" w:fill="FFFFFF"/>
            <w:vAlign w:val="center"/>
          </w:tcPr>
          <w:p w14:paraId="499726B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B4D501"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19</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C6CBE"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C485A5"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Guillermo Sánchez Torres</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47F5DD"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Maria Fernanda Flores</w:t>
            </w:r>
          </w:p>
          <w:p w14:paraId="37B000D8"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Cedillo</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61D24F9"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9.91</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572061BC"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9.91</w:t>
            </w:r>
          </w:p>
        </w:tc>
      </w:tr>
      <w:tr w:rsidR="00026972" w:rsidRPr="00F32542" w14:paraId="2618378E" w14:textId="77777777" w:rsidTr="00B65D24">
        <w:trPr>
          <w:jc w:val="center"/>
        </w:trPr>
        <w:tc>
          <w:tcPr>
            <w:tcW w:w="457" w:type="dxa"/>
            <w:shd w:val="clear" w:color="auto" w:fill="FFFFFF"/>
            <w:vAlign w:val="center"/>
          </w:tcPr>
          <w:p w14:paraId="42F138D4"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E02FE"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28</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65AC49"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8F101D"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Nayaret </w:t>
            </w:r>
            <w:proofErr w:type="spellStart"/>
            <w:r w:rsidRPr="00F32542">
              <w:rPr>
                <w:rFonts w:ascii="Arial" w:eastAsia="Calibri" w:hAnsi="Arial" w:cs="Arial"/>
                <w:color w:val="000000" w:themeColor="text1"/>
                <w:sz w:val="20"/>
                <w:szCs w:val="20"/>
              </w:rPr>
              <w:t>Yazmin</w:t>
            </w:r>
            <w:proofErr w:type="spellEnd"/>
            <w:r w:rsidRPr="00F32542">
              <w:rPr>
                <w:rFonts w:ascii="Arial" w:eastAsia="Calibri" w:hAnsi="Arial" w:cs="Arial"/>
                <w:color w:val="000000" w:themeColor="text1"/>
                <w:sz w:val="20"/>
                <w:szCs w:val="20"/>
              </w:rPr>
              <w:t xml:space="preserve"> Calderón</w:t>
            </w:r>
          </w:p>
          <w:p w14:paraId="3769E6BA"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Martínez</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C53E44"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Alejandra González</w:t>
            </w:r>
          </w:p>
          <w:p w14:paraId="4DF2A898"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Albarrán</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13AACA7"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4.29</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72FE6FE9"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4.27</w:t>
            </w:r>
          </w:p>
        </w:tc>
      </w:tr>
      <w:tr w:rsidR="00026972" w:rsidRPr="00F32542" w14:paraId="6B7E07CD" w14:textId="77777777" w:rsidTr="00B65D24">
        <w:trPr>
          <w:jc w:val="center"/>
        </w:trPr>
        <w:tc>
          <w:tcPr>
            <w:tcW w:w="457" w:type="dxa"/>
            <w:shd w:val="clear" w:color="auto" w:fill="FFFFFF"/>
            <w:vAlign w:val="center"/>
          </w:tcPr>
          <w:p w14:paraId="0A180A72"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55724E"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14</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0F11B3"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26C110"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proofErr w:type="spellStart"/>
            <w:proofErr w:type="gramStart"/>
            <w:r w:rsidRPr="00F32542">
              <w:rPr>
                <w:rFonts w:ascii="Arial" w:eastAsia="Calibri" w:hAnsi="Arial" w:cs="Arial"/>
                <w:color w:val="000000" w:themeColor="text1"/>
                <w:sz w:val="20"/>
                <w:szCs w:val="20"/>
              </w:rPr>
              <w:t>Raul</w:t>
            </w:r>
            <w:proofErr w:type="spellEnd"/>
            <w:r w:rsidRPr="00F32542">
              <w:rPr>
                <w:rFonts w:ascii="Arial" w:eastAsia="Calibri" w:hAnsi="Arial" w:cs="Arial"/>
                <w:color w:val="000000" w:themeColor="text1"/>
                <w:sz w:val="20"/>
                <w:szCs w:val="20"/>
              </w:rPr>
              <w:t xml:space="preserve">  Hernández</w:t>
            </w:r>
            <w:proofErr w:type="gramEnd"/>
            <w:r w:rsidRPr="00F32542">
              <w:rPr>
                <w:rFonts w:ascii="Arial" w:eastAsia="Calibri" w:hAnsi="Arial" w:cs="Arial"/>
                <w:color w:val="000000" w:themeColor="text1"/>
                <w:sz w:val="20"/>
                <w:szCs w:val="20"/>
              </w:rPr>
              <w:t xml:space="preserve"> Vega</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C97620"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proofErr w:type="gramStart"/>
            <w:r w:rsidRPr="00F32542">
              <w:rPr>
                <w:rFonts w:ascii="Arial" w:eastAsia="Calibri" w:hAnsi="Arial" w:cs="Arial"/>
                <w:color w:val="000000" w:themeColor="text1"/>
                <w:sz w:val="20"/>
                <w:szCs w:val="20"/>
              </w:rPr>
              <w:t>Daniel  Ramírez</w:t>
            </w:r>
            <w:proofErr w:type="gramEnd"/>
            <w:r w:rsidRPr="00F32542">
              <w:rPr>
                <w:rFonts w:ascii="Arial" w:eastAsia="Calibri" w:hAnsi="Arial" w:cs="Arial"/>
                <w:color w:val="000000" w:themeColor="text1"/>
                <w:sz w:val="20"/>
                <w:szCs w:val="20"/>
              </w:rPr>
              <w:t xml:space="preserve"> Morales</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9C5985F"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7.90</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7C7339D1"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7.90</w:t>
            </w:r>
          </w:p>
        </w:tc>
      </w:tr>
      <w:tr w:rsidR="00026972" w:rsidRPr="00F32542" w14:paraId="16883E06" w14:textId="77777777" w:rsidTr="00B65D24">
        <w:trPr>
          <w:jc w:val="center"/>
        </w:trPr>
        <w:tc>
          <w:tcPr>
            <w:tcW w:w="457" w:type="dxa"/>
            <w:shd w:val="clear" w:color="auto" w:fill="FFFFFF"/>
            <w:vAlign w:val="center"/>
          </w:tcPr>
          <w:p w14:paraId="5CFE2D7F"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243BE1"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32</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19D8F0"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A463DA"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Sofia Margarita Provencio O</w:t>
            </w:r>
          </w:p>
          <w:p w14:paraId="369774FE"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proofErr w:type="spellStart"/>
            <w:r w:rsidRPr="00F32542">
              <w:rPr>
                <w:rFonts w:ascii="Arial" w:eastAsia="Calibri" w:hAnsi="Arial" w:cs="Arial"/>
                <w:color w:val="000000" w:themeColor="text1"/>
                <w:sz w:val="20"/>
                <w:szCs w:val="20"/>
              </w:rPr>
              <w:t>Donoghue</w:t>
            </w:r>
            <w:proofErr w:type="spellEnd"/>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700318"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Lina Mariela </w:t>
            </w:r>
            <w:proofErr w:type="spellStart"/>
            <w:r w:rsidRPr="00F32542">
              <w:rPr>
                <w:rFonts w:ascii="Arial" w:eastAsia="Calibri" w:hAnsi="Arial" w:cs="Arial"/>
                <w:color w:val="000000" w:themeColor="text1"/>
                <w:sz w:val="20"/>
                <w:szCs w:val="20"/>
              </w:rPr>
              <w:t>Diazconti</w:t>
            </w:r>
            <w:proofErr w:type="spellEnd"/>
          </w:p>
          <w:p w14:paraId="4333B338"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Ramírez</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16F3CCB"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3.96</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137BFC3C"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3.96</w:t>
            </w:r>
          </w:p>
        </w:tc>
      </w:tr>
      <w:tr w:rsidR="00026972" w:rsidRPr="00F32542" w14:paraId="7473878D" w14:textId="77777777" w:rsidTr="00B65D24">
        <w:trPr>
          <w:jc w:val="center"/>
        </w:trPr>
        <w:tc>
          <w:tcPr>
            <w:tcW w:w="457" w:type="dxa"/>
            <w:shd w:val="clear" w:color="auto" w:fill="FFFFFF"/>
            <w:vAlign w:val="center"/>
          </w:tcPr>
          <w:p w14:paraId="03C036D0"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5</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379BF"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7</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623FFF"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DE889"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Cristian Alejandro Palma</w:t>
            </w:r>
          </w:p>
          <w:p w14:paraId="060EC1B4"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Valdez</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29BDE0"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Jorge Alejandro Cueto</w:t>
            </w:r>
          </w:p>
          <w:p w14:paraId="7F663002"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Trujillo</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E4CC3D3"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6.05</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32013C50"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6.06</w:t>
            </w:r>
          </w:p>
        </w:tc>
      </w:tr>
      <w:tr w:rsidR="00026972" w:rsidRPr="00F32542" w14:paraId="16273BA7" w14:textId="77777777" w:rsidTr="00B65D24">
        <w:trPr>
          <w:jc w:val="center"/>
        </w:trPr>
        <w:tc>
          <w:tcPr>
            <w:tcW w:w="457" w:type="dxa"/>
            <w:shd w:val="clear" w:color="auto" w:fill="FFFFFF"/>
            <w:vAlign w:val="center"/>
          </w:tcPr>
          <w:p w14:paraId="0F2418C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6</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D8053A"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23</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4D67F9"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A967F"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Lucia Alejandra Puente García</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8C5436"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Irma Fabiola </w:t>
            </w:r>
            <w:proofErr w:type="spellStart"/>
            <w:r w:rsidRPr="00F32542">
              <w:rPr>
                <w:rFonts w:ascii="Arial" w:eastAsia="Calibri" w:hAnsi="Arial" w:cs="Arial"/>
                <w:color w:val="000000" w:themeColor="text1"/>
                <w:sz w:val="20"/>
                <w:szCs w:val="20"/>
              </w:rPr>
              <w:t>Síerra</w:t>
            </w:r>
            <w:proofErr w:type="spellEnd"/>
            <w:r w:rsidRPr="00F32542">
              <w:rPr>
                <w:rFonts w:ascii="Arial" w:eastAsia="Calibri" w:hAnsi="Arial" w:cs="Arial"/>
                <w:color w:val="000000" w:themeColor="text1"/>
                <w:sz w:val="20"/>
                <w:szCs w:val="20"/>
              </w:rPr>
              <w:t xml:space="preserve"> Villegas</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F877FCC"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3.73</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4C3E8954"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3.73</w:t>
            </w:r>
          </w:p>
        </w:tc>
      </w:tr>
      <w:tr w:rsidR="00026972" w:rsidRPr="00F32542" w14:paraId="60B4851A" w14:textId="77777777" w:rsidTr="00B65D24">
        <w:trPr>
          <w:jc w:val="center"/>
        </w:trPr>
        <w:tc>
          <w:tcPr>
            <w:tcW w:w="457" w:type="dxa"/>
            <w:shd w:val="clear" w:color="auto" w:fill="FFFFFF"/>
            <w:vAlign w:val="center"/>
          </w:tcPr>
          <w:p w14:paraId="7A282ADD"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7</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015F23"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16</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BAF7C"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7805F0"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Jorge </w:t>
            </w:r>
            <w:proofErr w:type="spellStart"/>
            <w:r w:rsidRPr="00F32542">
              <w:rPr>
                <w:rFonts w:ascii="Arial" w:eastAsia="Calibri" w:hAnsi="Arial" w:cs="Arial"/>
                <w:color w:val="000000" w:themeColor="text1"/>
                <w:sz w:val="20"/>
                <w:szCs w:val="20"/>
              </w:rPr>
              <w:t>Perez</w:t>
            </w:r>
            <w:proofErr w:type="spellEnd"/>
            <w:r w:rsidRPr="00F32542">
              <w:rPr>
                <w:rFonts w:ascii="Arial" w:eastAsia="Calibri" w:hAnsi="Arial" w:cs="Arial"/>
                <w:color w:val="000000" w:themeColor="text1"/>
                <w:sz w:val="20"/>
                <w:szCs w:val="20"/>
              </w:rPr>
              <w:t xml:space="preserve"> </w:t>
            </w:r>
            <w:proofErr w:type="spellStart"/>
            <w:r w:rsidRPr="00F32542">
              <w:rPr>
                <w:rFonts w:ascii="Arial" w:eastAsia="Calibri" w:hAnsi="Arial" w:cs="Arial"/>
                <w:color w:val="000000" w:themeColor="text1"/>
                <w:sz w:val="20"/>
                <w:szCs w:val="20"/>
              </w:rPr>
              <w:t>Rodriguez</w:t>
            </w:r>
            <w:proofErr w:type="spellEnd"/>
            <w:r w:rsidRPr="00F32542">
              <w:rPr>
                <w:rFonts w:ascii="Arial" w:eastAsia="Calibri" w:hAnsi="Arial" w:cs="Arial"/>
                <w:color w:val="000000" w:themeColor="text1"/>
                <w:sz w:val="20"/>
                <w:szCs w:val="20"/>
              </w:rPr>
              <w:t xml:space="preserve"> Y</w:t>
            </w:r>
          </w:p>
          <w:p w14:paraId="39886C27"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proofErr w:type="spellStart"/>
            <w:r w:rsidRPr="00F32542">
              <w:rPr>
                <w:rFonts w:ascii="Arial" w:eastAsia="Calibri" w:hAnsi="Arial" w:cs="Arial"/>
                <w:color w:val="000000" w:themeColor="text1"/>
                <w:sz w:val="20"/>
                <w:szCs w:val="20"/>
              </w:rPr>
              <w:t>Perez</w:t>
            </w:r>
            <w:proofErr w:type="spellEnd"/>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A9F533"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Angel Noé </w:t>
            </w:r>
            <w:proofErr w:type="gramStart"/>
            <w:r w:rsidRPr="00F32542">
              <w:rPr>
                <w:rFonts w:ascii="Arial" w:eastAsia="Calibri" w:hAnsi="Arial" w:cs="Arial"/>
                <w:color w:val="000000" w:themeColor="text1"/>
                <w:sz w:val="20"/>
                <w:szCs w:val="20"/>
              </w:rPr>
              <w:t>Mendoza  Arzate</w:t>
            </w:r>
            <w:proofErr w:type="gramEnd"/>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03087FC"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5.22</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50DD9BF2"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5.22</w:t>
            </w:r>
          </w:p>
        </w:tc>
      </w:tr>
      <w:tr w:rsidR="00026972" w:rsidRPr="00F32542" w14:paraId="174EBE1A" w14:textId="77777777" w:rsidTr="00B65D24">
        <w:trPr>
          <w:jc w:val="center"/>
        </w:trPr>
        <w:tc>
          <w:tcPr>
            <w:tcW w:w="457" w:type="dxa"/>
            <w:shd w:val="clear" w:color="auto" w:fill="FFFFFF"/>
            <w:vAlign w:val="center"/>
          </w:tcPr>
          <w:p w14:paraId="08632FC2"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8</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2BDBDF"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33</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9EF546"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342A31"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Patricia Barragán Pacheco</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435046"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Emma Ivet Gómez García</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36B694B"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3.71</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0AB33040"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3.72</w:t>
            </w:r>
          </w:p>
        </w:tc>
      </w:tr>
      <w:tr w:rsidR="00026972" w:rsidRPr="00F32542" w14:paraId="10CB09D3" w14:textId="77777777" w:rsidTr="00B65D24">
        <w:trPr>
          <w:jc w:val="center"/>
        </w:trPr>
        <w:tc>
          <w:tcPr>
            <w:tcW w:w="457" w:type="dxa"/>
            <w:shd w:val="clear" w:color="auto" w:fill="FFFFFF"/>
            <w:vAlign w:val="center"/>
          </w:tcPr>
          <w:p w14:paraId="42DF9D6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9</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717FF"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11</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504A5D"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17228"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Alejandro Rafael Piña Medina</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C52DFE"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Jose Alfredo Torres</w:t>
            </w:r>
          </w:p>
          <w:p w14:paraId="478239BF"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Chávez</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9EE315F"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5.02</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71E8F34F"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5.02</w:t>
            </w:r>
          </w:p>
        </w:tc>
      </w:tr>
      <w:tr w:rsidR="00026972" w:rsidRPr="00F32542" w14:paraId="7567FFB2" w14:textId="77777777" w:rsidTr="00B65D24">
        <w:trPr>
          <w:jc w:val="center"/>
        </w:trPr>
        <w:tc>
          <w:tcPr>
            <w:tcW w:w="457" w:type="dxa"/>
            <w:shd w:val="clear" w:color="auto" w:fill="FFFFFF"/>
            <w:vAlign w:val="center"/>
          </w:tcPr>
          <w:p w14:paraId="58449B53"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10</w:t>
            </w:r>
          </w:p>
        </w:tc>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07976B"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31</w:t>
            </w:r>
          </w:p>
        </w:tc>
        <w:tc>
          <w:tcPr>
            <w:tcW w:w="6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48BCA9"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w:t>
            </w:r>
          </w:p>
        </w:tc>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7A8299"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Ana </w:t>
            </w:r>
            <w:proofErr w:type="gramStart"/>
            <w:r w:rsidRPr="00F32542">
              <w:rPr>
                <w:rFonts w:ascii="Arial" w:eastAsia="Calibri" w:hAnsi="Arial" w:cs="Arial"/>
                <w:color w:val="000000" w:themeColor="text1"/>
                <w:sz w:val="20"/>
                <w:szCs w:val="20"/>
              </w:rPr>
              <w:t>Karen  Ronquillo</w:t>
            </w:r>
            <w:proofErr w:type="gramEnd"/>
            <w:r w:rsidRPr="00F32542">
              <w:rPr>
                <w:rFonts w:ascii="Arial" w:eastAsia="Calibri" w:hAnsi="Arial" w:cs="Arial"/>
                <w:color w:val="000000" w:themeColor="text1"/>
                <w:sz w:val="20"/>
                <w:szCs w:val="20"/>
              </w:rPr>
              <w:t xml:space="preserve"> Crispín</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F1144E"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Rosa </w:t>
            </w:r>
            <w:proofErr w:type="gramStart"/>
            <w:r w:rsidRPr="00F32542">
              <w:rPr>
                <w:rFonts w:ascii="Arial" w:eastAsia="Calibri" w:hAnsi="Arial" w:cs="Arial"/>
                <w:color w:val="000000" w:themeColor="text1"/>
                <w:sz w:val="20"/>
                <w:szCs w:val="20"/>
              </w:rPr>
              <w:t>Isela  Flores</w:t>
            </w:r>
            <w:proofErr w:type="gramEnd"/>
            <w:r w:rsidRPr="00F32542">
              <w:rPr>
                <w:rFonts w:ascii="Arial" w:eastAsia="Calibri" w:hAnsi="Arial" w:cs="Arial"/>
                <w:color w:val="000000" w:themeColor="text1"/>
                <w:sz w:val="20"/>
                <w:szCs w:val="20"/>
              </w:rPr>
              <w:t xml:space="preserve"> Morales</w:t>
            </w:r>
          </w:p>
        </w:tc>
        <w:tc>
          <w:tcPr>
            <w:tcW w:w="13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3A4BD64"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3.69</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420282FD" w14:textId="77777777" w:rsidR="00026972" w:rsidRPr="00F32542" w:rsidRDefault="00026972" w:rsidP="00026972">
            <w:pPr>
              <w:spacing w:after="0" w:line="240" w:lineRule="auto"/>
              <w:contextualSpacing/>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3.69</w:t>
            </w:r>
          </w:p>
        </w:tc>
      </w:tr>
    </w:tbl>
    <w:p w14:paraId="31C93D10" w14:textId="77777777" w:rsidR="00026972" w:rsidRPr="00F32542" w:rsidRDefault="00026972" w:rsidP="00026972">
      <w:pPr>
        <w:spacing w:after="0" w:line="259" w:lineRule="auto"/>
        <w:rPr>
          <w:rFonts w:ascii="Calibri" w:eastAsia="Times New Roman" w:hAnsi="Calibri" w:cs="Times New Roman"/>
          <w:color w:val="000000" w:themeColor="text1"/>
          <w:lang w:eastAsia="es-MX"/>
        </w:rPr>
      </w:pPr>
    </w:p>
    <w:p w14:paraId="103849C9" w14:textId="77777777" w:rsidR="00026972" w:rsidRPr="00F32542" w:rsidRDefault="00026972" w:rsidP="00026972">
      <w:pPr>
        <w:spacing w:after="0" w:line="259" w:lineRule="auto"/>
        <w:rPr>
          <w:rFonts w:ascii="Calibri" w:eastAsia="Times New Roman" w:hAnsi="Calibri" w:cs="Times New Roman"/>
          <w:color w:val="000000" w:themeColor="text1"/>
          <w:lang w:eastAsia="es-MX"/>
        </w:rPr>
      </w:pPr>
    </w:p>
    <w:tbl>
      <w:tblPr>
        <w:tblStyle w:val="Tablaconcuadrcula253"/>
        <w:tblW w:w="0" w:type="auto"/>
        <w:jc w:val="center"/>
        <w:tblLook w:val="04A0" w:firstRow="1" w:lastRow="0" w:firstColumn="1" w:lastColumn="0" w:noHBand="0" w:noVBand="1"/>
      </w:tblPr>
      <w:tblGrid>
        <w:gridCol w:w="457"/>
        <w:gridCol w:w="626"/>
        <w:gridCol w:w="647"/>
        <w:gridCol w:w="1900"/>
        <w:gridCol w:w="1919"/>
        <w:gridCol w:w="1366"/>
        <w:gridCol w:w="1347"/>
      </w:tblGrid>
      <w:tr w:rsidR="00026972" w:rsidRPr="00F32542" w14:paraId="7FDDAB52" w14:textId="77777777" w:rsidTr="00B65D24">
        <w:trPr>
          <w:trHeight w:val="539"/>
          <w:jc w:val="center"/>
        </w:trPr>
        <w:tc>
          <w:tcPr>
            <w:tcW w:w="8410" w:type="dxa"/>
            <w:gridSpan w:val="7"/>
            <w:shd w:val="clear" w:color="auto" w:fill="AEAAAA"/>
          </w:tcPr>
          <w:p w14:paraId="5A73559F" w14:textId="77777777" w:rsidR="00026972" w:rsidRPr="00F32542" w:rsidRDefault="00026972" w:rsidP="00026972">
            <w:pPr>
              <w:spacing w:after="0" w:line="240" w:lineRule="auto"/>
              <w:jc w:val="center"/>
              <w:rPr>
                <w:rFonts w:ascii="Arial" w:eastAsia="Times New Roman" w:hAnsi="Arial" w:cs="Arial"/>
                <w:b/>
                <w:color w:val="000000" w:themeColor="text1"/>
                <w:sz w:val="24"/>
                <w:szCs w:val="24"/>
                <w:lang w:eastAsia="es-MX"/>
              </w:rPr>
            </w:pPr>
            <w:r w:rsidRPr="00F32542">
              <w:rPr>
                <w:rFonts w:ascii="Arial" w:eastAsia="Times New Roman" w:hAnsi="Arial" w:cs="Arial"/>
                <w:b/>
                <w:color w:val="000000" w:themeColor="text1"/>
                <w:sz w:val="24"/>
                <w:szCs w:val="24"/>
                <w:lang w:eastAsia="es-MX"/>
              </w:rPr>
              <w:t>LISTA B</w:t>
            </w:r>
          </w:p>
          <w:p w14:paraId="15A8980B" w14:textId="77777777" w:rsidR="00026972" w:rsidRPr="00F32542" w:rsidRDefault="00026972" w:rsidP="00026972">
            <w:pPr>
              <w:spacing w:after="0" w:line="240" w:lineRule="auto"/>
              <w:jc w:val="center"/>
              <w:rPr>
                <w:rFonts w:ascii="Arial" w:eastAsia="Times New Roman" w:hAnsi="Arial" w:cs="Arial"/>
                <w:b/>
                <w:color w:val="000000" w:themeColor="text1"/>
                <w:sz w:val="24"/>
                <w:szCs w:val="24"/>
                <w:lang w:eastAsia="es-MX"/>
              </w:rPr>
            </w:pPr>
            <w:r w:rsidRPr="00F32542">
              <w:rPr>
                <w:rFonts w:ascii="Arial" w:eastAsia="Times New Roman" w:hAnsi="Arial" w:cs="Arial"/>
                <w:b/>
                <w:color w:val="000000" w:themeColor="text1"/>
                <w:sz w:val="24"/>
                <w:szCs w:val="24"/>
                <w:lang w:eastAsia="es-MX"/>
              </w:rPr>
              <w:t>MORENA</w:t>
            </w:r>
          </w:p>
        </w:tc>
      </w:tr>
      <w:tr w:rsidR="00026972" w:rsidRPr="00F32542" w14:paraId="2477AD3E" w14:textId="77777777" w:rsidTr="00B65D24">
        <w:trPr>
          <w:jc w:val="center"/>
        </w:trPr>
        <w:tc>
          <w:tcPr>
            <w:tcW w:w="45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76025402"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No</w:t>
            </w:r>
          </w:p>
        </w:tc>
        <w:tc>
          <w:tcPr>
            <w:tcW w:w="626"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525DCE3B"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proofErr w:type="spellStart"/>
            <w:r w:rsidRPr="00F32542">
              <w:rPr>
                <w:rFonts w:ascii="Arial" w:eastAsia="Arial" w:hAnsi="Arial" w:cs="Arial"/>
                <w:b/>
                <w:color w:val="000000" w:themeColor="text1"/>
                <w:sz w:val="18"/>
                <w:szCs w:val="18"/>
              </w:rPr>
              <w:t>Dtto</w:t>
            </w:r>
            <w:proofErr w:type="spellEnd"/>
            <w:r w:rsidRPr="00F32542">
              <w:rPr>
                <w:rFonts w:ascii="Arial" w:eastAsia="Arial" w:hAnsi="Arial" w:cs="Arial"/>
                <w:b/>
                <w:color w:val="000000" w:themeColor="text1"/>
                <w:sz w:val="18"/>
                <w:szCs w:val="18"/>
              </w:rPr>
              <w:t>.</w:t>
            </w:r>
          </w:p>
        </w:tc>
        <w:tc>
          <w:tcPr>
            <w:tcW w:w="64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73BD90DC"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Sexo</w:t>
            </w:r>
          </w:p>
        </w:tc>
        <w:tc>
          <w:tcPr>
            <w:tcW w:w="1957"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4A6B498C"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Candidatura propietaria</w:t>
            </w:r>
          </w:p>
        </w:tc>
        <w:tc>
          <w:tcPr>
            <w:tcW w:w="1986"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10F162FE"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Candidatura suplente</w:t>
            </w:r>
          </w:p>
        </w:tc>
        <w:tc>
          <w:tcPr>
            <w:tcW w:w="1390"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176F69AA" w14:textId="77777777" w:rsidR="00026972" w:rsidRPr="00F32542" w:rsidRDefault="00026972" w:rsidP="00026972">
            <w:pPr>
              <w:spacing w:after="0" w:line="240" w:lineRule="auto"/>
              <w:jc w:val="center"/>
              <w:rPr>
                <w:rFonts w:ascii="Arial" w:eastAsia="Calibri" w:hAnsi="Arial" w:cs="Arial"/>
                <w:color w:val="000000" w:themeColor="text1"/>
                <w:sz w:val="18"/>
                <w:szCs w:val="18"/>
              </w:rPr>
            </w:pPr>
            <w:r w:rsidRPr="00F32542">
              <w:rPr>
                <w:rFonts w:ascii="Arial" w:eastAsia="Arial" w:hAnsi="Arial" w:cs="Arial"/>
                <w:b/>
                <w:color w:val="000000" w:themeColor="text1"/>
                <w:sz w:val="18"/>
                <w:szCs w:val="18"/>
              </w:rPr>
              <w:t>Porcentaje de votación distrital emitida acorde con el cómputo distrital original</w:t>
            </w:r>
          </w:p>
        </w:tc>
        <w:tc>
          <w:tcPr>
            <w:tcW w:w="1347" w:type="dxa"/>
            <w:tcBorders>
              <w:top w:val="single" w:sz="4" w:space="0" w:color="000000"/>
              <w:left w:val="single" w:sz="4" w:space="0" w:color="000000"/>
              <w:bottom w:val="single" w:sz="4" w:space="0" w:color="auto"/>
              <w:right w:val="single" w:sz="4" w:space="0" w:color="000000"/>
            </w:tcBorders>
            <w:shd w:val="clear" w:color="auto" w:fill="D0CECE"/>
            <w:vAlign w:val="center"/>
          </w:tcPr>
          <w:p w14:paraId="28356BDC" w14:textId="77777777" w:rsidR="00026972" w:rsidRPr="00F32542" w:rsidRDefault="00026972" w:rsidP="00026972">
            <w:pPr>
              <w:spacing w:after="0" w:line="240" w:lineRule="auto"/>
              <w:jc w:val="center"/>
              <w:rPr>
                <w:rFonts w:ascii="Arial" w:eastAsia="Arial" w:hAnsi="Arial" w:cs="Arial"/>
                <w:b/>
                <w:color w:val="000000" w:themeColor="text1"/>
                <w:sz w:val="18"/>
                <w:szCs w:val="18"/>
              </w:rPr>
            </w:pPr>
            <w:r w:rsidRPr="00F32542">
              <w:rPr>
                <w:rFonts w:ascii="Arial" w:eastAsia="Arial" w:hAnsi="Arial" w:cs="Arial"/>
                <w:b/>
                <w:color w:val="000000" w:themeColor="text1"/>
                <w:sz w:val="18"/>
                <w:szCs w:val="18"/>
              </w:rPr>
              <w:t xml:space="preserve">Porcentaje de votación distrital emitida acorde </w:t>
            </w:r>
            <w:proofErr w:type="gramStart"/>
            <w:r w:rsidRPr="00F32542">
              <w:rPr>
                <w:rFonts w:ascii="Arial" w:eastAsia="Arial" w:hAnsi="Arial" w:cs="Arial"/>
                <w:b/>
                <w:color w:val="000000" w:themeColor="text1"/>
                <w:sz w:val="18"/>
                <w:szCs w:val="18"/>
              </w:rPr>
              <w:t>con  el</w:t>
            </w:r>
            <w:proofErr w:type="gramEnd"/>
            <w:r w:rsidRPr="00F32542">
              <w:rPr>
                <w:rFonts w:ascii="Arial" w:eastAsia="Arial" w:hAnsi="Arial" w:cs="Arial"/>
                <w:b/>
                <w:color w:val="000000" w:themeColor="text1"/>
                <w:sz w:val="18"/>
                <w:szCs w:val="18"/>
              </w:rPr>
              <w:t xml:space="preserve"> cómputo distrital recompuesto</w:t>
            </w:r>
          </w:p>
        </w:tc>
      </w:tr>
      <w:tr w:rsidR="00026972" w:rsidRPr="00F32542" w14:paraId="7232468F" w14:textId="77777777" w:rsidTr="00B65D24">
        <w:trPr>
          <w:jc w:val="center"/>
        </w:trPr>
        <w:tc>
          <w:tcPr>
            <w:tcW w:w="457" w:type="dxa"/>
            <w:shd w:val="clear" w:color="auto" w:fill="FFFFFF"/>
            <w:vAlign w:val="center"/>
          </w:tcPr>
          <w:p w14:paraId="1E3DE098"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lastRenderedPageBreak/>
              <w:t>1</w:t>
            </w:r>
          </w:p>
        </w:tc>
        <w:tc>
          <w:tcPr>
            <w:tcW w:w="626" w:type="dxa"/>
            <w:tcBorders>
              <w:top w:val="single" w:sz="4" w:space="0" w:color="000000"/>
              <w:left w:val="single" w:sz="4" w:space="0" w:color="000000"/>
              <w:bottom w:val="single" w:sz="4" w:space="0" w:color="000000"/>
              <w:right w:val="single" w:sz="4" w:space="0" w:color="000000"/>
            </w:tcBorders>
            <w:vAlign w:val="center"/>
          </w:tcPr>
          <w:p w14:paraId="46DDDC1E"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6</w:t>
            </w:r>
          </w:p>
        </w:tc>
        <w:tc>
          <w:tcPr>
            <w:tcW w:w="647" w:type="dxa"/>
            <w:tcBorders>
              <w:top w:val="single" w:sz="4" w:space="0" w:color="000000"/>
              <w:left w:val="single" w:sz="4" w:space="0" w:color="000000"/>
              <w:bottom w:val="single" w:sz="4" w:space="0" w:color="000000"/>
              <w:right w:val="single" w:sz="4" w:space="0" w:color="000000"/>
            </w:tcBorders>
            <w:vAlign w:val="center"/>
          </w:tcPr>
          <w:p w14:paraId="48524DE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w:t>
            </w:r>
          </w:p>
        </w:tc>
        <w:tc>
          <w:tcPr>
            <w:tcW w:w="1957" w:type="dxa"/>
            <w:tcBorders>
              <w:top w:val="single" w:sz="4" w:space="0" w:color="000000"/>
              <w:left w:val="single" w:sz="4" w:space="0" w:color="000000"/>
              <w:bottom w:val="single" w:sz="4" w:space="0" w:color="000000"/>
              <w:right w:val="single" w:sz="4" w:space="0" w:color="000000"/>
            </w:tcBorders>
            <w:vAlign w:val="center"/>
          </w:tcPr>
          <w:p w14:paraId="1882888F"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proofErr w:type="spellStart"/>
            <w:r w:rsidRPr="00F32542">
              <w:rPr>
                <w:rFonts w:ascii="Arial" w:eastAsia="Calibri" w:hAnsi="Arial" w:cs="Arial"/>
                <w:color w:val="000000" w:themeColor="text1"/>
                <w:sz w:val="20"/>
                <w:szCs w:val="20"/>
              </w:rPr>
              <w:t>Yuriri</w:t>
            </w:r>
            <w:proofErr w:type="spellEnd"/>
            <w:r w:rsidRPr="00F32542">
              <w:rPr>
                <w:rFonts w:ascii="Arial" w:eastAsia="Calibri" w:hAnsi="Arial" w:cs="Arial"/>
                <w:color w:val="000000" w:themeColor="text1"/>
                <w:sz w:val="20"/>
                <w:szCs w:val="20"/>
              </w:rPr>
              <w:t xml:space="preserve"> Ayala Zúñiga</w:t>
            </w:r>
          </w:p>
        </w:tc>
        <w:tc>
          <w:tcPr>
            <w:tcW w:w="1986" w:type="dxa"/>
            <w:tcBorders>
              <w:top w:val="single" w:sz="4" w:space="0" w:color="000000"/>
              <w:left w:val="single" w:sz="4" w:space="0" w:color="000000"/>
              <w:bottom w:val="single" w:sz="4" w:space="0" w:color="000000"/>
              <w:right w:val="single" w:sz="4" w:space="0" w:color="000000"/>
            </w:tcBorders>
            <w:vAlign w:val="center"/>
          </w:tcPr>
          <w:p w14:paraId="62BD84ED"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Sandy Hernández Mercado</w:t>
            </w:r>
          </w:p>
        </w:tc>
        <w:tc>
          <w:tcPr>
            <w:tcW w:w="1390" w:type="dxa"/>
            <w:tcBorders>
              <w:top w:val="single" w:sz="4" w:space="0" w:color="000000"/>
              <w:left w:val="single" w:sz="4" w:space="0" w:color="000000"/>
              <w:bottom w:val="single" w:sz="4" w:space="0" w:color="000000"/>
              <w:right w:val="single" w:sz="4" w:space="0" w:color="auto"/>
            </w:tcBorders>
            <w:vAlign w:val="center"/>
          </w:tcPr>
          <w:p w14:paraId="1BA17408"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45.56</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1BED1B0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45.29</w:t>
            </w:r>
          </w:p>
        </w:tc>
      </w:tr>
      <w:tr w:rsidR="00026972" w:rsidRPr="00F32542" w14:paraId="348163BF" w14:textId="77777777" w:rsidTr="00B65D24">
        <w:trPr>
          <w:jc w:val="center"/>
        </w:trPr>
        <w:tc>
          <w:tcPr>
            <w:tcW w:w="457" w:type="dxa"/>
            <w:shd w:val="clear" w:color="auto" w:fill="FFFFFF"/>
            <w:vAlign w:val="center"/>
          </w:tcPr>
          <w:p w14:paraId="0DC9E18D"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w:t>
            </w:r>
          </w:p>
        </w:tc>
        <w:tc>
          <w:tcPr>
            <w:tcW w:w="626" w:type="dxa"/>
            <w:tcBorders>
              <w:top w:val="single" w:sz="4" w:space="0" w:color="000000"/>
              <w:left w:val="single" w:sz="4" w:space="0" w:color="000000"/>
              <w:bottom w:val="single" w:sz="4" w:space="0" w:color="000000"/>
              <w:right w:val="single" w:sz="4" w:space="0" w:color="000000"/>
            </w:tcBorders>
            <w:vAlign w:val="center"/>
          </w:tcPr>
          <w:p w14:paraId="14DE8C9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9</w:t>
            </w:r>
          </w:p>
        </w:tc>
        <w:tc>
          <w:tcPr>
            <w:tcW w:w="647" w:type="dxa"/>
            <w:tcBorders>
              <w:top w:val="single" w:sz="4" w:space="0" w:color="000000"/>
              <w:left w:val="single" w:sz="4" w:space="0" w:color="000000"/>
              <w:bottom w:val="single" w:sz="4" w:space="0" w:color="000000"/>
              <w:right w:val="single" w:sz="4" w:space="0" w:color="000000"/>
            </w:tcBorders>
            <w:vAlign w:val="center"/>
          </w:tcPr>
          <w:p w14:paraId="38C4DA7E"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w:t>
            </w:r>
          </w:p>
        </w:tc>
        <w:tc>
          <w:tcPr>
            <w:tcW w:w="1957" w:type="dxa"/>
            <w:tcBorders>
              <w:top w:val="single" w:sz="4" w:space="0" w:color="000000"/>
              <w:left w:val="single" w:sz="4" w:space="0" w:color="000000"/>
              <w:bottom w:val="single" w:sz="4" w:space="0" w:color="000000"/>
              <w:right w:val="single" w:sz="4" w:space="0" w:color="000000"/>
            </w:tcBorders>
            <w:vAlign w:val="center"/>
          </w:tcPr>
          <w:p w14:paraId="72FEF8D9"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Marco Antonio Temístocles</w:t>
            </w:r>
          </w:p>
          <w:p w14:paraId="3A9D9E4F"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Villanueva Ramos</w:t>
            </w:r>
          </w:p>
        </w:tc>
        <w:tc>
          <w:tcPr>
            <w:tcW w:w="1986" w:type="dxa"/>
            <w:tcBorders>
              <w:top w:val="single" w:sz="4" w:space="0" w:color="000000"/>
              <w:left w:val="single" w:sz="4" w:space="0" w:color="000000"/>
              <w:bottom w:val="single" w:sz="4" w:space="0" w:color="000000"/>
              <w:right w:val="single" w:sz="4" w:space="0" w:color="000000"/>
            </w:tcBorders>
            <w:vAlign w:val="center"/>
          </w:tcPr>
          <w:p w14:paraId="4BCF11BE"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Miriam Elizabeth López</w:t>
            </w:r>
          </w:p>
          <w:p w14:paraId="61E88614"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Castellanos</w:t>
            </w:r>
          </w:p>
        </w:tc>
        <w:tc>
          <w:tcPr>
            <w:tcW w:w="1390" w:type="dxa"/>
            <w:tcBorders>
              <w:top w:val="single" w:sz="4" w:space="0" w:color="000000"/>
              <w:left w:val="single" w:sz="4" w:space="0" w:color="000000"/>
              <w:bottom w:val="single" w:sz="4" w:space="0" w:color="000000"/>
              <w:right w:val="single" w:sz="4" w:space="0" w:color="auto"/>
            </w:tcBorders>
            <w:vAlign w:val="center"/>
          </w:tcPr>
          <w:p w14:paraId="306CA839"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42.02</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537E6F5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41.97</w:t>
            </w:r>
          </w:p>
        </w:tc>
      </w:tr>
      <w:tr w:rsidR="00026972" w:rsidRPr="00F32542" w14:paraId="39642879" w14:textId="77777777" w:rsidTr="00B65D24">
        <w:trPr>
          <w:jc w:val="center"/>
        </w:trPr>
        <w:tc>
          <w:tcPr>
            <w:tcW w:w="457" w:type="dxa"/>
            <w:shd w:val="clear" w:color="auto" w:fill="FFFFFF"/>
            <w:vAlign w:val="center"/>
          </w:tcPr>
          <w:p w14:paraId="62DC70C0"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w:t>
            </w:r>
          </w:p>
        </w:tc>
        <w:tc>
          <w:tcPr>
            <w:tcW w:w="626" w:type="dxa"/>
            <w:tcBorders>
              <w:top w:val="single" w:sz="4" w:space="0" w:color="000000"/>
              <w:left w:val="single" w:sz="4" w:space="0" w:color="000000"/>
              <w:bottom w:val="single" w:sz="4" w:space="0" w:color="000000"/>
              <w:right w:val="single" w:sz="4" w:space="0" w:color="000000"/>
            </w:tcBorders>
            <w:vAlign w:val="center"/>
          </w:tcPr>
          <w:p w14:paraId="3DDE51D6"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18</w:t>
            </w:r>
          </w:p>
        </w:tc>
        <w:tc>
          <w:tcPr>
            <w:tcW w:w="647" w:type="dxa"/>
            <w:tcBorders>
              <w:top w:val="single" w:sz="4" w:space="0" w:color="000000"/>
              <w:left w:val="single" w:sz="4" w:space="0" w:color="000000"/>
              <w:bottom w:val="single" w:sz="4" w:space="0" w:color="000000"/>
              <w:right w:val="single" w:sz="4" w:space="0" w:color="000000"/>
            </w:tcBorders>
            <w:vAlign w:val="center"/>
          </w:tcPr>
          <w:p w14:paraId="14F661A7"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w:t>
            </w:r>
          </w:p>
        </w:tc>
        <w:tc>
          <w:tcPr>
            <w:tcW w:w="1957" w:type="dxa"/>
            <w:tcBorders>
              <w:top w:val="single" w:sz="4" w:space="0" w:color="000000"/>
              <w:left w:val="single" w:sz="4" w:space="0" w:color="000000"/>
              <w:bottom w:val="single" w:sz="4" w:space="0" w:color="000000"/>
              <w:right w:val="single" w:sz="4" w:space="0" w:color="000000"/>
            </w:tcBorders>
            <w:vAlign w:val="center"/>
          </w:tcPr>
          <w:p w14:paraId="4B0CEE27"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Valentina Valia Batres</w:t>
            </w:r>
          </w:p>
          <w:p w14:paraId="4A1927A2"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Guadarrama</w:t>
            </w:r>
          </w:p>
        </w:tc>
        <w:tc>
          <w:tcPr>
            <w:tcW w:w="1986" w:type="dxa"/>
            <w:tcBorders>
              <w:top w:val="single" w:sz="4" w:space="0" w:color="000000"/>
              <w:left w:val="single" w:sz="4" w:space="0" w:color="000000"/>
              <w:bottom w:val="single" w:sz="4" w:space="0" w:color="000000"/>
              <w:right w:val="single" w:sz="4" w:space="0" w:color="000000"/>
            </w:tcBorders>
            <w:vAlign w:val="center"/>
          </w:tcPr>
          <w:p w14:paraId="4212470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Perla Guadalupe Robles</w:t>
            </w:r>
          </w:p>
          <w:p w14:paraId="523C5EFD"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Vázquez</w:t>
            </w:r>
          </w:p>
        </w:tc>
        <w:tc>
          <w:tcPr>
            <w:tcW w:w="1390" w:type="dxa"/>
            <w:tcBorders>
              <w:top w:val="single" w:sz="4" w:space="0" w:color="000000"/>
              <w:left w:val="single" w:sz="4" w:space="0" w:color="000000"/>
              <w:bottom w:val="single" w:sz="4" w:space="0" w:color="000000"/>
              <w:right w:val="single" w:sz="4" w:space="0" w:color="auto"/>
            </w:tcBorders>
            <w:vAlign w:val="center"/>
          </w:tcPr>
          <w:p w14:paraId="7115029F"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42.51</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4E12917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42.45</w:t>
            </w:r>
          </w:p>
        </w:tc>
      </w:tr>
      <w:tr w:rsidR="00026972" w:rsidRPr="00F32542" w14:paraId="5B6EC1C1" w14:textId="77777777" w:rsidTr="00B65D24">
        <w:trPr>
          <w:jc w:val="center"/>
        </w:trPr>
        <w:tc>
          <w:tcPr>
            <w:tcW w:w="457" w:type="dxa"/>
            <w:shd w:val="clear" w:color="auto" w:fill="FFFFFF"/>
            <w:vAlign w:val="center"/>
          </w:tcPr>
          <w:p w14:paraId="52718F69"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w:t>
            </w:r>
          </w:p>
        </w:tc>
        <w:tc>
          <w:tcPr>
            <w:tcW w:w="626" w:type="dxa"/>
            <w:tcBorders>
              <w:top w:val="single" w:sz="4" w:space="0" w:color="000000"/>
              <w:left w:val="single" w:sz="4" w:space="0" w:color="000000"/>
              <w:bottom w:val="single" w:sz="4" w:space="0" w:color="000000"/>
              <w:right w:val="single" w:sz="4" w:space="0" w:color="000000"/>
            </w:tcBorders>
            <w:vAlign w:val="center"/>
          </w:tcPr>
          <w:p w14:paraId="699786B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33</w:t>
            </w:r>
          </w:p>
        </w:tc>
        <w:tc>
          <w:tcPr>
            <w:tcW w:w="647" w:type="dxa"/>
            <w:tcBorders>
              <w:top w:val="single" w:sz="4" w:space="0" w:color="000000"/>
              <w:left w:val="single" w:sz="4" w:space="0" w:color="000000"/>
              <w:bottom w:val="single" w:sz="4" w:space="0" w:color="000000"/>
              <w:right w:val="single" w:sz="4" w:space="0" w:color="000000"/>
            </w:tcBorders>
            <w:vAlign w:val="center"/>
          </w:tcPr>
          <w:p w14:paraId="7518C118"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w:t>
            </w:r>
          </w:p>
        </w:tc>
        <w:tc>
          <w:tcPr>
            <w:tcW w:w="1957" w:type="dxa"/>
            <w:tcBorders>
              <w:top w:val="single" w:sz="4" w:space="0" w:color="000000"/>
              <w:left w:val="single" w:sz="4" w:space="0" w:color="000000"/>
              <w:bottom w:val="single" w:sz="4" w:space="0" w:color="000000"/>
              <w:right w:val="single" w:sz="4" w:space="0" w:color="000000"/>
            </w:tcBorders>
            <w:vAlign w:val="center"/>
          </w:tcPr>
          <w:p w14:paraId="51B4BE03"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José Fernando Mercado</w:t>
            </w:r>
          </w:p>
          <w:p w14:paraId="1DEA6284"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proofErr w:type="spellStart"/>
            <w:r w:rsidRPr="00F32542">
              <w:rPr>
                <w:rFonts w:ascii="Arial" w:eastAsia="Calibri" w:hAnsi="Arial" w:cs="Arial"/>
                <w:color w:val="000000" w:themeColor="text1"/>
                <w:sz w:val="20"/>
                <w:szCs w:val="20"/>
              </w:rPr>
              <w:t>Guaida</w:t>
            </w:r>
            <w:proofErr w:type="spellEnd"/>
          </w:p>
        </w:tc>
        <w:tc>
          <w:tcPr>
            <w:tcW w:w="1986" w:type="dxa"/>
            <w:tcBorders>
              <w:top w:val="single" w:sz="4" w:space="0" w:color="000000"/>
              <w:left w:val="single" w:sz="4" w:space="0" w:color="000000"/>
              <w:bottom w:val="single" w:sz="4" w:space="0" w:color="000000"/>
              <w:right w:val="single" w:sz="4" w:space="0" w:color="000000"/>
            </w:tcBorders>
            <w:vAlign w:val="center"/>
          </w:tcPr>
          <w:p w14:paraId="43D22B3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Óscar López Ramírez</w:t>
            </w:r>
          </w:p>
        </w:tc>
        <w:tc>
          <w:tcPr>
            <w:tcW w:w="1390" w:type="dxa"/>
            <w:tcBorders>
              <w:top w:val="single" w:sz="4" w:space="0" w:color="000000"/>
              <w:left w:val="single" w:sz="4" w:space="0" w:color="000000"/>
              <w:bottom w:val="single" w:sz="4" w:space="0" w:color="000000"/>
              <w:right w:val="single" w:sz="4" w:space="0" w:color="auto"/>
            </w:tcBorders>
            <w:vAlign w:val="center"/>
          </w:tcPr>
          <w:p w14:paraId="70D168FF"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40.47</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2CB5F46D"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40.47</w:t>
            </w:r>
          </w:p>
        </w:tc>
      </w:tr>
      <w:tr w:rsidR="00026972" w:rsidRPr="00F32542" w14:paraId="0D706594" w14:textId="77777777" w:rsidTr="00B65D24">
        <w:trPr>
          <w:jc w:val="center"/>
        </w:trPr>
        <w:tc>
          <w:tcPr>
            <w:tcW w:w="457" w:type="dxa"/>
            <w:shd w:val="clear" w:color="auto" w:fill="FFFFFF"/>
            <w:vAlign w:val="center"/>
          </w:tcPr>
          <w:p w14:paraId="430BDFE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5</w:t>
            </w:r>
          </w:p>
        </w:tc>
        <w:tc>
          <w:tcPr>
            <w:tcW w:w="626" w:type="dxa"/>
            <w:tcBorders>
              <w:top w:val="single" w:sz="4" w:space="0" w:color="000000"/>
              <w:left w:val="single" w:sz="4" w:space="0" w:color="000000"/>
              <w:bottom w:val="single" w:sz="4" w:space="0" w:color="000000"/>
              <w:right w:val="single" w:sz="4" w:space="0" w:color="000000"/>
            </w:tcBorders>
            <w:vAlign w:val="center"/>
          </w:tcPr>
          <w:p w14:paraId="3998A19E"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16</w:t>
            </w:r>
          </w:p>
        </w:tc>
        <w:tc>
          <w:tcPr>
            <w:tcW w:w="647" w:type="dxa"/>
            <w:tcBorders>
              <w:top w:val="single" w:sz="4" w:space="0" w:color="000000"/>
              <w:left w:val="single" w:sz="4" w:space="0" w:color="000000"/>
              <w:bottom w:val="single" w:sz="4" w:space="0" w:color="000000"/>
              <w:right w:val="single" w:sz="4" w:space="0" w:color="000000"/>
            </w:tcBorders>
            <w:vAlign w:val="center"/>
          </w:tcPr>
          <w:p w14:paraId="2F7CECF0"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w:t>
            </w:r>
          </w:p>
        </w:tc>
        <w:tc>
          <w:tcPr>
            <w:tcW w:w="1957" w:type="dxa"/>
            <w:tcBorders>
              <w:top w:val="single" w:sz="4" w:space="0" w:color="000000"/>
              <w:left w:val="single" w:sz="4" w:space="0" w:color="000000"/>
              <w:bottom w:val="single" w:sz="4" w:space="0" w:color="000000"/>
              <w:right w:val="single" w:sz="4" w:space="0" w:color="000000"/>
            </w:tcBorders>
            <w:vAlign w:val="center"/>
          </w:tcPr>
          <w:p w14:paraId="669A720D"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Xóchitl Bravo Espinosa</w:t>
            </w:r>
          </w:p>
        </w:tc>
        <w:tc>
          <w:tcPr>
            <w:tcW w:w="1986" w:type="dxa"/>
            <w:tcBorders>
              <w:top w:val="single" w:sz="4" w:space="0" w:color="000000"/>
              <w:left w:val="single" w:sz="4" w:space="0" w:color="000000"/>
              <w:bottom w:val="single" w:sz="4" w:space="0" w:color="000000"/>
              <w:right w:val="single" w:sz="4" w:space="0" w:color="000000"/>
            </w:tcBorders>
            <w:vAlign w:val="center"/>
          </w:tcPr>
          <w:p w14:paraId="4E1645C6"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 xml:space="preserve">Maribel Cruz </w:t>
            </w:r>
            <w:proofErr w:type="spellStart"/>
            <w:r w:rsidRPr="00F32542">
              <w:rPr>
                <w:rFonts w:ascii="Arial" w:eastAsia="Calibri" w:hAnsi="Arial" w:cs="Arial"/>
                <w:color w:val="000000" w:themeColor="text1"/>
                <w:sz w:val="20"/>
                <w:szCs w:val="20"/>
              </w:rPr>
              <w:t>Cruz</w:t>
            </w:r>
            <w:proofErr w:type="spellEnd"/>
          </w:p>
        </w:tc>
        <w:tc>
          <w:tcPr>
            <w:tcW w:w="1390" w:type="dxa"/>
            <w:tcBorders>
              <w:top w:val="single" w:sz="4" w:space="0" w:color="000000"/>
              <w:left w:val="single" w:sz="4" w:space="0" w:color="000000"/>
              <w:bottom w:val="single" w:sz="4" w:space="0" w:color="000000"/>
              <w:right w:val="single" w:sz="4" w:space="0" w:color="auto"/>
            </w:tcBorders>
            <w:vAlign w:val="center"/>
          </w:tcPr>
          <w:p w14:paraId="477F89B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34.53</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02D3ABBF"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34.53</w:t>
            </w:r>
          </w:p>
        </w:tc>
      </w:tr>
      <w:tr w:rsidR="00026972" w:rsidRPr="00F32542" w14:paraId="0BDD8704" w14:textId="77777777" w:rsidTr="00B65D24">
        <w:trPr>
          <w:jc w:val="center"/>
        </w:trPr>
        <w:tc>
          <w:tcPr>
            <w:tcW w:w="457" w:type="dxa"/>
            <w:shd w:val="clear" w:color="auto" w:fill="FFFFFF"/>
            <w:vAlign w:val="center"/>
          </w:tcPr>
          <w:p w14:paraId="2BF5922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6</w:t>
            </w:r>
          </w:p>
        </w:tc>
        <w:tc>
          <w:tcPr>
            <w:tcW w:w="626" w:type="dxa"/>
            <w:tcBorders>
              <w:top w:val="single" w:sz="4" w:space="0" w:color="000000"/>
              <w:left w:val="single" w:sz="4" w:space="0" w:color="000000"/>
              <w:bottom w:val="single" w:sz="4" w:space="0" w:color="000000"/>
              <w:right w:val="single" w:sz="4" w:space="0" w:color="000000"/>
            </w:tcBorders>
            <w:vAlign w:val="center"/>
          </w:tcPr>
          <w:p w14:paraId="06F55D5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24</w:t>
            </w:r>
          </w:p>
        </w:tc>
        <w:tc>
          <w:tcPr>
            <w:tcW w:w="647" w:type="dxa"/>
            <w:tcBorders>
              <w:top w:val="single" w:sz="4" w:space="0" w:color="000000"/>
              <w:left w:val="single" w:sz="4" w:space="0" w:color="000000"/>
              <w:bottom w:val="single" w:sz="4" w:space="0" w:color="000000"/>
              <w:right w:val="single" w:sz="4" w:space="0" w:color="000000"/>
            </w:tcBorders>
            <w:vAlign w:val="center"/>
          </w:tcPr>
          <w:p w14:paraId="0E0A33F7"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w:t>
            </w:r>
          </w:p>
        </w:tc>
        <w:tc>
          <w:tcPr>
            <w:tcW w:w="1957" w:type="dxa"/>
            <w:tcBorders>
              <w:top w:val="single" w:sz="4" w:space="0" w:color="000000"/>
              <w:left w:val="single" w:sz="4" w:space="0" w:color="000000"/>
              <w:bottom w:val="single" w:sz="4" w:space="0" w:color="000000"/>
              <w:right w:val="single" w:sz="4" w:space="0" w:color="000000"/>
            </w:tcBorders>
            <w:vAlign w:val="center"/>
          </w:tcPr>
          <w:p w14:paraId="3878330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Carlos Cervantes Godoy</w:t>
            </w:r>
          </w:p>
        </w:tc>
        <w:tc>
          <w:tcPr>
            <w:tcW w:w="1986" w:type="dxa"/>
            <w:tcBorders>
              <w:top w:val="single" w:sz="4" w:space="0" w:color="000000"/>
              <w:left w:val="single" w:sz="4" w:space="0" w:color="000000"/>
              <w:bottom w:val="single" w:sz="4" w:space="0" w:color="000000"/>
              <w:right w:val="single" w:sz="4" w:space="0" w:color="000000"/>
            </w:tcBorders>
            <w:vAlign w:val="center"/>
          </w:tcPr>
          <w:p w14:paraId="764AFC3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Tito Emeterio Domínguez</w:t>
            </w:r>
          </w:p>
          <w:p w14:paraId="35B9E3C7"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Cerón</w:t>
            </w:r>
          </w:p>
        </w:tc>
        <w:tc>
          <w:tcPr>
            <w:tcW w:w="1390" w:type="dxa"/>
            <w:tcBorders>
              <w:top w:val="single" w:sz="4" w:space="0" w:color="000000"/>
              <w:left w:val="single" w:sz="4" w:space="0" w:color="000000"/>
              <w:bottom w:val="single" w:sz="4" w:space="0" w:color="000000"/>
              <w:right w:val="single" w:sz="4" w:space="0" w:color="auto"/>
            </w:tcBorders>
            <w:vAlign w:val="center"/>
          </w:tcPr>
          <w:p w14:paraId="37642C6D"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40.13</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190910FD"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40.13</w:t>
            </w:r>
          </w:p>
        </w:tc>
      </w:tr>
      <w:tr w:rsidR="00026972" w:rsidRPr="00F32542" w14:paraId="565FC548" w14:textId="77777777" w:rsidTr="00B65D24">
        <w:trPr>
          <w:jc w:val="center"/>
        </w:trPr>
        <w:tc>
          <w:tcPr>
            <w:tcW w:w="457" w:type="dxa"/>
            <w:shd w:val="clear" w:color="auto" w:fill="FFFFFF"/>
            <w:vAlign w:val="center"/>
          </w:tcPr>
          <w:p w14:paraId="4C915468"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7</w:t>
            </w:r>
          </w:p>
        </w:tc>
        <w:tc>
          <w:tcPr>
            <w:tcW w:w="626" w:type="dxa"/>
            <w:tcBorders>
              <w:top w:val="single" w:sz="4" w:space="0" w:color="000000"/>
              <w:left w:val="single" w:sz="4" w:space="0" w:color="000000"/>
              <w:bottom w:val="single" w:sz="4" w:space="0" w:color="000000"/>
              <w:right w:val="single" w:sz="4" w:space="0" w:color="000000"/>
            </w:tcBorders>
            <w:vAlign w:val="center"/>
          </w:tcPr>
          <w:p w14:paraId="7E5FFD3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23</w:t>
            </w:r>
          </w:p>
        </w:tc>
        <w:tc>
          <w:tcPr>
            <w:tcW w:w="647" w:type="dxa"/>
            <w:tcBorders>
              <w:top w:val="single" w:sz="4" w:space="0" w:color="000000"/>
              <w:left w:val="single" w:sz="4" w:space="0" w:color="000000"/>
              <w:bottom w:val="single" w:sz="4" w:space="0" w:color="000000"/>
              <w:right w:val="single" w:sz="4" w:space="0" w:color="000000"/>
            </w:tcBorders>
            <w:vAlign w:val="center"/>
          </w:tcPr>
          <w:p w14:paraId="4381DBE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w:t>
            </w:r>
          </w:p>
        </w:tc>
        <w:tc>
          <w:tcPr>
            <w:tcW w:w="1957" w:type="dxa"/>
            <w:tcBorders>
              <w:top w:val="single" w:sz="4" w:space="0" w:color="000000"/>
              <w:left w:val="single" w:sz="4" w:space="0" w:color="000000"/>
              <w:bottom w:val="single" w:sz="4" w:space="0" w:color="000000"/>
              <w:right w:val="single" w:sz="4" w:space="0" w:color="000000"/>
            </w:tcBorders>
            <w:vAlign w:val="center"/>
          </w:tcPr>
          <w:p w14:paraId="67DD29DE"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Isabela Rosales Herrera</w:t>
            </w:r>
          </w:p>
        </w:tc>
        <w:tc>
          <w:tcPr>
            <w:tcW w:w="1986" w:type="dxa"/>
            <w:tcBorders>
              <w:top w:val="single" w:sz="4" w:space="0" w:color="000000"/>
              <w:left w:val="single" w:sz="4" w:space="0" w:color="000000"/>
              <w:bottom w:val="single" w:sz="4" w:space="0" w:color="000000"/>
              <w:right w:val="single" w:sz="4" w:space="0" w:color="000000"/>
            </w:tcBorders>
            <w:vAlign w:val="center"/>
          </w:tcPr>
          <w:p w14:paraId="2A9C0F67"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Alicia Medina Hernández</w:t>
            </w:r>
          </w:p>
        </w:tc>
        <w:tc>
          <w:tcPr>
            <w:tcW w:w="1390" w:type="dxa"/>
            <w:tcBorders>
              <w:top w:val="single" w:sz="4" w:space="0" w:color="000000"/>
              <w:left w:val="single" w:sz="4" w:space="0" w:color="000000"/>
              <w:bottom w:val="single" w:sz="4" w:space="0" w:color="000000"/>
              <w:right w:val="single" w:sz="4" w:space="0" w:color="auto"/>
            </w:tcBorders>
            <w:vAlign w:val="center"/>
          </w:tcPr>
          <w:p w14:paraId="4007AF8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28.96</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01E557A3"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28.96</w:t>
            </w:r>
          </w:p>
        </w:tc>
      </w:tr>
      <w:tr w:rsidR="00026972" w:rsidRPr="00F32542" w14:paraId="3162C8A0" w14:textId="77777777" w:rsidTr="00B65D24">
        <w:trPr>
          <w:jc w:val="center"/>
        </w:trPr>
        <w:tc>
          <w:tcPr>
            <w:tcW w:w="457" w:type="dxa"/>
            <w:shd w:val="clear" w:color="auto" w:fill="FFFFFF"/>
            <w:vAlign w:val="center"/>
          </w:tcPr>
          <w:p w14:paraId="3320366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8</w:t>
            </w:r>
          </w:p>
        </w:tc>
        <w:tc>
          <w:tcPr>
            <w:tcW w:w="626" w:type="dxa"/>
            <w:tcBorders>
              <w:top w:val="single" w:sz="4" w:space="0" w:color="000000"/>
              <w:left w:val="single" w:sz="4" w:space="0" w:color="000000"/>
              <w:bottom w:val="single" w:sz="4" w:space="0" w:color="000000"/>
              <w:right w:val="single" w:sz="4" w:space="0" w:color="000000"/>
            </w:tcBorders>
            <w:vAlign w:val="center"/>
          </w:tcPr>
          <w:p w14:paraId="75D4A0DA"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12</w:t>
            </w:r>
          </w:p>
        </w:tc>
        <w:tc>
          <w:tcPr>
            <w:tcW w:w="647" w:type="dxa"/>
            <w:tcBorders>
              <w:top w:val="single" w:sz="4" w:space="0" w:color="000000"/>
              <w:left w:val="single" w:sz="4" w:space="0" w:color="000000"/>
              <w:bottom w:val="single" w:sz="4" w:space="0" w:color="000000"/>
              <w:right w:val="single" w:sz="4" w:space="0" w:color="000000"/>
            </w:tcBorders>
            <w:vAlign w:val="center"/>
          </w:tcPr>
          <w:p w14:paraId="792BC04E"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w:t>
            </w:r>
          </w:p>
        </w:tc>
        <w:tc>
          <w:tcPr>
            <w:tcW w:w="1957" w:type="dxa"/>
            <w:tcBorders>
              <w:top w:val="single" w:sz="4" w:space="0" w:color="000000"/>
              <w:left w:val="single" w:sz="4" w:space="0" w:color="000000"/>
              <w:bottom w:val="single" w:sz="4" w:space="0" w:color="000000"/>
              <w:right w:val="single" w:sz="4" w:space="0" w:color="000000"/>
            </w:tcBorders>
            <w:vAlign w:val="center"/>
          </w:tcPr>
          <w:p w14:paraId="1E7D6CF2"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José Luis Rodríguez Díaz de</w:t>
            </w:r>
          </w:p>
          <w:p w14:paraId="4CC93616"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León</w:t>
            </w:r>
          </w:p>
        </w:tc>
        <w:tc>
          <w:tcPr>
            <w:tcW w:w="1986" w:type="dxa"/>
            <w:tcBorders>
              <w:top w:val="single" w:sz="4" w:space="0" w:color="000000"/>
              <w:left w:val="single" w:sz="4" w:space="0" w:color="000000"/>
              <w:bottom w:val="single" w:sz="4" w:space="0" w:color="000000"/>
              <w:right w:val="single" w:sz="4" w:space="0" w:color="000000"/>
            </w:tcBorders>
            <w:vAlign w:val="center"/>
          </w:tcPr>
          <w:p w14:paraId="5E2CD058"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Francisco Medina Padilla</w:t>
            </w:r>
          </w:p>
        </w:tc>
        <w:tc>
          <w:tcPr>
            <w:tcW w:w="1390" w:type="dxa"/>
            <w:tcBorders>
              <w:top w:val="single" w:sz="4" w:space="0" w:color="000000"/>
              <w:left w:val="single" w:sz="4" w:space="0" w:color="000000"/>
              <w:bottom w:val="single" w:sz="4" w:space="0" w:color="000000"/>
              <w:right w:val="single" w:sz="4" w:space="0" w:color="auto"/>
            </w:tcBorders>
            <w:vAlign w:val="center"/>
          </w:tcPr>
          <w:p w14:paraId="78419E73"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35.27</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0868A3DB"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35.27</w:t>
            </w:r>
          </w:p>
        </w:tc>
      </w:tr>
      <w:tr w:rsidR="00026972" w:rsidRPr="00F32542" w14:paraId="1ACA1605" w14:textId="77777777" w:rsidTr="00B65D24">
        <w:trPr>
          <w:jc w:val="center"/>
        </w:trPr>
        <w:tc>
          <w:tcPr>
            <w:tcW w:w="457" w:type="dxa"/>
            <w:shd w:val="clear" w:color="auto" w:fill="FFFFFF"/>
            <w:vAlign w:val="center"/>
          </w:tcPr>
          <w:p w14:paraId="35B76137"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9</w:t>
            </w:r>
          </w:p>
        </w:tc>
        <w:tc>
          <w:tcPr>
            <w:tcW w:w="626" w:type="dxa"/>
            <w:tcBorders>
              <w:top w:val="single" w:sz="4" w:space="0" w:color="000000"/>
              <w:left w:val="single" w:sz="4" w:space="0" w:color="000000"/>
              <w:bottom w:val="single" w:sz="4" w:space="0" w:color="000000"/>
              <w:right w:val="single" w:sz="4" w:space="0" w:color="000000"/>
            </w:tcBorders>
            <w:vAlign w:val="center"/>
          </w:tcPr>
          <w:p w14:paraId="57195292"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20</w:t>
            </w:r>
          </w:p>
        </w:tc>
        <w:tc>
          <w:tcPr>
            <w:tcW w:w="647" w:type="dxa"/>
            <w:tcBorders>
              <w:top w:val="single" w:sz="4" w:space="0" w:color="000000"/>
              <w:left w:val="single" w:sz="4" w:space="0" w:color="000000"/>
              <w:bottom w:val="single" w:sz="4" w:space="0" w:color="000000"/>
              <w:right w:val="single" w:sz="4" w:space="0" w:color="000000"/>
            </w:tcBorders>
            <w:vAlign w:val="center"/>
          </w:tcPr>
          <w:p w14:paraId="018191D8"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w:t>
            </w:r>
          </w:p>
        </w:tc>
        <w:tc>
          <w:tcPr>
            <w:tcW w:w="1957" w:type="dxa"/>
            <w:tcBorders>
              <w:top w:val="single" w:sz="4" w:space="0" w:color="000000"/>
              <w:left w:val="single" w:sz="4" w:space="0" w:color="000000"/>
              <w:bottom w:val="single" w:sz="4" w:space="0" w:color="000000"/>
              <w:right w:val="single" w:sz="4" w:space="0" w:color="000000"/>
            </w:tcBorders>
            <w:vAlign w:val="center"/>
          </w:tcPr>
          <w:p w14:paraId="62C4C709"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proofErr w:type="spellStart"/>
            <w:r w:rsidRPr="00F32542">
              <w:rPr>
                <w:rFonts w:ascii="Arial" w:eastAsia="Calibri" w:hAnsi="Arial" w:cs="Arial"/>
                <w:color w:val="000000" w:themeColor="text1"/>
                <w:sz w:val="20"/>
                <w:szCs w:val="20"/>
              </w:rPr>
              <w:t>Anthea</w:t>
            </w:r>
            <w:proofErr w:type="spellEnd"/>
            <w:r w:rsidRPr="00F32542">
              <w:rPr>
                <w:rFonts w:ascii="Arial" w:eastAsia="Calibri" w:hAnsi="Arial" w:cs="Arial"/>
                <w:color w:val="000000" w:themeColor="text1"/>
                <w:sz w:val="20"/>
                <w:szCs w:val="20"/>
              </w:rPr>
              <w:t xml:space="preserve"> Terina Sansores</w:t>
            </w:r>
          </w:p>
          <w:p w14:paraId="32148D9F"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Olvera</w:t>
            </w:r>
          </w:p>
        </w:tc>
        <w:tc>
          <w:tcPr>
            <w:tcW w:w="1986" w:type="dxa"/>
            <w:tcBorders>
              <w:top w:val="single" w:sz="4" w:space="0" w:color="000000"/>
              <w:left w:val="single" w:sz="4" w:space="0" w:color="000000"/>
              <w:bottom w:val="single" w:sz="4" w:space="0" w:color="000000"/>
              <w:right w:val="single" w:sz="4" w:space="0" w:color="000000"/>
            </w:tcBorders>
            <w:vAlign w:val="center"/>
          </w:tcPr>
          <w:p w14:paraId="5989DA89"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Monserrat Adriana Bosque</w:t>
            </w:r>
          </w:p>
          <w:p w14:paraId="1891A871"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Sánchez</w:t>
            </w:r>
          </w:p>
        </w:tc>
        <w:tc>
          <w:tcPr>
            <w:tcW w:w="1390" w:type="dxa"/>
            <w:tcBorders>
              <w:top w:val="single" w:sz="4" w:space="0" w:color="000000"/>
              <w:left w:val="single" w:sz="4" w:space="0" w:color="000000"/>
              <w:bottom w:val="single" w:sz="4" w:space="0" w:color="000000"/>
              <w:right w:val="single" w:sz="4" w:space="0" w:color="auto"/>
            </w:tcBorders>
            <w:vAlign w:val="center"/>
          </w:tcPr>
          <w:p w14:paraId="26F7B56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28.86</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07F69BF7"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28.86</w:t>
            </w:r>
          </w:p>
        </w:tc>
      </w:tr>
      <w:tr w:rsidR="00026972" w:rsidRPr="00F32542" w14:paraId="72278B1D" w14:textId="77777777" w:rsidTr="00B65D24">
        <w:trPr>
          <w:jc w:val="center"/>
        </w:trPr>
        <w:tc>
          <w:tcPr>
            <w:tcW w:w="457" w:type="dxa"/>
            <w:shd w:val="clear" w:color="auto" w:fill="FFFFFF"/>
            <w:vAlign w:val="center"/>
          </w:tcPr>
          <w:p w14:paraId="55BB75A3"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10</w:t>
            </w:r>
          </w:p>
        </w:tc>
        <w:tc>
          <w:tcPr>
            <w:tcW w:w="626" w:type="dxa"/>
            <w:tcBorders>
              <w:top w:val="single" w:sz="4" w:space="0" w:color="000000"/>
              <w:left w:val="single" w:sz="4" w:space="0" w:color="000000"/>
              <w:bottom w:val="single" w:sz="4" w:space="0" w:color="000000"/>
              <w:right w:val="single" w:sz="4" w:space="0" w:color="000000"/>
            </w:tcBorders>
            <w:vAlign w:val="center"/>
          </w:tcPr>
          <w:p w14:paraId="139CD46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30</w:t>
            </w:r>
          </w:p>
        </w:tc>
        <w:tc>
          <w:tcPr>
            <w:tcW w:w="647" w:type="dxa"/>
            <w:tcBorders>
              <w:top w:val="single" w:sz="4" w:space="0" w:color="000000"/>
              <w:left w:val="single" w:sz="4" w:space="0" w:color="000000"/>
              <w:bottom w:val="single" w:sz="4" w:space="0" w:color="000000"/>
              <w:right w:val="single" w:sz="4" w:space="0" w:color="000000"/>
            </w:tcBorders>
            <w:vAlign w:val="center"/>
          </w:tcPr>
          <w:p w14:paraId="028DDD6C"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H</w:t>
            </w:r>
          </w:p>
        </w:tc>
        <w:tc>
          <w:tcPr>
            <w:tcW w:w="1957" w:type="dxa"/>
            <w:tcBorders>
              <w:top w:val="single" w:sz="4" w:space="0" w:color="000000"/>
              <w:left w:val="single" w:sz="4" w:space="0" w:color="000000"/>
              <w:bottom w:val="single" w:sz="4" w:space="0" w:color="000000"/>
              <w:right w:val="single" w:sz="4" w:space="0" w:color="000000"/>
            </w:tcBorders>
            <w:vAlign w:val="center"/>
          </w:tcPr>
          <w:p w14:paraId="177435D4"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Sebastián Ramírez Mendoza</w:t>
            </w:r>
          </w:p>
        </w:tc>
        <w:tc>
          <w:tcPr>
            <w:tcW w:w="1986" w:type="dxa"/>
            <w:tcBorders>
              <w:top w:val="single" w:sz="4" w:space="0" w:color="000000"/>
              <w:left w:val="single" w:sz="4" w:space="0" w:color="000000"/>
              <w:bottom w:val="single" w:sz="4" w:space="0" w:color="000000"/>
              <w:right w:val="single" w:sz="4" w:space="0" w:color="000000"/>
            </w:tcBorders>
            <w:vAlign w:val="center"/>
          </w:tcPr>
          <w:p w14:paraId="6041C555"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Roberto Alejandro Castillo</w:t>
            </w:r>
          </w:p>
          <w:p w14:paraId="563C2B04"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Cruz</w:t>
            </w:r>
          </w:p>
        </w:tc>
        <w:tc>
          <w:tcPr>
            <w:tcW w:w="1390" w:type="dxa"/>
            <w:tcBorders>
              <w:top w:val="single" w:sz="4" w:space="0" w:color="000000"/>
              <w:left w:val="single" w:sz="4" w:space="0" w:color="000000"/>
              <w:bottom w:val="single" w:sz="4" w:space="0" w:color="000000"/>
              <w:right w:val="single" w:sz="4" w:space="0" w:color="auto"/>
            </w:tcBorders>
            <w:vAlign w:val="center"/>
          </w:tcPr>
          <w:p w14:paraId="5D4B09D3"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31.09</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22C4C789" w14:textId="77777777" w:rsidR="00026972" w:rsidRPr="00F32542" w:rsidRDefault="00026972" w:rsidP="00026972">
            <w:pPr>
              <w:spacing w:after="0" w:line="240" w:lineRule="auto"/>
              <w:jc w:val="center"/>
              <w:rPr>
                <w:rFonts w:ascii="Arial" w:eastAsia="Calibri" w:hAnsi="Arial" w:cs="Arial"/>
                <w:color w:val="000000" w:themeColor="text1"/>
                <w:sz w:val="20"/>
                <w:szCs w:val="20"/>
              </w:rPr>
            </w:pPr>
            <w:r w:rsidRPr="00F32542">
              <w:rPr>
                <w:rFonts w:ascii="Arial" w:eastAsia="Calibri" w:hAnsi="Arial" w:cs="Arial"/>
                <w:color w:val="000000" w:themeColor="text1"/>
                <w:sz w:val="20"/>
                <w:szCs w:val="20"/>
              </w:rPr>
              <w:t>31.09</w:t>
            </w:r>
          </w:p>
        </w:tc>
      </w:tr>
    </w:tbl>
    <w:p w14:paraId="7210C826" w14:textId="77777777" w:rsidR="00026972" w:rsidRPr="00F32542" w:rsidRDefault="00026972" w:rsidP="00026972">
      <w:pPr>
        <w:spacing w:after="0" w:line="360" w:lineRule="auto"/>
        <w:jc w:val="both"/>
        <w:rPr>
          <w:rFonts w:ascii="Arial" w:eastAsia="Calibri" w:hAnsi="Arial" w:cs="Times New Roman"/>
          <w:sz w:val="28"/>
          <w:lang w:eastAsia="es-MX"/>
        </w:rPr>
      </w:pPr>
    </w:p>
    <w:p w14:paraId="08DB5A4F" w14:textId="77777777" w:rsidR="00026972" w:rsidRPr="00F32542" w:rsidRDefault="00026972" w:rsidP="00F94B48">
      <w:pPr>
        <w:spacing w:after="0" w:line="259" w:lineRule="auto"/>
        <w:rPr>
          <w:rFonts w:ascii="Calibri" w:eastAsia="Times New Roman" w:hAnsi="Calibri" w:cs="Times New Roman"/>
          <w:lang w:eastAsia="es-MX"/>
        </w:rPr>
      </w:pPr>
    </w:p>
    <w:p w14:paraId="62244FF4" w14:textId="77777777" w:rsidR="00F94B48" w:rsidRPr="00F32542" w:rsidRDefault="00F94B48" w:rsidP="00F94B48">
      <w:pPr>
        <w:spacing w:after="0" w:line="360" w:lineRule="auto"/>
        <w:jc w:val="both"/>
        <w:rPr>
          <w:rFonts w:ascii="Arial" w:eastAsia="Calibri" w:hAnsi="Arial" w:cs="Times New Roman"/>
          <w:sz w:val="28"/>
          <w:lang w:eastAsia="es-MX"/>
        </w:rPr>
      </w:pPr>
      <w:r w:rsidRPr="00F32542">
        <w:rPr>
          <w:rFonts w:ascii="Arial" w:eastAsia="Calibri" w:hAnsi="Arial" w:cs="Times New Roman"/>
          <w:sz w:val="28"/>
          <w:lang w:eastAsia="es-MX"/>
        </w:rPr>
        <w:t xml:space="preserve">Como se observa, la variación en los porcentajes de votación local a nivel distrital es mínima, de manera que no provoca ajuste alguno en el orden de prelación de las listas B de los partidos políticos que participan en la asignación. </w:t>
      </w:r>
    </w:p>
    <w:p w14:paraId="261C39E1" w14:textId="77777777" w:rsidR="00F94B48" w:rsidRPr="00F32542" w:rsidRDefault="00F94B48" w:rsidP="00F94B48">
      <w:pPr>
        <w:spacing w:after="0" w:line="360" w:lineRule="auto"/>
        <w:jc w:val="both"/>
        <w:rPr>
          <w:rFonts w:ascii="Arial" w:eastAsia="Calibri" w:hAnsi="Arial" w:cs="Times New Roman"/>
          <w:sz w:val="28"/>
          <w:lang w:eastAsia="es-MX"/>
        </w:rPr>
      </w:pPr>
    </w:p>
    <w:p w14:paraId="23E53858" w14:textId="77777777" w:rsidR="00F94B48" w:rsidRPr="00F32542" w:rsidRDefault="00F94B48" w:rsidP="00F94B48">
      <w:pPr>
        <w:spacing w:after="0" w:line="360" w:lineRule="auto"/>
        <w:jc w:val="both"/>
        <w:rPr>
          <w:rFonts w:ascii="Arial" w:eastAsia="Calibri" w:hAnsi="Arial" w:cs="Times New Roman"/>
          <w:sz w:val="28"/>
          <w:lang w:eastAsia="es-MX"/>
        </w:rPr>
      </w:pPr>
      <w:r w:rsidRPr="00F32542">
        <w:rPr>
          <w:rFonts w:ascii="Arial" w:eastAsia="Calibri" w:hAnsi="Arial" w:cs="Times New Roman"/>
          <w:sz w:val="28"/>
          <w:lang w:eastAsia="es-MX"/>
        </w:rPr>
        <w:t xml:space="preserve">Por ende, cabe precisar, no existe modificación que pudiese impactar las consideraciones que previamente se sostuvieron en la presente sentencia en relación con la conformación de las listas B y las listas definitivas de los partidos políticos, sino que, por lo contrario, corrobora las conclusiones a las que se arrobó en los apartados precedentes. </w:t>
      </w:r>
    </w:p>
    <w:p w14:paraId="2BAF4603" w14:textId="77777777" w:rsidR="00F94B48" w:rsidRPr="00F32542" w:rsidRDefault="00F94B48" w:rsidP="00F94B48">
      <w:pPr>
        <w:spacing w:after="0" w:line="360" w:lineRule="auto"/>
        <w:jc w:val="both"/>
        <w:rPr>
          <w:rFonts w:ascii="Arial" w:eastAsia="Calibri" w:hAnsi="Arial" w:cs="Times New Roman"/>
          <w:sz w:val="28"/>
        </w:rPr>
      </w:pPr>
    </w:p>
    <w:p w14:paraId="7E1DA3D9"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En ese contexto, las listas definitivas de los partidos </w:t>
      </w:r>
      <w:r w:rsidRPr="00F32542">
        <w:rPr>
          <w:rFonts w:ascii="Arial" w:eastAsia="Calibri" w:hAnsi="Arial" w:cs="Times New Roman"/>
          <w:i/>
          <w:sz w:val="28"/>
        </w:rPr>
        <w:t>PRI, PRD, PVEM</w:t>
      </w:r>
      <w:r w:rsidRPr="00F32542">
        <w:rPr>
          <w:rFonts w:ascii="Arial" w:eastAsia="Calibri" w:hAnsi="Arial" w:cs="Times New Roman"/>
          <w:sz w:val="28"/>
        </w:rPr>
        <w:t xml:space="preserve"> y </w:t>
      </w:r>
      <w:r w:rsidRPr="00F32542">
        <w:rPr>
          <w:rFonts w:ascii="Arial" w:eastAsia="Calibri" w:hAnsi="Arial" w:cs="Times New Roman"/>
          <w:i/>
          <w:sz w:val="28"/>
        </w:rPr>
        <w:t>MC</w:t>
      </w:r>
      <w:r w:rsidRPr="00F32542">
        <w:rPr>
          <w:rFonts w:ascii="Arial" w:eastAsia="Calibri" w:hAnsi="Arial" w:cs="Times New Roman"/>
          <w:sz w:val="28"/>
        </w:rPr>
        <w:t xml:space="preserve"> se mantienen en los términos definidos por el </w:t>
      </w:r>
      <w:r w:rsidRPr="00F32542">
        <w:rPr>
          <w:rFonts w:ascii="Arial" w:eastAsia="Calibri" w:hAnsi="Arial" w:cs="Times New Roman"/>
          <w:i/>
          <w:sz w:val="28"/>
        </w:rPr>
        <w:t>Consejo General</w:t>
      </w:r>
      <w:r w:rsidRPr="00F32542">
        <w:rPr>
          <w:rFonts w:ascii="Arial" w:eastAsia="Calibri" w:hAnsi="Arial" w:cs="Times New Roman"/>
          <w:sz w:val="28"/>
        </w:rPr>
        <w:t xml:space="preserve">, mientras que las listas definitivas del </w:t>
      </w:r>
      <w:r w:rsidRPr="00F32542">
        <w:rPr>
          <w:rFonts w:ascii="Arial" w:eastAsia="Calibri" w:hAnsi="Arial" w:cs="Times New Roman"/>
          <w:i/>
          <w:sz w:val="28"/>
        </w:rPr>
        <w:t xml:space="preserve">PAN </w:t>
      </w:r>
      <w:r w:rsidRPr="00F32542">
        <w:rPr>
          <w:rFonts w:ascii="Arial" w:eastAsia="Calibri" w:hAnsi="Arial" w:cs="Times New Roman"/>
          <w:sz w:val="28"/>
        </w:rPr>
        <w:t xml:space="preserve">y </w:t>
      </w:r>
      <w:r w:rsidRPr="00F32542">
        <w:rPr>
          <w:rFonts w:ascii="Arial" w:eastAsia="Calibri" w:hAnsi="Arial" w:cs="Times New Roman"/>
          <w:i/>
          <w:sz w:val="28"/>
        </w:rPr>
        <w:t>MORENA</w:t>
      </w:r>
      <w:r w:rsidRPr="00F32542">
        <w:rPr>
          <w:rFonts w:ascii="Arial" w:eastAsia="Calibri" w:hAnsi="Arial" w:cs="Times New Roman"/>
          <w:sz w:val="28"/>
        </w:rPr>
        <w:t xml:space="preserve"> </w:t>
      </w:r>
      <w:r w:rsidRPr="00F32542">
        <w:rPr>
          <w:rFonts w:ascii="Arial" w:eastAsia="Calibri" w:hAnsi="Arial" w:cs="Times New Roman"/>
          <w:sz w:val="28"/>
        </w:rPr>
        <w:lastRenderedPageBreak/>
        <w:t xml:space="preserve">quedan en los términos definidos en apartados precedentes de esta sentencia, por lo cual se reiteran a continuación, con la precisión de que sólo se citarán los lugares que corresponden a las asignaciones de cada partido político, al ser innecesario precisar los listados completos. </w:t>
      </w:r>
    </w:p>
    <w:p w14:paraId="5223B5F7" w14:textId="77777777" w:rsidR="00F94B48" w:rsidRPr="00F32542" w:rsidRDefault="00F94B48" w:rsidP="00F94B48">
      <w:pPr>
        <w:spacing w:after="0" w:line="360" w:lineRule="auto"/>
        <w:jc w:val="both"/>
        <w:rPr>
          <w:rFonts w:ascii="Arial" w:eastAsia="Calibri" w:hAnsi="Arial" w:cs="Times New Roman"/>
          <w:sz w:val="28"/>
        </w:rPr>
      </w:pPr>
    </w:p>
    <w:tbl>
      <w:tblPr>
        <w:tblStyle w:val="Tablaconcuadrcula511"/>
        <w:tblW w:w="0" w:type="auto"/>
        <w:tblInd w:w="-75" w:type="dxa"/>
        <w:tblLook w:val="04A0" w:firstRow="1" w:lastRow="0" w:firstColumn="1" w:lastColumn="0" w:noHBand="0" w:noVBand="1"/>
      </w:tblPr>
      <w:tblGrid>
        <w:gridCol w:w="1005"/>
        <w:gridCol w:w="908"/>
        <w:gridCol w:w="2410"/>
        <w:gridCol w:w="2268"/>
        <w:gridCol w:w="1463"/>
      </w:tblGrid>
      <w:tr w:rsidR="00F94B48" w:rsidRPr="00F32542" w14:paraId="5B7CEC90" w14:textId="77777777" w:rsidTr="00F94B48">
        <w:trPr>
          <w:trHeight w:val="958"/>
        </w:trPr>
        <w:tc>
          <w:tcPr>
            <w:tcW w:w="0" w:type="auto"/>
            <w:gridSpan w:val="5"/>
            <w:shd w:val="clear" w:color="auto" w:fill="AEAAAA"/>
            <w:vAlign w:val="center"/>
          </w:tcPr>
          <w:p w14:paraId="3F08A191" w14:textId="77777777" w:rsidR="00F94B48" w:rsidRPr="00F32542" w:rsidRDefault="00F94B48" w:rsidP="00F94B48">
            <w:pPr>
              <w:spacing w:after="0" w:line="240" w:lineRule="auto"/>
              <w:jc w:val="center"/>
              <w:rPr>
                <w:rFonts w:ascii="Arial" w:eastAsia="Calibri" w:hAnsi="Arial" w:cs="Arial"/>
                <w:b/>
                <w:sz w:val="24"/>
                <w:szCs w:val="24"/>
              </w:rPr>
            </w:pPr>
            <w:r w:rsidRPr="00F32542">
              <w:rPr>
                <w:rFonts w:ascii="Arial" w:eastAsia="Calibri" w:hAnsi="Arial" w:cs="Arial"/>
                <w:b/>
                <w:sz w:val="24"/>
                <w:szCs w:val="24"/>
              </w:rPr>
              <w:t xml:space="preserve">LISTA DEFINITIVA </w:t>
            </w:r>
          </w:p>
          <w:p w14:paraId="492B138A" w14:textId="77777777" w:rsidR="00F94B48" w:rsidRPr="00F32542" w:rsidRDefault="00F94B48" w:rsidP="00F94B48">
            <w:pPr>
              <w:spacing w:after="0" w:line="240" w:lineRule="auto"/>
              <w:jc w:val="center"/>
              <w:rPr>
                <w:rFonts w:ascii="Arial" w:eastAsia="Calibri" w:hAnsi="Arial" w:cs="Arial"/>
                <w:b/>
                <w:sz w:val="16"/>
                <w:szCs w:val="24"/>
              </w:rPr>
            </w:pPr>
          </w:p>
          <w:p w14:paraId="14996323" w14:textId="77777777" w:rsidR="00F94B48" w:rsidRPr="00F32542" w:rsidRDefault="00F94B48" w:rsidP="00F94B48">
            <w:pPr>
              <w:spacing w:after="0" w:line="240" w:lineRule="auto"/>
              <w:jc w:val="center"/>
              <w:rPr>
                <w:rFonts w:ascii="Arial" w:eastAsia="Calibri" w:hAnsi="Arial" w:cs="Arial"/>
                <w:b/>
                <w:sz w:val="24"/>
                <w:szCs w:val="24"/>
              </w:rPr>
            </w:pPr>
            <w:r w:rsidRPr="00F32542">
              <w:rPr>
                <w:rFonts w:ascii="Arial" w:eastAsia="Calibri" w:hAnsi="Arial" w:cs="Arial"/>
                <w:b/>
                <w:sz w:val="24"/>
                <w:szCs w:val="24"/>
              </w:rPr>
              <w:t>PAN</w:t>
            </w:r>
          </w:p>
        </w:tc>
      </w:tr>
      <w:tr w:rsidR="00F94B48" w:rsidRPr="00F32542" w14:paraId="6D9864FB" w14:textId="77777777" w:rsidTr="00B65D24">
        <w:tc>
          <w:tcPr>
            <w:tcW w:w="1005" w:type="dxa"/>
            <w:vAlign w:val="center"/>
          </w:tcPr>
          <w:p w14:paraId="628C28A7"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Fórmula</w:t>
            </w:r>
          </w:p>
        </w:tc>
        <w:tc>
          <w:tcPr>
            <w:tcW w:w="908" w:type="dxa"/>
            <w:vAlign w:val="center"/>
          </w:tcPr>
          <w:p w14:paraId="36006E6D"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Sexo</w:t>
            </w:r>
          </w:p>
        </w:tc>
        <w:tc>
          <w:tcPr>
            <w:tcW w:w="2410" w:type="dxa"/>
            <w:vAlign w:val="center"/>
          </w:tcPr>
          <w:p w14:paraId="49992AAE"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Candidatura propietaria</w:t>
            </w:r>
          </w:p>
        </w:tc>
        <w:tc>
          <w:tcPr>
            <w:tcW w:w="2268" w:type="dxa"/>
            <w:vAlign w:val="center"/>
          </w:tcPr>
          <w:p w14:paraId="1407424F"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Candidatura suplente</w:t>
            </w:r>
          </w:p>
        </w:tc>
        <w:tc>
          <w:tcPr>
            <w:tcW w:w="1463" w:type="dxa"/>
            <w:vAlign w:val="center"/>
          </w:tcPr>
          <w:p w14:paraId="75879628"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Lugar y lista de origen</w:t>
            </w:r>
          </w:p>
        </w:tc>
      </w:tr>
      <w:tr w:rsidR="00F94B48" w:rsidRPr="00F32542" w14:paraId="11776E4B" w14:textId="77777777" w:rsidTr="00B65D24">
        <w:tc>
          <w:tcPr>
            <w:tcW w:w="1005" w:type="dxa"/>
            <w:shd w:val="clear" w:color="auto" w:fill="auto"/>
            <w:vAlign w:val="center"/>
          </w:tcPr>
          <w:p w14:paraId="0A66D31E" w14:textId="77777777" w:rsidR="00F94B48" w:rsidRPr="00F32542" w:rsidRDefault="00000CB0" w:rsidP="00000CB0">
            <w:pPr>
              <w:widowControl w:val="0"/>
              <w:spacing w:after="0" w:line="240" w:lineRule="auto"/>
              <w:jc w:val="center"/>
              <w:rPr>
                <w:rFonts w:ascii="Arial" w:eastAsia="Calibri" w:hAnsi="Arial" w:cs="Arial"/>
                <w:b/>
                <w:sz w:val="20"/>
                <w:szCs w:val="20"/>
              </w:rPr>
            </w:pPr>
            <w:r w:rsidRPr="00F32542">
              <w:rPr>
                <w:rFonts w:ascii="Arial" w:eastAsia="Calibri" w:hAnsi="Arial" w:cs="Arial"/>
                <w:b/>
                <w:sz w:val="20"/>
                <w:szCs w:val="20"/>
              </w:rPr>
              <w:t>1.</w:t>
            </w:r>
          </w:p>
        </w:tc>
        <w:tc>
          <w:tcPr>
            <w:tcW w:w="908" w:type="dxa"/>
            <w:shd w:val="clear" w:color="auto" w:fill="auto"/>
            <w:vAlign w:val="center"/>
          </w:tcPr>
          <w:p w14:paraId="25BDE8F6"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H</w:t>
            </w:r>
          </w:p>
        </w:tc>
        <w:tc>
          <w:tcPr>
            <w:tcW w:w="2410" w:type="dxa"/>
            <w:shd w:val="clear" w:color="auto" w:fill="auto"/>
            <w:vAlign w:val="center"/>
          </w:tcPr>
          <w:p w14:paraId="019EEEA7"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Federico </w:t>
            </w:r>
            <w:proofErr w:type="spellStart"/>
            <w:r w:rsidRPr="00F32542">
              <w:rPr>
                <w:rFonts w:ascii="Arial" w:eastAsia="Calibri" w:hAnsi="Arial" w:cs="Arial"/>
                <w:sz w:val="20"/>
                <w:szCs w:val="20"/>
              </w:rPr>
              <w:t>Döring</w:t>
            </w:r>
            <w:proofErr w:type="spellEnd"/>
            <w:r w:rsidRPr="00F32542">
              <w:rPr>
                <w:rFonts w:ascii="Arial" w:eastAsia="Calibri" w:hAnsi="Arial" w:cs="Arial"/>
                <w:sz w:val="20"/>
                <w:szCs w:val="20"/>
              </w:rPr>
              <w:t xml:space="preserve"> Casar</w:t>
            </w:r>
          </w:p>
        </w:tc>
        <w:tc>
          <w:tcPr>
            <w:tcW w:w="2268" w:type="dxa"/>
            <w:shd w:val="clear" w:color="auto" w:fill="auto"/>
            <w:vAlign w:val="center"/>
          </w:tcPr>
          <w:p w14:paraId="4936228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Luis Antonio Oviedo Garza</w:t>
            </w:r>
          </w:p>
        </w:tc>
        <w:tc>
          <w:tcPr>
            <w:tcW w:w="1463" w:type="dxa"/>
            <w:shd w:val="clear" w:color="auto" w:fill="auto"/>
            <w:vAlign w:val="center"/>
          </w:tcPr>
          <w:p w14:paraId="3CD6A4A7"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1A</w:t>
            </w:r>
          </w:p>
        </w:tc>
      </w:tr>
      <w:tr w:rsidR="00F94B48" w:rsidRPr="00F32542" w14:paraId="153D2604" w14:textId="77777777" w:rsidTr="00B65D24">
        <w:tc>
          <w:tcPr>
            <w:tcW w:w="1005" w:type="dxa"/>
            <w:shd w:val="clear" w:color="auto" w:fill="auto"/>
            <w:vAlign w:val="center"/>
          </w:tcPr>
          <w:p w14:paraId="2DCEDBA2" w14:textId="77777777" w:rsidR="00F94B48" w:rsidRPr="00F32542" w:rsidRDefault="00000CB0" w:rsidP="00000CB0">
            <w:pPr>
              <w:widowControl w:val="0"/>
              <w:spacing w:after="0" w:line="240" w:lineRule="auto"/>
              <w:jc w:val="center"/>
              <w:rPr>
                <w:rFonts w:ascii="Arial" w:eastAsia="Calibri" w:hAnsi="Arial" w:cs="Arial"/>
                <w:b/>
                <w:sz w:val="20"/>
                <w:szCs w:val="20"/>
              </w:rPr>
            </w:pPr>
            <w:r w:rsidRPr="00F32542">
              <w:rPr>
                <w:rFonts w:ascii="Arial" w:eastAsia="Calibri" w:hAnsi="Arial" w:cs="Arial"/>
                <w:b/>
                <w:sz w:val="20"/>
                <w:szCs w:val="20"/>
              </w:rPr>
              <w:t>2.</w:t>
            </w:r>
          </w:p>
        </w:tc>
        <w:tc>
          <w:tcPr>
            <w:tcW w:w="908" w:type="dxa"/>
            <w:shd w:val="clear" w:color="auto" w:fill="auto"/>
            <w:vAlign w:val="center"/>
          </w:tcPr>
          <w:p w14:paraId="73CCAC04"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M</w:t>
            </w:r>
          </w:p>
        </w:tc>
        <w:tc>
          <w:tcPr>
            <w:tcW w:w="2410" w:type="dxa"/>
            <w:shd w:val="clear" w:color="auto" w:fill="auto"/>
            <w:vAlign w:val="center"/>
          </w:tcPr>
          <w:p w14:paraId="0DF01150"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María Gabriela Salido Magos</w:t>
            </w:r>
          </w:p>
        </w:tc>
        <w:tc>
          <w:tcPr>
            <w:tcW w:w="2268" w:type="dxa"/>
            <w:shd w:val="clear" w:color="auto" w:fill="auto"/>
            <w:vAlign w:val="center"/>
          </w:tcPr>
          <w:p w14:paraId="4DD4E747"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Vania </w:t>
            </w:r>
            <w:proofErr w:type="spellStart"/>
            <w:r w:rsidRPr="00F32542">
              <w:rPr>
                <w:rFonts w:ascii="Arial" w:eastAsia="Calibri" w:hAnsi="Arial" w:cs="Arial"/>
                <w:sz w:val="20"/>
                <w:szCs w:val="20"/>
              </w:rPr>
              <w:t>Yael</w:t>
            </w:r>
            <w:proofErr w:type="spellEnd"/>
            <w:r w:rsidRPr="00F32542">
              <w:rPr>
                <w:rFonts w:ascii="Arial" w:eastAsia="Calibri" w:hAnsi="Arial" w:cs="Arial"/>
                <w:sz w:val="20"/>
                <w:szCs w:val="20"/>
              </w:rPr>
              <w:t xml:space="preserve"> González Veloz</w:t>
            </w:r>
          </w:p>
        </w:tc>
        <w:tc>
          <w:tcPr>
            <w:tcW w:w="1463" w:type="dxa"/>
            <w:shd w:val="clear" w:color="auto" w:fill="auto"/>
            <w:vAlign w:val="center"/>
          </w:tcPr>
          <w:p w14:paraId="7BB977F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1B</w:t>
            </w:r>
          </w:p>
        </w:tc>
      </w:tr>
      <w:tr w:rsidR="00F94B48" w:rsidRPr="00F32542" w14:paraId="5E637CD6" w14:textId="77777777" w:rsidTr="00B65D24">
        <w:tc>
          <w:tcPr>
            <w:tcW w:w="1005" w:type="dxa"/>
            <w:shd w:val="clear" w:color="auto" w:fill="auto"/>
            <w:vAlign w:val="center"/>
          </w:tcPr>
          <w:p w14:paraId="65E819BA" w14:textId="77777777" w:rsidR="00F94B48" w:rsidRPr="00F32542" w:rsidRDefault="00000CB0" w:rsidP="00000CB0">
            <w:pPr>
              <w:widowControl w:val="0"/>
              <w:spacing w:after="0" w:line="240" w:lineRule="auto"/>
              <w:jc w:val="center"/>
              <w:rPr>
                <w:rFonts w:ascii="Arial" w:eastAsia="Calibri" w:hAnsi="Arial" w:cs="Arial"/>
                <w:b/>
                <w:sz w:val="20"/>
                <w:szCs w:val="20"/>
              </w:rPr>
            </w:pPr>
            <w:r w:rsidRPr="00F32542">
              <w:rPr>
                <w:rFonts w:ascii="Arial" w:eastAsia="Calibri" w:hAnsi="Arial" w:cs="Arial"/>
                <w:b/>
                <w:sz w:val="20"/>
                <w:szCs w:val="20"/>
              </w:rPr>
              <w:t>3.</w:t>
            </w:r>
          </w:p>
        </w:tc>
        <w:tc>
          <w:tcPr>
            <w:tcW w:w="908" w:type="dxa"/>
            <w:shd w:val="clear" w:color="auto" w:fill="auto"/>
            <w:vAlign w:val="center"/>
          </w:tcPr>
          <w:p w14:paraId="142FF034"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M</w:t>
            </w:r>
          </w:p>
        </w:tc>
        <w:tc>
          <w:tcPr>
            <w:tcW w:w="2410" w:type="dxa"/>
            <w:shd w:val="clear" w:color="auto" w:fill="auto"/>
            <w:vAlign w:val="center"/>
          </w:tcPr>
          <w:p w14:paraId="0E1EC97E"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Luisa Adriana Gutiérrez Ureña</w:t>
            </w:r>
          </w:p>
        </w:tc>
        <w:tc>
          <w:tcPr>
            <w:tcW w:w="2268" w:type="dxa"/>
            <w:shd w:val="clear" w:color="auto" w:fill="auto"/>
            <w:vAlign w:val="center"/>
          </w:tcPr>
          <w:p w14:paraId="4E24AF01"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Itzel Abigail Arellano Cruces</w:t>
            </w:r>
          </w:p>
        </w:tc>
        <w:tc>
          <w:tcPr>
            <w:tcW w:w="1463" w:type="dxa"/>
            <w:shd w:val="clear" w:color="auto" w:fill="auto"/>
            <w:vAlign w:val="center"/>
          </w:tcPr>
          <w:p w14:paraId="705A971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2A</w:t>
            </w:r>
          </w:p>
        </w:tc>
      </w:tr>
      <w:tr w:rsidR="00F94B48" w:rsidRPr="00F32542" w14:paraId="42C6F27C" w14:textId="77777777" w:rsidTr="00B65D24">
        <w:tc>
          <w:tcPr>
            <w:tcW w:w="1005" w:type="dxa"/>
            <w:shd w:val="clear" w:color="auto" w:fill="auto"/>
            <w:vAlign w:val="center"/>
          </w:tcPr>
          <w:p w14:paraId="29B9072B" w14:textId="77777777" w:rsidR="00F94B48" w:rsidRPr="00F32542" w:rsidRDefault="00000CB0" w:rsidP="00000CB0">
            <w:pPr>
              <w:widowControl w:val="0"/>
              <w:spacing w:after="0" w:line="240" w:lineRule="auto"/>
              <w:jc w:val="center"/>
              <w:rPr>
                <w:rFonts w:ascii="Arial" w:eastAsia="Calibri" w:hAnsi="Arial" w:cs="Arial"/>
                <w:b/>
                <w:sz w:val="20"/>
                <w:szCs w:val="20"/>
              </w:rPr>
            </w:pPr>
            <w:r w:rsidRPr="00F32542">
              <w:rPr>
                <w:rFonts w:ascii="Arial" w:eastAsia="Calibri" w:hAnsi="Arial" w:cs="Arial"/>
                <w:b/>
                <w:sz w:val="20"/>
                <w:szCs w:val="20"/>
              </w:rPr>
              <w:t>4.</w:t>
            </w:r>
          </w:p>
        </w:tc>
        <w:tc>
          <w:tcPr>
            <w:tcW w:w="908" w:type="dxa"/>
            <w:shd w:val="clear" w:color="auto" w:fill="auto"/>
            <w:vAlign w:val="center"/>
          </w:tcPr>
          <w:p w14:paraId="3A54C5E7"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H</w:t>
            </w:r>
          </w:p>
        </w:tc>
        <w:tc>
          <w:tcPr>
            <w:tcW w:w="2410" w:type="dxa"/>
            <w:shd w:val="clear" w:color="auto" w:fill="auto"/>
            <w:vAlign w:val="center"/>
          </w:tcPr>
          <w:p w14:paraId="6138FB1E"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Luis Alberto Chávez García</w:t>
            </w:r>
          </w:p>
        </w:tc>
        <w:tc>
          <w:tcPr>
            <w:tcW w:w="2268" w:type="dxa"/>
            <w:shd w:val="clear" w:color="auto" w:fill="auto"/>
            <w:vAlign w:val="center"/>
          </w:tcPr>
          <w:p w14:paraId="6206A3A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Frida Fernanda Alcántara Cabrera</w:t>
            </w:r>
          </w:p>
        </w:tc>
        <w:tc>
          <w:tcPr>
            <w:tcW w:w="1463" w:type="dxa"/>
            <w:shd w:val="clear" w:color="auto" w:fill="auto"/>
            <w:vAlign w:val="center"/>
          </w:tcPr>
          <w:p w14:paraId="33C25F18"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2B</w:t>
            </w:r>
          </w:p>
        </w:tc>
      </w:tr>
      <w:tr w:rsidR="00F94B48" w:rsidRPr="00F32542" w14:paraId="1803D6C6" w14:textId="77777777" w:rsidTr="00B65D24">
        <w:tc>
          <w:tcPr>
            <w:tcW w:w="1005" w:type="dxa"/>
            <w:shd w:val="clear" w:color="auto" w:fill="auto"/>
            <w:vAlign w:val="center"/>
          </w:tcPr>
          <w:p w14:paraId="655165EC" w14:textId="77777777" w:rsidR="00F94B48" w:rsidRPr="00F32542" w:rsidRDefault="00000CB0" w:rsidP="00000CB0">
            <w:pPr>
              <w:widowControl w:val="0"/>
              <w:spacing w:after="0" w:line="240" w:lineRule="auto"/>
              <w:jc w:val="center"/>
              <w:rPr>
                <w:rFonts w:ascii="Arial" w:eastAsia="Calibri" w:hAnsi="Arial" w:cs="Arial"/>
                <w:b/>
                <w:sz w:val="20"/>
                <w:szCs w:val="20"/>
              </w:rPr>
            </w:pPr>
            <w:r w:rsidRPr="00F32542">
              <w:rPr>
                <w:rFonts w:ascii="Arial" w:eastAsia="Calibri" w:hAnsi="Arial" w:cs="Arial"/>
                <w:b/>
                <w:sz w:val="20"/>
                <w:szCs w:val="20"/>
              </w:rPr>
              <w:t>5.</w:t>
            </w:r>
          </w:p>
        </w:tc>
        <w:tc>
          <w:tcPr>
            <w:tcW w:w="908" w:type="dxa"/>
            <w:shd w:val="clear" w:color="auto" w:fill="auto"/>
            <w:vAlign w:val="center"/>
          </w:tcPr>
          <w:p w14:paraId="7EBFF7A1"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H</w:t>
            </w:r>
          </w:p>
        </w:tc>
        <w:tc>
          <w:tcPr>
            <w:tcW w:w="2410" w:type="dxa"/>
            <w:shd w:val="clear" w:color="auto" w:fill="auto"/>
            <w:vAlign w:val="center"/>
          </w:tcPr>
          <w:p w14:paraId="258BE715" w14:textId="77777777" w:rsidR="00F94B48" w:rsidRPr="00F32542" w:rsidRDefault="00F94B48" w:rsidP="00F94B48">
            <w:pPr>
              <w:spacing w:after="0" w:line="240" w:lineRule="auto"/>
              <w:jc w:val="center"/>
              <w:rPr>
                <w:rFonts w:ascii="Arial" w:eastAsia="Calibri" w:hAnsi="Arial" w:cs="Arial"/>
                <w:sz w:val="20"/>
                <w:szCs w:val="20"/>
              </w:rPr>
            </w:pPr>
            <w:proofErr w:type="spellStart"/>
            <w:r w:rsidRPr="00F32542">
              <w:rPr>
                <w:rFonts w:ascii="Arial" w:eastAsia="Calibri" w:hAnsi="Arial" w:cs="Arial"/>
                <w:sz w:val="20"/>
                <w:szCs w:val="20"/>
              </w:rPr>
              <w:t>Anibal</w:t>
            </w:r>
            <w:proofErr w:type="spellEnd"/>
            <w:r w:rsidRPr="00F32542">
              <w:rPr>
                <w:rFonts w:ascii="Arial" w:eastAsia="Calibri" w:hAnsi="Arial" w:cs="Arial"/>
                <w:sz w:val="20"/>
                <w:szCs w:val="20"/>
              </w:rPr>
              <w:t xml:space="preserve"> Alexandro </w:t>
            </w:r>
            <w:proofErr w:type="spellStart"/>
            <w:r w:rsidRPr="00F32542">
              <w:rPr>
                <w:rFonts w:ascii="Arial" w:eastAsia="Calibri" w:hAnsi="Arial" w:cs="Arial"/>
                <w:sz w:val="20"/>
                <w:szCs w:val="20"/>
              </w:rPr>
              <w:t>Cáñez</w:t>
            </w:r>
            <w:proofErr w:type="spellEnd"/>
            <w:r w:rsidRPr="00F32542">
              <w:rPr>
                <w:rFonts w:ascii="Arial" w:eastAsia="Calibri" w:hAnsi="Arial" w:cs="Arial"/>
                <w:sz w:val="20"/>
                <w:szCs w:val="20"/>
              </w:rPr>
              <w:t xml:space="preserve"> Morales</w:t>
            </w:r>
          </w:p>
        </w:tc>
        <w:tc>
          <w:tcPr>
            <w:tcW w:w="2268" w:type="dxa"/>
            <w:shd w:val="clear" w:color="auto" w:fill="auto"/>
            <w:vAlign w:val="center"/>
          </w:tcPr>
          <w:p w14:paraId="032CD365"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Alain León </w:t>
            </w:r>
            <w:proofErr w:type="spellStart"/>
            <w:r w:rsidRPr="00F32542">
              <w:rPr>
                <w:rFonts w:ascii="Arial" w:eastAsia="Calibri" w:hAnsi="Arial" w:cs="Arial"/>
                <w:sz w:val="20"/>
                <w:szCs w:val="20"/>
              </w:rPr>
              <w:t>Rasetti</w:t>
            </w:r>
            <w:proofErr w:type="spellEnd"/>
          </w:p>
        </w:tc>
        <w:tc>
          <w:tcPr>
            <w:tcW w:w="1463" w:type="dxa"/>
            <w:shd w:val="clear" w:color="auto" w:fill="auto"/>
            <w:vAlign w:val="center"/>
          </w:tcPr>
          <w:p w14:paraId="69B6771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3A</w:t>
            </w:r>
          </w:p>
        </w:tc>
      </w:tr>
      <w:tr w:rsidR="00F94B48" w:rsidRPr="00F32542" w14:paraId="61B53C70" w14:textId="77777777" w:rsidTr="00B65D24">
        <w:tc>
          <w:tcPr>
            <w:tcW w:w="1005" w:type="dxa"/>
            <w:shd w:val="clear" w:color="auto" w:fill="auto"/>
            <w:vAlign w:val="center"/>
          </w:tcPr>
          <w:p w14:paraId="6653287E" w14:textId="77777777" w:rsidR="00F94B48" w:rsidRPr="00F32542" w:rsidRDefault="00000CB0" w:rsidP="00000CB0">
            <w:pPr>
              <w:widowControl w:val="0"/>
              <w:spacing w:after="0" w:line="240" w:lineRule="auto"/>
              <w:jc w:val="center"/>
              <w:rPr>
                <w:rFonts w:ascii="Arial" w:eastAsia="Calibri" w:hAnsi="Arial" w:cs="Arial"/>
                <w:b/>
                <w:sz w:val="20"/>
                <w:szCs w:val="20"/>
              </w:rPr>
            </w:pPr>
            <w:r w:rsidRPr="00F32542">
              <w:rPr>
                <w:rFonts w:ascii="Arial" w:eastAsia="Calibri" w:hAnsi="Arial" w:cs="Arial"/>
                <w:b/>
                <w:sz w:val="20"/>
                <w:szCs w:val="20"/>
              </w:rPr>
              <w:t>6.</w:t>
            </w:r>
          </w:p>
        </w:tc>
        <w:tc>
          <w:tcPr>
            <w:tcW w:w="908" w:type="dxa"/>
            <w:shd w:val="clear" w:color="auto" w:fill="auto"/>
            <w:vAlign w:val="center"/>
          </w:tcPr>
          <w:p w14:paraId="1F455D51"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M</w:t>
            </w:r>
          </w:p>
        </w:tc>
        <w:tc>
          <w:tcPr>
            <w:tcW w:w="2410" w:type="dxa"/>
            <w:shd w:val="clear" w:color="auto" w:fill="auto"/>
            <w:vAlign w:val="center"/>
          </w:tcPr>
          <w:p w14:paraId="4319A35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Andrea </w:t>
            </w:r>
            <w:proofErr w:type="spellStart"/>
            <w:r w:rsidRPr="00F32542">
              <w:rPr>
                <w:rFonts w:ascii="Arial" w:eastAsia="Calibri" w:hAnsi="Arial" w:cs="Arial"/>
                <w:sz w:val="20"/>
                <w:szCs w:val="20"/>
              </w:rPr>
              <w:t>Evelyne</w:t>
            </w:r>
            <w:proofErr w:type="spellEnd"/>
            <w:r w:rsidRPr="00F32542">
              <w:rPr>
                <w:rFonts w:ascii="Arial" w:eastAsia="Calibri" w:hAnsi="Arial" w:cs="Arial"/>
                <w:sz w:val="20"/>
                <w:szCs w:val="20"/>
              </w:rPr>
              <w:t xml:space="preserve"> </w:t>
            </w:r>
            <w:proofErr w:type="spellStart"/>
            <w:r w:rsidRPr="00F32542">
              <w:rPr>
                <w:rFonts w:ascii="Arial" w:eastAsia="Calibri" w:hAnsi="Arial" w:cs="Arial"/>
                <w:sz w:val="20"/>
                <w:szCs w:val="20"/>
              </w:rPr>
              <w:t>Vicenteño</w:t>
            </w:r>
            <w:proofErr w:type="spellEnd"/>
            <w:r w:rsidRPr="00F32542">
              <w:rPr>
                <w:rFonts w:ascii="Arial" w:eastAsia="Calibri" w:hAnsi="Arial" w:cs="Arial"/>
                <w:sz w:val="20"/>
                <w:szCs w:val="20"/>
              </w:rPr>
              <w:t xml:space="preserve"> Barrientos</w:t>
            </w:r>
          </w:p>
        </w:tc>
        <w:tc>
          <w:tcPr>
            <w:tcW w:w="2268" w:type="dxa"/>
            <w:shd w:val="clear" w:color="auto" w:fill="auto"/>
            <w:vAlign w:val="center"/>
          </w:tcPr>
          <w:p w14:paraId="499C6CA4"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Suri </w:t>
            </w:r>
            <w:proofErr w:type="spellStart"/>
            <w:r w:rsidRPr="00F32542">
              <w:rPr>
                <w:rFonts w:ascii="Arial" w:eastAsia="Calibri" w:hAnsi="Arial" w:cs="Arial"/>
                <w:sz w:val="20"/>
                <w:szCs w:val="20"/>
              </w:rPr>
              <w:t>Zaday</w:t>
            </w:r>
            <w:proofErr w:type="spellEnd"/>
            <w:r w:rsidRPr="00F32542">
              <w:rPr>
                <w:rFonts w:ascii="Arial" w:eastAsia="Calibri" w:hAnsi="Arial" w:cs="Arial"/>
                <w:sz w:val="20"/>
                <w:szCs w:val="20"/>
              </w:rPr>
              <w:t xml:space="preserve"> Aquino Cholula</w:t>
            </w:r>
          </w:p>
        </w:tc>
        <w:tc>
          <w:tcPr>
            <w:tcW w:w="1463" w:type="dxa"/>
            <w:shd w:val="clear" w:color="auto" w:fill="auto"/>
            <w:vAlign w:val="center"/>
          </w:tcPr>
          <w:p w14:paraId="1100AB38"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3B</w:t>
            </w:r>
          </w:p>
        </w:tc>
      </w:tr>
      <w:tr w:rsidR="00F94B48" w:rsidRPr="00F32542" w14:paraId="74755C9E" w14:textId="77777777" w:rsidTr="00B65D24">
        <w:tc>
          <w:tcPr>
            <w:tcW w:w="1005" w:type="dxa"/>
            <w:shd w:val="clear" w:color="auto" w:fill="auto"/>
            <w:vAlign w:val="center"/>
          </w:tcPr>
          <w:p w14:paraId="00DC7E44" w14:textId="77777777" w:rsidR="00F94B48" w:rsidRPr="00F32542" w:rsidRDefault="00000CB0" w:rsidP="00000CB0">
            <w:pPr>
              <w:widowControl w:val="0"/>
              <w:spacing w:after="0" w:line="240" w:lineRule="auto"/>
              <w:jc w:val="center"/>
              <w:rPr>
                <w:rFonts w:ascii="Arial" w:eastAsia="Calibri" w:hAnsi="Arial" w:cs="Arial"/>
                <w:b/>
                <w:sz w:val="20"/>
                <w:szCs w:val="20"/>
              </w:rPr>
            </w:pPr>
            <w:r w:rsidRPr="00F32542">
              <w:rPr>
                <w:rFonts w:ascii="Arial" w:eastAsia="Calibri" w:hAnsi="Arial" w:cs="Arial"/>
                <w:b/>
                <w:sz w:val="20"/>
                <w:szCs w:val="20"/>
              </w:rPr>
              <w:t>7.</w:t>
            </w:r>
          </w:p>
        </w:tc>
        <w:tc>
          <w:tcPr>
            <w:tcW w:w="908" w:type="dxa"/>
            <w:shd w:val="clear" w:color="auto" w:fill="auto"/>
            <w:vAlign w:val="center"/>
          </w:tcPr>
          <w:p w14:paraId="25E4A78F"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M</w:t>
            </w:r>
          </w:p>
        </w:tc>
        <w:tc>
          <w:tcPr>
            <w:tcW w:w="2410" w:type="dxa"/>
            <w:shd w:val="clear" w:color="auto" w:fill="auto"/>
            <w:vAlign w:val="center"/>
          </w:tcPr>
          <w:p w14:paraId="4FFCDCE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Ana Jocelyn Villagrán Villasana</w:t>
            </w:r>
          </w:p>
        </w:tc>
        <w:tc>
          <w:tcPr>
            <w:tcW w:w="2268" w:type="dxa"/>
            <w:shd w:val="clear" w:color="auto" w:fill="auto"/>
            <w:vAlign w:val="center"/>
          </w:tcPr>
          <w:p w14:paraId="32B3B25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Ámbar Reyes Moto</w:t>
            </w:r>
          </w:p>
        </w:tc>
        <w:tc>
          <w:tcPr>
            <w:tcW w:w="1463" w:type="dxa"/>
            <w:shd w:val="clear" w:color="auto" w:fill="auto"/>
            <w:vAlign w:val="center"/>
          </w:tcPr>
          <w:p w14:paraId="32CCC384"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4A</w:t>
            </w:r>
          </w:p>
        </w:tc>
      </w:tr>
      <w:tr w:rsidR="00F94B48" w:rsidRPr="00F32542" w14:paraId="49AF38BB" w14:textId="77777777" w:rsidTr="00B65D24">
        <w:tc>
          <w:tcPr>
            <w:tcW w:w="1005" w:type="dxa"/>
            <w:shd w:val="clear" w:color="auto" w:fill="auto"/>
            <w:vAlign w:val="center"/>
          </w:tcPr>
          <w:p w14:paraId="556F060B" w14:textId="77777777" w:rsidR="00F94B48" w:rsidRPr="00F32542" w:rsidRDefault="00000CB0" w:rsidP="00000CB0">
            <w:pPr>
              <w:widowControl w:val="0"/>
              <w:spacing w:after="0" w:line="240" w:lineRule="auto"/>
              <w:jc w:val="center"/>
              <w:rPr>
                <w:rFonts w:ascii="Arial" w:eastAsia="Calibri" w:hAnsi="Arial" w:cs="Arial"/>
                <w:b/>
                <w:sz w:val="20"/>
                <w:szCs w:val="20"/>
              </w:rPr>
            </w:pPr>
            <w:r w:rsidRPr="00F32542">
              <w:rPr>
                <w:rFonts w:ascii="Arial" w:eastAsia="Calibri" w:hAnsi="Arial" w:cs="Arial"/>
                <w:b/>
                <w:sz w:val="20"/>
                <w:szCs w:val="20"/>
              </w:rPr>
              <w:t>8.</w:t>
            </w:r>
          </w:p>
        </w:tc>
        <w:tc>
          <w:tcPr>
            <w:tcW w:w="908" w:type="dxa"/>
            <w:shd w:val="clear" w:color="auto" w:fill="auto"/>
            <w:vAlign w:val="center"/>
          </w:tcPr>
          <w:p w14:paraId="1F47BC86"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H</w:t>
            </w:r>
          </w:p>
        </w:tc>
        <w:tc>
          <w:tcPr>
            <w:tcW w:w="2410" w:type="dxa"/>
            <w:shd w:val="clear" w:color="auto" w:fill="auto"/>
            <w:vAlign w:val="center"/>
          </w:tcPr>
          <w:p w14:paraId="1E18231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José Gonzalo Espina Miranda</w:t>
            </w:r>
          </w:p>
        </w:tc>
        <w:tc>
          <w:tcPr>
            <w:tcW w:w="2268" w:type="dxa"/>
            <w:shd w:val="clear" w:color="auto" w:fill="auto"/>
            <w:vAlign w:val="center"/>
          </w:tcPr>
          <w:p w14:paraId="1F061A78"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Mario Raphael De Cárcer</w:t>
            </w:r>
          </w:p>
        </w:tc>
        <w:tc>
          <w:tcPr>
            <w:tcW w:w="1463" w:type="dxa"/>
            <w:shd w:val="clear" w:color="auto" w:fill="auto"/>
            <w:vAlign w:val="center"/>
          </w:tcPr>
          <w:p w14:paraId="48323886"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4B</w:t>
            </w:r>
          </w:p>
        </w:tc>
      </w:tr>
      <w:tr w:rsidR="00F94B48" w:rsidRPr="00F32542" w14:paraId="6F6BDED0" w14:textId="77777777" w:rsidTr="00B65D24">
        <w:tc>
          <w:tcPr>
            <w:tcW w:w="1005" w:type="dxa"/>
            <w:shd w:val="clear" w:color="auto" w:fill="auto"/>
            <w:vAlign w:val="center"/>
          </w:tcPr>
          <w:p w14:paraId="622045C8" w14:textId="77777777" w:rsidR="00F94B48" w:rsidRPr="00F32542" w:rsidRDefault="00000CB0" w:rsidP="00000CB0">
            <w:pPr>
              <w:widowControl w:val="0"/>
              <w:spacing w:after="0" w:line="240" w:lineRule="auto"/>
              <w:jc w:val="center"/>
              <w:rPr>
                <w:rFonts w:ascii="Arial" w:eastAsia="Calibri" w:hAnsi="Arial" w:cs="Arial"/>
                <w:sz w:val="20"/>
                <w:szCs w:val="20"/>
              </w:rPr>
            </w:pPr>
            <w:r w:rsidRPr="00F32542">
              <w:rPr>
                <w:rFonts w:ascii="Arial" w:eastAsia="Calibri" w:hAnsi="Arial" w:cs="Arial"/>
                <w:sz w:val="20"/>
                <w:szCs w:val="20"/>
              </w:rPr>
              <w:t>9.</w:t>
            </w:r>
          </w:p>
        </w:tc>
        <w:tc>
          <w:tcPr>
            <w:tcW w:w="908" w:type="dxa"/>
            <w:shd w:val="clear" w:color="auto" w:fill="auto"/>
            <w:vAlign w:val="center"/>
          </w:tcPr>
          <w:p w14:paraId="0B22006C"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410" w:type="dxa"/>
            <w:shd w:val="clear" w:color="auto" w:fill="auto"/>
            <w:vAlign w:val="center"/>
          </w:tcPr>
          <w:p w14:paraId="3276DEE4"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Rodrigo Miranda Berumen</w:t>
            </w:r>
          </w:p>
        </w:tc>
        <w:tc>
          <w:tcPr>
            <w:tcW w:w="2268" w:type="dxa"/>
            <w:shd w:val="clear" w:color="auto" w:fill="auto"/>
            <w:vAlign w:val="center"/>
          </w:tcPr>
          <w:p w14:paraId="1551986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Luis Paris Oviedo Guarneros</w:t>
            </w:r>
          </w:p>
        </w:tc>
        <w:tc>
          <w:tcPr>
            <w:tcW w:w="1463" w:type="dxa"/>
            <w:shd w:val="clear" w:color="auto" w:fill="auto"/>
            <w:vAlign w:val="center"/>
          </w:tcPr>
          <w:p w14:paraId="764FD358"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5A</w:t>
            </w:r>
          </w:p>
        </w:tc>
      </w:tr>
    </w:tbl>
    <w:p w14:paraId="184FB78B" w14:textId="77777777" w:rsidR="00F94B48" w:rsidRPr="00F32542" w:rsidRDefault="00F94B48" w:rsidP="00F94B48">
      <w:pPr>
        <w:spacing w:after="0" w:line="360" w:lineRule="auto"/>
        <w:jc w:val="both"/>
        <w:rPr>
          <w:rFonts w:ascii="Arial" w:eastAsia="Calibri" w:hAnsi="Arial" w:cs="Times New Roman"/>
          <w:sz w:val="28"/>
        </w:rPr>
      </w:pPr>
    </w:p>
    <w:tbl>
      <w:tblPr>
        <w:tblStyle w:val="Tablaconcuadrcula511"/>
        <w:tblW w:w="0" w:type="auto"/>
        <w:tblInd w:w="-75" w:type="dxa"/>
        <w:tblLook w:val="04A0" w:firstRow="1" w:lastRow="0" w:firstColumn="1" w:lastColumn="0" w:noHBand="0" w:noVBand="1"/>
      </w:tblPr>
      <w:tblGrid>
        <w:gridCol w:w="1005"/>
        <w:gridCol w:w="908"/>
        <w:gridCol w:w="2410"/>
        <w:gridCol w:w="2268"/>
        <w:gridCol w:w="1463"/>
      </w:tblGrid>
      <w:tr w:rsidR="00F94B48" w:rsidRPr="00F32542" w14:paraId="04CA48D9" w14:textId="77777777" w:rsidTr="00F94B48">
        <w:trPr>
          <w:trHeight w:val="958"/>
        </w:trPr>
        <w:tc>
          <w:tcPr>
            <w:tcW w:w="0" w:type="auto"/>
            <w:gridSpan w:val="5"/>
            <w:shd w:val="clear" w:color="auto" w:fill="AEAAAA"/>
            <w:vAlign w:val="center"/>
          </w:tcPr>
          <w:p w14:paraId="45410B37" w14:textId="77777777" w:rsidR="00F94B48" w:rsidRPr="00F32542" w:rsidRDefault="00F94B48" w:rsidP="00F94B48">
            <w:pPr>
              <w:spacing w:after="0" w:line="240" w:lineRule="auto"/>
              <w:jc w:val="center"/>
              <w:rPr>
                <w:rFonts w:ascii="Arial" w:eastAsia="Calibri" w:hAnsi="Arial" w:cs="Arial"/>
                <w:b/>
                <w:sz w:val="24"/>
                <w:szCs w:val="24"/>
              </w:rPr>
            </w:pPr>
            <w:r w:rsidRPr="00F32542">
              <w:rPr>
                <w:rFonts w:ascii="Arial" w:eastAsia="Calibri" w:hAnsi="Arial" w:cs="Arial"/>
                <w:b/>
                <w:sz w:val="24"/>
                <w:szCs w:val="24"/>
              </w:rPr>
              <w:t xml:space="preserve">LISTA DEFINITIVA </w:t>
            </w:r>
          </w:p>
          <w:p w14:paraId="6B580DE7" w14:textId="77777777" w:rsidR="00F94B48" w:rsidRPr="00F32542" w:rsidRDefault="00F94B48" w:rsidP="00F94B48">
            <w:pPr>
              <w:spacing w:after="0" w:line="240" w:lineRule="auto"/>
              <w:jc w:val="center"/>
              <w:rPr>
                <w:rFonts w:ascii="Arial" w:eastAsia="Calibri" w:hAnsi="Arial" w:cs="Arial"/>
                <w:b/>
                <w:sz w:val="16"/>
                <w:szCs w:val="24"/>
              </w:rPr>
            </w:pPr>
          </w:p>
          <w:p w14:paraId="2C1A375A" w14:textId="77777777" w:rsidR="00F94B48" w:rsidRPr="00F32542" w:rsidRDefault="00F94B48" w:rsidP="00F94B48">
            <w:pPr>
              <w:spacing w:after="0" w:line="240" w:lineRule="auto"/>
              <w:jc w:val="center"/>
              <w:rPr>
                <w:rFonts w:ascii="Arial" w:eastAsia="Calibri" w:hAnsi="Arial" w:cs="Arial"/>
                <w:b/>
                <w:sz w:val="24"/>
                <w:szCs w:val="24"/>
              </w:rPr>
            </w:pPr>
            <w:r w:rsidRPr="00F32542">
              <w:rPr>
                <w:rFonts w:ascii="Arial" w:eastAsia="Calibri" w:hAnsi="Arial" w:cs="Arial"/>
                <w:b/>
                <w:sz w:val="24"/>
                <w:szCs w:val="24"/>
              </w:rPr>
              <w:t>PRI</w:t>
            </w:r>
          </w:p>
        </w:tc>
      </w:tr>
      <w:tr w:rsidR="00F94B48" w:rsidRPr="00F32542" w14:paraId="4A5378D1" w14:textId="77777777" w:rsidTr="00B65D24">
        <w:tc>
          <w:tcPr>
            <w:tcW w:w="1005" w:type="dxa"/>
            <w:vAlign w:val="center"/>
          </w:tcPr>
          <w:p w14:paraId="5F595571"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Fórmula</w:t>
            </w:r>
          </w:p>
        </w:tc>
        <w:tc>
          <w:tcPr>
            <w:tcW w:w="908" w:type="dxa"/>
            <w:vAlign w:val="center"/>
          </w:tcPr>
          <w:p w14:paraId="012FBB21"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Sexo</w:t>
            </w:r>
          </w:p>
        </w:tc>
        <w:tc>
          <w:tcPr>
            <w:tcW w:w="2410" w:type="dxa"/>
            <w:vAlign w:val="center"/>
          </w:tcPr>
          <w:p w14:paraId="1F2A83C2"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Candidatura propietaria</w:t>
            </w:r>
          </w:p>
        </w:tc>
        <w:tc>
          <w:tcPr>
            <w:tcW w:w="2268" w:type="dxa"/>
            <w:vAlign w:val="center"/>
          </w:tcPr>
          <w:p w14:paraId="3D0D67BE"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Candidatura suplente</w:t>
            </w:r>
          </w:p>
        </w:tc>
        <w:tc>
          <w:tcPr>
            <w:tcW w:w="1463" w:type="dxa"/>
            <w:vAlign w:val="center"/>
          </w:tcPr>
          <w:p w14:paraId="4651C731"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Lugar y lista de origen</w:t>
            </w:r>
          </w:p>
        </w:tc>
      </w:tr>
      <w:tr w:rsidR="00F94B48" w:rsidRPr="00F32542" w14:paraId="65623E84" w14:textId="77777777" w:rsidTr="00B65D24">
        <w:tc>
          <w:tcPr>
            <w:tcW w:w="1005" w:type="dxa"/>
            <w:shd w:val="clear" w:color="auto" w:fill="auto"/>
            <w:vAlign w:val="center"/>
          </w:tcPr>
          <w:p w14:paraId="7F4ED7D8" w14:textId="77777777" w:rsidR="00F94B48" w:rsidRPr="00F32542" w:rsidRDefault="00F94B48" w:rsidP="009B6ED0">
            <w:pPr>
              <w:widowControl w:val="0"/>
              <w:numPr>
                <w:ilvl w:val="0"/>
                <w:numId w:val="22"/>
              </w:numPr>
              <w:spacing w:after="0" w:line="240" w:lineRule="auto"/>
              <w:jc w:val="both"/>
              <w:rPr>
                <w:rFonts w:ascii="Arial" w:eastAsia="Calibri" w:hAnsi="Arial" w:cs="Arial"/>
                <w:b/>
                <w:sz w:val="20"/>
                <w:szCs w:val="20"/>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0EBB6538"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H</w:t>
            </w:r>
          </w:p>
        </w:tc>
        <w:tc>
          <w:tcPr>
            <w:tcW w:w="2410" w:type="dxa"/>
            <w:tcBorders>
              <w:top w:val="single" w:sz="4" w:space="0" w:color="000000"/>
              <w:left w:val="single" w:sz="4" w:space="0" w:color="000000"/>
              <w:bottom w:val="single" w:sz="4" w:space="0" w:color="000000"/>
              <w:right w:val="single" w:sz="4" w:space="0" w:color="000000"/>
            </w:tcBorders>
            <w:vAlign w:val="center"/>
          </w:tcPr>
          <w:p w14:paraId="4626D09D"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Carlos Joaquín Fernández</w:t>
            </w:r>
          </w:p>
          <w:p w14:paraId="5A1DE482"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Tinoco</w:t>
            </w:r>
          </w:p>
        </w:tc>
        <w:tc>
          <w:tcPr>
            <w:tcW w:w="2268" w:type="dxa"/>
            <w:tcBorders>
              <w:top w:val="single" w:sz="4" w:space="0" w:color="000000"/>
              <w:left w:val="single" w:sz="4" w:space="0" w:color="000000"/>
              <w:bottom w:val="single" w:sz="4" w:space="0" w:color="000000"/>
              <w:right w:val="single" w:sz="4" w:space="0" w:color="000000"/>
            </w:tcBorders>
            <w:vAlign w:val="center"/>
          </w:tcPr>
          <w:p w14:paraId="47D44863"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 xml:space="preserve">Enrique Nieto </w:t>
            </w:r>
            <w:proofErr w:type="spellStart"/>
            <w:r w:rsidRPr="00F32542">
              <w:rPr>
                <w:rFonts w:ascii="Arial" w:eastAsia="Calibri" w:hAnsi="Arial" w:cs="Times New Roman"/>
                <w:sz w:val="20"/>
                <w:szCs w:val="20"/>
              </w:rPr>
              <w:t>Franzoni</w:t>
            </w:r>
            <w:proofErr w:type="spellEnd"/>
          </w:p>
        </w:tc>
        <w:tc>
          <w:tcPr>
            <w:tcW w:w="1463" w:type="dxa"/>
            <w:tcBorders>
              <w:top w:val="single" w:sz="4" w:space="0" w:color="000000"/>
              <w:left w:val="single" w:sz="4" w:space="0" w:color="000000"/>
              <w:bottom w:val="single" w:sz="4" w:space="0" w:color="000000"/>
              <w:right w:val="single" w:sz="4" w:space="0" w:color="000000"/>
            </w:tcBorders>
            <w:vAlign w:val="center"/>
          </w:tcPr>
          <w:p w14:paraId="35E9CCCA"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1A</w:t>
            </w:r>
          </w:p>
        </w:tc>
      </w:tr>
      <w:tr w:rsidR="00F94B48" w:rsidRPr="00F32542" w14:paraId="1F7758B3" w14:textId="77777777" w:rsidTr="00B65D24">
        <w:tc>
          <w:tcPr>
            <w:tcW w:w="1005" w:type="dxa"/>
            <w:shd w:val="clear" w:color="auto" w:fill="auto"/>
            <w:vAlign w:val="center"/>
          </w:tcPr>
          <w:p w14:paraId="050545B1" w14:textId="77777777" w:rsidR="00F94B48" w:rsidRPr="00F32542" w:rsidRDefault="00F94B48" w:rsidP="009B6ED0">
            <w:pPr>
              <w:widowControl w:val="0"/>
              <w:numPr>
                <w:ilvl w:val="0"/>
                <w:numId w:val="22"/>
              </w:numPr>
              <w:spacing w:after="0" w:line="240" w:lineRule="auto"/>
              <w:jc w:val="center"/>
              <w:rPr>
                <w:rFonts w:ascii="Arial" w:eastAsia="Calibri" w:hAnsi="Arial" w:cs="Arial"/>
                <w:b/>
                <w:sz w:val="20"/>
                <w:szCs w:val="20"/>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364F54D1"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M</w:t>
            </w:r>
          </w:p>
        </w:tc>
        <w:tc>
          <w:tcPr>
            <w:tcW w:w="2410" w:type="dxa"/>
            <w:tcBorders>
              <w:top w:val="single" w:sz="4" w:space="0" w:color="000000"/>
              <w:left w:val="single" w:sz="4" w:space="0" w:color="000000"/>
              <w:bottom w:val="single" w:sz="4" w:space="0" w:color="000000"/>
              <w:right w:val="single" w:sz="4" w:space="0" w:color="000000"/>
            </w:tcBorders>
            <w:vAlign w:val="center"/>
          </w:tcPr>
          <w:p w14:paraId="1C75B4A3"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Mónica Fernández César</w:t>
            </w:r>
          </w:p>
        </w:tc>
        <w:tc>
          <w:tcPr>
            <w:tcW w:w="2268" w:type="dxa"/>
            <w:tcBorders>
              <w:top w:val="single" w:sz="4" w:space="0" w:color="000000"/>
              <w:left w:val="single" w:sz="4" w:space="0" w:color="000000"/>
              <w:bottom w:val="single" w:sz="4" w:space="0" w:color="000000"/>
              <w:right w:val="single" w:sz="4" w:space="0" w:color="000000"/>
            </w:tcBorders>
            <w:vAlign w:val="center"/>
          </w:tcPr>
          <w:p w14:paraId="6A9F9B77"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Yolanda Judith Téllez</w:t>
            </w:r>
          </w:p>
          <w:p w14:paraId="081C24A9"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Barragán</w:t>
            </w:r>
          </w:p>
        </w:tc>
        <w:tc>
          <w:tcPr>
            <w:tcW w:w="1463" w:type="dxa"/>
            <w:tcBorders>
              <w:top w:val="single" w:sz="4" w:space="0" w:color="000000"/>
              <w:left w:val="single" w:sz="4" w:space="0" w:color="000000"/>
              <w:bottom w:val="single" w:sz="4" w:space="0" w:color="000000"/>
              <w:right w:val="single" w:sz="4" w:space="0" w:color="000000"/>
            </w:tcBorders>
            <w:vAlign w:val="center"/>
          </w:tcPr>
          <w:p w14:paraId="3AB7279C"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1B</w:t>
            </w:r>
          </w:p>
        </w:tc>
      </w:tr>
      <w:tr w:rsidR="00F94B48" w:rsidRPr="00F32542" w14:paraId="2B2907A1" w14:textId="77777777" w:rsidTr="00B65D24">
        <w:tc>
          <w:tcPr>
            <w:tcW w:w="1005" w:type="dxa"/>
            <w:shd w:val="clear" w:color="auto" w:fill="auto"/>
            <w:vAlign w:val="center"/>
          </w:tcPr>
          <w:p w14:paraId="40929A60" w14:textId="77777777" w:rsidR="00F94B48" w:rsidRPr="00F32542" w:rsidRDefault="00F94B48" w:rsidP="009B6ED0">
            <w:pPr>
              <w:widowControl w:val="0"/>
              <w:numPr>
                <w:ilvl w:val="0"/>
                <w:numId w:val="22"/>
              </w:numPr>
              <w:spacing w:after="0" w:line="240" w:lineRule="auto"/>
              <w:jc w:val="center"/>
              <w:rPr>
                <w:rFonts w:ascii="Arial" w:eastAsia="Calibri" w:hAnsi="Arial" w:cs="Arial"/>
                <w:b/>
                <w:sz w:val="20"/>
                <w:szCs w:val="20"/>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53393C6D"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M</w:t>
            </w:r>
          </w:p>
        </w:tc>
        <w:tc>
          <w:tcPr>
            <w:tcW w:w="2410" w:type="dxa"/>
            <w:tcBorders>
              <w:top w:val="single" w:sz="4" w:space="0" w:color="000000"/>
              <w:left w:val="single" w:sz="4" w:space="0" w:color="000000"/>
              <w:bottom w:val="single" w:sz="4" w:space="0" w:color="000000"/>
              <w:right w:val="single" w:sz="4" w:space="0" w:color="000000"/>
            </w:tcBorders>
            <w:vAlign w:val="center"/>
          </w:tcPr>
          <w:p w14:paraId="55CFFC7C"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Tania Nanette Larios Pérez</w:t>
            </w:r>
          </w:p>
        </w:tc>
        <w:tc>
          <w:tcPr>
            <w:tcW w:w="2268" w:type="dxa"/>
            <w:tcBorders>
              <w:top w:val="single" w:sz="4" w:space="0" w:color="000000"/>
              <w:left w:val="single" w:sz="4" w:space="0" w:color="000000"/>
              <w:bottom w:val="single" w:sz="4" w:space="0" w:color="000000"/>
              <w:right w:val="single" w:sz="4" w:space="0" w:color="000000"/>
            </w:tcBorders>
            <w:vAlign w:val="center"/>
          </w:tcPr>
          <w:p w14:paraId="2716078D"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Yessenia Celedonio Álvarez</w:t>
            </w:r>
          </w:p>
        </w:tc>
        <w:tc>
          <w:tcPr>
            <w:tcW w:w="1463" w:type="dxa"/>
            <w:tcBorders>
              <w:top w:val="single" w:sz="4" w:space="0" w:color="000000"/>
              <w:left w:val="single" w:sz="4" w:space="0" w:color="000000"/>
              <w:bottom w:val="single" w:sz="4" w:space="0" w:color="000000"/>
              <w:right w:val="single" w:sz="4" w:space="0" w:color="000000"/>
            </w:tcBorders>
            <w:vAlign w:val="center"/>
          </w:tcPr>
          <w:p w14:paraId="132C7249"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2A</w:t>
            </w:r>
          </w:p>
        </w:tc>
      </w:tr>
      <w:tr w:rsidR="00F94B48" w:rsidRPr="00F32542" w14:paraId="5E7A6CFA" w14:textId="77777777" w:rsidTr="00B65D24">
        <w:tc>
          <w:tcPr>
            <w:tcW w:w="1005" w:type="dxa"/>
            <w:shd w:val="clear" w:color="auto" w:fill="auto"/>
            <w:vAlign w:val="center"/>
          </w:tcPr>
          <w:p w14:paraId="60166C4D" w14:textId="77777777" w:rsidR="00F94B48" w:rsidRPr="00F32542" w:rsidRDefault="00F94B48" w:rsidP="009B6ED0">
            <w:pPr>
              <w:widowControl w:val="0"/>
              <w:numPr>
                <w:ilvl w:val="0"/>
                <w:numId w:val="22"/>
              </w:numPr>
              <w:spacing w:after="0" w:line="240" w:lineRule="auto"/>
              <w:jc w:val="center"/>
              <w:rPr>
                <w:rFonts w:ascii="Arial" w:eastAsia="Calibri" w:hAnsi="Arial" w:cs="Arial"/>
                <w:b/>
                <w:sz w:val="20"/>
                <w:szCs w:val="20"/>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5745A462"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H</w:t>
            </w:r>
          </w:p>
        </w:tc>
        <w:tc>
          <w:tcPr>
            <w:tcW w:w="2410" w:type="dxa"/>
            <w:tcBorders>
              <w:top w:val="single" w:sz="4" w:space="0" w:color="000000"/>
              <w:left w:val="single" w:sz="4" w:space="0" w:color="000000"/>
              <w:bottom w:val="single" w:sz="4" w:space="0" w:color="000000"/>
              <w:right w:val="single" w:sz="4" w:space="0" w:color="000000"/>
            </w:tcBorders>
            <w:vAlign w:val="center"/>
          </w:tcPr>
          <w:p w14:paraId="25C01859" w14:textId="77777777" w:rsidR="00F94B48" w:rsidRPr="00F32542" w:rsidRDefault="00F94B48" w:rsidP="00F94B48">
            <w:pPr>
              <w:spacing w:after="0" w:line="240" w:lineRule="auto"/>
              <w:jc w:val="center"/>
              <w:rPr>
                <w:rFonts w:ascii="Arial" w:eastAsia="Calibri" w:hAnsi="Arial" w:cs="Times New Roman"/>
                <w:sz w:val="20"/>
                <w:szCs w:val="20"/>
              </w:rPr>
            </w:pPr>
            <w:proofErr w:type="spellStart"/>
            <w:r w:rsidRPr="00F32542">
              <w:rPr>
                <w:rFonts w:ascii="Arial" w:eastAsia="Calibri" w:hAnsi="Arial" w:cs="Times New Roman"/>
                <w:sz w:val="20"/>
                <w:szCs w:val="20"/>
              </w:rPr>
              <w:t>Jhonatan</w:t>
            </w:r>
            <w:proofErr w:type="spellEnd"/>
            <w:r w:rsidRPr="00F32542">
              <w:rPr>
                <w:rFonts w:ascii="Arial" w:eastAsia="Calibri" w:hAnsi="Arial" w:cs="Times New Roman"/>
                <w:sz w:val="20"/>
                <w:szCs w:val="20"/>
              </w:rPr>
              <w:t xml:space="preserve"> Colmenares</w:t>
            </w:r>
          </w:p>
          <w:p w14:paraId="5572D284"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Rentería</w:t>
            </w:r>
          </w:p>
        </w:tc>
        <w:tc>
          <w:tcPr>
            <w:tcW w:w="2268" w:type="dxa"/>
            <w:tcBorders>
              <w:top w:val="single" w:sz="4" w:space="0" w:color="000000"/>
              <w:left w:val="single" w:sz="4" w:space="0" w:color="000000"/>
              <w:bottom w:val="single" w:sz="4" w:space="0" w:color="000000"/>
              <w:right w:val="single" w:sz="4" w:space="0" w:color="000000"/>
            </w:tcBorders>
            <w:vAlign w:val="center"/>
          </w:tcPr>
          <w:p w14:paraId="3102F708"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Jorge Bernardo Franco</w:t>
            </w:r>
          </w:p>
          <w:p w14:paraId="59CBC905" w14:textId="77777777" w:rsidR="00F94B48" w:rsidRPr="00F32542" w:rsidRDefault="00F94B48" w:rsidP="00F94B48">
            <w:pPr>
              <w:spacing w:after="0" w:line="240" w:lineRule="auto"/>
              <w:jc w:val="center"/>
              <w:rPr>
                <w:rFonts w:ascii="Arial" w:eastAsia="Calibri" w:hAnsi="Arial" w:cs="Times New Roman"/>
                <w:sz w:val="20"/>
                <w:szCs w:val="20"/>
              </w:rPr>
            </w:pPr>
            <w:proofErr w:type="spellStart"/>
            <w:r w:rsidRPr="00F32542">
              <w:rPr>
                <w:rFonts w:ascii="Arial" w:eastAsia="Calibri" w:hAnsi="Arial" w:cs="Times New Roman"/>
                <w:sz w:val="20"/>
                <w:szCs w:val="20"/>
              </w:rPr>
              <w:t>Asfura</w:t>
            </w:r>
            <w:proofErr w:type="spellEnd"/>
          </w:p>
        </w:tc>
        <w:tc>
          <w:tcPr>
            <w:tcW w:w="1463" w:type="dxa"/>
            <w:tcBorders>
              <w:top w:val="single" w:sz="4" w:space="0" w:color="000000"/>
              <w:left w:val="single" w:sz="4" w:space="0" w:color="000000"/>
              <w:bottom w:val="single" w:sz="4" w:space="0" w:color="000000"/>
              <w:right w:val="single" w:sz="4" w:space="0" w:color="000000"/>
            </w:tcBorders>
            <w:vAlign w:val="center"/>
          </w:tcPr>
          <w:p w14:paraId="79EB99DB"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2B</w:t>
            </w:r>
          </w:p>
        </w:tc>
      </w:tr>
      <w:tr w:rsidR="00F94B48" w:rsidRPr="00F32542" w14:paraId="486F5954" w14:textId="77777777" w:rsidTr="00B65D24">
        <w:tc>
          <w:tcPr>
            <w:tcW w:w="1005" w:type="dxa"/>
            <w:shd w:val="clear" w:color="auto" w:fill="auto"/>
            <w:vAlign w:val="center"/>
          </w:tcPr>
          <w:p w14:paraId="19B3ADEE" w14:textId="77777777" w:rsidR="00F94B48" w:rsidRPr="00F32542" w:rsidRDefault="00F94B48" w:rsidP="009B6ED0">
            <w:pPr>
              <w:widowControl w:val="0"/>
              <w:numPr>
                <w:ilvl w:val="0"/>
                <w:numId w:val="22"/>
              </w:numPr>
              <w:spacing w:after="0" w:line="240" w:lineRule="auto"/>
              <w:jc w:val="center"/>
              <w:rPr>
                <w:rFonts w:ascii="Arial" w:eastAsia="Calibri" w:hAnsi="Arial" w:cs="Arial"/>
                <w:b/>
                <w:sz w:val="20"/>
                <w:szCs w:val="20"/>
              </w:rPr>
            </w:pPr>
          </w:p>
        </w:tc>
        <w:tc>
          <w:tcPr>
            <w:tcW w:w="908" w:type="dxa"/>
            <w:shd w:val="clear" w:color="auto" w:fill="auto"/>
            <w:vAlign w:val="center"/>
          </w:tcPr>
          <w:p w14:paraId="1D2447A6"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H</w:t>
            </w:r>
          </w:p>
        </w:tc>
        <w:tc>
          <w:tcPr>
            <w:tcW w:w="2410" w:type="dxa"/>
            <w:shd w:val="clear" w:color="auto" w:fill="auto"/>
            <w:vAlign w:val="center"/>
          </w:tcPr>
          <w:p w14:paraId="13DD6A06"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Fausto Manuel Zamorano</w:t>
            </w:r>
          </w:p>
          <w:p w14:paraId="30391CEE"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Esparza</w:t>
            </w:r>
          </w:p>
        </w:tc>
        <w:tc>
          <w:tcPr>
            <w:tcW w:w="2268" w:type="dxa"/>
            <w:shd w:val="clear" w:color="auto" w:fill="auto"/>
            <w:vAlign w:val="center"/>
          </w:tcPr>
          <w:p w14:paraId="1A17AB82"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Mario Becerril Martínez</w:t>
            </w:r>
          </w:p>
        </w:tc>
        <w:tc>
          <w:tcPr>
            <w:tcW w:w="1463" w:type="dxa"/>
            <w:shd w:val="clear" w:color="auto" w:fill="auto"/>
            <w:vAlign w:val="center"/>
          </w:tcPr>
          <w:p w14:paraId="191B53ED"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3A</w:t>
            </w:r>
          </w:p>
        </w:tc>
      </w:tr>
    </w:tbl>
    <w:p w14:paraId="72C2C820" w14:textId="77777777" w:rsidR="00F94B48" w:rsidRPr="00F32542" w:rsidRDefault="00F94B48" w:rsidP="00F94B48">
      <w:pPr>
        <w:spacing w:after="0" w:line="360" w:lineRule="auto"/>
        <w:jc w:val="both"/>
        <w:rPr>
          <w:rFonts w:ascii="Arial" w:eastAsia="Calibri" w:hAnsi="Arial" w:cs="Times New Roman"/>
          <w:sz w:val="28"/>
        </w:rPr>
      </w:pPr>
    </w:p>
    <w:tbl>
      <w:tblPr>
        <w:tblStyle w:val="Tablaconcuadrcula512"/>
        <w:tblW w:w="0" w:type="auto"/>
        <w:tblInd w:w="-75" w:type="dxa"/>
        <w:tblLook w:val="04A0" w:firstRow="1" w:lastRow="0" w:firstColumn="1" w:lastColumn="0" w:noHBand="0" w:noVBand="1"/>
      </w:tblPr>
      <w:tblGrid>
        <w:gridCol w:w="1005"/>
        <w:gridCol w:w="908"/>
        <w:gridCol w:w="2410"/>
        <w:gridCol w:w="2268"/>
        <w:gridCol w:w="1463"/>
      </w:tblGrid>
      <w:tr w:rsidR="00F94B48" w:rsidRPr="00F32542" w14:paraId="73249588" w14:textId="77777777" w:rsidTr="00F94B48">
        <w:trPr>
          <w:trHeight w:val="958"/>
        </w:trPr>
        <w:tc>
          <w:tcPr>
            <w:tcW w:w="0" w:type="auto"/>
            <w:gridSpan w:val="5"/>
            <w:shd w:val="clear" w:color="auto" w:fill="AEAAAA"/>
            <w:vAlign w:val="center"/>
          </w:tcPr>
          <w:p w14:paraId="358460F2" w14:textId="77777777" w:rsidR="00F94B48" w:rsidRPr="00F32542" w:rsidRDefault="00F94B48" w:rsidP="00F94B48">
            <w:pPr>
              <w:spacing w:after="0" w:line="240" w:lineRule="auto"/>
              <w:jc w:val="center"/>
              <w:rPr>
                <w:rFonts w:ascii="Arial" w:eastAsia="Calibri" w:hAnsi="Arial" w:cs="Arial"/>
                <w:b/>
                <w:sz w:val="24"/>
                <w:szCs w:val="24"/>
              </w:rPr>
            </w:pPr>
            <w:r w:rsidRPr="00F32542">
              <w:rPr>
                <w:rFonts w:ascii="Arial" w:eastAsia="Calibri" w:hAnsi="Arial" w:cs="Arial"/>
                <w:b/>
                <w:sz w:val="24"/>
                <w:szCs w:val="24"/>
              </w:rPr>
              <w:lastRenderedPageBreak/>
              <w:t xml:space="preserve">LISTA DEFINITIVA </w:t>
            </w:r>
          </w:p>
          <w:p w14:paraId="3287FE5B" w14:textId="77777777" w:rsidR="00F94B48" w:rsidRPr="00F32542" w:rsidRDefault="00F94B48" w:rsidP="00F94B48">
            <w:pPr>
              <w:spacing w:after="0" w:line="240" w:lineRule="auto"/>
              <w:jc w:val="center"/>
              <w:rPr>
                <w:rFonts w:ascii="Arial" w:eastAsia="Calibri" w:hAnsi="Arial" w:cs="Arial"/>
                <w:b/>
                <w:sz w:val="16"/>
                <w:szCs w:val="24"/>
              </w:rPr>
            </w:pPr>
          </w:p>
          <w:p w14:paraId="2635A5C1" w14:textId="77777777" w:rsidR="00F94B48" w:rsidRPr="00F32542" w:rsidRDefault="00F94B48" w:rsidP="00F94B48">
            <w:pPr>
              <w:spacing w:after="0" w:line="240" w:lineRule="auto"/>
              <w:jc w:val="center"/>
              <w:rPr>
                <w:rFonts w:ascii="Arial" w:eastAsia="Calibri" w:hAnsi="Arial" w:cs="Arial"/>
                <w:b/>
                <w:sz w:val="24"/>
                <w:szCs w:val="24"/>
              </w:rPr>
            </w:pPr>
            <w:r w:rsidRPr="00F32542">
              <w:rPr>
                <w:rFonts w:ascii="Arial" w:eastAsia="Calibri" w:hAnsi="Arial" w:cs="Arial"/>
                <w:b/>
                <w:sz w:val="24"/>
                <w:szCs w:val="24"/>
              </w:rPr>
              <w:t>PRD</w:t>
            </w:r>
          </w:p>
        </w:tc>
      </w:tr>
      <w:tr w:rsidR="00F94B48" w:rsidRPr="00F32542" w14:paraId="2A3934F8" w14:textId="77777777" w:rsidTr="00B65D24">
        <w:tc>
          <w:tcPr>
            <w:tcW w:w="1005" w:type="dxa"/>
            <w:vAlign w:val="center"/>
          </w:tcPr>
          <w:p w14:paraId="5D8979FE"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Fórmula</w:t>
            </w:r>
          </w:p>
        </w:tc>
        <w:tc>
          <w:tcPr>
            <w:tcW w:w="908" w:type="dxa"/>
            <w:vAlign w:val="center"/>
          </w:tcPr>
          <w:p w14:paraId="7E19DB36"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Sexo</w:t>
            </w:r>
          </w:p>
        </w:tc>
        <w:tc>
          <w:tcPr>
            <w:tcW w:w="2410" w:type="dxa"/>
            <w:vAlign w:val="center"/>
          </w:tcPr>
          <w:p w14:paraId="40FBB3EF"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Candidatura propietaria</w:t>
            </w:r>
          </w:p>
        </w:tc>
        <w:tc>
          <w:tcPr>
            <w:tcW w:w="2268" w:type="dxa"/>
            <w:vAlign w:val="center"/>
          </w:tcPr>
          <w:p w14:paraId="1332A17B"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Candidatura suplente</w:t>
            </w:r>
          </w:p>
        </w:tc>
        <w:tc>
          <w:tcPr>
            <w:tcW w:w="1463" w:type="dxa"/>
            <w:vAlign w:val="center"/>
          </w:tcPr>
          <w:p w14:paraId="1869B45E"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Lugar y lista de origen</w:t>
            </w:r>
          </w:p>
        </w:tc>
      </w:tr>
      <w:tr w:rsidR="00F94B48" w:rsidRPr="00F32542" w14:paraId="15D85C37" w14:textId="77777777" w:rsidTr="00B65D24">
        <w:tc>
          <w:tcPr>
            <w:tcW w:w="1005" w:type="dxa"/>
            <w:shd w:val="clear" w:color="auto" w:fill="auto"/>
            <w:vAlign w:val="center"/>
          </w:tcPr>
          <w:p w14:paraId="6FB1D81F" w14:textId="77777777" w:rsidR="00F94B48" w:rsidRPr="00F32542" w:rsidRDefault="00F94B48" w:rsidP="009B6ED0">
            <w:pPr>
              <w:widowControl w:val="0"/>
              <w:numPr>
                <w:ilvl w:val="0"/>
                <w:numId w:val="23"/>
              </w:numPr>
              <w:spacing w:after="0" w:line="240" w:lineRule="auto"/>
              <w:jc w:val="both"/>
              <w:rPr>
                <w:rFonts w:ascii="Arial" w:eastAsia="Calibri" w:hAnsi="Arial" w:cs="Arial"/>
                <w:b/>
                <w:sz w:val="20"/>
                <w:szCs w:val="20"/>
              </w:rPr>
            </w:pPr>
          </w:p>
        </w:tc>
        <w:tc>
          <w:tcPr>
            <w:tcW w:w="908" w:type="dxa"/>
            <w:shd w:val="clear" w:color="auto" w:fill="auto"/>
            <w:vAlign w:val="center"/>
          </w:tcPr>
          <w:p w14:paraId="14BD08C9" w14:textId="77777777" w:rsidR="00F94B48" w:rsidRPr="00F32542" w:rsidRDefault="00F94B48" w:rsidP="00F94B48">
            <w:pPr>
              <w:spacing w:after="0" w:line="240" w:lineRule="auto"/>
              <w:ind w:right="45"/>
              <w:jc w:val="center"/>
              <w:rPr>
                <w:rFonts w:ascii="Arial" w:eastAsia="Calibri" w:hAnsi="Arial" w:cs="Times New Roman"/>
                <w:sz w:val="20"/>
                <w:szCs w:val="20"/>
              </w:rPr>
            </w:pPr>
            <w:r w:rsidRPr="00F32542">
              <w:rPr>
                <w:rFonts w:ascii="Arial" w:eastAsia="Calibri" w:hAnsi="Arial" w:cs="Times New Roman"/>
                <w:sz w:val="20"/>
                <w:szCs w:val="20"/>
              </w:rPr>
              <w:t>H</w:t>
            </w:r>
          </w:p>
        </w:tc>
        <w:tc>
          <w:tcPr>
            <w:tcW w:w="2410" w:type="dxa"/>
            <w:shd w:val="clear" w:color="auto" w:fill="auto"/>
            <w:vAlign w:val="center"/>
          </w:tcPr>
          <w:p w14:paraId="3306D3AC" w14:textId="77777777" w:rsidR="00F94B48" w:rsidRPr="00F32542" w:rsidRDefault="00F94B48" w:rsidP="00F94B48">
            <w:pPr>
              <w:spacing w:after="0" w:line="240" w:lineRule="auto"/>
              <w:ind w:right="41"/>
              <w:jc w:val="center"/>
              <w:rPr>
                <w:rFonts w:ascii="Arial" w:eastAsia="Calibri" w:hAnsi="Arial" w:cs="Times New Roman"/>
                <w:sz w:val="20"/>
                <w:szCs w:val="20"/>
              </w:rPr>
            </w:pPr>
            <w:r w:rsidRPr="00F32542">
              <w:rPr>
                <w:rFonts w:ascii="Arial" w:eastAsia="Calibri" w:hAnsi="Arial" w:cs="Times New Roman"/>
                <w:sz w:val="20"/>
                <w:szCs w:val="20"/>
              </w:rPr>
              <w:t>Víctor Hugo Lobo Román</w:t>
            </w:r>
          </w:p>
        </w:tc>
        <w:tc>
          <w:tcPr>
            <w:tcW w:w="2268" w:type="dxa"/>
            <w:shd w:val="clear" w:color="auto" w:fill="auto"/>
            <w:vAlign w:val="center"/>
          </w:tcPr>
          <w:p w14:paraId="27F3405B" w14:textId="77777777" w:rsidR="00F94B48" w:rsidRPr="00F32542" w:rsidRDefault="00F94B48" w:rsidP="00F94B48">
            <w:pPr>
              <w:spacing w:after="0" w:line="240" w:lineRule="auto"/>
              <w:ind w:right="45"/>
              <w:jc w:val="center"/>
              <w:rPr>
                <w:rFonts w:ascii="Arial" w:eastAsia="Calibri" w:hAnsi="Arial" w:cs="Times New Roman"/>
                <w:sz w:val="20"/>
                <w:szCs w:val="20"/>
              </w:rPr>
            </w:pPr>
            <w:r w:rsidRPr="00F32542">
              <w:rPr>
                <w:rFonts w:ascii="Arial" w:eastAsia="Calibri" w:hAnsi="Arial" w:cs="Times New Roman"/>
                <w:sz w:val="20"/>
                <w:szCs w:val="20"/>
              </w:rPr>
              <w:t>Esteban Mario Torres Ruiz</w:t>
            </w:r>
          </w:p>
        </w:tc>
        <w:tc>
          <w:tcPr>
            <w:tcW w:w="1463" w:type="dxa"/>
            <w:shd w:val="clear" w:color="auto" w:fill="auto"/>
            <w:vAlign w:val="center"/>
          </w:tcPr>
          <w:p w14:paraId="39F8B8DA" w14:textId="77777777" w:rsidR="00F94B48" w:rsidRPr="00F32542" w:rsidRDefault="00F94B48" w:rsidP="00F94B48">
            <w:pPr>
              <w:spacing w:after="0" w:line="240" w:lineRule="auto"/>
              <w:ind w:right="42"/>
              <w:jc w:val="center"/>
              <w:rPr>
                <w:rFonts w:ascii="Arial" w:eastAsia="Calibri" w:hAnsi="Arial" w:cs="Times New Roman"/>
                <w:sz w:val="20"/>
                <w:szCs w:val="20"/>
              </w:rPr>
            </w:pPr>
            <w:r w:rsidRPr="00F32542">
              <w:rPr>
                <w:rFonts w:ascii="Arial" w:eastAsia="Calibri" w:hAnsi="Arial" w:cs="Times New Roman"/>
                <w:sz w:val="20"/>
                <w:szCs w:val="20"/>
              </w:rPr>
              <w:t>1A</w:t>
            </w:r>
          </w:p>
        </w:tc>
      </w:tr>
      <w:tr w:rsidR="00F94B48" w:rsidRPr="00F32542" w14:paraId="253927FE" w14:textId="77777777" w:rsidTr="00B65D24">
        <w:tc>
          <w:tcPr>
            <w:tcW w:w="1005" w:type="dxa"/>
            <w:shd w:val="clear" w:color="auto" w:fill="auto"/>
            <w:vAlign w:val="center"/>
          </w:tcPr>
          <w:p w14:paraId="2856555E" w14:textId="77777777" w:rsidR="00F94B48" w:rsidRPr="00F32542" w:rsidRDefault="00F94B48" w:rsidP="009B6ED0">
            <w:pPr>
              <w:widowControl w:val="0"/>
              <w:numPr>
                <w:ilvl w:val="0"/>
                <w:numId w:val="23"/>
              </w:numPr>
              <w:spacing w:after="0" w:line="240" w:lineRule="auto"/>
              <w:jc w:val="center"/>
              <w:rPr>
                <w:rFonts w:ascii="Arial" w:eastAsia="Calibri" w:hAnsi="Arial" w:cs="Arial"/>
                <w:b/>
                <w:sz w:val="20"/>
                <w:szCs w:val="20"/>
              </w:rPr>
            </w:pPr>
          </w:p>
        </w:tc>
        <w:tc>
          <w:tcPr>
            <w:tcW w:w="908" w:type="dxa"/>
            <w:shd w:val="clear" w:color="auto" w:fill="auto"/>
            <w:vAlign w:val="center"/>
          </w:tcPr>
          <w:p w14:paraId="1315B125" w14:textId="77777777" w:rsidR="00F94B48" w:rsidRPr="00F32542" w:rsidRDefault="00F94B48" w:rsidP="00F94B48">
            <w:pPr>
              <w:spacing w:after="0" w:line="240" w:lineRule="auto"/>
              <w:ind w:right="46"/>
              <w:jc w:val="center"/>
              <w:rPr>
                <w:rFonts w:ascii="Arial" w:eastAsia="Calibri" w:hAnsi="Arial" w:cs="Times New Roman"/>
                <w:sz w:val="20"/>
                <w:szCs w:val="20"/>
              </w:rPr>
            </w:pPr>
            <w:r w:rsidRPr="00F32542">
              <w:rPr>
                <w:rFonts w:ascii="Arial" w:eastAsia="Calibri" w:hAnsi="Arial" w:cs="Times New Roman"/>
                <w:sz w:val="20"/>
                <w:szCs w:val="20"/>
              </w:rPr>
              <w:t xml:space="preserve">H </w:t>
            </w:r>
          </w:p>
        </w:tc>
        <w:tc>
          <w:tcPr>
            <w:tcW w:w="2410" w:type="dxa"/>
            <w:shd w:val="clear" w:color="auto" w:fill="auto"/>
            <w:vAlign w:val="center"/>
          </w:tcPr>
          <w:p w14:paraId="4239A28C"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Ricardo </w:t>
            </w:r>
            <w:proofErr w:type="spellStart"/>
            <w:r w:rsidRPr="00F32542">
              <w:rPr>
                <w:rFonts w:ascii="Arial" w:eastAsia="Calibri" w:hAnsi="Arial" w:cs="Arial"/>
                <w:sz w:val="20"/>
                <w:szCs w:val="20"/>
              </w:rPr>
              <w:t>Janecarlo</w:t>
            </w:r>
            <w:proofErr w:type="spellEnd"/>
            <w:r w:rsidRPr="00F32542">
              <w:rPr>
                <w:rFonts w:ascii="Arial" w:eastAsia="Calibri" w:hAnsi="Arial" w:cs="Arial"/>
                <w:sz w:val="20"/>
                <w:szCs w:val="20"/>
              </w:rPr>
              <w:t xml:space="preserve"> Lozano</w:t>
            </w:r>
          </w:p>
          <w:p w14:paraId="381DA0F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Reynoso</w:t>
            </w:r>
          </w:p>
        </w:tc>
        <w:tc>
          <w:tcPr>
            <w:tcW w:w="2268" w:type="dxa"/>
            <w:shd w:val="clear" w:color="auto" w:fill="auto"/>
            <w:vAlign w:val="center"/>
          </w:tcPr>
          <w:p w14:paraId="63B5D25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Israel Ramírez Mosqueda</w:t>
            </w:r>
          </w:p>
        </w:tc>
        <w:tc>
          <w:tcPr>
            <w:tcW w:w="1463" w:type="dxa"/>
            <w:shd w:val="clear" w:color="auto" w:fill="auto"/>
            <w:vAlign w:val="center"/>
          </w:tcPr>
          <w:p w14:paraId="51542C6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1B</w:t>
            </w:r>
          </w:p>
        </w:tc>
      </w:tr>
    </w:tbl>
    <w:p w14:paraId="1CBFFF50" w14:textId="77777777" w:rsidR="00F94B48" w:rsidRPr="00F32542" w:rsidRDefault="00F94B48" w:rsidP="00F94B48">
      <w:pPr>
        <w:spacing w:after="0" w:line="360" w:lineRule="auto"/>
        <w:jc w:val="both"/>
        <w:rPr>
          <w:rFonts w:ascii="Arial" w:eastAsia="Calibri" w:hAnsi="Arial" w:cs="Times New Roman"/>
          <w:sz w:val="28"/>
        </w:rPr>
      </w:pPr>
    </w:p>
    <w:tbl>
      <w:tblPr>
        <w:tblStyle w:val="Tablaconcuadrcula513"/>
        <w:tblW w:w="0" w:type="auto"/>
        <w:tblInd w:w="-75" w:type="dxa"/>
        <w:tblLook w:val="04A0" w:firstRow="1" w:lastRow="0" w:firstColumn="1" w:lastColumn="0" w:noHBand="0" w:noVBand="1"/>
      </w:tblPr>
      <w:tblGrid>
        <w:gridCol w:w="1005"/>
        <w:gridCol w:w="908"/>
        <w:gridCol w:w="2410"/>
        <w:gridCol w:w="2268"/>
        <w:gridCol w:w="1463"/>
      </w:tblGrid>
      <w:tr w:rsidR="00F94B48" w:rsidRPr="00F32542" w14:paraId="42EF65FF" w14:textId="77777777" w:rsidTr="00F94B48">
        <w:trPr>
          <w:trHeight w:val="958"/>
        </w:trPr>
        <w:tc>
          <w:tcPr>
            <w:tcW w:w="0" w:type="auto"/>
            <w:gridSpan w:val="5"/>
            <w:shd w:val="clear" w:color="auto" w:fill="AEAAAA"/>
            <w:vAlign w:val="center"/>
          </w:tcPr>
          <w:p w14:paraId="0CB250D8" w14:textId="77777777" w:rsidR="00F94B48" w:rsidRPr="00F32542" w:rsidRDefault="00F94B48" w:rsidP="00F94B48">
            <w:pPr>
              <w:spacing w:after="0" w:line="240" w:lineRule="auto"/>
              <w:jc w:val="center"/>
              <w:rPr>
                <w:rFonts w:ascii="Arial" w:eastAsia="Calibri" w:hAnsi="Arial" w:cs="Arial"/>
                <w:b/>
                <w:sz w:val="24"/>
                <w:szCs w:val="24"/>
              </w:rPr>
            </w:pPr>
            <w:r w:rsidRPr="00F32542">
              <w:rPr>
                <w:rFonts w:ascii="Arial" w:eastAsia="Calibri" w:hAnsi="Arial" w:cs="Arial"/>
                <w:b/>
                <w:sz w:val="24"/>
                <w:szCs w:val="24"/>
              </w:rPr>
              <w:t xml:space="preserve">LISTA DEFINITIVA </w:t>
            </w:r>
          </w:p>
          <w:p w14:paraId="2FD42B76" w14:textId="77777777" w:rsidR="00F94B48" w:rsidRPr="00F32542" w:rsidRDefault="00F94B48" w:rsidP="00F94B48">
            <w:pPr>
              <w:spacing w:after="0" w:line="240" w:lineRule="auto"/>
              <w:jc w:val="center"/>
              <w:rPr>
                <w:rFonts w:ascii="Arial" w:eastAsia="Calibri" w:hAnsi="Arial" w:cs="Arial"/>
                <w:b/>
                <w:sz w:val="16"/>
                <w:szCs w:val="24"/>
              </w:rPr>
            </w:pPr>
          </w:p>
          <w:p w14:paraId="79942229" w14:textId="77777777" w:rsidR="00F94B48" w:rsidRPr="00F32542" w:rsidRDefault="00F94B48" w:rsidP="00F94B48">
            <w:pPr>
              <w:spacing w:after="0" w:line="240" w:lineRule="auto"/>
              <w:jc w:val="center"/>
              <w:rPr>
                <w:rFonts w:ascii="Arial" w:eastAsia="Calibri" w:hAnsi="Arial" w:cs="Arial"/>
                <w:b/>
                <w:sz w:val="24"/>
                <w:szCs w:val="24"/>
              </w:rPr>
            </w:pPr>
            <w:r w:rsidRPr="00F32542">
              <w:rPr>
                <w:rFonts w:ascii="Arial" w:eastAsia="Calibri" w:hAnsi="Arial" w:cs="Arial"/>
                <w:b/>
                <w:sz w:val="24"/>
                <w:szCs w:val="24"/>
              </w:rPr>
              <w:t>PVEM</w:t>
            </w:r>
          </w:p>
        </w:tc>
      </w:tr>
      <w:tr w:rsidR="00F94B48" w:rsidRPr="00F32542" w14:paraId="36E8EE5A" w14:textId="77777777" w:rsidTr="00B65D24">
        <w:tc>
          <w:tcPr>
            <w:tcW w:w="1005" w:type="dxa"/>
            <w:vAlign w:val="center"/>
          </w:tcPr>
          <w:p w14:paraId="7528BF13"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Fórmula</w:t>
            </w:r>
          </w:p>
        </w:tc>
        <w:tc>
          <w:tcPr>
            <w:tcW w:w="908" w:type="dxa"/>
            <w:vAlign w:val="center"/>
          </w:tcPr>
          <w:p w14:paraId="37373B22"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Sexo</w:t>
            </w:r>
          </w:p>
        </w:tc>
        <w:tc>
          <w:tcPr>
            <w:tcW w:w="2410" w:type="dxa"/>
            <w:vAlign w:val="center"/>
          </w:tcPr>
          <w:p w14:paraId="5CE44B4F"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Candidatura propietaria</w:t>
            </w:r>
          </w:p>
        </w:tc>
        <w:tc>
          <w:tcPr>
            <w:tcW w:w="2268" w:type="dxa"/>
            <w:vAlign w:val="center"/>
          </w:tcPr>
          <w:p w14:paraId="3D2A0C3C"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Candidatura suplente</w:t>
            </w:r>
          </w:p>
        </w:tc>
        <w:tc>
          <w:tcPr>
            <w:tcW w:w="1463" w:type="dxa"/>
            <w:vAlign w:val="center"/>
          </w:tcPr>
          <w:p w14:paraId="11244147"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Lugar y lista de origen</w:t>
            </w:r>
          </w:p>
        </w:tc>
      </w:tr>
      <w:tr w:rsidR="00F94B48" w:rsidRPr="00F32542" w14:paraId="25C5F08C" w14:textId="77777777" w:rsidTr="00B65D24">
        <w:tc>
          <w:tcPr>
            <w:tcW w:w="1005" w:type="dxa"/>
            <w:shd w:val="clear" w:color="auto" w:fill="auto"/>
            <w:vAlign w:val="center"/>
          </w:tcPr>
          <w:p w14:paraId="210CB6F5" w14:textId="77777777" w:rsidR="00F94B48" w:rsidRPr="00F32542" w:rsidRDefault="00F94B48" w:rsidP="009B6ED0">
            <w:pPr>
              <w:widowControl w:val="0"/>
              <w:numPr>
                <w:ilvl w:val="0"/>
                <w:numId w:val="24"/>
              </w:numPr>
              <w:spacing w:after="0" w:line="240" w:lineRule="auto"/>
              <w:jc w:val="both"/>
              <w:rPr>
                <w:rFonts w:ascii="Arial" w:eastAsia="Calibri" w:hAnsi="Arial" w:cs="Arial"/>
                <w:b/>
                <w:sz w:val="20"/>
                <w:szCs w:val="20"/>
              </w:rPr>
            </w:pPr>
          </w:p>
        </w:tc>
        <w:tc>
          <w:tcPr>
            <w:tcW w:w="908" w:type="dxa"/>
            <w:shd w:val="clear" w:color="auto" w:fill="auto"/>
            <w:vAlign w:val="center"/>
          </w:tcPr>
          <w:p w14:paraId="7FD39AAF"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H</w:t>
            </w:r>
          </w:p>
        </w:tc>
        <w:tc>
          <w:tcPr>
            <w:tcW w:w="2410" w:type="dxa"/>
            <w:shd w:val="clear" w:color="auto" w:fill="auto"/>
            <w:vAlign w:val="center"/>
          </w:tcPr>
          <w:p w14:paraId="73E228ED"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 xml:space="preserve">Manuel </w:t>
            </w:r>
            <w:proofErr w:type="spellStart"/>
            <w:r w:rsidRPr="00F32542">
              <w:rPr>
                <w:rFonts w:ascii="Arial" w:eastAsia="Calibri" w:hAnsi="Arial" w:cs="Times New Roman"/>
                <w:sz w:val="20"/>
                <w:szCs w:val="20"/>
              </w:rPr>
              <w:t>Talayero</w:t>
            </w:r>
            <w:proofErr w:type="spellEnd"/>
            <w:r w:rsidRPr="00F32542">
              <w:rPr>
                <w:rFonts w:ascii="Arial" w:eastAsia="Calibri" w:hAnsi="Arial" w:cs="Times New Roman"/>
                <w:sz w:val="20"/>
                <w:szCs w:val="20"/>
              </w:rPr>
              <w:t xml:space="preserve"> Pariente</w:t>
            </w:r>
          </w:p>
        </w:tc>
        <w:tc>
          <w:tcPr>
            <w:tcW w:w="2268" w:type="dxa"/>
            <w:shd w:val="clear" w:color="auto" w:fill="auto"/>
            <w:vAlign w:val="center"/>
          </w:tcPr>
          <w:p w14:paraId="464907F4" w14:textId="77777777" w:rsidR="00F94B48" w:rsidRPr="00F32542" w:rsidRDefault="00F94B48" w:rsidP="00F94B48">
            <w:pPr>
              <w:spacing w:after="0" w:line="240" w:lineRule="auto"/>
              <w:jc w:val="center"/>
              <w:rPr>
                <w:rFonts w:ascii="Arial" w:eastAsia="Calibri" w:hAnsi="Arial" w:cs="Times New Roman"/>
                <w:sz w:val="20"/>
                <w:szCs w:val="20"/>
              </w:rPr>
            </w:pPr>
          </w:p>
        </w:tc>
        <w:tc>
          <w:tcPr>
            <w:tcW w:w="1463" w:type="dxa"/>
            <w:shd w:val="clear" w:color="auto" w:fill="auto"/>
            <w:vAlign w:val="center"/>
          </w:tcPr>
          <w:p w14:paraId="7AC2FF38" w14:textId="77777777" w:rsidR="00F94B48" w:rsidRPr="00F32542" w:rsidRDefault="00F94B48" w:rsidP="00F94B48">
            <w:pPr>
              <w:spacing w:after="0" w:line="240" w:lineRule="auto"/>
              <w:jc w:val="center"/>
              <w:rPr>
                <w:rFonts w:ascii="Arial" w:eastAsia="Calibri" w:hAnsi="Arial" w:cs="Times New Roman"/>
                <w:sz w:val="20"/>
                <w:szCs w:val="20"/>
              </w:rPr>
            </w:pPr>
            <w:r w:rsidRPr="00F32542">
              <w:rPr>
                <w:rFonts w:ascii="Arial" w:eastAsia="Calibri" w:hAnsi="Arial" w:cs="Times New Roman"/>
                <w:sz w:val="20"/>
                <w:szCs w:val="20"/>
              </w:rPr>
              <w:t>1A</w:t>
            </w:r>
          </w:p>
        </w:tc>
      </w:tr>
    </w:tbl>
    <w:p w14:paraId="35A9DF3C" w14:textId="77777777" w:rsidR="00F94B48" w:rsidRPr="00F32542" w:rsidRDefault="00F94B48" w:rsidP="00F94B48">
      <w:pPr>
        <w:spacing w:after="0" w:line="360" w:lineRule="auto"/>
        <w:jc w:val="both"/>
        <w:rPr>
          <w:rFonts w:ascii="Arial" w:eastAsia="Calibri" w:hAnsi="Arial" w:cs="Times New Roman"/>
          <w:sz w:val="28"/>
        </w:rPr>
      </w:pPr>
    </w:p>
    <w:tbl>
      <w:tblPr>
        <w:tblStyle w:val="Tablaconcuadrcula514"/>
        <w:tblW w:w="0" w:type="auto"/>
        <w:tblInd w:w="-75" w:type="dxa"/>
        <w:tblLook w:val="04A0" w:firstRow="1" w:lastRow="0" w:firstColumn="1" w:lastColumn="0" w:noHBand="0" w:noVBand="1"/>
      </w:tblPr>
      <w:tblGrid>
        <w:gridCol w:w="1005"/>
        <w:gridCol w:w="908"/>
        <w:gridCol w:w="2410"/>
        <w:gridCol w:w="2268"/>
        <w:gridCol w:w="1463"/>
      </w:tblGrid>
      <w:tr w:rsidR="00F94B48" w:rsidRPr="00F32542" w14:paraId="1DC18557" w14:textId="77777777" w:rsidTr="00F94B48">
        <w:trPr>
          <w:trHeight w:val="958"/>
        </w:trPr>
        <w:tc>
          <w:tcPr>
            <w:tcW w:w="0" w:type="auto"/>
            <w:gridSpan w:val="5"/>
            <w:shd w:val="clear" w:color="auto" w:fill="AEAAAA"/>
            <w:vAlign w:val="center"/>
          </w:tcPr>
          <w:p w14:paraId="50E5D95D" w14:textId="77777777" w:rsidR="00F94B48" w:rsidRPr="00F32542" w:rsidRDefault="00F94B48" w:rsidP="00F94B48">
            <w:pPr>
              <w:spacing w:after="0" w:line="240" w:lineRule="auto"/>
              <w:jc w:val="center"/>
              <w:rPr>
                <w:rFonts w:ascii="Arial" w:eastAsia="Calibri" w:hAnsi="Arial" w:cs="Arial"/>
                <w:b/>
                <w:sz w:val="24"/>
                <w:szCs w:val="24"/>
              </w:rPr>
            </w:pPr>
            <w:r w:rsidRPr="00F32542">
              <w:rPr>
                <w:rFonts w:ascii="Arial" w:eastAsia="Calibri" w:hAnsi="Arial" w:cs="Arial"/>
                <w:b/>
                <w:sz w:val="24"/>
                <w:szCs w:val="24"/>
              </w:rPr>
              <w:t xml:space="preserve">LISTA DEFINITIVA </w:t>
            </w:r>
          </w:p>
          <w:p w14:paraId="1CD09316" w14:textId="77777777" w:rsidR="00F94B48" w:rsidRPr="00F32542" w:rsidRDefault="00F94B48" w:rsidP="00F94B48">
            <w:pPr>
              <w:spacing w:after="0" w:line="240" w:lineRule="auto"/>
              <w:jc w:val="center"/>
              <w:rPr>
                <w:rFonts w:ascii="Arial" w:eastAsia="Calibri" w:hAnsi="Arial" w:cs="Arial"/>
                <w:b/>
                <w:sz w:val="16"/>
                <w:szCs w:val="24"/>
              </w:rPr>
            </w:pPr>
          </w:p>
          <w:p w14:paraId="08A785B7" w14:textId="77777777" w:rsidR="00F94B48" w:rsidRPr="00F32542" w:rsidRDefault="00F94B48" w:rsidP="00F94B48">
            <w:pPr>
              <w:spacing w:after="0" w:line="240" w:lineRule="auto"/>
              <w:jc w:val="center"/>
              <w:rPr>
                <w:rFonts w:ascii="Arial" w:eastAsia="Calibri" w:hAnsi="Arial" w:cs="Arial"/>
                <w:b/>
                <w:sz w:val="24"/>
                <w:szCs w:val="24"/>
              </w:rPr>
            </w:pPr>
            <w:r w:rsidRPr="00F32542">
              <w:rPr>
                <w:rFonts w:ascii="Arial" w:eastAsia="Calibri" w:hAnsi="Arial" w:cs="Arial"/>
                <w:b/>
                <w:sz w:val="24"/>
                <w:szCs w:val="24"/>
              </w:rPr>
              <w:t>M</w:t>
            </w:r>
            <w:r w:rsidR="00137439" w:rsidRPr="00F32542">
              <w:rPr>
                <w:rFonts w:ascii="Arial" w:eastAsia="Calibri" w:hAnsi="Arial" w:cs="Arial"/>
                <w:b/>
                <w:sz w:val="24"/>
                <w:szCs w:val="24"/>
              </w:rPr>
              <w:t>OVIMIENTO CIUDADANO</w:t>
            </w:r>
          </w:p>
        </w:tc>
      </w:tr>
      <w:tr w:rsidR="00F94B48" w:rsidRPr="00F32542" w14:paraId="70D34A2E" w14:textId="77777777" w:rsidTr="00B65D24">
        <w:tc>
          <w:tcPr>
            <w:tcW w:w="1005" w:type="dxa"/>
            <w:vAlign w:val="center"/>
          </w:tcPr>
          <w:p w14:paraId="24251580"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Fórmula</w:t>
            </w:r>
          </w:p>
        </w:tc>
        <w:tc>
          <w:tcPr>
            <w:tcW w:w="908" w:type="dxa"/>
            <w:vAlign w:val="center"/>
          </w:tcPr>
          <w:p w14:paraId="3DB6A07F"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Sexo</w:t>
            </w:r>
          </w:p>
        </w:tc>
        <w:tc>
          <w:tcPr>
            <w:tcW w:w="2410" w:type="dxa"/>
            <w:vAlign w:val="center"/>
          </w:tcPr>
          <w:p w14:paraId="22380F8A"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Candidatura propietaria</w:t>
            </w:r>
          </w:p>
        </w:tc>
        <w:tc>
          <w:tcPr>
            <w:tcW w:w="2268" w:type="dxa"/>
            <w:vAlign w:val="center"/>
          </w:tcPr>
          <w:p w14:paraId="5BB8EE15"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Candidatura suplente</w:t>
            </w:r>
          </w:p>
        </w:tc>
        <w:tc>
          <w:tcPr>
            <w:tcW w:w="1463" w:type="dxa"/>
            <w:vAlign w:val="center"/>
          </w:tcPr>
          <w:p w14:paraId="60928A5F"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Lugar y lista de origen</w:t>
            </w:r>
          </w:p>
        </w:tc>
      </w:tr>
      <w:tr w:rsidR="00F94B48" w:rsidRPr="00F32542" w14:paraId="2FDB2DDC" w14:textId="77777777" w:rsidTr="00B65D24">
        <w:tc>
          <w:tcPr>
            <w:tcW w:w="1005" w:type="dxa"/>
            <w:shd w:val="clear" w:color="auto" w:fill="auto"/>
            <w:vAlign w:val="center"/>
          </w:tcPr>
          <w:p w14:paraId="74D1C796" w14:textId="77777777" w:rsidR="00F94B48" w:rsidRPr="00F32542" w:rsidRDefault="00F94B48" w:rsidP="009B6ED0">
            <w:pPr>
              <w:widowControl w:val="0"/>
              <w:numPr>
                <w:ilvl w:val="0"/>
                <w:numId w:val="25"/>
              </w:numPr>
              <w:spacing w:after="0" w:line="240" w:lineRule="auto"/>
              <w:jc w:val="both"/>
              <w:rPr>
                <w:rFonts w:ascii="Arial" w:eastAsia="Calibri" w:hAnsi="Arial" w:cs="Arial"/>
                <w:b/>
                <w:sz w:val="20"/>
                <w:szCs w:val="20"/>
              </w:rPr>
            </w:pPr>
          </w:p>
        </w:tc>
        <w:tc>
          <w:tcPr>
            <w:tcW w:w="908" w:type="dxa"/>
            <w:shd w:val="clear" w:color="auto" w:fill="auto"/>
            <w:vAlign w:val="center"/>
          </w:tcPr>
          <w:p w14:paraId="2EE2AF84" w14:textId="77777777" w:rsidR="00F94B48" w:rsidRPr="00F32542" w:rsidRDefault="00F94B48" w:rsidP="00F94B48">
            <w:pPr>
              <w:spacing w:after="0" w:line="240" w:lineRule="auto"/>
              <w:ind w:right="43"/>
              <w:jc w:val="center"/>
              <w:rPr>
                <w:rFonts w:ascii="Arial" w:eastAsia="Calibri" w:hAnsi="Arial" w:cs="Times New Roman"/>
                <w:sz w:val="20"/>
                <w:szCs w:val="20"/>
              </w:rPr>
            </w:pPr>
            <w:r w:rsidRPr="00F32542">
              <w:rPr>
                <w:rFonts w:ascii="Arial" w:eastAsia="Calibri" w:hAnsi="Arial" w:cs="Times New Roman"/>
                <w:sz w:val="20"/>
                <w:szCs w:val="20"/>
              </w:rPr>
              <w:t>H</w:t>
            </w:r>
          </w:p>
        </w:tc>
        <w:tc>
          <w:tcPr>
            <w:tcW w:w="2410" w:type="dxa"/>
            <w:shd w:val="clear" w:color="auto" w:fill="auto"/>
            <w:vAlign w:val="center"/>
          </w:tcPr>
          <w:p w14:paraId="497435B1" w14:textId="77777777" w:rsidR="00F94B48" w:rsidRPr="00F32542" w:rsidRDefault="00F94B48" w:rsidP="00F94B48">
            <w:pPr>
              <w:spacing w:after="0" w:line="240" w:lineRule="auto"/>
              <w:ind w:right="42"/>
              <w:jc w:val="center"/>
              <w:rPr>
                <w:rFonts w:ascii="Arial" w:eastAsia="Calibri" w:hAnsi="Arial" w:cs="Times New Roman"/>
                <w:sz w:val="20"/>
                <w:szCs w:val="20"/>
              </w:rPr>
            </w:pPr>
            <w:proofErr w:type="spellStart"/>
            <w:r w:rsidRPr="00F32542">
              <w:rPr>
                <w:rFonts w:ascii="Arial" w:eastAsia="Calibri" w:hAnsi="Arial" w:cs="Times New Roman"/>
                <w:sz w:val="20"/>
                <w:szCs w:val="20"/>
              </w:rPr>
              <w:t>Royfid</w:t>
            </w:r>
            <w:proofErr w:type="spellEnd"/>
            <w:r w:rsidRPr="00F32542">
              <w:rPr>
                <w:rFonts w:ascii="Arial" w:eastAsia="Calibri" w:hAnsi="Arial" w:cs="Times New Roman"/>
                <w:sz w:val="20"/>
                <w:szCs w:val="20"/>
              </w:rPr>
              <w:t xml:space="preserve"> Torres González</w:t>
            </w:r>
          </w:p>
        </w:tc>
        <w:tc>
          <w:tcPr>
            <w:tcW w:w="2268" w:type="dxa"/>
            <w:shd w:val="clear" w:color="auto" w:fill="auto"/>
            <w:vAlign w:val="center"/>
          </w:tcPr>
          <w:p w14:paraId="0A3C9FDF" w14:textId="77777777" w:rsidR="00F94B48" w:rsidRPr="00F32542" w:rsidRDefault="00F94B48" w:rsidP="00F94B48">
            <w:pPr>
              <w:spacing w:after="0" w:line="240" w:lineRule="auto"/>
              <w:ind w:right="47"/>
              <w:jc w:val="center"/>
              <w:rPr>
                <w:rFonts w:ascii="Arial" w:eastAsia="Calibri" w:hAnsi="Arial" w:cs="Times New Roman"/>
                <w:sz w:val="20"/>
                <w:szCs w:val="20"/>
              </w:rPr>
            </w:pPr>
            <w:r w:rsidRPr="00F32542">
              <w:rPr>
                <w:rFonts w:ascii="Arial" w:eastAsia="Calibri" w:hAnsi="Arial" w:cs="Times New Roman"/>
                <w:sz w:val="20"/>
                <w:szCs w:val="20"/>
              </w:rPr>
              <w:t>Esteban Alejandro Barrales</w:t>
            </w:r>
          </w:p>
          <w:p w14:paraId="52CDD5F3" w14:textId="77777777" w:rsidR="00F94B48" w:rsidRPr="00F32542" w:rsidRDefault="00F94B48" w:rsidP="00F94B48">
            <w:pPr>
              <w:spacing w:after="0" w:line="240" w:lineRule="auto"/>
              <w:ind w:right="46"/>
              <w:jc w:val="center"/>
              <w:rPr>
                <w:rFonts w:ascii="Arial" w:eastAsia="Calibri" w:hAnsi="Arial" w:cs="Times New Roman"/>
                <w:sz w:val="20"/>
                <w:szCs w:val="20"/>
              </w:rPr>
            </w:pPr>
            <w:r w:rsidRPr="00F32542">
              <w:rPr>
                <w:rFonts w:ascii="Arial" w:eastAsia="Calibri" w:hAnsi="Arial" w:cs="Times New Roman"/>
                <w:sz w:val="20"/>
                <w:szCs w:val="20"/>
              </w:rPr>
              <w:t>Magdaleno</w:t>
            </w:r>
          </w:p>
        </w:tc>
        <w:tc>
          <w:tcPr>
            <w:tcW w:w="1463" w:type="dxa"/>
            <w:shd w:val="clear" w:color="auto" w:fill="auto"/>
            <w:vAlign w:val="center"/>
          </w:tcPr>
          <w:p w14:paraId="3D959E00" w14:textId="77777777" w:rsidR="00F94B48" w:rsidRPr="00F32542" w:rsidRDefault="00F94B48" w:rsidP="00F94B48">
            <w:pPr>
              <w:spacing w:after="0" w:line="240" w:lineRule="auto"/>
              <w:ind w:right="41"/>
              <w:jc w:val="center"/>
              <w:rPr>
                <w:rFonts w:ascii="Arial" w:eastAsia="Calibri" w:hAnsi="Arial" w:cs="Times New Roman"/>
                <w:sz w:val="20"/>
                <w:szCs w:val="20"/>
              </w:rPr>
            </w:pPr>
            <w:r w:rsidRPr="00F32542">
              <w:rPr>
                <w:rFonts w:ascii="Arial" w:eastAsia="Calibri" w:hAnsi="Arial" w:cs="Times New Roman"/>
                <w:sz w:val="20"/>
                <w:szCs w:val="20"/>
              </w:rPr>
              <w:t>1A</w:t>
            </w:r>
          </w:p>
        </w:tc>
      </w:tr>
    </w:tbl>
    <w:p w14:paraId="067B0BD2" w14:textId="77777777" w:rsidR="00F94B48" w:rsidRPr="00F32542" w:rsidRDefault="00F94B48" w:rsidP="00F94B48">
      <w:pPr>
        <w:spacing w:after="0" w:line="360" w:lineRule="auto"/>
        <w:jc w:val="both"/>
        <w:rPr>
          <w:rFonts w:ascii="Arial" w:eastAsia="Calibri" w:hAnsi="Arial" w:cs="Times New Roman"/>
          <w:sz w:val="28"/>
        </w:rPr>
      </w:pPr>
    </w:p>
    <w:tbl>
      <w:tblPr>
        <w:tblStyle w:val="Tablaconcuadrcula515"/>
        <w:tblW w:w="0" w:type="auto"/>
        <w:tblInd w:w="-75" w:type="dxa"/>
        <w:tblLook w:val="04A0" w:firstRow="1" w:lastRow="0" w:firstColumn="1" w:lastColumn="0" w:noHBand="0" w:noVBand="1"/>
      </w:tblPr>
      <w:tblGrid>
        <w:gridCol w:w="1005"/>
        <w:gridCol w:w="908"/>
        <w:gridCol w:w="2410"/>
        <w:gridCol w:w="2268"/>
        <w:gridCol w:w="1463"/>
      </w:tblGrid>
      <w:tr w:rsidR="00F94B48" w:rsidRPr="00F32542" w14:paraId="497B3980" w14:textId="77777777" w:rsidTr="00F94B48">
        <w:trPr>
          <w:trHeight w:val="958"/>
        </w:trPr>
        <w:tc>
          <w:tcPr>
            <w:tcW w:w="0" w:type="auto"/>
            <w:gridSpan w:val="5"/>
            <w:shd w:val="clear" w:color="auto" w:fill="AEAAAA"/>
            <w:vAlign w:val="center"/>
          </w:tcPr>
          <w:p w14:paraId="398121ED" w14:textId="77777777" w:rsidR="00F94B48" w:rsidRPr="00F32542" w:rsidRDefault="00F94B48" w:rsidP="00F94B48">
            <w:pPr>
              <w:spacing w:after="0" w:line="240" w:lineRule="auto"/>
              <w:jc w:val="center"/>
              <w:rPr>
                <w:rFonts w:ascii="Arial" w:eastAsia="Calibri" w:hAnsi="Arial" w:cs="Arial"/>
                <w:b/>
                <w:sz w:val="24"/>
                <w:szCs w:val="24"/>
              </w:rPr>
            </w:pPr>
            <w:r w:rsidRPr="00F32542">
              <w:rPr>
                <w:rFonts w:ascii="Arial" w:eastAsia="Calibri" w:hAnsi="Arial" w:cs="Arial"/>
                <w:b/>
                <w:sz w:val="24"/>
                <w:szCs w:val="24"/>
              </w:rPr>
              <w:t xml:space="preserve">LISTA DEFINITIVA </w:t>
            </w:r>
          </w:p>
          <w:p w14:paraId="29FF4223" w14:textId="77777777" w:rsidR="00F94B48" w:rsidRPr="00F32542" w:rsidRDefault="00F94B48" w:rsidP="00F94B48">
            <w:pPr>
              <w:spacing w:after="0" w:line="240" w:lineRule="auto"/>
              <w:jc w:val="center"/>
              <w:rPr>
                <w:rFonts w:ascii="Arial" w:eastAsia="Calibri" w:hAnsi="Arial" w:cs="Arial"/>
                <w:b/>
                <w:sz w:val="16"/>
                <w:szCs w:val="24"/>
              </w:rPr>
            </w:pPr>
          </w:p>
          <w:p w14:paraId="409905AB" w14:textId="77777777" w:rsidR="00F94B48" w:rsidRPr="00F32542" w:rsidRDefault="00137439" w:rsidP="00F94B48">
            <w:pPr>
              <w:spacing w:after="0" w:line="240" w:lineRule="auto"/>
              <w:jc w:val="center"/>
              <w:rPr>
                <w:rFonts w:ascii="Arial" w:eastAsia="Calibri" w:hAnsi="Arial" w:cs="Arial"/>
                <w:b/>
                <w:sz w:val="24"/>
                <w:szCs w:val="24"/>
              </w:rPr>
            </w:pPr>
            <w:r w:rsidRPr="00F32542">
              <w:rPr>
                <w:rFonts w:ascii="Arial" w:eastAsia="Calibri" w:hAnsi="Arial" w:cs="Arial"/>
                <w:b/>
                <w:sz w:val="24"/>
                <w:szCs w:val="24"/>
              </w:rPr>
              <w:t>MORENA</w:t>
            </w:r>
          </w:p>
        </w:tc>
      </w:tr>
      <w:tr w:rsidR="00F94B48" w:rsidRPr="00F32542" w14:paraId="67F6C02B" w14:textId="77777777" w:rsidTr="00B65D24">
        <w:tc>
          <w:tcPr>
            <w:tcW w:w="1005" w:type="dxa"/>
            <w:vAlign w:val="center"/>
          </w:tcPr>
          <w:p w14:paraId="1759CF2D"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Fórmula</w:t>
            </w:r>
          </w:p>
        </w:tc>
        <w:tc>
          <w:tcPr>
            <w:tcW w:w="908" w:type="dxa"/>
            <w:vAlign w:val="center"/>
          </w:tcPr>
          <w:p w14:paraId="6B6DA57F"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Sexo</w:t>
            </w:r>
          </w:p>
        </w:tc>
        <w:tc>
          <w:tcPr>
            <w:tcW w:w="2410" w:type="dxa"/>
            <w:vAlign w:val="center"/>
          </w:tcPr>
          <w:p w14:paraId="6872E328"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Candidatura propietaria</w:t>
            </w:r>
          </w:p>
        </w:tc>
        <w:tc>
          <w:tcPr>
            <w:tcW w:w="2268" w:type="dxa"/>
            <w:vAlign w:val="center"/>
          </w:tcPr>
          <w:p w14:paraId="1A8176A3"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Candidatura suplente</w:t>
            </w:r>
          </w:p>
        </w:tc>
        <w:tc>
          <w:tcPr>
            <w:tcW w:w="1463" w:type="dxa"/>
            <w:vAlign w:val="center"/>
          </w:tcPr>
          <w:p w14:paraId="73B0FD6A" w14:textId="77777777" w:rsidR="00F94B48" w:rsidRPr="00F32542" w:rsidRDefault="00F94B48" w:rsidP="00F94B48">
            <w:pPr>
              <w:spacing w:after="0" w:line="240" w:lineRule="auto"/>
              <w:jc w:val="center"/>
              <w:rPr>
                <w:rFonts w:ascii="Arial" w:eastAsia="Calibri" w:hAnsi="Arial" w:cs="Arial"/>
                <w:b/>
                <w:sz w:val="20"/>
                <w:szCs w:val="20"/>
              </w:rPr>
            </w:pPr>
            <w:r w:rsidRPr="00F32542">
              <w:rPr>
                <w:rFonts w:ascii="Arial" w:eastAsia="Calibri" w:hAnsi="Arial" w:cs="Arial"/>
                <w:b/>
                <w:sz w:val="20"/>
                <w:szCs w:val="20"/>
              </w:rPr>
              <w:t>Lugar y lista de origen</w:t>
            </w:r>
          </w:p>
        </w:tc>
      </w:tr>
      <w:tr w:rsidR="00F94B48" w:rsidRPr="00F32542" w14:paraId="57EEEE43" w14:textId="77777777" w:rsidTr="00B65D24">
        <w:tc>
          <w:tcPr>
            <w:tcW w:w="1005" w:type="dxa"/>
            <w:shd w:val="clear" w:color="auto" w:fill="auto"/>
            <w:vAlign w:val="center"/>
          </w:tcPr>
          <w:p w14:paraId="00372AC9" w14:textId="77777777" w:rsidR="00F94B48" w:rsidRPr="00F32542" w:rsidRDefault="00F94B48" w:rsidP="009B6ED0">
            <w:pPr>
              <w:widowControl w:val="0"/>
              <w:numPr>
                <w:ilvl w:val="0"/>
                <w:numId w:val="26"/>
              </w:numPr>
              <w:spacing w:after="0" w:line="240" w:lineRule="auto"/>
              <w:jc w:val="both"/>
              <w:rPr>
                <w:rFonts w:ascii="Arial" w:eastAsia="Calibri" w:hAnsi="Arial" w:cs="Arial"/>
                <w:b/>
                <w:sz w:val="20"/>
                <w:szCs w:val="20"/>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5F71097B"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410" w:type="dxa"/>
            <w:tcBorders>
              <w:top w:val="single" w:sz="4" w:space="0" w:color="000000"/>
              <w:left w:val="single" w:sz="4" w:space="0" w:color="000000"/>
              <w:bottom w:val="single" w:sz="4" w:space="0" w:color="000000"/>
              <w:right w:val="single" w:sz="4" w:space="0" w:color="000000"/>
            </w:tcBorders>
            <w:vAlign w:val="center"/>
          </w:tcPr>
          <w:p w14:paraId="0E8590D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José de Jesús Martín del</w:t>
            </w:r>
          </w:p>
          <w:p w14:paraId="3511A80C"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Campo Castañeda</w:t>
            </w:r>
          </w:p>
        </w:tc>
        <w:tc>
          <w:tcPr>
            <w:tcW w:w="2268" w:type="dxa"/>
            <w:tcBorders>
              <w:top w:val="single" w:sz="4" w:space="0" w:color="000000"/>
              <w:left w:val="single" w:sz="4" w:space="0" w:color="000000"/>
              <w:bottom w:val="single" w:sz="4" w:space="0" w:color="000000"/>
              <w:right w:val="single" w:sz="4" w:space="0" w:color="000000"/>
            </w:tcBorders>
            <w:vAlign w:val="center"/>
          </w:tcPr>
          <w:p w14:paraId="0168B37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Luis Bravo Pérez</w:t>
            </w:r>
          </w:p>
        </w:tc>
        <w:tc>
          <w:tcPr>
            <w:tcW w:w="1463" w:type="dxa"/>
            <w:tcBorders>
              <w:top w:val="single" w:sz="4" w:space="0" w:color="000000"/>
              <w:left w:val="single" w:sz="4" w:space="0" w:color="000000"/>
              <w:bottom w:val="single" w:sz="4" w:space="0" w:color="000000"/>
              <w:right w:val="single" w:sz="4" w:space="0" w:color="000000"/>
            </w:tcBorders>
            <w:vAlign w:val="center"/>
          </w:tcPr>
          <w:p w14:paraId="28B8E326"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1A</w:t>
            </w:r>
          </w:p>
        </w:tc>
      </w:tr>
      <w:tr w:rsidR="00F94B48" w:rsidRPr="00F32542" w14:paraId="6FFDE2CC" w14:textId="77777777" w:rsidTr="00B65D24">
        <w:tc>
          <w:tcPr>
            <w:tcW w:w="1005" w:type="dxa"/>
            <w:shd w:val="clear" w:color="auto" w:fill="auto"/>
            <w:vAlign w:val="center"/>
          </w:tcPr>
          <w:p w14:paraId="0437744C" w14:textId="77777777" w:rsidR="00F94B48" w:rsidRPr="00F32542" w:rsidRDefault="00F94B48" w:rsidP="009B6ED0">
            <w:pPr>
              <w:widowControl w:val="0"/>
              <w:numPr>
                <w:ilvl w:val="0"/>
                <w:numId w:val="26"/>
              </w:numPr>
              <w:spacing w:after="0" w:line="240" w:lineRule="auto"/>
              <w:jc w:val="center"/>
              <w:rPr>
                <w:rFonts w:ascii="Arial" w:eastAsia="Calibri" w:hAnsi="Arial" w:cs="Arial"/>
                <w:b/>
                <w:sz w:val="20"/>
                <w:szCs w:val="20"/>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5E752B46"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410" w:type="dxa"/>
            <w:tcBorders>
              <w:top w:val="single" w:sz="4" w:space="0" w:color="000000"/>
              <w:left w:val="single" w:sz="4" w:space="0" w:color="000000"/>
              <w:bottom w:val="single" w:sz="4" w:space="0" w:color="000000"/>
              <w:right w:val="single" w:sz="4" w:space="0" w:color="000000"/>
            </w:tcBorders>
            <w:vAlign w:val="center"/>
          </w:tcPr>
          <w:p w14:paraId="500A07F3" w14:textId="77777777" w:rsidR="00F94B48" w:rsidRPr="00F32542" w:rsidRDefault="00F94B48" w:rsidP="00F94B48">
            <w:pPr>
              <w:spacing w:after="0" w:line="240" w:lineRule="auto"/>
              <w:jc w:val="center"/>
              <w:rPr>
                <w:rFonts w:ascii="Arial" w:eastAsia="Calibri" w:hAnsi="Arial" w:cs="Arial"/>
                <w:sz w:val="20"/>
                <w:szCs w:val="20"/>
              </w:rPr>
            </w:pPr>
            <w:proofErr w:type="spellStart"/>
            <w:r w:rsidRPr="00F32542">
              <w:rPr>
                <w:rFonts w:ascii="Arial" w:eastAsia="Calibri" w:hAnsi="Arial" w:cs="Arial"/>
                <w:sz w:val="20"/>
                <w:szCs w:val="20"/>
              </w:rPr>
              <w:t>Yuriri</w:t>
            </w:r>
            <w:proofErr w:type="spellEnd"/>
            <w:r w:rsidRPr="00F32542">
              <w:rPr>
                <w:rFonts w:ascii="Arial" w:eastAsia="Calibri" w:hAnsi="Arial" w:cs="Arial"/>
                <w:sz w:val="20"/>
                <w:szCs w:val="20"/>
              </w:rPr>
              <w:t xml:space="preserve"> Ayala Zúñiga</w:t>
            </w:r>
          </w:p>
        </w:tc>
        <w:tc>
          <w:tcPr>
            <w:tcW w:w="2268" w:type="dxa"/>
            <w:tcBorders>
              <w:top w:val="single" w:sz="4" w:space="0" w:color="000000"/>
              <w:left w:val="single" w:sz="4" w:space="0" w:color="000000"/>
              <w:bottom w:val="single" w:sz="4" w:space="0" w:color="000000"/>
              <w:right w:val="single" w:sz="4" w:space="0" w:color="000000"/>
            </w:tcBorders>
            <w:vAlign w:val="center"/>
          </w:tcPr>
          <w:p w14:paraId="2BDFE838"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Sandy Hernández Mercado</w:t>
            </w:r>
          </w:p>
        </w:tc>
        <w:tc>
          <w:tcPr>
            <w:tcW w:w="1463" w:type="dxa"/>
            <w:tcBorders>
              <w:top w:val="single" w:sz="4" w:space="0" w:color="000000"/>
              <w:left w:val="single" w:sz="4" w:space="0" w:color="000000"/>
              <w:bottom w:val="single" w:sz="4" w:space="0" w:color="000000"/>
              <w:right w:val="single" w:sz="4" w:space="0" w:color="000000"/>
            </w:tcBorders>
            <w:vAlign w:val="center"/>
          </w:tcPr>
          <w:p w14:paraId="47DC783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1B</w:t>
            </w:r>
          </w:p>
        </w:tc>
      </w:tr>
      <w:tr w:rsidR="00F94B48" w:rsidRPr="00F32542" w14:paraId="1564ADF5" w14:textId="77777777" w:rsidTr="00B65D24">
        <w:tc>
          <w:tcPr>
            <w:tcW w:w="1005" w:type="dxa"/>
            <w:shd w:val="clear" w:color="auto" w:fill="auto"/>
            <w:vAlign w:val="center"/>
          </w:tcPr>
          <w:p w14:paraId="79F2AB1C" w14:textId="77777777" w:rsidR="00F94B48" w:rsidRPr="00F32542" w:rsidRDefault="00F94B48" w:rsidP="009B6ED0">
            <w:pPr>
              <w:widowControl w:val="0"/>
              <w:numPr>
                <w:ilvl w:val="0"/>
                <w:numId w:val="26"/>
              </w:numPr>
              <w:spacing w:after="0" w:line="240" w:lineRule="auto"/>
              <w:jc w:val="center"/>
              <w:rPr>
                <w:rFonts w:ascii="Arial" w:eastAsia="Calibri" w:hAnsi="Arial" w:cs="Arial"/>
                <w:b/>
                <w:sz w:val="20"/>
                <w:szCs w:val="20"/>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6D9B4CE0"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410" w:type="dxa"/>
            <w:tcBorders>
              <w:top w:val="single" w:sz="4" w:space="0" w:color="000000"/>
              <w:left w:val="single" w:sz="4" w:space="0" w:color="000000"/>
              <w:bottom w:val="single" w:sz="4" w:space="0" w:color="000000"/>
              <w:right w:val="single" w:sz="4" w:space="0" w:color="000000"/>
            </w:tcBorders>
            <w:vAlign w:val="center"/>
          </w:tcPr>
          <w:p w14:paraId="79E12961"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Leticia Estrada Hernández</w:t>
            </w:r>
          </w:p>
        </w:tc>
        <w:tc>
          <w:tcPr>
            <w:tcW w:w="2268" w:type="dxa"/>
            <w:tcBorders>
              <w:top w:val="single" w:sz="4" w:space="0" w:color="000000"/>
              <w:left w:val="single" w:sz="4" w:space="0" w:color="000000"/>
              <w:bottom w:val="single" w:sz="4" w:space="0" w:color="000000"/>
              <w:right w:val="single" w:sz="4" w:space="0" w:color="000000"/>
            </w:tcBorders>
            <w:vAlign w:val="center"/>
          </w:tcPr>
          <w:p w14:paraId="4DFD5FC1"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Rosa Alejandra Rodríguez</w:t>
            </w:r>
          </w:p>
          <w:p w14:paraId="0C4F5026"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Díaz de León</w:t>
            </w:r>
          </w:p>
        </w:tc>
        <w:tc>
          <w:tcPr>
            <w:tcW w:w="1463" w:type="dxa"/>
            <w:tcBorders>
              <w:top w:val="single" w:sz="4" w:space="0" w:color="000000"/>
              <w:left w:val="single" w:sz="4" w:space="0" w:color="000000"/>
              <w:bottom w:val="single" w:sz="4" w:space="0" w:color="000000"/>
              <w:right w:val="single" w:sz="4" w:space="0" w:color="000000"/>
            </w:tcBorders>
            <w:vAlign w:val="center"/>
          </w:tcPr>
          <w:p w14:paraId="59C27DE5"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2A</w:t>
            </w:r>
          </w:p>
        </w:tc>
      </w:tr>
      <w:tr w:rsidR="00F94B48" w:rsidRPr="00F32542" w14:paraId="1B893382" w14:textId="77777777" w:rsidTr="00B65D24">
        <w:tc>
          <w:tcPr>
            <w:tcW w:w="1005" w:type="dxa"/>
            <w:shd w:val="clear" w:color="auto" w:fill="auto"/>
            <w:vAlign w:val="center"/>
          </w:tcPr>
          <w:p w14:paraId="52725BD5" w14:textId="77777777" w:rsidR="00F94B48" w:rsidRPr="00F32542" w:rsidRDefault="00F94B48" w:rsidP="009B6ED0">
            <w:pPr>
              <w:widowControl w:val="0"/>
              <w:numPr>
                <w:ilvl w:val="0"/>
                <w:numId w:val="26"/>
              </w:numPr>
              <w:spacing w:after="0" w:line="240" w:lineRule="auto"/>
              <w:jc w:val="center"/>
              <w:rPr>
                <w:rFonts w:ascii="Arial" w:eastAsia="Calibri" w:hAnsi="Arial" w:cs="Arial"/>
                <w:b/>
                <w:sz w:val="20"/>
                <w:szCs w:val="20"/>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0839CD54"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410" w:type="dxa"/>
            <w:tcBorders>
              <w:top w:val="single" w:sz="4" w:space="0" w:color="000000"/>
              <w:left w:val="single" w:sz="4" w:space="0" w:color="000000"/>
              <w:bottom w:val="single" w:sz="4" w:space="0" w:color="000000"/>
              <w:right w:val="single" w:sz="4" w:space="0" w:color="000000"/>
            </w:tcBorders>
            <w:vAlign w:val="center"/>
          </w:tcPr>
          <w:p w14:paraId="2C86C5EA"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Marco Antonio Temístocles</w:t>
            </w:r>
          </w:p>
          <w:p w14:paraId="496376E7"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Villanueva Ramos</w:t>
            </w:r>
          </w:p>
        </w:tc>
        <w:tc>
          <w:tcPr>
            <w:tcW w:w="2268" w:type="dxa"/>
            <w:tcBorders>
              <w:top w:val="single" w:sz="4" w:space="0" w:color="000000"/>
              <w:left w:val="single" w:sz="4" w:space="0" w:color="000000"/>
              <w:bottom w:val="single" w:sz="4" w:space="0" w:color="000000"/>
              <w:right w:val="single" w:sz="4" w:space="0" w:color="000000"/>
            </w:tcBorders>
            <w:vAlign w:val="center"/>
          </w:tcPr>
          <w:p w14:paraId="07D54E0B"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Miriam Elizabeth López</w:t>
            </w:r>
          </w:p>
          <w:p w14:paraId="1D1FB27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Castellanos</w:t>
            </w:r>
          </w:p>
        </w:tc>
        <w:tc>
          <w:tcPr>
            <w:tcW w:w="1463" w:type="dxa"/>
            <w:tcBorders>
              <w:top w:val="single" w:sz="4" w:space="0" w:color="000000"/>
              <w:left w:val="single" w:sz="4" w:space="0" w:color="000000"/>
              <w:bottom w:val="single" w:sz="4" w:space="0" w:color="000000"/>
              <w:right w:val="single" w:sz="4" w:space="0" w:color="000000"/>
            </w:tcBorders>
            <w:vAlign w:val="center"/>
          </w:tcPr>
          <w:p w14:paraId="640E8174"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2B</w:t>
            </w:r>
          </w:p>
        </w:tc>
      </w:tr>
      <w:tr w:rsidR="00F94B48" w:rsidRPr="00F32542" w14:paraId="74E76FA3" w14:textId="77777777" w:rsidTr="00B65D24">
        <w:tc>
          <w:tcPr>
            <w:tcW w:w="1005" w:type="dxa"/>
            <w:shd w:val="clear" w:color="auto" w:fill="auto"/>
            <w:vAlign w:val="center"/>
          </w:tcPr>
          <w:p w14:paraId="7989B912" w14:textId="77777777" w:rsidR="00F94B48" w:rsidRPr="00F32542" w:rsidRDefault="00F94B48" w:rsidP="009B6ED0">
            <w:pPr>
              <w:widowControl w:val="0"/>
              <w:numPr>
                <w:ilvl w:val="0"/>
                <w:numId w:val="26"/>
              </w:numPr>
              <w:spacing w:after="0" w:line="240" w:lineRule="auto"/>
              <w:jc w:val="center"/>
              <w:rPr>
                <w:rFonts w:ascii="Arial" w:eastAsia="Calibri" w:hAnsi="Arial" w:cs="Arial"/>
                <w:b/>
                <w:sz w:val="20"/>
                <w:szCs w:val="20"/>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338DE63E"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410" w:type="dxa"/>
            <w:tcBorders>
              <w:top w:val="single" w:sz="4" w:space="0" w:color="000000"/>
              <w:left w:val="single" w:sz="4" w:space="0" w:color="000000"/>
              <w:bottom w:val="single" w:sz="4" w:space="0" w:color="000000"/>
              <w:right w:val="single" w:sz="4" w:space="0" w:color="000000"/>
            </w:tcBorders>
            <w:vAlign w:val="center"/>
          </w:tcPr>
          <w:p w14:paraId="65C6B85B"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Héctor Díaz Polanco</w:t>
            </w:r>
          </w:p>
        </w:tc>
        <w:tc>
          <w:tcPr>
            <w:tcW w:w="2268" w:type="dxa"/>
            <w:tcBorders>
              <w:top w:val="single" w:sz="4" w:space="0" w:color="000000"/>
              <w:left w:val="single" w:sz="4" w:space="0" w:color="000000"/>
              <w:bottom w:val="single" w:sz="4" w:space="0" w:color="000000"/>
              <w:right w:val="single" w:sz="4" w:space="0" w:color="000000"/>
            </w:tcBorders>
            <w:vAlign w:val="center"/>
          </w:tcPr>
          <w:p w14:paraId="139B611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Carlos Ortiz Chávez</w:t>
            </w:r>
          </w:p>
        </w:tc>
        <w:tc>
          <w:tcPr>
            <w:tcW w:w="1463" w:type="dxa"/>
            <w:tcBorders>
              <w:top w:val="single" w:sz="4" w:space="0" w:color="000000"/>
              <w:left w:val="single" w:sz="4" w:space="0" w:color="000000"/>
              <w:bottom w:val="single" w:sz="4" w:space="0" w:color="000000"/>
              <w:right w:val="single" w:sz="4" w:space="0" w:color="000000"/>
            </w:tcBorders>
            <w:vAlign w:val="center"/>
          </w:tcPr>
          <w:p w14:paraId="4AE95825"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3A</w:t>
            </w:r>
          </w:p>
        </w:tc>
      </w:tr>
      <w:tr w:rsidR="00F94B48" w:rsidRPr="00F32542" w14:paraId="47D9C962" w14:textId="77777777" w:rsidTr="00B65D24">
        <w:tc>
          <w:tcPr>
            <w:tcW w:w="1005" w:type="dxa"/>
            <w:shd w:val="clear" w:color="auto" w:fill="auto"/>
            <w:vAlign w:val="center"/>
          </w:tcPr>
          <w:p w14:paraId="6DB2A524" w14:textId="77777777" w:rsidR="00F94B48" w:rsidRPr="00F32542" w:rsidRDefault="00F94B48" w:rsidP="009B6ED0">
            <w:pPr>
              <w:widowControl w:val="0"/>
              <w:numPr>
                <w:ilvl w:val="0"/>
                <w:numId w:val="26"/>
              </w:numPr>
              <w:spacing w:after="0" w:line="240" w:lineRule="auto"/>
              <w:jc w:val="center"/>
              <w:rPr>
                <w:rFonts w:ascii="Arial" w:eastAsia="Calibri" w:hAnsi="Arial" w:cs="Arial"/>
                <w:b/>
                <w:sz w:val="20"/>
                <w:szCs w:val="20"/>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797649B0"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410" w:type="dxa"/>
            <w:tcBorders>
              <w:top w:val="single" w:sz="4" w:space="0" w:color="000000"/>
              <w:left w:val="single" w:sz="4" w:space="0" w:color="000000"/>
              <w:bottom w:val="single" w:sz="4" w:space="0" w:color="000000"/>
              <w:right w:val="single" w:sz="4" w:space="0" w:color="000000"/>
            </w:tcBorders>
            <w:vAlign w:val="center"/>
          </w:tcPr>
          <w:p w14:paraId="49F5EFA1"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Valentina Valia Batres</w:t>
            </w:r>
          </w:p>
          <w:p w14:paraId="7AF6D5B7"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Guadarrama</w:t>
            </w:r>
          </w:p>
        </w:tc>
        <w:tc>
          <w:tcPr>
            <w:tcW w:w="2268" w:type="dxa"/>
            <w:tcBorders>
              <w:top w:val="single" w:sz="4" w:space="0" w:color="000000"/>
              <w:left w:val="single" w:sz="4" w:space="0" w:color="000000"/>
              <w:bottom w:val="single" w:sz="4" w:space="0" w:color="000000"/>
              <w:right w:val="single" w:sz="4" w:space="0" w:color="000000"/>
            </w:tcBorders>
            <w:vAlign w:val="center"/>
          </w:tcPr>
          <w:p w14:paraId="6A71D2B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Perla Guadalupe Robles</w:t>
            </w:r>
          </w:p>
          <w:p w14:paraId="2BAD1BBC"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Vázquez</w:t>
            </w:r>
          </w:p>
        </w:tc>
        <w:tc>
          <w:tcPr>
            <w:tcW w:w="1463" w:type="dxa"/>
            <w:tcBorders>
              <w:top w:val="single" w:sz="4" w:space="0" w:color="000000"/>
              <w:left w:val="single" w:sz="4" w:space="0" w:color="000000"/>
              <w:bottom w:val="single" w:sz="4" w:space="0" w:color="000000"/>
              <w:right w:val="single" w:sz="4" w:space="0" w:color="000000"/>
            </w:tcBorders>
            <w:vAlign w:val="center"/>
          </w:tcPr>
          <w:p w14:paraId="2B0DB4B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3B</w:t>
            </w:r>
          </w:p>
        </w:tc>
      </w:tr>
      <w:tr w:rsidR="00F94B48" w:rsidRPr="00F32542" w14:paraId="4E9DA8FA" w14:textId="77777777" w:rsidTr="00B65D24">
        <w:tc>
          <w:tcPr>
            <w:tcW w:w="1005" w:type="dxa"/>
            <w:shd w:val="clear" w:color="auto" w:fill="auto"/>
            <w:vAlign w:val="center"/>
          </w:tcPr>
          <w:p w14:paraId="090FA1B3" w14:textId="77777777" w:rsidR="00F94B48" w:rsidRPr="00F32542" w:rsidRDefault="00F94B48" w:rsidP="009B6ED0">
            <w:pPr>
              <w:widowControl w:val="0"/>
              <w:numPr>
                <w:ilvl w:val="0"/>
                <w:numId w:val="26"/>
              </w:numPr>
              <w:spacing w:after="0" w:line="240" w:lineRule="auto"/>
              <w:jc w:val="center"/>
              <w:rPr>
                <w:rFonts w:ascii="Arial" w:eastAsia="Calibri" w:hAnsi="Arial" w:cs="Arial"/>
                <w:b/>
                <w:sz w:val="20"/>
                <w:szCs w:val="20"/>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37BB157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410" w:type="dxa"/>
            <w:tcBorders>
              <w:top w:val="single" w:sz="4" w:space="0" w:color="000000"/>
              <w:left w:val="single" w:sz="4" w:space="0" w:color="000000"/>
              <w:bottom w:val="single" w:sz="4" w:space="0" w:color="000000"/>
              <w:right w:val="single" w:sz="4" w:space="0" w:color="000000"/>
            </w:tcBorders>
            <w:vAlign w:val="center"/>
          </w:tcPr>
          <w:p w14:paraId="1F341E80"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Ana Francis López </w:t>
            </w:r>
            <w:proofErr w:type="spellStart"/>
            <w:r w:rsidRPr="00F32542">
              <w:rPr>
                <w:rFonts w:ascii="Arial" w:eastAsia="Calibri" w:hAnsi="Arial" w:cs="Arial"/>
                <w:sz w:val="20"/>
                <w:szCs w:val="20"/>
              </w:rPr>
              <w:t>Bayghen</w:t>
            </w:r>
            <w:proofErr w:type="spellEnd"/>
          </w:p>
          <w:p w14:paraId="2D82CFEB"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Patiño</w:t>
            </w:r>
          </w:p>
        </w:tc>
        <w:tc>
          <w:tcPr>
            <w:tcW w:w="2268" w:type="dxa"/>
            <w:tcBorders>
              <w:top w:val="single" w:sz="4" w:space="0" w:color="000000"/>
              <w:left w:val="single" w:sz="4" w:space="0" w:color="000000"/>
              <w:bottom w:val="single" w:sz="4" w:space="0" w:color="000000"/>
              <w:right w:val="single" w:sz="4" w:space="0" w:color="000000"/>
            </w:tcBorders>
            <w:vAlign w:val="center"/>
          </w:tcPr>
          <w:p w14:paraId="0E6F45C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Lol </w:t>
            </w:r>
            <w:proofErr w:type="spellStart"/>
            <w:r w:rsidRPr="00F32542">
              <w:rPr>
                <w:rFonts w:ascii="Arial" w:eastAsia="Calibri" w:hAnsi="Arial" w:cs="Arial"/>
                <w:sz w:val="20"/>
                <w:szCs w:val="20"/>
              </w:rPr>
              <w:t>Kin</w:t>
            </w:r>
            <w:proofErr w:type="spellEnd"/>
            <w:r w:rsidRPr="00F32542">
              <w:rPr>
                <w:rFonts w:ascii="Arial" w:eastAsia="Calibri" w:hAnsi="Arial" w:cs="Arial"/>
                <w:sz w:val="20"/>
                <w:szCs w:val="20"/>
              </w:rPr>
              <w:t xml:space="preserve"> Castañeda Badillo</w:t>
            </w:r>
          </w:p>
        </w:tc>
        <w:tc>
          <w:tcPr>
            <w:tcW w:w="1463" w:type="dxa"/>
            <w:tcBorders>
              <w:top w:val="single" w:sz="4" w:space="0" w:color="000000"/>
              <w:left w:val="single" w:sz="4" w:space="0" w:color="000000"/>
              <w:bottom w:val="single" w:sz="4" w:space="0" w:color="000000"/>
              <w:right w:val="single" w:sz="4" w:space="0" w:color="000000"/>
            </w:tcBorders>
            <w:vAlign w:val="center"/>
          </w:tcPr>
          <w:p w14:paraId="5DD4FA9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4A</w:t>
            </w:r>
          </w:p>
        </w:tc>
      </w:tr>
      <w:tr w:rsidR="00F94B48" w:rsidRPr="00F32542" w14:paraId="35594CCF" w14:textId="77777777" w:rsidTr="00B65D24">
        <w:tc>
          <w:tcPr>
            <w:tcW w:w="1005" w:type="dxa"/>
            <w:shd w:val="clear" w:color="auto" w:fill="auto"/>
            <w:vAlign w:val="center"/>
          </w:tcPr>
          <w:p w14:paraId="116854EB" w14:textId="77777777" w:rsidR="00F94B48" w:rsidRPr="00F32542" w:rsidRDefault="00F94B48" w:rsidP="009B6ED0">
            <w:pPr>
              <w:widowControl w:val="0"/>
              <w:numPr>
                <w:ilvl w:val="0"/>
                <w:numId w:val="26"/>
              </w:numPr>
              <w:spacing w:after="0" w:line="240" w:lineRule="auto"/>
              <w:jc w:val="center"/>
              <w:rPr>
                <w:rFonts w:ascii="Arial" w:eastAsia="Calibri" w:hAnsi="Arial" w:cs="Arial"/>
                <w:b/>
                <w:sz w:val="20"/>
                <w:szCs w:val="20"/>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6A8E6388"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410" w:type="dxa"/>
            <w:tcBorders>
              <w:top w:val="single" w:sz="4" w:space="0" w:color="000000"/>
              <w:left w:val="single" w:sz="4" w:space="0" w:color="000000"/>
              <w:bottom w:val="single" w:sz="4" w:space="0" w:color="000000"/>
              <w:right w:val="single" w:sz="4" w:space="0" w:color="000000"/>
            </w:tcBorders>
            <w:vAlign w:val="center"/>
          </w:tcPr>
          <w:p w14:paraId="738D4007"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José Fernando Mercado</w:t>
            </w:r>
          </w:p>
          <w:p w14:paraId="0CDE54C4" w14:textId="77777777" w:rsidR="00F94B48" w:rsidRPr="00F32542" w:rsidRDefault="00F94B48" w:rsidP="00F94B48">
            <w:pPr>
              <w:spacing w:after="0" w:line="240" w:lineRule="auto"/>
              <w:jc w:val="center"/>
              <w:rPr>
                <w:rFonts w:ascii="Arial" w:eastAsia="Calibri" w:hAnsi="Arial" w:cs="Arial"/>
                <w:sz w:val="20"/>
                <w:szCs w:val="20"/>
              </w:rPr>
            </w:pPr>
            <w:proofErr w:type="spellStart"/>
            <w:r w:rsidRPr="00F32542">
              <w:rPr>
                <w:rFonts w:ascii="Arial" w:eastAsia="Calibri" w:hAnsi="Arial" w:cs="Arial"/>
                <w:sz w:val="20"/>
                <w:szCs w:val="20"/>
              </w:rPr>
              <w:t>Guaida</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48669F5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Óscar López Ramírez</w:t>
            </w:r>
          </w:p>
        </w:tc>
        <w:tc>
          <w:tcPr>
            <w:tcW w:w="1463" w:type="dxa"/>
            <w:tcBorders>
              <w:top w:val="single" w:sz="4" w:space="0" w:color="000000"/>
              <w:left w:val="single" w:sz="4" w:space="0" w:color="000000"/>
              <w:bottom w:val="single" w:sz="4" w:space="0" w:color="000000"/>
              <w:right w:val="single" w:sz="4" w:space="0" w:color="000000"/>
            </w:tcBorders>
            <w:vAlign w:val="center"/>
          </w:tcPr>
          <w:p w14:paraId="23FCD3E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4B</w:t>
            </w:r>
          </w:p>
        </w:tc>
      </w:tr>
      <w:tr w:rsidR="00F94B48" w:rsidRPr="00F32542" w14:paraId="200F49CB" w14:textId="77777777" w:rsidTr="00B65D24">
        <w:tc>
          <w:tcPr>
            <w:tcW w:w="1005" w:type="dxa"/>
            <w:shd w:val="clear" w:color="auto" w:fill="auto"/>
            <w:vAlign w:val="center"/>
          </w:tcPr>
          <w:p w14:paraId="3DE47485" w14:textId="77777777" w:rsidR="00F94B48" w:rsidRPr="00F32542" w:rsidRDefault="00F94B48" w:rsidP="009B6ED0">
            <w:pPr>
              <w:widowControl w:val="0"/>
              <w:numPr>
                <w:ilvl w:val="0"/>
                <w:numId w:val="26"/>
              </w:numPr>
              <w:spacing w:after="0" w:line="240" w:lineRule="auto"/>
              <w:jc w:val="center"/>
              <w:rPr>
                <w:rFonts w:ascii="Arial" w:eastAsia="Calibri" w:hAnsi="Arial" w:cs="Arial"/>
                <w:sz w:val="20"/>
                <w:szCs w:val="20"/>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0056EB8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410" w:type="dxa"/>
            <w:tcBorders>
              <w:top w:val="single" w:sz="4" w:space="0" w:color="000000"/>
              <w:left w:val="single" w:sz="4" w:space="0" w:color="000000"/>
              <w:bottom w:val="single" w:sz="4" w:space="0" w:color="000000"/>
              <w:right w:val="single" w:sz="4" w:space="0" w:color="000000"/>
            </w:tcBorders>
            <w:vAlign w:val="center"/>
          </w:tcPr>
          <w:p w14:paraId="21978D3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José Martín Padilla Sánchez</w:t>
            </w:r>
          </w:p>
        </w:tc>
        <w:tc>
          <w:tcPr>
            <w:tcW w:w="2268" w:type="dxa"/>
            <w:tcBorders>
              <w:top w:val="single" w:sz="4" w:space="0" w:color="000000"/>
              <w:left w:val="single" w:sz="4" w:space="0" w:color="000000"/>
              <w:bottom w:val="single" w:sz="4" w:space="0" w:color="000000"/>
              <w:right w:val="single" w:sz="4" w:space="0" w:color="000000"/>
            </w:tcBorders>
            <w:vAlign w:val="center"/>
          </w:tcPr>
          <w:p w14:paraId="4E123128"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Mucio Israel Hernández</w:t>
            </w:r>
          </w:p>
          <w:p w14:paraId="2AF4A526"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Guerrero</w:t>
            </w:r>
          </w:p>
        </w:tc>
        <w:tc>
          <w:tcPr>
            <w:tcW w:w="1463" w:type="dxa"/>
            <w:tcBorders>
              <w:top w:val="single" w:sz="4" w:space="0" w:color="000000"/>
              <w:left w:val="single" w:sz="4" w:space="0" w:color="000000"/>
              <w:bottom w:val="single" w:sz="4" w:space="0" w:color="000000"/>
              <w:right w:val="single" w:sz="4" w:space="0" w:color="000000"/>
            </w:tcBorders>
            <w:vAlign w:val="center"/>
          </w:tcPr>
          <w:p w14:paraId="06705F93"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5A</w:t>
            </w:r>
          </w:p>
        </w:tc>
      </w:tr>
      <w:tr w:rsidR="00F94B48" w:rsidRPr="00F32542" w14:paraId="1364FB85" w14:textId="77777777" w:rsidTr="00B65D24">
        <w:tc>
          <w:tcPr>
            <w:tcW w:w="1005" w:type="dxa"/>
            <w:shd w:val="clear" w:color="auto" w:fill="auto"/>
            <w:vAlign w:val="center"/>
          </w:tcPr>
          <w:p w14:paraId="058EBDDA" w14:textId="77777777" w:rsidR="00F94B48" w:rsidRPr="00F32542" w:rsidRDefault="00F94B48" w:rsidP="009B6ED0">
            <w:pPr>
              <w:widowControl w:val="0"/>
              <w:numPr>
                <w:ilvl w:val="0"/>
                <w:numId w:val="26"/>
              </w:numPr>
              <w:spacing w:after="0" w:line="240" w:lineRule="auto"/>
              <w:jc w:val="center"/>
              <w:rPr>
                <w:rFonts w:ascii="Arial" w:eastAsia="Calibri" w:hAnsi="Arial" w:cs="Arial"/>
                <w:sz w:val="20"/>
                <w:szCs w:val="20"/>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50160426"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410" w:type="dxa"/>
            <w:tcBorders>
              <w:top w:val="single" w:sz="4" w:space="0" w:color="000000"/>
              <w:left w:val="single" w:sz="4" w:space="0" w:color="000000"/>
              <w:bottom w:val="single" w:sz="4" w:space="0" w:color="000000"/>
              <w:right w:val="single" w:sz="4" w:space="0" w:color="000000"/>
            </w:tcBorders>
            <w:vAlign w:val="center"/>
          </w:tcPr>
          <w:p w14:paraId="77AA093B"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Xóchitl Bravo Espinosa</w:t>
            </w:r>
          </w:p>
        </w:tc>
        <w:tc>
          <w:tcPr>
            <w:tcW w:w="2268" w:type="dxa"/>
            <w:tcBorders>
              <w:top w:val="single" w:sz="4" w:space="0" w:color="000000"/>
              <w:left w:val="single" w:sz="4" w:space="0" w:color="000000"/>
              <w:bottom w:val="single" w:sz="4" w:space="0" w:color="000000"/>
              <w:right w:val="single" w:sz="4" w:space="0" w:color="000000"/>
            </w:tcBorders>
            <w:vAlign w:val="center"/>
          </w:tcPr>
          <w:p w14:paraId="51311E0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Maribel Cruz </w:t>
            </w:r>
            <w:proofErr w:type="spellStart"/>
            <w:r w:rsidRPr="00F32542">
              <w:rPr>
                <w:rFonts w:ascii="Arial" w:eastAsia="Calibri" w:hAnsi="Arial" w:cs="Arial"/>
                <w:sz w:val="20"/>
                <w:szCs w:val="20"/>
              </w:rPr>
              <w:t>Cruz</w:t>
            </w:r>
            <w:proofErr w:type="spellEnd"/>
          </w:p>
        </w:tc>
        <w:tc>
          <w:tcPr>
            <w:tcW w:w="1463" w:type="dxa"/>
            <w:tcBorders>
              <w:top w:val="single" w:sz="4" w:space="0" w:color="000000"/>
              <w:left w:val="single" w:sz="4" w:space="0" w:color="000000"/>
              <w:bottom w:val="single" w:sz="4" w:space="0" w:color="000000"/>
              <w:right w:val="single" w:sz="4" w:space="0" w:color="000000"/>
            </w:tcBorders>
            <w:vAlign w:val="center"/>
          </w:tcPr>
          <w:p w14:paraId="645B0894"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5B</w:t>
            </w:r>
          </w:p>
        </w:tc>
      </w:tr>
      <w:tr w:rsidR="00F94B48" w:rsidRPr="00F32542" w14:paraId="04C6B705" w14:textId="77777777" w:rsidTr="00B65D24">
        <w:tc>
          <w:tcPr>
            <w:tcW w:w="1005" w:type="dxa"/>
            <w:shd w:val="clear" w:color="auto" w:fill="auto"/>
            <w:vAlign w:val="center"/>
          </w:tcPr>
          <w:p w14:paraId="2411EA6B" w14:textId="77777777" w:rsidR="00F94B48" w:rsidRPr="00F32542" w:rsidRDefault="00F94B48" w:rsidP="009B6ED0">
            <w:pPr>
              <w:widowControl w:val="0"/>
              <w:numPr>
                <w:ilvl w:val="0"/>
                <w:numId w:val="26"/>
              </w:numPr>
              <w:spacing w:after="0" w:line="240" w:lineRule="auto"/>
              <w:jc w:val="center"/>
              <w:rPr>
                <w:rFonts w:ascii="Arial" w:eastAsia="Calibri" w:hAnsi="Arial" w:cs="Arial"/>
                <w:sz w:val="20"/>
                <w:szCs w:val="20"/>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5E5AE130"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w:t>
            </w:r>
          </w:p>
        </w:tc>
        <w:tc>
          <w:tcPr>
            <w:tcW w:w="2410" w:type="dxa"/>
            <w:tcBorders>
              <w:top w:val="single" w:sz="4" w:space="0" w:color="000000"/>
              <w:left w:val="single" w:sz="4" w:space="0" w:color="000000"/>
              <w:bottom w:val="single" w:sz="4" w:space="0" w:color="000000"/>
              <w:right w:val="single" w:sz="4" w:space="0" w:color="000000"/>
            </w:tcBorders>
            <w:vAlign w:val="center"/>
          </w:tcPr>
          <w:p w14:paraId="5F7DD1DE"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Alejandra Méndez Vicuña</w:t>
            </w:r>
          </w:p>
        </w:tc>
        <w:tc>
          <w:tcPr>
            <w:tcW w:w="2268" w:type="dxa"/>
            <w:tcBorders>
              <w:top w:val="single" w:sz="4" w:space="0" w:color="000000"/>
              <w:left w:val="single" w:sz="4" w:space="0" w:color="000000"/>
              <w:bottom w:val="single" w:sz="4" w:space="0" w:color="000000"/>
              <w:right w:val="single" w:sz="4" w:space="0" w:color="000000"/>
            </w:tcBorders>
            <w:vAlign w:val="center"/>
          </w:tcPr>
          <w:p w14:paraId="78E90CE8"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Mariana Edith Rosas Monroy</w:t>
            </w:r>
          </w:p>
        </w:tc>
        <w:tc>
          <w:tcPr>
            <w:tcW w:w="1463" w:type="dxa"/>
            <w:tcBorders>
              <w:top w:val="single" w:sz="4" w:space="0" w:color="000000"/>
              <w:left w:val="single" w:sz="4" w:space="0" w:color="000000"/>
              <w:bottom w:val="single" w:sz="4" w:space="0" w:color="000000"/>
              <w:right w:val="single" w:sz="4" w:space="0" w:color="000000"/>
            </w:tcBorders>
            <w:vAlign w:val="center"/>
          </w:tcPr>
          <w:p w14:paraId="1FA129A1"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6A</w:t>
            </w:r>
          </w:p>
        </w:tc>
      </w:tr>
      <w:tr w:rsidR="00F94B48" w:rsidRPr="00F32542" w14:paraId="02D2A314" w14:textId="77777777" w:rsidTr="00B65D24">
        <w:tc>
          <w:tcPr>
            <w:tcW w:w="1005" w:type="dxa"/>
            <w:shd w:val="clear" w:color="auto" w:fill="auto"/>
            <w:vAlign w:val="center"/>
          </w:tcPr>
          <w:p w14:paraId="5667F0C4" w14:textId="77777777" w:rsidR="00F94B48" w:rsidRPr="00F32542" w:rsidRDefault="00F94B48" w:rsidP="009B6ED0">
            <w:pPr>
              <w:widowControl w:val="0"/>
              <w:numPr>
                <w:ilvl w:val="0"/>
                <w:numId w:val="26"/>
              </w:numPr>
              <w:spacing w:after="0" w:line="240" w:lineRule="auto"/>
              <w:jc w:val="center"/>
              <w:rPr>
                <w:rFonts w:ascii="Arial" w:eastAsia="Calibri" w:hAnsi="Arial" w:cs="Arial"/>
                <w:sz w:val="20"/>
                <w:szCs w:val="20"/>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6C8C60A6"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410" w:type="dxa"/>
            <w:tcBorders>
              <w:top w:val="single" w:sz="4" w:space="0" w:color="000000"/>
              <w:left w:val="single" w:sz="4" w:space="0" w:color="000000"/>
              <w:bottom w:val="single" w:sz="4" w:space="0" w:color="000000"/>
              <w:right w:val="single" w:sz="4" w:space="0" w:color="000000"/>
            </w:tcBorders>
            <w:vAlign w:val="center"/>
          </w:tcPr>
          <w:p w14:paraId="6064AB27"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Carlos Cervantes Godoy</w:t>
            </w:r>
          </w:p>
        </w:tc>
        <w:tc>
          <w:tcPr>
            <w:tcW w:w="2268" w:type="dxa"/>
            <w:tcBorders>
              <w:top w:val="single" w:sz="4" w:space="0" w:color="000000"/>
              <w:left w:val="single" w:sz="4" w:space="0" w:color="000000"/>
              <w:bottom w:val="single" w:sz="4" w:space="0" w:color="000000"/>
              <w:right w:val="single" w:sz="4" w:space="0" w:color="000000"/>
            </w:tcBorders>
            <w:vAlign w:val="center"/>
          </w:tcPr>
          <w:p w14:paraId="1106D1E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Tito Emeterio Domínguez</w:t>
            </w:r>
          </w:p>
          <w:p w14:paraId="4DAF89D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Cerón</w:t>
            </w:r>
          </w:p>
        </w:tc>
        <w:tc>
          <w:tcPr>
            <w:tcW w:w="1463" w:type="dxa"/>
            <w:tcBorders>
              <w:top w:val="single" w:sz="4" w:space="0" w:color="000000"/>
              <w:left w:val="single" w:sz="4" w:space="0" w:color="000000"/>
              <w:bottom w:val="single" w:sz="4" w:space="0" w:color="000000"/>
              <w:right w:val="single" w:sz="4" w:space="0" w:color="000000"/>
            </w:tcBorders>
            <w:vAlign w:val="center"/>
          </w:tcPr>
          <w:p w14:paraId="62481821"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6B</w:t>
            </w:r>
          </w:p>
        </w:tc>
      </w:tr>
      <w:tr w:rsidR="00F94B48" w:rsidRPr="00F32542" w14:paraId="56531AB9" w14:textId="77777777" w:rsidTr="00B65D24">
        <w:tc>
          <w:tcPr>
            <w:tcW w:w="1005" w:type="dxa"/>
            <w:shd w:val="clear" w:color="auto" w:fill="auto"/>
            <w:vAlign w:val="center"/>
          </w:tcPr>
          <w:p w14:paraId="65C6D7C2" w14:textId="77777777" w:rsidR="00F94B48" w:rsidRPr="00F32542" w:rsidRDefault="00F94B48" w:rsidP="009B6ED0">
            <w:pPr>
              <w:widowControl w:val="0"/>
              <w:numPr>
                <w:ilvl w:val="0"/>
                <w:numId w:val="26"/>
              </w:numPr>
              <w:spacing w:after="0" w:line="240" w:lineRule="auto"/>
              <w:jc w:val="center"/>
              <w:rPr>
                <w:rFonts w:ascii="Arial" w:eastAsia="Calibri" w:hAnsi="Arial" w:cs="Arial"/>
                <w:sz w:val="20"/>
                <w:szCs w:val="20"/>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18500EBD"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410" w:type="dxa"/>
            <w:tcBorders>
              <w:top w:val="single" w:sz="4" w:space="0" w:color="000000"/>
              <w:left w:val="single" w:sz="4" w:space="0" w:color="000000"/>
              <w:bottom w:val="single" w:sz="4" w:space="0" w:color="000000"/>
              <w:right w:val="single" w:sz="4" w:space="0" w:color="000000"/>
            </w:tcBorders>
            <w:vAlign w:val="center"/>
          </w:tcPr>
          <w:p w14:paraId="52522A4C"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Christian Moctezuma</w:t>
            </w:r>
          </w:p>
          <w:p w14:paraId="352D83F2"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González</w:t>
            </w:r>
          </w:p>
        </w:tc>
        <w:tc>
          <w:tcPr>
            <w:tcW w:w="2268" w:type="dxa"/>
            <w:tcBorders>
              <w:top w:val="single" w:sz="4" w:space="0" w:color="000000"/>
              <w:left w:val="single" w:sz="4" w:space="0" w:color="000000"/>
              <w:bottom w:val="single" w:sz="4" w:space="0" w:color="000000"/>
              <w:right w:val="single" w:sz="4" w:space="0" w:color="000000"/>
            </w:tcBorders>
            <w:vAlign w:val="center"/>
          </w:tcPr>
          <w:p w14:paraId="2E2BA8B1"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Gerardo Hernández</w:t>
            </w:r>
          </w:p>
          <w:p w14:paraId="5BF3569B"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Domínguez</w:t>
            </w:r>
          </w:p>
        </w:tc>
        <w:tc>
          <w:tcPr>
            <w:tcW w:w="1463" w:type="dxa"/>
            <w:tcBorders>
              <w:top w:val="single" w:sz="4" w:space="0" w:color="000000"/>
              <w:left w:val="single" w:sz="4" w:space="0" w:color="000000"/>
              <w:bottom w:val="single" w:sz="4" w:space="0" w:color="000000"/>
              <w:right w:val="single" w:sz="4" w:space="0" w:color="000000"/>
            </w:tcBorders>
            <w:vAlign w:val="center"/>
          </w:tcPr>
          <w:p w14:paraId="214E5D04"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7A</w:t>
            </w:r>
          </w:p>
        </w:tc>
      </w:tr>
      <w:tr w:rsidR="00F94B48" w:rsidRPr="00F32542" w14:paraId="6D9A763E" w14:textId="77777777" w:rsidTr="00B65D24">
        <w:tc>
          <w:tcPr>
            <w:tcW w:w="1005" w:type="dxa"/>
            <w:shd w:val="clear" w:color="auto" w:fill="auto"/>
            <w:vAlign w:val="center"/>
          </w:tcPr>
          <w:p w14:paraId="4D3514DB" w14:textId="77777777" w:rsidR="00F94B48" w:rsidRPr="00F32542" w:rsidRDefault="00F94B48" w:rsidP="009B6ED0">
            <w:pPr>
              <w:widowControl w:val="0"/>
              <w:numPr>
                <w:ilvl w:val="0"/>
                <w:numId w:val="26"/>
              </w:numPr>
              <w:spacing w:after="0" w:line="240" w:lineRule="auto"/>
              <w:jc w:val="center"/>
              <w:rPr>
                <w:rFonts w:ascii="Arial" w:eastAsia="Calibri" w:hAnsi="Arial" w:cs="Arial"/>
                <w:sz w:val="20"/>
                <w:szCs w:val="20"/>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086DF3B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410" w:type="dxa"/>
            <w:tcBorders>
              <w:top w:val="single" w:sz="4" w:space="0" w:color="000000"/>
              <w:left w:val="single" w:sz="4" w:space="0" w:color="000000"/>
              <w:bottom w:val="single" w:sz="4" w:space="0" w:color="000000"/>
              <w:right w:val="single" w:sz="4" w:space="0" w:color="000000"/>
            </w:tcBorders>
            <w:vAlign w:val="center"/>
          </w:tcPr>
          <w:p w14:paraId="7D2CA639"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José Luis Rodríguez Díaz de León</w:t>
            </w:r>
          </w:p>
        </w:tc>
        <w:tc>
          <w:tcPr>
            <w:tcW w:w="2268" w:type="dxa"/>
            <w:tcBorders>
              <w:top w:val="single" w:sz="4" w:space="0" w:color="000000"/>
              <w:left w:val="single" w:sz="4" w:space="0" w:color="000000"/>
              <w:bottom w:val="single" w:sz="4" w:space="0" w:color="000000"/>
              <w:right w:val="single" w:sz="4" w:space="0" w:color="000000"/>
            </w:tcBorders>
            <w:vAlign w:val="center"/>
          </w:tcPr>
          <w:p w14:paraId="34F1CF9F"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Francisco Medina Padilla</w:t>
            </w:r>
          </w:p>
        </w:tc>
        <w:tc>
          <w:tcPr>
            <w:tcW w:w="1463" w:type="dxa"/>
            <w:tcBorders>
              <w:top w:val="single" w:sz="4" w:space="0" w:color="000000"/>
              <w:left w:val="single" w:sz="4" w:space="0" w:color="000000"/>
              <w:bottom w:val="single" w:sz="4" w:space="0" w:color="000000"/>
              <w:right w:val="single" w:sz="4" w:space="0" w:color="000000"/>
            </w:tcBorders>
            <w:vAlign w:val="center"/>
          </w:tcPr>
          <w:p w14:paraId="3BB6C46E" w14:textId="77777777" w:rsidR="00F94B48" w:rsidRPr="00F32542" w:rsidRDefault="00F94B48" w:rsidP="00F94B48">
            <w:pPr>
              <w:spacing w:after="0" w:line="240" w:lineRule="auto"/>
              <w:jc w:val="center"/>
              <w:rPr>
                <w:rFonts w:ascii="Arial" w:eastAsia="Calibri" w:hAnsi="Arial" w:cs="Arial"/>
                <w:sz w:val="20"/>
                <w:szCs w:val="20"/>
              </w:rPr>
            </w:pPr>
            <w:r w:rsidRPr="00F32542">
              <w:rPr>
                <w:rFonts w:ascii="Arial" w:eastAsia="Calibri" w:hAnsi="Arial" w:cs="Arial"/>
                <w:sz w:val="20"/>
                <w:szCs w:val="20"/>
              </w:rPr>
              <w:t>8B</w:t>
            </w:r>
          </w:p>
        </w:tc>
      </w:tr>
    </w:tbl>
    <w:p w14:paraId="59B710E6" w14:textId="77777777" w:rsidR="00F94B48" w:rsidRPr="00F32542" w:rsidRDefault="00F94B48" w:rsidP="00F94B48">
      <w:pPr>
        <w:spacing w:after="0" w:line="360" w:lineRule="auto"/>
        <w:jc w:val="both"/>
        <w:rPr>
          <w:rFonts w:ascii="Arial" w:eastAsia="Calibri" w:hAnsi="Arial" w:cs="Times New Roman"/>
          <w:sz w:val="28"/>
        </w:rPr>
      </w:pPr>
    </w:p>
    <w:p w14:paraId="5F102271" w14:textId="77777777" w:rsidR="00F94B48" w:rsidRPr="00F32542" w:rsidRDefault="00F94B48" w:rsidP="00F94B48">
      <w:pPr>
        <w:spacing w:after="0" w:line="360" w:lineRule="auto"/>
        <w:jc w:val="both"/>
        <w:rPr>
          <w:rFonts w:ascii="Arial" w:eastAsia="Calibri" w:hAnsi="Arial" w:cs="Arial"/>
          <w:spacing w:val="4"/>
          <w:sz w:val="28"/>
          <w:szCs w:val="28"/>
        </w:rPr>
      </w:pPr>
      <w:r w:rsidRPr="00F32542">
        <w:rPr>
          <w:rFonts w:ascii="Arial" w:eastAsia="Calibri" w:hAnsi="Arial" w:cs="Times New Roman"/>
          <w:sz w:val="28"/>
        </w:rPr>
        <w:t xml:space="preserve">Ahora, es necesario comprobar si se cumple con el principio de paridad en la integración total del </w:t>
      </w:r>
      <w:r w:rsidRPr="00F32542">
        <w:rPr>
          <w:rFonts w:ascii="Arial" w:eastAsia="Calibri" w:hAnsi="Arial" w:cs="Times New Roman"/>
          <w:i/>
          <w:sz w:val="28"/>
        </w:rPr>
        <w:t>Congreso</w:t>
      </w:r>
      <w:r w:rsidRPr="00F32542">
        <w:rPr>
          <w:rFonts w:ascii="Arial" w:eastAsia="Calibri" w:hAnsi="Arial" w:cs="Times New Roman"/>
          <w:sz w:val="28"/>
        </w:rPr>
        <w:t>, para lo cual en la tabla siguiente se precisarán</w:t>
      </w:r>
      <w:r w:rsidRPr="00F32542">
        <w:rPr>
          <w:rFonts w:ascii="Arial" w:eastAsia="Calibri" w:hAnsi="Arial" w:cs="Arial"/>
          <w:spacing w:val="4"/>
          <w:sz w:val="28"/>
          <w:szCs w:val="28"/>
        </w:rPr>
        <w:t xml:space="preserve"> las diputaciones obtenidas por tanto de mayoría relativa como de representación proporcional por cada partido político, a fin de determinar el número total por cada género.</w:t>
      </w:r>
    </w:p>
    <w:p w14:paraId="09062F8E" w14:textId="77777777" w:rsidR="00F94B48" w:rsidRPr="00F32542" w:rsidRDefault="00F94B48" w:rsidP="00F94B48">
      <w:pPr>
        <w:spacing w:after="0" w:line="360" w:lineRule="auto"/>
        <w:jc w:val="both"/>
        <w:rPr>
          <w:rFonts w:ascii="Arial" w:eastAsia="Calibri" w:hAnsi="Arial" w:cs="Arial"/>
          <w:spacing w:val="4"/>
          <w:sz w:val="28"/>
          <w:szCs w:val="28"/>
        </w:rPr>
      </w:pPr>
    </w:p>
    <w:p w14:paraId="4D5B20A5" w14:textId="77777777" w:rsidR="00F94B48" w:rsidRPr="00F32542" w:rsidRDefault="00F94B48" w:rsidP="00F94B48">
      <w:pPr>
        <w:spacing w:after="0" w:line="360" w:lineRule="auto"/>
        <w:jc w:val="both"/>
        <w:rPr>
          <w:rFonts w:ascii="Arial" w:eastAsia="Calibri" w:hAnsi="Arial" w:cs="Arial"/>
          <w:spacing w:val="4"/>
          <w:sz w:val="28"/>
          <w:szCs w:val="28"/>
        </w:rPr>
      </w:pPr>
      <w:r w:rsidRPr="00F32542">
        <w:rPr>
          <w:rFonts w:ascii="Arial" w:eastAsia="Calibri" w:hAnsi="Arial" w:cs="Arial"/>
          <w:spacing w:val="4"/>
          <w:sz w:val="28"/>
          <w:szCs w:val="28"/>
        </w:rPr>
        <w:t xml:space="preserve">La integración total del </w:t>
      </w:r>
      <w:r w:rsidRPr="00F32542">
        <w:rPr>
          <w:rFonts w:ascii="Arial" w:eastAsia="Calibri" w:hAnsi="Arial" w:cs="Arial"/>
          <w:i/>
          <w:spacing w:val="4"/>
          <w:sz w:val="28"/>
          <w:szCs w:val="28"/>
        </w:rPr>
        <w:t>Congreso</w:t>
      </w:r>
      <w:r w:rsidR="00137439" w:rsidRPr="00F32542">
        <w:rPr>
          <w:rFonts w:ascii="Arial" w:eastAsia="Calibri" w:hAnsi="Arial" w:cs="Arial"/>
          <w:i/>
          <w:spacing w:val="4"/>
          <w:sz w:val="28"/>
          <w:szCs w:val="28"/>
        </w:rPr>
        <w:t xml:space="preserve"> local</w:t>
      </w:r>
      <w:r w:rsidRPr="00F32542">
        <w:rPr>
          <w:rFonts w:ascii="Arial" w:eastAsia="Calibri" w:hAnsi="Arial" w:cs="Arial"/>
          <w:spacing w:val="4"/>
          <w:sz w:val="28"/>
          <w:szCs w:val="28"/>
        </w:rPr>
        <w:t xml:space="preserve"> es la siguiente: </w:t>
      </w:r>
    </w:p>
    <w:p w14:paraId="3C002D69" w14:textId="77777777" w:rsidR="00F94B48" w:rsidRPr="00F32542" w:rsidRDefault="00F94B48" w:rsidP="00F94B48">
      <w:pPr>
        <w:widowControl w:val="0"/>
        <w:autoSpaceDE w:val="0"/>
        <w:autoSpaceDN w:val="0"/>
        <w:adjustRightInd w:val="0"/>
        <w:spacing w:after="0" w:line="360" w:lineRule="auto"/>
        <w:ind w:right="45"/>
        <w:jc w:val="both"/>
        <w:textAlignment w:val="center"/>
        <w:rPr>
          <w:rFonts w:ascii="Arial" w:eastAsia="Calibri" w:hAnsi="Arial" w:cs="Arial"/>
          <w:spacing w:val="4"/>
          <w:sz w:val="28"/>
          <w:szCs w:val="28"/>
        </w:rPr>
      </w:pPr>
    </w:p>
    <w:tbl>
      <w:tblPr>
        <w:tblStyle w:val="Tablaconcuadrcula911"/>
        <w:tblW w:w="8784" w:type="dxa"/>
        <w:jc w:val="center"/>
        <w:tblLayout w:type="fixed"/>
        <w:tblLook w:val="04A0" w:firstRow="1" w:lastRow="0" w:firstColumn="1" w:lastColumn="0" w:noHBand="0" w:noVBand="1"/>
      </w:tblPr>
      <w:tblGrid>
        <w:gridCol w:w="1271"/>
        <w:gridCol w:w="709"/>
        <w:gridCol w:w="850"/>
        <w:gridCol w:w="709"/>
        <w:gridCol w:w="851"/>
        <w:gridCol w:w="425"/>
        <w:gridCol w:w="850"/>
        <w:gridCol w:w="567"/>
        <w:gridCol w:w="993"/>
        <w:gridCol w:w="1559"/>
      </w:tblGrid>
      <w:tr w:rsidR="00F94B48" w:rsidRPr="00F32542" w14:paraId="778BC863" w14:textId="77777777" w:rsidTr="00F94B48">
        <w:trPr>
          <w:tblHeader/>
          <w:jc w:val="center"/>
        </w:trPr>
        <w:tc>
          <w:tcPr>
            <w:tcW w:w="1271" w:type="dxa"/>
            <w:vMerge w:val="restart"/>
            <w:shd w:val="clear" w:color="auto" w:fill="AEAAAA"/>
            <w:vAlign w:val="center"/>
          </w:tcPr>
          <w:p w14:paraId="6DDAFC51" w14:textId="77777777" w:rsidR="00F94B48" w:rsidRPr="00F32542" w:rsidRDefault="00F94B48" w:rsidP="00F94B48">
            <w:pPr>
              <w:spacing w:after="0" w:line="240" w:lineRule="auto"/>
              <w:jc w:val="center"/>
              <w:rPr>
                <w:rFonts w:ascii="Arial" w:eastAsia="Calibri" w:hAnsi="Arial" w:cs="Arial"/>
                <w:b/>
                <w:sz w:val="20"/>
                <w:szCs w:val="20"/>
                <w:lang w:val="es-ES"/>
              </w:rPr>
            </w:pPr>
            <w:r w:rsidRPr="00F32542">
              <w:rPr>
                <w:rFonts w:ascii="Arial" w:eastAsia="Calibri" w:hAnsi="Arial" w:cs="Arial"/>
                <w:b/>
                <w:sz w:val="20"/>
                <w:szCs w:val="20"/>
                <w:lang w:val="es-ES"/>
              </w:rPr>
              <w:t>Partido político</w:t>
            </w:r>
          </w:p>
        </w:tc>
        <w:tc>
          <w:tcPr>
            <w:tcW w:w="1559" w:type="dxa"/>
            <w:gridSpan w:val="2"/>
            <w:shd w:val="clear" w:color="auto" w:fill="AEAAAA"/>
            <w:vAlign w:val="center"/>
          </w:tcPr>
          <w:p w14:paraId="050EB434" w14:textId="77777777" w:rsidR="00F94B48" w:rsidRPr="00F32542" w:rsidRDefault="00F94B48" w:rsidP="00F94B48">
            <w:pPr>
              <w:spacing w:after="0" w:line="240" w:lineRule="auto"/>
              <w:jc w:val="center"/>
              <w:rPr>
                <w:rFonts w:ascii="Arial" w:eastAsia="Calibri" w:hAnsi="Arial" w:cs="Arial"/>
                <w:b/>
                <w:sz w:val="20"/>
                <w:szCs w:val="20"/>
                <w:lang w:val="es-ES"/>
              </w:rPr>
            </w:pPr>
            <w:r w:rsidRPr="00F32542">
              <w:rPr>
                <w:rFonts w:ascii="Arial" w:eastAsia="Calibri" w:hAnsi="Arial" w:cs="Arial"/>
                <w:b/>
                <w:sz w:val="20"/>
                <w:szCs w:val="20"/>
                <w:lang w:val="es-ES"/>
              </w:rPr>
              <w:t>Diputaciones de MR</w:t>
            </w:r>
          </w:p>
        </w:tc>
        <w:tc>
          <w:tcPr>
            <w:tcW w:w="1560" w:type="dxa"/>
            <w:gridSpan w:val="2"/>
            <w:shd w:val="clear" w:color="auto" w:fill="AEAAAA"/>
            <w:vAlign w:val="center"/>
          </w:tcPr>
          <w:p w14:paraId="2023DD46" w14:textId="77777777" w:rsidR="00F94B48" w:rsidRPr="00F32542" w:rsidRDefault="00F94B48" w:rsidP="00F94B48">
            <w:pPr>
              <w:spacing w:after="0" w:line="240" w:lineRule="auto"/>
              <w:jc w:val="center"/>
              <w:rPr>
                <w:rFonts w:ascii="Arial" w:eastAsia="Calibri" w:hAnsi="Arial" w:cs="Arial"/>
                <w:b/>
                <w:sz w:val="20"/>
                <w:szCs w:val="20"/>
                <w:lang w:val="es-ES"/>
              </w:rPr>
            </w:pPr>
            <w:r w:rsidRPr="00F32542">
              <w:rPr>
                <w:rFonts w:ascii="Arial" w:eastAsia="Calibri" w:hAnsi="Arial" w:cs="Arial"/>
                <w:b/>
                <w:sz w:val="20"/>
                <w:szCs w:val="20"/>
                <w:lang w:val="es-ES"/>
              </w:rPr>
              <w:t>Diputaciones de RP</w:t>
            </w:r>
          </w:p>
        </w:tc>
        <w:tc>
          <w:tcPr>
            <w:tcW w:w="1275" w:type="dxa"/>
            <w:gridSpan w:val="2"/>
            <w:shd w:val="clear" w:color="auto" w:fill="AEAAAA"/>
            <w:vAlign w:val="center"/>
          </w:tcPr>
          <w:p w14:paraId="1AEC8A9E" w14:textId="77777777" w:rsidR="00F94B48" w:rsidRPr="00F32542" w:rsidRDefault="00F94B48" w:rsidP="00F94B48">
            <w:pPr>
              <w:spacing w:after="0" w:line="240" w:lineRule="auto"/>
              <w:jc w:val="center"/>
              <w:rPr>
                <w:rFonts w:ascii="Arial" w:eastAsia="Calibri" w:hAnsi="Arial" w:cs="Arial"/>
                <w:b/>
                <w:sz w:val="20"/>
                <w:szCs w:val="20"/>
                <w:lang w:val="es-ES"/>
              </w:rPr>
            </w:pPr>
            <w:r w:rsidRPr="00F32542">
              <w:rPr>
                <w:rFonts w:ascii="Arial" w:eastAsia="Calibri" w:hAnsi="Arial" w:cs="Arial"/>
                <w:b/>
                <w:sz w:val="20"/>
                <w:szCs w:val="20"/>
                <w:lang w:val="es-ES"/>
              </w:rPr>
              <w:t>Diputación migrante</w:t>
            </w:r>
          </w:p>
        </w:tc>
        <w:tc>
          <w:tcPr>
            <w:tcW w:w="1560" w:type="dxa"/>
            <w:gridSpan w:val="2"/>
            <w:shd w:val="clear" w:color="auto" w:fill="AEAAAA"/>
            <w:vAlign w:val="center"/>
          </w:tcPr>
          <w:p w14:paraId="7F8E8E1C" w14:textId="77777777" w:rsidR="00F94B48" w:rsidRPr="00F32542" w:rsidRDefault="00F94B48" w:rsidP="00F94B48">
            <w:pPr>
              <w:spacing w:after="0" w:line="240" w:lineRule="auto"/>
              <w:jc w:val="center"/>
              <w:rPr>
                <w:rFonts w:ascii="Arial" w:eastAsia="Calibri" w:hAnsi="Arial" w:cs="Arial"/>
                <w:b/>
                <w:sz w:val="20"/>
                <w:szCs w:val="20"/>
                <w:lang w:val="es-ES"/>
              </w:rPr>
            </w:pPr>
            <w:r w:rsidRPr="00F32542">
              <w:rPr>
                <w:rFonts w:ascii="Arial" w:eastAsia="Calibri" w:hAnsi="Arial" w:cs="Arial"/>
                <w:b/>
                <w:sz w:val="20"/>
                <w:szCs w:val="20"/>
                <w:lang w:val="es-ES"/>
              </w:rPr>
              <w:t>Diputaciones por ambos principios</w:t>
            </w:r>
          </w:p>
        </w:tc>
        <w:tc>
          <w:tcPr>
            <w:tcW w:w="1559" w:type="dxa"/>
            <w:vMerge w:val="restart"/>
            <w:shd w:val="clear" w:color="auto" w:fill="AEAAAA"/>
            <w:vAlign w:val="center"/>
          </w:tcPr>
          <w:p w14:paraId="1AEEC9A7" w14:textId="77777777" w:rsidR="00F94B48" w:rsidRPr="00F32542" w:rsidRDefault="00F94B48" w:rsidP="00F94B48">
            <w:pPr>
              <w:spacing w:after="0" w:line="240" w:lineRule="auto"/>
              <w:jc w:val="center"/>
              <w:rPr>
                <w:rFonts w:ascii="Arial" w:eastAsia="Calibri" w:hAnsi="Arial" w:cs="Arial"/>
                <w:b/>
                <w:sz w:val="20"/>
                <w:szCs w:val="20"/>
                <w:lang w:val="es-ES"/>
              </w:rPr>
            </w:pPr>
            <w:r w:rsidRPr="00F32542">
              <w:rPr>
                <w:rFonts w:ascii="Arial" w:eastAsia="Calibri" w:hAnsi="Arial" w:cs="Arial"/>
                <w:b/>
                <w:sz w:val="20"/>
                <w:szCs w:val="20"/>
                <w:lang w:val="es-ES"/>
              </w:rPr>
              <w:t>Total</w:t>
            </w:r>
          </w:p>
          <w:p w14:paraId="55BABA59" w14:textId="77777777" w:rsidR="00F94B48" w:rsidRPr="00F32542" w:rsidRDefault="00F94B48" w:rsidP="00F94B48">
            <w:pPr>
              <w:spacing w:after="0" w:line="240" w:lineRule="auto"/>
              <w:jc w:val="center"/>
              <w:rPr>
                <w:rFonts w:ascii="Arial" w:eastAsia="Calibri" w:hAnsi="Arial" w:cs="Arial"/>
                <w:b/>
                <w:sz w:val="20"/>
                <w:szCs w:val="20"/>
                <w:lang w:val="es-ES"/>
              </w:rPr>
            </w:pPr>
            <w:r w:rsidRPr="00F32542">
              <w:rPr>
                <w:rFonts w:ascii="Arial" w:eastAsia="Calibri" w:hAnsi="Arial" w:cs="Arial"/>
                <w:b/>
                <w:sz w:val="20"/>
                <w:szCs w:val="20"/>
                <w:lang w:val="es-ES"/>
              </w:rPr>
              <w:t>diputaciones</w:t>
            </w:r>
          </w:p>
        </w:tc>
      </w:tr>
      <w:tr w:rsidR="00F94B48" w:rsidRPr="00F32542" w14:paraId="343E5185" w14:textId="77777777" w:rsidTr="00F94B48">
        <w:trPr>
          <w:tblHeader/>
          <w:jc w:val="center"/>
        </w:trPr>
        <w:tc>
          <w:tcPr>
            <w:tcW w:w="1271" w:type="dxa"/>
            <w:vMerge/>
            <w:tcBorders>
              <w:bottom w:val="single" w:sz="4" w:space="0" w:color="auto"/>
            </w:tcBorders>
            <w:shd w:val="clear" w:color="auto" w:fill="7030A0"/>
            <w:vAlign w:val="center"/>
          </w:tcPr>
          <w:p w14:paraId="489378EC" w14:textId="77777777" w:rsidR="00F94B48" w:rsidRPr="00F32542" w:rsidRDefault="00F94B48" w:rsidP="00F94B48">
            <w:pPr>
              <w:spacing w:after="0" w:line="240" w:lineRule="auto"/>
              <w:jc w:val="center"/>
              <w:rPr>
                <w:rFonts w:ascii="Arial" w:eastAsia="Calibri" w:hAnsi="Arial" w:cs="Arial"/>
                <w:b/>
                <w:color w:val="FFFFFF"/>
                <w:lang w:val="es-ES"/>
              </w:rPr>
            </w:pPr>
          </w:p>
        </w:tc>
        <w:tc>
          <w:tcPr>
            <w:tcW w:w="709" w:type="dxa"/>
            <w:tcBorders>
              <w:bottom w:val="single" w:sz="4" w:space="0" w:color="auto"/>
            </w:tcBorders>
            <w:shd w:val="clear" w:color="auto" w:fill="808080"/>
            <w:vAlign w:val="center"/>
          </w:tcPr>
          <w:p w14:paraId="5C92D26B"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M</w:t>
            </w:r>
          </w:p>
        </w:tc>
        <w:tc>
          <w:tcPr>
            <w:tcW w:w="850" w:type="dxa"/>
            <w:tcBorders>
              <w:bottom w:val="single" w:sz="4" w:space="0" w:color="auto"/>
            </w:tcBorders>
            <w:shd w:val="clear" w:color="auto" w:fill="808080"/>
            <w:vAlign w:val="center"/>
          </w:tcPr>
          <w:p w14:paraId="079F472A"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H</w:t>
            </w:r>
          </w:p>
        </w:tc>
        <w:tc>
          <w:tcPr>
            <w:tcW w:w="709" w:type="dxa"/>
            <w:tcBorders>
              <w:bottom w:val="single" w:sz="4" w:space="0" w:color="auto"/>
            </w:tcBorders>
            <w:shd w:val="clear" w:color="auto" w:fill="808080"/>
            <w:vAlign w:val="center"/>
          </w:tcPr>
          <w:p w14:paraId="0479C624"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M</w:t>
            </w:r>
          </w:p>
        </w:tc>
        <w:tc>
          <w:tcPr>
            <w:tcW w:w="851" w:type="dxa"/>
            <w:tcBorders>
              <w:bottom w:val="single" w:sz="4" w:space="0" w:color="auto"/>
            </w:tcBorders>
            <w:shd w:val="clear" w:color="auto" w:fill="808080"/>
            <w:vAlign w:val="center"/>
          </w:tcPr>
          <w:p w14:paraId="4EB3092D"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H</w:t>
            </w:r>
          </w:p>
        </w:tc>
        <w:tc>
          <w:tcPr>
            <w:tcW w:w="425" w:type="dxa"/>
            <w:tcBorders>
              <w:bottom w:val="single" w:sz="4" w:space="0" w:color="auto"/>
            </w:tcBorders>
            <w:shd w:val="clear" w:color="auto" w:fill="808080"/>
            <w:vAlign w:val="center"/>
          </w:tcPr>
          <w:p w14:paraId="4573E2BB"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 xml:space="preserve">M </w:t>
            </w:r>
          </w:p>
        </w:tc>
        <w:tc>
          <w:tcPr>
            <w:tcW w:w="850" w:type="dxa"/>
            <w:tcBorders>
              <w:bottom w:val="single" w:sz="4" w:space="0" w:color="auto"/>
            </w:tcBorders>
            <w:shd w:val="clear" w:color="auto" w:fill="808080"/>
            <w:vAlign w:val="center"/>
          </w:tcPr>
          <w:p w14:paraId="09CE028B"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H</w:t>
            </w:r>
          </w:p>
        </w:tc>
        <w:tc>
          <w:tcPr>
            <w:tcW w:w="567" w:type="dxa"/>
            <w:tcBorders>
              <w:bottom w:val="single" w:sz="4" w:space="0" w:color="auto"/>
            </w:tcBorders>
            <w:shd w:val="clear" w:color="auto" w:fill="808080"/>
            <w:vAlign w:val="center"/>
          </w:tcPr>
          <w:p w14:paraId="3F444379"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M</w:t>
            </w:r>
          </w:p>
        </w:tc>
        <w:tc>
          <w:tcPr>
            <w:tcW w:w="993" w:type="dxa"/>
            <w:tcBorders>
              <w:bottom w:val="single" w:sz="4" w:space="0" w:color="auto"/>
            </w:tcBorders>
            <w:shd w:val="clear" w:color="auto" w:fill="808080"/>
            <w:vAlign w:val="center"/>
          </w:tcPr>
          <w:p w14:paraId="38DD3C8B"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H</w:t>
            </w:r>
          </w:p>
        </w:tc>
        <w:tc>
          <w:tcPr>
            <w:tcW w:w="1559" w:type="dxa"/>
            <w:vMerge/>
            <w:tcBorders>
              <w:bottom w:val="single" w:sz="4" w:space="0" w:color="auto"/>
            </w:tcBorders>
            <w:shd w:val="clear" w:color="auto" w:fill="7030A0"/>
            <w:vAlign w:val="center"/>
          </w:tcPr>
          <w:p w14:paraId="1A687432" w14:textId="77777777" w:rsidR="00F94B48" w:rsidRPr="00F32542" w:rsidRDefault="00F94B48" w:rsidP="00F94B48">
            <w:pPr>
              <w:spacing w:after="0" w:line="240" w:lineRule="auto"/>
              <w:jc w:val="center"/>
              <w:rPr>
                <w:rFonts w:ascii="Arial" w:eastAsia="Calibri" w:hAnsi="Arial" w:cs="Arial"/>
                <w:b/>
                <w:color w:val="FFFFFF"/>
                <w:lang w:val="es-ES"/>
              </w:rPr>
            </w:pPr>
          </w:p>
        </w:tc>
      </w:tr>
      <w:tr w:rsidR="00F94B48" w:rsidRPr="00F32542" w14:paraId="37EBE7C1" w14:textId="77777777" w:rsidTr="00B65D24">
        <w:trPr>
          <w:trHeight w:val="397"/>
          <w:jc w:val="center"/>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tcPr>
          <w:p w14:paraId="55CA2D5D" w14:textId="77777777" w:rsidR="00F94B48" w:rsidRPr="00F32542" w:rsidRDefault="00F94B48" w:rsidP="00F94B48">
            <w:pPr>
              <w:spacing w:after="0" w:line="240" w:lineRule="auto"/>
              <w:jc w:val="center"/>
              <w:rPr>
                <w:rFonts w:ascii="Arial" w:eastAsia="Calibri" w:hAnsi="Arial" w:cs="Arial"/>
                <w:color w:val="000000"/>
              </w:rPr>
            </w:pPr>
            <w:r w:rsidRPr="00F32542">
              <w:rPr>
                <w:rFonts w:ascii="Arial" w:eastAsia="Calibri" w:hAnsi="Arial" w:cs="Arial"/>
                <w:color w:val="000000"/>
              </w:rPr>
              <w:t>PAN</w:t>
            </w:r>
          </w:p>
        </w:tc>
        <w:tc>
          <w:tcPr>
            <w:tcW w:w="709" w:type="dxa"/>
            <w:tcBorders>
              <w:top w:val="single" w:sz="4" w:space="0" w:color="auto"/>
              <w:left w:val="single" w:sz="4" w:space="0" w:color="auto"/>
              <w:bottom w:val="single" w:sz="4" w:space="0" w:color="auto"/>
              <w:right w:val="single" w:sz="4" w:space="0" w:color="auto"/>
            </w:tcBorders>
            <w:vAlign w:val="center"/>
          </w:tcPr>
          <w:p w14:paraId="483B1EA7"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F13CCA7"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59EF04B"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D754DFA"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83D5CC5" w14:textId="77777777" w:rsidR="00F94B48" w:rsidRPr="00F32542" w:rsidRDefault="00F94B48" w:rsidP="00F94B48">
            <w:pPr>
              <w:spacing w:after="0" w:line="240" w:lineRule="auto"/>
              <w:jc w:val="center"/>
              <w:rPr>
                <w:rFonts w:ascii="Arial" w:eastAsia="Calibri"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1CA916"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c>
          <w:tcPr>
            <w:tcW w:w="567" w:type="dxa"/>
            <w:tcBorders>
              <w:top w:val="single" w:sz="4" w:space="0" w:color="auto"/>
              <w:left w:val="single" w:sz="4" w:space="0" w:color="auto"/>
              <w:bottom w:val="single" w:sz="4" w:space="0" w:color="auto"/>
              <w:right w:val="single" w:sz="4" w:space="0" w:color="auto"/>
            </w:tcBorders>
            <w:vAlign w:val="center"/>
          </w:tcPr>
          <w:p w14:paraId="478FA1AF"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7</w:t>
            </w:r>
          </w:p>
        </w:tc>
        <w:tc>
          <w:tcPr>
            <w:tcW w:w="993" w:type="dxa"/>
            <w:tcBorders>
              <w:top w:val="single" w:sz="4" w:space="0" w:color="auto"/>
              <w:left w:val="single" w:sz="4" w:space="0" w:color="auto"/>
              <w:bottom w:val="single" w:sz="4" w:space="0" w:color="auto"/>
              <w:right w:val="single" w:sz="4" w:space="0" w:color="auto"/>
            </w:tcBorders>
            <w:vAlign w:val="center"/>
          </w:tcPr>
          <w:p w14:paraId="6C3A979B"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ED6F7C4"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17</w:t>
            </w:r>
          </w:p>
        </w:tc>
      </w:tr>
      <w:tr w:rsidR="00F94B48" w:rsidRPr="00F32542" w14:paraId="048307B6" w14:textId="77777777" w:rsidTr="00B65D24">
        <w:trPr>
          <w:trHeight w:val="397"/>
          <w:jc w:val="center"/>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tcPr>
          <w:p w14:paraId="7026B0E0" w14:textId="77777777" w:rsidR="00F94B48" w:rsidRPr="00F32542" w:rsidRDefault="00F94B48" w:rsidP="00F94B48">
            <w:pPr>
              <w:spacing w:after="0" w:line="240" w:lineRule="auto"/>
              <w:jc w:val="center"/>
              <w:rPr>
                <w:rFonts w:ascii="Arial" w:eastAsia="Calibri" w:hAnsi="Arial" w:cs="Arial"/>
                <w:color w:val="000000"/>
              </w:rPr>
            </w:pPr>
            <w:r w:rsidRPr="00F32542">
              <w:rPr>
                <w:rFonts w:ascii="Arial" w:eastAsia="Calibri" w:hAnsi="Arial" w:cs="Arial"/>
                <w:color w:val="000000"/>
              </w:rPr>
              <w:t>PRI</w:t>
            </w:r>
          </w:p>
        </w:tc>
        <w:tc>
          <w:tcPr>
            <w:tcW w:w="709" w:type="dxa"/>
            <w:tcBorders>
              <w:top w:val="single" w:sz="4" w:space="0" w:color="auto"/>
              <w:left w:val="single" w:sz="4" w:space="0" w:color="auto"/>
              <w:bottom w:val="single" w:sz="4" w:space="0" w:color="auto"/>
              <w:right w:val="single" w:sz="4" w:space="0" w:color="auto"/>
            </w:tcBorders>
            <w:vAlign w:val="center"/>
          </w:tcPr>
          <w:p w14:paraId="175C7272"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09F36A3"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FFE00A"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142846D"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FDF0432" w14:textId="77777777" w:rsidR="00F94B48" w:rsidRPr="00F32542" w:rsidRDefault="00F94B48" w:rsidP="00F94B48">
            <w:pPr>
              <w:spacing w:after="0" w:line="240" w:lineRule="auto"/>
              <w:jc w:val="center"/>
              <w:rPr>
                <w:rFonts w:ascii="Arial" w:eastAsia="Calibri"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9B0A749" w14:textId="77777777" w:rsidR="00F94B48" w:rsidRPr="00F32542" w:rsidRDefault="00F94B48" w:rsidP="00F94B48">
            <w:pPr>
              <w:spacing w:after="0" w:line="240" w:lineRule="auto"/>
              <w:jc w:val="center"/>
              <w:rPr>
                <w:rFonts w:ascii="Arial" w:eastAsia="Calibri"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090E9369"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5</w:t>
            </w:r>
          </w:p>
        </w:tc>
        <w:tc>
          <w:tcPr>
            <w:tcW w:w="993" w:type="dxa"/>
            <w:tcBorders>
              <w:top w:val="single" w:sz="4" w:space="0" w:color="auto"/>
              <w:left w:val="single" w:sz="4" w:space="0" w:color="auto"/>
              <w:bottom w:val="single" w:sz="4" w:space="0" w:color="auto"/>
              <w:right w:val="single" w:sz="4" w:space="0" w:color="auto"/>
            </w:tcBorders>
            <w:vAlign w:val="center"/>
          </w:tcPr>
          <w:p w14:paraId="0F39C83D"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6C37C44"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9</w:t>
            </w:r>
          </w:p>
        </w:tc>
      </w:tr>
      <w:tr w:rsidR="00F94B48" w:rsidRPr="00F32542" w14:paraId="719928FD" w14:textId="77777777" w:rsidTr="00B65D24">
        <w:trPr>
          <w:trHeight w:val="397"/>
          <w:jc w:val="center"/>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tcPr>
          <w:p w14:paraId="31CB7DC7" w14:textId="77777777" w:rsidR="00F94B48" w:rsidRPr="00F32542" w:rsidRDefault="00F94B48" w:rsidP="00F94B48">
            <w:pPr>
              <w:spacing w:after="0" w:line="240" w:lineRule="auto"/>
              <w:jc w:val="center"/>
              <w:rPr>
                <w:rFonts w:ascii="Arial" w:eastAsia="Calibri" w:hAnsi="Arial" w:cs="Arial"/>
                <w:color w:val="000000"/>
              </w:rPr>
            </w:pPr>
            <w:r w:rsidRPr="00F32542">
              <w:rPr>
                <w:rFonts w:ascii="Arial" w:eastAsia="Calibri" w:hAnsi="Arial" w:cs="Arial"/>
                <w:color w:val="000000"/>
              </w:rPr>
              <w:t>PRD</w:t>
            </w:r>
          </w:p>
        </w:tc>
        <w:tc>
          <w:tcPr>
            <w:tcW w:w="709" w:type="dxa"/>
            <w:tcBorders>
              <w:top w:val="single" w:sz="4" w:space="0" w:color="auto"/>
              <w:left w:val="single" w:sz="4" w:space="0" w:color="auto"/>
              <w:bottom w:val="single" w:sz="4" w:space="0" w:color="auto"/>
              <w:right w:val="single" w:sz="4" w:space="0" w:color="auto"/>
            </w:tcBorders>
            <w:vAlign w:val="center"/>
          </w:tcPr>
          <w:p w14:paraId="66A4F8A8"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1E43C2A"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BE5101F" w14:textId="77777777" w:rsidR="00F94B48" w:rsidRPr="00F32542" w:rsidRDefault="00F94B48" w:rsidP="00F94B48">
            <w:pPr>
              <w:spacing w:after="0" w:line="240" w:lineRule="auto"/>
              <w:jc w:val="center"/>
              <w:rPr>
                <w:rFonts w:ascii="Arial" w:eastAsia="Calibri"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DA82836"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71B8D3C" w14:textId="77777777" w:rsidR="00F94B48" w:rsidRPr="00F32542" w:rsidRDefault="00F94B48" w:rsidP="00F94B48">
            <w:pPr>
              <w:spacing w:after="0" w:line="240" w:lineRule="auto"/>
              <w:jc w:val="center"/>
              <w:rPr>
                <w:rFonts w:ascii="Arial" w:eastAsia="Calibri"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7062D1C" w14:textId="77777777" w:rsidR="00F94B48" w:rsidRPr="00F32542" w:rsidRDefault="00F94B48" w:rsidP="00F94B48">
            <w:pPr>
              <w:spacing w:after="0" w:line="240" w:lineRule="auto"/>
              <w:jc w:val="center"/>
              <w:rPr>
                <w:rFonts w:ascii="Arial" w:eastAsia="Calibri"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32FD5DBE"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2</w:t>
            </w:r>
          </w:p>
        </w:tc>
        <w:tc>
          <w:tcPr>
            <w:tcW w:w="993" w:type="dxa"/>
            <w:tcBorders>
              <w:top w:val="single" w:sz="4" w:space="0" w:color="auto"/>
              <w:left w:val="single" w:sz="4" w:space="0" w:color="auto"/>
              <w:bottom w:val="single" w:sz="4" w:space="0" w:color="auto"/>
              <w:right w:val="single" w:sz="4" w:space="0" w:color="auto"/>
            </w:tcBorders>
            <w:vAlign w:val="center"/>
          </w:tcPr>
          <w:p w14:paraId="3D02224F"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EAF3D6"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5</w:t>
            </w:r>
          </w:p>
        </w:tc>
      </w:tr>
      <w:tr w:rsidR="00F94B48" w:rsidRPr="00F32542" w14:paraId="18BFD23B" w14:textId="77777777" w:rsidTr="00B65D24">
        <w:trPr>
          <w:trHeight w:val="39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BC6605B" w14:textId="77777777" w:rsidR="00F94B48" w:rsidRPr="00F32542" w:rsidRDefault="00F94B48" w:rsidP="00F94B48">
            <w:pPr>
              <w:spacing w:after="0" w:line="240" w:lineRule="auto"/>
              <w:jc w:val="center"/>
              <w:rPr>
                <w:rFonts w:ascii="Arial" w:eastAsia="Calibri" w:hAnsi="Arial" w:cs="Arial"/>
                <w:color w:val="000000"/>
              </w:rPr>
            </w:pPr>
            <w:r w:rsidRPr="00F32542">
              <w:rPr>
                <w:rFonts w:ascii="Arial" w:eastAsia="Calibri" w:hAnsi="Arial" w:cs="Arial"/>
                <w:color w:val="000000"/>
              </w:rPr>
              <w:t>PVEM</w:t>
            </w:r>
          </w:p>
        </w:tc>
        <w:tc>
          <w:tcPr>
            <w:tcW w:w="709" w:type="dxa"/>
            <w:tcBorders>
              <w:top w:val="single" w:sz="4" w:space="0" w:color="auto"/>
              <w:left w:val="single" w:sz="4" w:space="0" w:color="auto"/>
              <w:bottom w:val="single" w:sz="4" w:space="0" w:color="auto"/>
              <w:right w:val="single" w:sz="4" w:space="0" w:color="auto"/>
            </w:tcBorders>
            <w:vAlign w:val="center"/>
          </w:tcPr>
          <w:p w14:paraId="246B5302" w14:textId="77777777" w:rsidR="00F94B48" w:rsidRPr="00F32542" w:rsidRDefault="00F94B48" w:rsidP="00F94B48">
            <w:pPr>
              <w:spacing w:after="0" w:line="240" w:lineRule="auto"/>
              <w:jc w:val="center"/>
              <w:rPr>
                <w:rFonts w:ascii="Arial" w:eastAsia="Calibri"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5C464C"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301B1E5" w14:textId="77777777" w:rsidR="00F94B48" w:rsidRPr="00F32542" w:rsidRDefault="00F94B48" w:rsidP="00F94B48">
            <w:pPr>
              <w:spacing w:after="0" w:line="240" w:lineRule="auto"/>
              <w:jc w:val="center"/>
              <w:rPr>
                <w:rFonts w:ascii="Arial" w:eastAsia="Calibri"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126155"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32CA3C4" w14:textId="77777777" w:rsidR="00F94B48" w:rsidRPr="00F32542" w:rsidRDefault="00F94B48" w:rsidP="00F94B48">
            <w:pPr>
              <w:spacing w:after="0" w:line="240" w:lineRule="auto"/>
              <w:jc w:val="center"/>
              <w:rPr>
                <w:rFonts w:ascii="Arial" w:eastAsia="Calibri"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2935E49" w14:textId="77777777" w:rsidR="00F94B48" w:rsidRPr="00F32542" w:rsidRDefault="00F94B48" w:rsidP="00F94B48">
            <w:pPr>
              <w:spacing w:after="0" w:line="240" w:lineRule="auto"/>
              <w:jc w:val="center"/>
              <w:rPr>
                <w:rFonts w:ascii="Arial" w:eastAsia="Calibri"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0A94E652" w14:textId="77777777" w:rsidR="00F94B48" w:rsidRPr="00F32542" w:rsidRDefault="00F94B48" w:rsidP="00F94B48">
            <w:pPr>
              <w:spacing w:after="0" w:line="240" w:lineRule="auto"/>
              <w:jc w:val="center"/>
              <w:rPr>
                <w:rFonts w:ascii="Arial" w:eastAsia="Calibri" w:hAnsi="Arial" w:cs="Arial"/>
              </w:rPr>
            </w:pPr>
          </w:p>
        </w:tc>
        <w:tc>
          <w:tcPr>
            <w:tcW w:w="993" w:type="dxa"/>
            <w:tcBorders>
              <w:top w:val="single" w:sz="4" w:space="0" w:color="auto"/>
              <w:left w:val="single" w:sz="4" w:space="0" w:color="auto"/>
              <w:bottom w:val="single" w:sz="4" w:space="0" w:color="auto"/>
              <w:right w:val="single" w:sz="4" w:space="0" w:color="auto"/>
            </w:tcBorders>
            <w:vAlign w:val="center"/>
          </w:tcPr>
          <w:p w14:paraId="0D549C6D"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01C3C3"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2</w:t>
            </w:r>
          </w:p>
        </w:tc>
      </w:tr>
      <w:tr w:rsidR="00F94B48" w:rsidRPr="00F32542" w14:paraId="12B4ED4D" w14:textId="77777777" w:rsidTr="00B65D24">
        <w:trPr>
          <w:trHeight w:val="39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1F0D25E" w14:textId="77777777" w:rsidR="00F94B48" w:rsidRPr="00F32542" w:rsidRDefault="00F94B48" w:rsidP="00F94B48">
            <w:pPr>
              <w:spacing w:after="0" w:line="240" w:lineRule="auto"/>
              <w:jc w:val="center"/>
              <w:rPr>
                <w:rFonts w:ascii="Arial" w:eastAsia="Calibri" w:hAnsi="Arial" w:cs="Arial"/>
                <w:color w:val="000000"/>
              </w:rPr>
            </w:pPr>
            <w:r w:rsidRPr="00F32542">
              <w:rPr>
                <w:rFonts w:ascii="Arial" w:eastAsia="Calibri" w:hAnsi="Arial" w:cs="Arial"/>
                <w:color w:val="000000"/>
              </w:rPr>
              <w:t>MC</w:t>
            </w:r>
          </w:p>
        </w:tc>
        <w:tc>
          <w:tcPr>
            <w:tcW w:w="709" w:type="dxa"/>
            <w:tcBorders>
              <w:top w:val="single" w:sz="4" w:space="0" w:color="auto"/>
              <w:left w:val="single" w:sz="4" w:space="0" w:color="auto"/>
              <w:bottom w:val="single" w:sz="4" w:space="0" w:color="auto"/>
              <w:right w:val="single" w:sz="4" w:space="0" w:color="auto"/>
            </w:tcBorders>
            <w:vAlign w:val="center"/>
          </w:tcPr>
          <w:p w14:paraId="5EC31BB7" w14:textId="77777777" w:rsidR="00F94B48" w:rsidRPr="00F32542" w:rsidRDefault="00F94B48" w:rsidP="00F94B48">
            <w:pPr>
              <w:spacing w:after="0" w:line="240" w:lineRule="auto"/>
              <w:jc w:val="center"/>
              <w:rPr>
                <w:rFonts w:ascii="Arial" w:eastAsia="Calibri"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E0B24D4" w14:textId="77777777" w:rsidR="00F94B48" w:rsidRPr="00F32542" w:rsidRDefault="00F94B48" w:rsidP="00F94B48">
            <w:pPr>
              <w:spacing w:after="0" w:line="240" w:lineRule="auto"/>
              <w:jc w:val="center"/>
              <w:rPr>
                <w:rFonts w:ascii="Arial" w:eastAsia="Calibri"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90C1B2" w14:textId="77777777" w:rsidR="00F94B48" w:rsidRPr="00F32542" w:rsidRDefault="00F94B48" w:rsidP="00F94B48">
            <w:pPr>
              <w:spacing w:after="0" w:line="240" w:lineRule="auto"/>
              <w:jc w:val="center"/>
              <w:rPr>
                <w:rFonts w:ascii="Arial" w:eastAsia="Calibri"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86373B3"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A5A700C" w14:textId="77777777" w:rsidR="00F94B48" w:rsidRPr="00F32542" w:rsidRDefault="00F94B48" w:rsidP="00F94B48">
            <w:pPr>
              <w:spacing w:after="0" w:line="240" w:lineRule="auto"/>
              <w:jc w:val="center"/>
              <w:rPr>
                <w:rFonts w:ascii="Arial" w:eastAsia="Calibri"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A8943EA" w14:textId="77777777" w:rsidR="00F94B48" w:rsidRPr="00F32542" w:rsidRDefault="00F94B48" w:rsidP="00F94B48">
            <w:pPr>
              <w:spacing w:after="0" w:line="240" w:lineRule="auto"/>
              <w:jc w:val="center"/>
              <w:rPr>
                <w:rFonts w:ascii="Arial" w:eastAsia="Calibri"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0EFF53C2" w14:textId="77777777" w:rsidR="00F94B48" w:rsidRPr="00F32542" w:rsidRDefault="00F94B48" w:rsidP="00F94B48">
            <w:pPr>
              <w:spacing w:after="0" w:line="240" w:lineRule="auto"/>
              <w:jc w:val="center"/>
              <w:rPr>
                <w:rFonts w:ascii="Arial" w:eastAsia="Calibri" w:hAnsi="Arial" w:cs="Arial"/>
              </w:rPr>
            </w:pPr>
          </w:p>
        </w:tc>
        <w:tc>
          <w:tcPr>
            <w:tcW w:w="993" w:type="dxa"/>
            <w:tcBorders>
              <w:top w:val="single" w:sz="4" w:space="0" w:color="auto"/>
              <w:left w:val="single" w:sz="4" w:space="0" w:color="auto"/>
              <w:bottom w:val="single" w:sz="4" w:space="0" w:color="auto"/>
              <w:right w:val="single" w:sz="4" w:space="0" w:color="auto"/>
            </w:tcBorders>
            <w:vAlign w:val="center"/>
          </w:tcPr>
          <w:p w14:paraId="743CF498"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180511F"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r>
      <w:tr w:rsidR="00F94B48" w:rsidRPr="00F32542" w14:paraId="26525643" w14:textId="77777777" w:rsidTr="00B65D24">
        <w:trPr>
          <w:trHeight w:val="39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200710C" w14:textId="77777777" w:rsidR="00F94B48" w:rsidRPr="00F32542" w:rsidRDefault="00F94B48" w:rsidP="00F94B48">
            <w:pPr>
              <w:spacing w:after="0" w:line="240" w:lineRule="auto"/>
              <w:jc w:val="center"/>
              <w:rPr>
                <w:rFonts w:ascii="Arial" w:eastAsia="Calibri" w:hAnsi="Arial" w:cs="Arial"/>
                <w:color w:val="000000"/>
              </w:rPr>
            </w:pPr>
            <w:r w:rsidRPr="00F32542">
              <w:rPr>
                <w:rFonts w:ascii="Arial" w:eastAsia="Calibri" w:hAnsi="Arial" w:cs="Arial"/>
                <w:color w:val="000000"/>
              </w:rPr>
              <w:t>Morena</w:t>
            </w:r>
          </w:p>
        </w:tc>
        <w:tc>
          <w:tcPr>
            <w:tcW w:w="709" w:type="dxa"/>
            <w:tcBorders>
              <w:top w:val="single" w:sz="4" w:space="0" w:color="auto"/>
              <w:left w:val="single" w:sz="4" w:space="0" w:color="auto"/>
              <w:bottom w:val="single" w:sz="4" w:space="0" w:color="auto"/>
              <w:right w:val="single" w:sz="4" w:space="0" w:color="auto"/>
            </w:tcBorders>
            <w:vAlign w:val="center"/>
          </w:tcPr>
          <w:p w14:paraId="25FDBD8A"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25D2B5B"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B54FBD5"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4DCF94"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2213942" w14:textId="77777777" w:rsidR="00F94B48" w:rsidRPr="00F32542" w:rsidRDefault="00F94B48" w:rsidP="00F94B48">
            <w:pPr>
              <w:spacing w:after="0" w:line="240" w:lineRule="auto"/>
              <w:jc w:val="center"/>
              <w:rPr>
                <w:rFonts w:ascii="Arial" w:eastAsia="Calibri"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F9E6050" w14:textId="77777777" w:rsidR="00F94B48" w:rsidRPr="00F32542" w:rsidRDefault="00F94B48" w:rsidP="00F94B48">
            <w:pPr>
              <w:spacing w:after="0" w:line="240" w:lineRule="auto"/>
              <w:jc w:val="center"/>
              <w:rPr>
                <w:rFonts w:ascii="Arial" w:eastAsia="Calibri"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19E18D8B"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18</w:t>
            </w:r>
          </w:p>
        </w:tc>
        <w:tc>
          <w:tcPr>
            <w:tcW w:w="993" w:type="dxa"/>
            <w:tcBorders>
              <w:top w:val="single" w:sz="4" w:space="0" w:color="auto"/>
              <w:left w:val="single" w:sz="4" w:space="0" w:color="auto"/>
              <w:bottom w:val="single" w:sz="4" w:space="0" w:color="auto"/>
              <w:right w:val="single" w:sz="4" w:space="0" w:color="auto"/>
            </w:tcBorders>
            <w:vAlign w:val="center"/>
          </w:tcPr>
          <w:p w14:paraId="7CFFD4F9"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9A5F98"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32</w:t>
            </w:r>
          </w:p>
        </w:tc>
      </w:tr>
      <w:tr w:rsidR="00F94B48" w:rsidRPr="00F32542" w14:paraId="3F49E218" w14:textId="77777777" w:rsidTr="00F94B48">
        <w:trPr>
          <w:trHeight w:val="397"/>
          <w:jc w:val="center"/>
        </w:trPr>
        <w:tc>
          <w:tcPr>
            <w:tcW w:w="1271" w:type="dxa"/>
            <w:tcBorders>
              <w:top w:val="single" w:sz="4" w:space="0" w:color="auto"/>
            </w:tcBorders>
            <w:shd w:val="clear" w:color="auto" w:fill="AEAAAA"/>
            <w:vAlign w:val="center"/>
          </w:tcPr>
          <w:p w14:paraId="3FC40E8C"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TOTAL</w:t>
            </w:r>
          </w:p>
        </w:tc>
        <w:tc>
          <w:tcPr>
            <w:tcW w:w="709" w:type="dxa"/>
            <w:tcBorders>
              <w:top w:val="single" w:sz="4" w:space="0" w:color="auto"/>
            </w:tcBorders>
            <w:shd w:val="clear" w:color="auto" w:fill="AEAAAA"/>
            <w:vAlign w:val="center"/>
          </w:tcPr>
          <w:p w14:paraId="5F6EF244" w14:textId="77777777" w:rsidR="00F94B48" w:rsidRPr="00F32542" w:rsidRDefault="00F94B48" w:rsidP="00F94B48">
            <w:pPr>
              <w:spacing w:after="0" w:line="240" w:lineRule="auto"/>
              <w:jc w:val="center"/>
              <w:rPr>
                <w:rFonts w:ascii="Arial" w:eastAsia="Calibri" w:hAnsi="Arial" w:cs="Arial"/>
                <w:b/>
              </w:rPr>
            </w:pPr>
            <w:r w:rsidRPr="00F32542">
              <w:rPr>
                <w:rFonts w:ascii="Arial" w:eastAsia="Calibri" w:hAnsi="Arial" w:cs="Arial"/>
                <w:b/>
              </w:rPr>
              <w:t>20</w:t>
            </w:r>
          </w:p>
        </w:tc>
        <w:tc>
          <w:tcPr>
            <w:tcW w:w="850" w:type="dxa"/>
            <w:tcBorders>
              <w:top w:val="single" w:sz="4" w:space="0" w:color="auto"/>
              <w:left w:val="nil"/>
              <w:bottom w:val="single" w:sz="4" w:space="0" w:color="auto"/>
              <w:right w:val="nil"/>
            </w:tcBorders>
            <w:shd w:val="clear" w:color="auto" w:fill="AEAAAA"/>
            <w:vAlign w:val="center"/>
          </w:tcPr>
          <w:p w14:paraId="3E50F9A3" w14:textId="77777777" w:rsidR="00F94B48" w:rsidRPr="00F32542" w:rsidRDefault="00F94B48" w:rsidP="00F94B48">
            <w:pPr>
              <w:spacing w:after="0" w:line="240" w:lineRule="auto"/>
              <w:jc w:val="center"/>
              <w:rPr>
                <w:rFonts w:ascii="Arial" w:eastAsia="Calibri" w:hAnsi="Arial" w:cs="Arial"/>
                <w:b/>
              </w:rPr>
            </w:pPr>
            <w:r w:rsidRPr="00F32542">
              <w:rPr>
                <w:rFonts w:ascii="Arial" w:eastAsia="Calibri" w:hAnsi="Arial" w:cs="Arial"/>
                <w:b/>
              </w:rPr>
              <w:t>13</w:t>
            </w:r>
          </w:p>
        </w:tc>
        <w:tc>
          <w:tcPr>
            <w:tcW w:w="709" w:type="dxa"/>
            <w:tcBorders>
              <w:top w:val="single" w:sz="4" w:space="0" w:color="auto"/>
            </w:tcBorders>
            <w:shd w:val="clear" w:color="auto" w:fill="AEAAAA"/>
            <w:vAlign w:val="center"/>
          </w:tcPr>
          <w:p w14:paraId="4385C160"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12</w:t>
            </w:r>
          </w:p>
        </w:tc>
        <w:tc>
          <w:tcPr>
            <w:tcW w:w="851" w:type="dxa"/>
            <w:tcBorders>
              <w:top w:val="single" w:sz="4" w:space="0" w:color="auto"/>
            </w:tcBorders>
            <w:shd w:val="clear" w:color="auto" w:fill="AEAAAA"/>
            <w:vAlign w:val="center"/>
          </w:tcPr>
          <w:p w14:paraId="7D584D92"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20</w:t>
            </w:r>
          </w:p>
        </w:tc>
        <w:tc>
          <w:tcPr>
            <w:tcW w:w="425" w:type="dxa"/>
            <w:tcBorders>
              <w:top w:val="single" w:sz="4" w:space="0" w:color="auto"/>
            </w:tcBorders>
            <w:shd w:val="clear" w:color="auto" w:fill="AEAAAA"/>
            <w:vAlign w:val="center"/>
          </w:tcPr>
          <w:p w14:paraId="3FA4E81A" w14:textId="77777777" w:rsidR="00F94B48" w:rsidRPr="00F32542" w:rsidRDefault="00F94B48" w:rsidP="00F94B48">
            <w:pPr>
              <w:spacing w:after="0" w:line="240" w:lineRule="auto"/>
              <w:jc w:val="center"/>
              <w:rPr>
                <w:rFonts w:ascii="Arial" w:eastAsia="Calibri" w:hAnsi="Arial" w:cs="Arial"/>
                <w:b/>
                <w:lang w:val="es-ES"/>
              </w:rPr>
            </w:pPr>
          </w:p>
        </w:tc>
        <w:tc>
          <w:tcPr>
            <w:tcW w:w="850" w:type="dxa"/>
            <w:tcBorders>
              <w:top w:val="single" w:sz="4" w:space="0" w:color="auto"/>
            </w:tcBorders>
            <w:shd w:val="clear" w:color="auto" w:fill="AEAAAA"/>
            <w:vAlign w:val="center"/>
          </w:tcPr>
          <w:p w14:paraId="34691645"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1</w:t>
            </w:r>
          </w:p>
        </w:tc>
        <w:tc>
          <w:tcPr>
            <w:tcW w:w="567" w:type="dxa"/>
            <w:tcBorders>
              <w:top w:val="single" w:sz="4" w:space="0" w:color="auto"/>
            </w:tcBorders>
            <w:shd w:val="clear" w:color="auto" w:fill="AEAAAA"/>
            <w:vAlign w:val="center"/>
          </w:tcPr>
          <w:p w14:paraId="3E883354"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32</w:t>
            </w:r>
          </w:p>
        </w:tc>
        <w:tc>
          <w:tcPr>
            <w:tcW w:w="993" w:type="dxa"/>
            <w:tcBorders>
              <w:top w:val="single" w:sz="4" w:space="0" w:color="auto"/>
            </w:tcBorders>
            <w:shd w:val="clear" w:color="auto" w:fill="AEAAAA"/>
            <w:vAlign w:val="center"/>
          </w:tcPr>
          <w:p w14:paraId="0A25E454"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34</w:t>
            </w:r>
          </w:p>
        </w:tc>
        <w:tc>
          <w:tcPr>
            <w:tcW w:w="1559" w:type="dxa"/>
            <w:tcBorders>
              <w:top w:val="single" w:sz="4" w:space="0" w:color="auto"/>
            </w:tcBorders>
            <w:shd w:val="clear" w:color="auto" w:fill="AEAAAA"/>
            <w:vAlign w:val="center"/>
          </w:tcPr>
          <w:p w14:paraId="6AB51094"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fldChar w:fldCharType="begin"/>
            </w:r>
            <w:r w:rsidRPr="00F32542">
              <w:rPr>
                <w:rFonts w:ascii="Arial" w:eastAsia="Calibri" w:hAnsi="Arial" w:cs="Arial"/>
                <w:b/>
                <w:lang w:val="es-ES"/>
              </w:rPr>
              <w:instrText xml:space="preserve"> =SUM(ABOVE) </w:instrText>
            </w:r>
            <w:r w:rsidRPr="00F32542">
              <w:rPr>
                <w:rFonts w:ascii="Arial" w:eastAsia="Calibri" w:hAnsi="Arial" w:cs="Arial"/>
                <w:b/>
                <w:lang w:val="es-ES"/>
              </w:rPr>
              <w:fldChar w:fldCharType="separate"/>
            </w:r>
            <w:r w:rsidRPr="00F32542">
              <w:rPr>
                <w:rFonts w:ascii="Arial" w:eastAsia="Calibri" w:hAnsi="Arial" w:cs="Arial"/>
                <w:b/>
                <w:noProof/>
                <w:lang w:val="es-ES"/>
              </w:rPr>
              <w:t>66</w:t>
            </w:r>
            <w:r w:rsidRPr="00F32542">
              <w:rPr>
                <w:rFonts w:ascii="Arial" w:eastAsia="Calibri" w:hAnsi="Arial" w:cs="Arial"/>
                <w:b/>
                <w:lang w:val="es-ES"/>
              </w:rPr>
              <w:fldChar w:fldCharType="end"/>
            </w:r>
          </w:p>
        </w:tc>
      </w:tr>
    </w:tbl>
    <w:p w14:paraId="107394E1" w14:textId="77777777" w:rsidR="00F94B48" w:rsidRPr="00F32542" w:rsidRDefault="00F94B48" w:rsidP="00F94B48">
      <w:pPr>
        <w:spacing w:after="0" w:line="360" w:lineRule="auto"/>
        <w:contextualSpacing/>
        <w:jc w:val="both"/>
        <w:rPr>
          <w:rFonts w:ascii="Arial" w:eastAsia="Calibri" w:hAnsi="Arial" w:cs="Times New Roman"/>
          <w:sz w:val="28"/>
        </w:rPr>
      </w:pPr>
    </w:p>
    <w:p w14:paraId="3D232D44" w14:textId="77777777" w:rsidR="00F94B48" w:rsidRPr="00F32542" w:rsidRDefault="00F94B48" w:rsidP="00F94B48">
      <w:pPr>
        <w:spacing w:after="0" w:line="360" w:lineRule="auto"/>
        <w:contextualSpacing/>
        <w:jc w:val="both"/>
        <w:rPr>
          <w:rFonts w:ascii="Arial" w:eastAsia="Calibri" w:hAnsi="Arial" w:cs="Arial"/>
          <w:sz w:val="28"/>
          <w:szCs w:val="28"/>
        </w:rPr>
      </w:pPr>
      <w:r w:rsidRPr="00F32542">
        <w:rPr>
          <w:rFonts w:ascii="Arial" w:eastAsia="Calibri" w:hAnsi="Arial" w:cs="Arial"/>
          <w:sz w:val="28"/>
          <w:szCs w:val="28"/>
        </w:rPr>
        <w:t xml:space="preserve">De la verificación a la conformación integral del </w:t>
      </w:r>
      <w:r w:rsidRPr="00F32542">
        <w:rPr>
          <w:rFonts w:ascii="Arial" w:eastAsia="Calibri" w:hAnsi="Arial" w:cs="Arial"/>
          <w:i/>
          <w:sz w:val="28"/>
          <w:szCs w:val="28"/>
        </w:rPr>
        <w:t>Congreso</w:t>
      </w:r>
      <w:r w:rsidRPr="00F32542">
        <w:rPr>
          <w:rFonts w:ascii="Arial" w:eastAsia="Calibri" w:hAnsi="Arial" w:cs="Arial"/>
          <w:sz w:val="28"/>
          <w:szCs w:val="28"/>
        </w:rPr>
        <w:t xml:space="preserve">, se advierte que no se alcanza la paridad entre los géneros, porque quedaron distribuidas treinta y dos (32) curules para mujeres mientras que treinta y cuatro (34) diputaciones correspondieron a hombres. </w:t>
      </w:r>
    </w:p>
    <w:p w14:paraId="098C6605" w14:textId="77777777" w:rsidR="00F94B48" w:rsidRPr="00F32542" w:rsidRDefault="00F94B48" w:rsidP="00F94B48">
      <w:pPr>
        <w:spacing w:after="0" w:line="360" w:lineRule="auto"/>
        <w:contextualSpacing/>
        <w:jc w:val="both"/>
        <w:rPr>
          <w:rFonts w:ascii="Arial" w:eastAsia="Calibri" w:hAnsi="Arial" w:cs="Arial"/>
          <w:sz w:val="28"/>
          <w:szCs w:val="28"/>
        </w:rPr>
      </w:pPr>
    </w:p>
    <w:p w14:paraId="6A3278E6" w14:textId="77777777" w:rsidR="00F94B48" w:rsidRPr="00F32542" w:rsidRDefault="00F94B48" w:rsidP="00F94B48">
      <w:pPr>
        <w:spacing w:after="0" w:line="360" w:lineRule="auto"/>
        <w:contextualSpacing/>
        <w:jc w:val="both"/>
        <w:rPr>
          <w:rFonts w:ascii="Arial" w:eastAsia="Calibri" w:hAnsi="Arial" w:cs="Arial"/>
          <w:sz w:val="28"/>
          <w:szCs w:val="28"/>
        </w:rPr>
      </w:pPr>
      <w:r w:rsidRPr="00F32542">
        <w:rPr>
          <w:rFonts w:ascii="Arial" w:eastAsia="Calibri" w:hAnsi="Arial" w:cs="Arial"/>
          <w:sz w:val="28"/>
          <w:szCs w:val="28"/>
        </w:rPr>
        <w:t xml:space="preserve">Por tanto, resulta procedente aplicar el procedimiento de ajuste </w:t>
      </w:r>
      <w:proofErr w:type="gramStart"/>
      <w:r w:rsidRPr="00F32542">
        <w:rPr>
          <w:rFonts w:ascii="Arial" w:eastAsia="Calibri" w:hAnsi="Arial" w:cs="Arial"/>
          <w:sz w:val="28"/>
          <w:szCs w:val="28"/>
        </w:rPr>
        <w:t>en razón de</w:t>
      </w:r>
      <w:proofErr w:type="gramEnd"/>
      <w:r w:rsidRPr="00F32542">
        <w:rPr>
          <w:rFonts w:ascii="Arial" w:eastAsia="Calibri" w:hAnsi="Arial" w:cs="Arial"/>
          <w:sz w:val="28"/>
          <w:szCs w:val="28"/>
        </w:rPr>
        <w:t xml:space="preserve"> género previsto en el artículo 27, fracción VI, incisos h), i), y k), del </w:t>
      </w:r>
      <w:r w:rsidRPr="00F32542">
        <w:rPr>
          <w:rFonts w:ascii="Arial" w:eastAsia="Calibri" w:hAnsi="Arial" w:cs="Arial"/>
          <w:i/>
          <w:sz w:val="28"/>
          <w:szCs w:val="28"/>
        </w:rPr>
        <w:t>Código Electoral</w:t>
      </w:r>
      <w:r w:rsidRPr="00F32542">
        <w:rPr>
          <w:rFonts w:ascii="Arial" w:eastAsia="Calibri" w:hAnsi="Arial" w:cs="Arial"/>
          <w:sz w:val="28"/>
          <w:szCs w:val="28"/>
        </w:rPr>
        <w:t xml:space="preserve">, consistente en lo siguiente: </w:t>
      </w:r>
    </w:p>
    <w:p w14:paraId="2D54FA67" w14:textId="77777777" w:rsidR="00F94B48" w:rsidRPr="00F32542" w:rsidRDefault="00F94B48" w:rsidP="00F94B48">
      <w:pPr>
        <w:spacing w:after="0" w:line="360" w:lineRule="auto"/>
        <w:contextualSpacing/>
        <w:jc w:val="both"/>
        <w:rPr>
          <w:rFonts w:ascii="Arial" w:eastAsia="Calibri" w:hAnsi="Arial" w:cs="Arial"/>
          <w:sz w:val="28"/>
          <w:szCs w:val="28"/>
        </w:rPr>
      </w:pPr>
    </w:p>
    <w:p w14:paraId="30171C02" w14:textId="77777777" w:rsidR="00F94B48" w:rsidRPr="00F32542" w:rsidRDefault="00F94B48" w:rsidP="009B6ED0">
      <w:pPr>
        <w:numPr>
          <w:ilvl w:val="0"/>
          <w:numId w:val="21"/>
        </w:numPr>
        <w:spacing w:after="0" w:line="360" w:lineRule="auto"/>
        <w:contextualSpacing/>
        <w:jc w:val="both"/>
        <w:rPr>
          <w:rFonts w:ascii="Arial" w:eastAsia="Calibri" w:hAnsi="Arial" w:cs="Arial"/>
          <w:sz w:val="28"/>
          <w:szCs w:val="28"/>
        </w:rPr>
      </w:pPr>
      <w:r w:rsidRPr="00F32542">
        <w:rPr>
          <w:rFonts w:ascii="Arial" w:eastAsia="Calibri" w:hAnsi="Arial" w:cs="Arial"/>
          <w:sz w:val="28"/>
          <w:szCs w:val="28"/>
        </w:rPr>
        <w:t>Si existe una integración de las diputaciones electas por ambos principios no paritaria, se deducirán las diputaciones necesarias del género sobrerrepresentado y se sustituirán por las fórmulas del género subrepresentado.</w:t>
      </w:r>
    </w:p>
    <w:p w14:paraId="019A435C" w14:textId="77777777" w:rsidR="00F94B48" w:rsidRPr="00F32542" w:rsidRDefault="00F94B48" w:rsidP="00F94B48">
      <w:pPr>
        <w:spacing w:after="0" w:line="360" w:lineRule="auto"/>
        <w:ind w:left="720"/>
        <w:contextualSpacing/>
        <w:jc w:val="both"/>
        <w:rPr>
          <w:rFonts w:ascii="Arial" w:eastAsia="Calibri" w:hAnsi="Arial" w:cs="Arial"/>
          <w:sz w:val="28"/>
          <w:szCs w:val="28"/>
        </w:rPr>
      </w:pPr>
    </w:p>
    <w:p w14:paraId="1616D09B" w14:textId="77777777" w:rsidR="00F94B48" w:rsidRPr="00F32542" w:rsidRDefault="00F94B48" w:rsidP="009B6ED0">
      <w:pPr>
        <w:numPr>
          <w:ilvl w:val="0"/>
          <w:numId w:val="21"/>
        </w:numPr>
        <w:spacing w:after="0" w:line="360" w:lineRule="auto"/>
        <w:contextualSpacing/>
        <w:jc w:val="both"/>
        <w:rPr>
          <w:rFonts w:ascii="Arial" w:eastAsia="Calibri" w:hAnsi="Arial" w:cs="Arial"/>
          <w:sz w:val="28"/>
          <w:szCs w:val="28"/>
        </w:rPr>
      </w:pPr>
      <w:r w:rsidRPr="00F32542">
        <w:rPr>
          <w:rFonts w:ascii="Arial" w:eastAsia="Calibri" w:hAnsi="Arial" w:cs="Arial"/>
          <w:sz w:val="28"/>
          <w:szCs w:val="28"/>
        </w:rPr>
        <w:t xml:space="preserve">Para realizar ese ajuste, se alternará a los partidos políticos que hayan recibido diputaciones de representación proporcional, empezando por que recibió </w:t>
      </w:r>
      <w:r w:rsidRPr="00F32542">
        <w:rPr>
          <w:rFonts w:ascii="Arial" w:eastAsia="Calibri" w:hAnsi="Arial" w:cs="Arial"/>
          <w:b/>
          <w:sz w:val="28"/>
          <w:szCs w:val="28"/>
        </w:rPr>
        <w:t>el menor porcentaje de votación local emitida</w:t>
      </w:r>
      <w:r w:rsidRPr="00F32542">
        <w:rPr>
          <w:rFonts w:ascii="Arial" w:eastAsia="Calibri" w:hAnsi="Arial" w:cs="Arial"/>
          <w:sz w:val="28"/>
          <w:szCs w:val="28"/>
        </w:rPr>
        <w:t>, y de ser necesario, continuando con el partido que haya recibido el segundo menor porcentaje de la votación local emitida y así sucesivamente en orden ascendente hasta cubrir la paridad.</w:t>
      </w:r>
    </w:p>
    <w:p w14:paraId="044D75EC" w14:textId="77777777" w:rsidR="00F94B48" w:rsidRPr="00F32542" w:rsidRDefault="00F94B48" w:rsidP="00F94B48">
      <w:pPr>
        <w:spacing w:after="0" w:line="360" w:lineRule="auto"/>
        <w:ind w:left="720"/>
        <w:contextualSpacing/>
        <w:jc w:val="both"/>
        <w:rPr>
          <w:rFonts w:ascii="Arial" w:eastAsia="Calibri" w:hAnsi="Arial" w:cs="Arial"/>
          <w:sz w:val="28"/>
          <w:szCs w:val="28"/>
        </w:rPr>
      </w:pPr>
    </w:p>
    <w:p w14:paraId="2AB192C6" w14:textId="77777777" w:rsidR="00F94B48" w:rsidRPr="00F32542" w:rsidRDefault="00F94B48" w:rsidP="009B6ED0">
      <w:pPr>
        <w:numPr>
          <w:ilvl w:val="0"/>
          <w:numId w:val="21"/>
        </w:numPr>
        <w:spacing w:after="0" w:line="360" w:lineRule="auto"/>
        <w:contextualSpacing/>
        <w:jc w:val="both"/>
        <w:rPr>
          <w:rFonts w:ascii="Arial" w:eastAsia="Calibri" w:hAnsi="Arial" w:cs="Arial"/>
          <w:sz w:val="28"/>
          <w:szCs w:val="28"/>
        </w:rPr>
      </w:pPr>
      <w:r w:rsidRPr="00F32542">
        <w:rPr>
          <w:rFonts w:ascii="Arial" w:eastAsia="Calibri" w:hAnsi="Arial" w:cs="Arial"/>
          <w:sz w:val="28"/>
          <w:szCs w:val="28"/>
        </w:rPr>
        <w:t>Si a un partido se le deduce un diputado de un género sobrerrepresentado, tendrá que ser sustituido por uno del género subrepresentado para cumplir la paridad igualitaria, pero en todos los casos dicha sustitución deberá provenir de la lista de donde haya sido deducido, respetando la prelación.</w:t>
      </w:r>
    </w:p>
    <w:p w14:paraId="79588251" w14:textId="77777777" w:rsidR="00F94B48" w:rsidRPr="00F32542" w:rsidRDefault="00F94B48" w:rsidP="00F94B48">
      <w:pPr>
        <w:spacing w:after="0" w:line="360" w:lineRule="auto"/>
        <w:contextualSpacing/>
        <w:jc w:val="both"/>
        <w:rPr>
          <w:rFonts w:ascii="Arial" w:eastAsia="Calibri" w:hAnsi="Arial" w:cs="Arial"/>
          <w:sz w:val="28"/>
          <w:szCs w:val="28"/>
        </w:rPr>
      </w:pPr>
    </w:p>
    <w:p w14:paraId="538C5174" w14:textId="77777777" w:rsidR="00F94B48" w:rsidRPr="00F32542" w:rsidRDefault="00F94B48" w:rsidP="00F94B48">
      <w:pPr>
        <w:spacing w:after="0" w:line="360" w:lineRule="auto"/>
        <w:contextualSpacing/>
        <w:jc w:val="both"/>
        <w:rPr>
          <w:rFonts w:ascii="Arial" w:eastAsia="Calibri" w:hAnsi="Arial" w:cs="Arial"/>
          <w:sz w:val="28"/>
          <w:szCs w:val="28"/>
        </w:rPr>
      </w:pPr>
      <w:r w:rsidRPr="00F32542">
        <w:rPr>
          <w:rFonts w:ascii="Arial" w:eastAsia="Calibri" w:hAnsi="Arial" w:cs="Arial"/>
          <w:sz w:val="28"/>
          <w:szCs w:val="28"/>
        </w:rPr>
        <w:t>En ese sentido, se advierte que en la conformación total del órgano legislativo procede realizar un ajuste, mediante la modificación de una (1) asignación, retirándolas al género sobr</w:t>
      </w:r>
      <w:r w:rsidR="000D5BC0" w:rsidRPr="00F32542">
        <w:rPr>
          <w:rFonts w:ascii="Arial" w:eastAsia="Calibri" w:hAnsi="Arial" w:cs="Arial"/>
          <w:sz w:val="28"/>
          <w:szCs w:val="28"/>
        </w:rPr>
        <w:t>erre</w:t>
      </w:r>
      <w:r w:rsidRPr="00F32542">
        <w:rPr>
          <w:rFonts w:ascii="Arial" w:eastAsia="Calibri" w:hAnsi="Arial" w:cs="Arial"/>
          <w:sz w:val="28"/>
          <w:szCs w:val="28"/>
        </w:rPr>
        <w:t>presentado (hombres), para asignarse al género subrepresentado (mujeres).</w:t>
      </w:r>
    </w:p>
    <w:p w14:paraId="491DA04A" w14:textId="77777777" w:rsidR="00F94B48" w:rsidRPr="00F32542" w:rsidRDefault="00F94B48" w:rsidP="00F94B48">
      <w:pPr>
        <w:spacing w:after="0" w:line="360" w:lineRule="auto"/>
        <w:contextualSpacing/>
        <w:jc w:val="both"/>
        <w:rPr>
          <w:rFonts w:ascii="Arial" w:eastAsia="Calibri" w:hAnsi="Arial" w:cs="Arial"/>
          <w:sz w:val="28"/>
          <w:szCs w:val="28"/>
        </w:rPr>
      </w:pPr>
    </w:p>
    <w:p w14:paraId="109B05DC" w14:textId="77777777" w:rsidR="00F94B48" w:rsidRPr="00F32542" w:rsidRDefault="00F94B48" w:rsidP="00F94B48">
      <w:pPr>
        <w:spacing w:after="0" w:line="360" w:lineRule="auto"/>
        <w:contextualSpacing/>
        <w:jc w:val="both"/>
        <w:rPr>
          <w:rFonts w:ascii="Arial" w:eastAsia="Calibri" w:hAnsi="Arial" w:cs="Arial"/>
          <w:sz w:val="28"/>
          <w:szCs w:val="28"/>
        </w:rPr>
      </w:pPr>
      <w:r w:rsidRPr="00F32542">
        <w:rPr>
          <w:rFonts w:ascii="Arial" w:eastAsia="Calibri" w:hAnsi="Arial" w:cs="Arial"/>
          <w:sz w:val="28"/>
          <w:szCs w:val="28"/>
        </w:rPr>
        <w:lastRenderedPageBreak/>
        <w:t xml:space="preserve">Así, los ajustes deben recaer en la asignación de una curul de cada uno de los partidos políticos que hayan participado en la asignación por el principio de representación proporcional y hayan obtenido los </w:t>
      </w:r>
      <w:r w:rsidRPr="00F32542">
        <w:rPr>
          <w:rFonts w:ascii="Arial" w:eastAsia="Calibri" w:hAnsi="Arial" w:cs="Arial"/>
          <w:b/>
          <w:sz w:val="28"/>
          <w:szCs w:val="28"/>
        </w:rPr>
        <w:t>menores porcentajes de votación local emitida,</w:t>
      </w:r>
      <w:r w:rsidRPr="00F32542">
        <w:rPr>
          <w:rFonts w:ascii="Arial" w:eastAsia="Calibri" w:hAnsi="Arial" w:cs="Arial"/>
          <w:sz w:val="28"/>
          <w:szCs w:val="28"/>
        </w:rPr>
        <w:t xml:space="preserve"> el cual es el PVEM conforme se advierte de los datos consignados en la tabla siguiente:</w:t>
      </w:r>
    </w:p>
    <w:p w14:paraId="263C8DA2" w14:textId="77777777" w:rsidR="00F94B48" w:rsidRPr="00F32542" w:rsidRDefault="00F94B48" w:rsidP="00F94B48">
      <w:pPr>
        <w:spacing w:after="0" w:line="360" w:lineRule="auto"/>
        <w:contextualSpacing/>
        <w:jc w:val="both"/>
        <w:rPr>
          <w:rFonts w:ascii="Arial" w:eastAsia="Calibri" w:hAnsi="Arial" w:cs="Arial"/>
          <w:sz w:val="28"/>
          <w:szCs w:val="28"/>
        </w:rPr>
      </w:pPr>
    </w:p>
    <w:tbl>
      <w:tblPr>
        <w:tblW w:w="45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32"/>
        <w:gridCol w:w="2307"/>
        <w:gridCol w:w="2643"/>
      </w:tblGrid>
      <w:tr w:rsidR="00F94B48" w:rsidRPr="00F32542" w14:paraId="720746B5" w14:textId="77777777" w:rsidTr="00455864">
        <w:trPr>
          <w:trHeight w:val="567"/>
          <w:tblHeader/>
          <w:jc w:val="center"/>
        </w:trPr>
        <w:tc>
          <w:tcPr>
            <w:tcW w:w="1692" w:type="pct"/>
            <w:shd w:val="clear" w:color="auto" w:fill="FFFFFF" w:themeFill="background1"/>
            <w:noWrap/>
            <w:vAlign w:val="center"/>
            <w:hideMark/>
          </w:tcPr>
          <w:p w14:paraId="7C1248FA" w14:textId="77777777" w:rsidR="00F94B48" w:rsidRPr="00F32542" w:rsidRDefault="00F94B48" w:rsidP="00F94B48">
            <w:pPr>
              <w:spacing w:after="0" w:line="240" w:lineRule="auto"/>
              <w:jc w:val="center"/>
              <w:rPr>
                <w:rFonts w:ascii="Arial" w:eastAsia="Calibri" w:hAnsi="Arial" w:cs="Arial"/>
                <w:b/>
                <w:bCs/>
                <w:sz w:val="20"/>
                <w:szCs w:val="20"/>
                <w:lang w:eastAsia="es-MX"/>
              </w:rPr>
            </w:pPr>
            <w:r w:rsidRPr="00F32542">
              <w:rPr>
                <w:rFonts w:ascii="Arial" w:eastAsia="Calibri" w:hAnsi="Arial" w:cs="Arial"/>
                <w:b/>
                <w:bCs/>
                <w:sz w:val="20"/>
                <w:szCs w:val="20"/>
                <w:lang w:eastAsia="es-MX"/>
              </w:rPr>
              <w:t>Partido Político</w:t>
            </w:r>
          </w:p>
        </w:tc>
        <w:tc>
          <w:tcPr>
            <w:tcW w:w="1542" w:type="pct"/>
            <w:shd w:val="clear" w:color="auto" w:fill="FFFFFF" w:themeFill="background1"/>
            <w:vAlign w:val="center"/>
          </w:tcPr>
          <w:p w14:paraId="6486A9CF" w14:textId="77777777" w:rsidR="00F94B48" w:rsidRPr="00F32542" w:rsidRDefault="00F94B48" w:rsidP="00F94B48">
            <w:pPr>
              <w:spacing w:after="0" w:line="240" w:lineRule="auto"/>
              <w:jc w:val="center"/>
              <w:rPr>
                <w:rFonts w:ascii="Arial" w:eastAsia="Calibri" w:hAnsi="Arial" w:cs="Arial"/>
                <w:b/>
                <w:bCs/>
                <w:sz w:val="20"/>
                <w:szCs w:val="20"/>
                <w:lang w:eastAsia="es-MX"/>
              </w:rPr>
            </w:pPr>
            <w:r w:rsidRPr="00F32542">
              <w:rPr>
                <w:rFonts w:ascii="Arial" w:eastAsia="Calibri" w:hAnsi="Arial" w:cs="Arial"/>
                <w:b/>
                <w:bCs/>
                <w:sz w:val="20"/>
                <w:szCs w:val="20"/>
                <w:lang w:eastAsia="es-MX"/>
              </w:rPr>
              <w:t>Votación Local Emitida</w:t>
            </w:r>
          </w:p>
        </w:tc>
        <w:tc>
          <w:tcPr>
            <w:tcW w:w="1766" w:type="pct"/>
            <w:shd w:val="clear" w:color="auto" w:fill="FFFFFF" w:themeFill="background1"/>
            <w:vAlign w:val="center"/>
          </w:tcPr>
          <w:p w14:paraId="1D2D684E" w14:textId="77777777" w:rsidR="00F94B48" w:rsidRPr="00F32542" w:rsidRDefault="00F94B48" w:rsidP="00F94B48">
            <w:pPr>
              <w:spacing w:after="0" w:line="240" w:lineRule="auto"/>
              <w:jc w:val="center"/>
              <w:rPr>
                <w:rFonts w:ascii="Arial" w:eastAsia="Calibri" w:hAnsi="Arial" w:cs="Arial"/>
                <w:b/>
                <w:bCs/>
                <w:sz w:val="20"/>
                <w:szCs w:val="20"/>
                <w:lang w:eastAsia="es-MX"/>
              </w:rPr>
            </w:pPr>
            <w:r w:rsidRPr="00F32542">
              <w:rPr>
                <w:rFonts w:ascii="Arial" w:eastAsia="Calibri" w:hAnsi="Arial" w:cs="Arial"/>
                <w:b/>
                <w:bCs/>
                <w:sz w:val="20"/>
                <w:szCs w:val="20"/>
                <w:lang w:eastAsia="es-MX"/>
              </w:rPr>
              <w:t>% Votación Local Emitida</w:t>
            </w:r>
          </w:p>
        </w:tc>
      </w:tr>
      <w:tr w:rsidR="00455864" w:rsidRPr="00F32542" w14:paraId="36A432DF" w14:textId="77777777" w:rsidTr="00455864">
        <w:trPr>
          <w:trHeight w:val="284"/>
          <w:jc w:val="center"/>
        </w:trPr>
        <w:tc>
          <w:tcPr>
            <w:tcW w:w="1692" w:type="pct"/>
            <w:shd w:val="clear" w:color="auto" w:fill="FFFFFF" w:themeFill="background1"/>
            <w:noWrap/>
            <w:vAlign w:val="center"/>
          </w:tcPr>
          <w:p w14:paraId="1C308DCF" w14:textId="77777777" w:rsidR="00455864" w:rsidRPr="00F32542" w:rsidRDefault="00455864" w:rsidP="00455864">
            <w:pPr>
              <w:spacing w:after="0" w:line="240" w:lineRule="auto"/>
              <w:jc w:val="center"/>
              <w:rPr>
                <w:rFonts w:ascii="Arial" w:eastAsia="Calibri" w:hAnsi="Arial" w:cs="Arial"/>
              </w:rPr>
            </w:pPr>
            <w:r w:rsidRPr="00F32542">
              <w:rPr>
                <w:rFonts w:ascii="Arial" w:eastAsia="Calibri" w:hAnsi="Arial" w:cs="Arial"/>
              </w:rPr>
              <w:t>PAN</w:t>
            </w:r>
          </w:p>
        </w:tc>
        <w:tc>
          <w:tcPr>
            <w:tcW w:w="1542" w:type="pct"/>
            <w:shd w:val="clear" w:color="auto" w:fill="auto"/>
            <w:vAlign w:val="center"/>
          </w:tcPr>
          <w:p w14:paraId="0DBD0203" w14:textId="77777777" w:rsidR="00455864" w:rsidRPr="00F32542" w:rsidRDefault="00455864" w:rsidP="00455864">
            <w:pPr>
              <w:spacing w:after="0" w:line="240" w:lineRule="auto"/>
              <w:jc w:val="center"/>
              <w:rPr>
                <w:rFonts w:ascii="Arial" w:eastAsia="Calibri" w:hAnsi="Arial" w:cs="Arial"/>
                <w:color w:val="000000"/>
              </w:rPr>
            </w:pPr>
            <w:r w:rsidRPr="00F32542">
              <w:rPr>
                <w:rFonts w:ascii="Arial" w:hAnsi="Arial" w:cs="Arial"/>
                <w:color w:val="000000" w:themeColor="text1"/>
              </w:rPr>
              <w:t>1,033,617</w:t>
            </w:r>
          </w:p>
        </w:tc>
        <w:tc>
          <w:tcPr>
            <w:tcW w:w="1766" w:type="pct"/>
            <w:vAlign w:val="center"/>
          </w:tcPr>
          <w:p w14:paraId="2702EF54" w14:textId="77777777" w:rsidR="00455864" w:rsidRPr="00F32542" w:rsidRDefault="00455864" w:rsidP="00455864">
            <w:pPr>
              <w:spacing w:after="0" w:line="240" w:lineRule="auto"/>
              <w:jc w:val="center"/>
              <w:rPr>
                <w:rFonts w:ascii="Arial" w:eastAsia="Calibri" w:hAnsi="Arial" w:cs="Arial"/>
                <w:color w:val="000000"/>
              </w:rPr>
            </w:pPr>
            <w:r w:rsidRPr="00F32542">
              <w:rPr>
                <w:rFonts w:ascii="Arial" w:eastAsia="Calibri" w:hAnsi="Arial" w:cs="Arial"/>
                <w:color w:val="000000" w:themeColor="text1"/>
              </w:rPr>
              <w:t>28.69%</w:t>
            </w:r>
          </w:p>
        </w:tc>
      </w:tr>
      <w:tr w:rsidR="00455864" w:rsidRPr="00F32542" w14:paraId="422FD3D0" w14:textId="77777777" w:rsidTr="00455864">
        <w:trPr>
          <w:trHeight w:val="284"/>
          <w:jc w:val="center"/>
        </w:trPr>
        <w:tc>
          <w:tcPr>
            <w:tcW w:w="1692" w:type="pct"/>
            <w:shd w:val="clear" w:color="auto" w:fill="FFFFFF" w:themeFill="background1"/>
            <w:noWrap/>
            <w:vAlign w:val="center"/>
          </w:tcPr>
          <w:p w14:paraId="5440682E" w14:textId="77777777" w:rsidR="00455864" w:rsidRPr="00F32542" w:rsidRDefault="00455864" w:rsidP="00455864">
            <w:pPr>
              <w:spacing w:after="0" w:line="240" w:lineRule="auto"/>
              <w:jc w:val="center"/>
              <w:rPr>
                <w:rFonts w:ascii="Arial" w:eastAsia="Calibri" w:hAnsi="Arial" w:cs="Arial"/>
              </w:rPr>
            </w:pPr>
            <w:r w:rsidRPr="00F32542">
              <w:rPr>
                <w:rFonts w:ascii="Arial" w:eastAsia="Calibri" w:hAnsi="Arial" w:cs="Arial"/>
              </w:rPr>
              <w:t>PRI</w:t>
            </w:r>
          </w:p>
        </w:tc>
        <w:tc>
          <w:tcPr>
            <w:tcW w:w="1542" w:type="pct"/>
            <w:shd w:val="clear" w:color="auto" w:fill="auto"/>
            <w:vAlign w:val="center"/>
          </w:tcPr>
          <w:p w14:paraId="45E99E61" w14:textId="77777777" w:rsidR="00455864" w:rsidRPr="00F32542" w:rsidRDefault="00455864" w:rsidP="00455864">
            <w:pPr>
              <w:spacing w:after="0" w:line="240" w:lineRule="auto"/>
              <w:jc w:val="center"/>
              <w:rPr>
                <w:rFonts w:ascii="Arial" w:eastAsia="Calibri" w:hAnsi="Arial" w:cs="Arial"/>
                <w:color w:val="000000"/>
              </w:rPr>
            </w:pPr>
            <w:r w:rsidRPr="00F32542">
              <w:rPr>
                <w:rFonts w:ascii="Arial" w:hAnsi="Arial" w:cs="Arial"/>
                <w:color w:val="000000" w:themeColor="text1"/>
              </w:rPr>
              <w:t>581,675</w:t>
            </w:r>
          </w:p>
        </w:tc>
        <w:tc>
          <w:tcPr>
            <w:tcW w:w="1766" w:type="pct"/>
            <w:vAlign w:val="center"/>
          </w:tcPr>
          <w:p w14:paraId="2E6DB7C5" w14:textId="77777777" w:rsidR="00455864" w:rsidRPr="00F32542" w:rsidRDefault="00455864" w:rsidP="00455864">
            <w:pPr>
              <w:spacing w:after="0" w:line="360" w:lineRule="auto"/>
              <w:jc w:val="center"/>
              <w:rPr>
                <w:rFonts w:ascii="Arial" w:eastAsia="Calibri" w:hAnsi="Arial" w:cs="Arial"/>
                <w:color w:val="000000"/>
              </w:rPr>
            </w:pPr>
            <w:r w:rsidRPr="00F32542">
              <w:rPr>
                <w:rFonts w:ascii="Arial" w:eastAsia="Calibri" w:hAnsi="Arial" w:cs="Arial"/>
                <w:color w:val="000000" w:themeColor="text1"/>
              </w:rPr>
              <w:t>16.15%</w:t>
            </w:r>
          </w:p>
        </w:tc>
      </w:tr>
      <w:tr w:rsidR="00455864" w:rsidRPr="00F32542" w14:paraId="63FB6D21" w14:textId="77777777" w:rsidTr="00455864">
        <w:trPr>
          <w:trHeight w:val="284"/>
          <w:jc w:val="center"/>
        </w:trPr>
        <w:tc>
          <w:tcPr>
            <w:tcW w:w="1692" w:type="pct"/>
            <w:shd w:val="clear" w:color="auto" w:fill="FFFFFF" w:themeFill="background1"/>
            <w:noWrap/>
            <w:vAlign w:val="center"/>
          </w:tcPr>
          <w:p w14:paraId="3FDDA4D6" w14:textId="77777777" w:rsidR="00455864" w:rsidRPr="00F32542" w:rsidRDefault="00455864" w:rsidP="00455864">
            <w:pPr>
              <w:spacing w:after="0" w:line="240" w:lineRule="auto"/>
              <w:jc w:val="center"/>
              <w:rPr>
                <w:rFonts w:ascii="Arial" w:eastAsia="Calibri" w:hAnsi="Arial" w:cs="Arial"/>
              </w:rPr>
            </w:pPr>
            <w:r w:rsidRPr="00F32542">
              <w:rPr>
                <w:rFonts w:ascii="Arial" w:eastAsia="Calibri" w:hAnsi="Arial" w:cs="Arial"/>
              </w:rPr>
              <w:t>PRD</w:t>
            </w:r>
          </w:p>
        </w:tc>
        <w:tc>
          <w:tcPr>
            <w:tcW w:w="1542" w:type="pct"/>
            <w:shd w:val="clear" w:color="auto" w:fill="auto"/>
            <w:vAlign w:val="center"/>
          </w:tcPr>
          <w:p w14:paraId="35096A27" w14:textId="77777777" w:rsidR="00455864" w:rsidRPr="00F32542" w:rsidRDefault="00455864" w:rsidP="00455864">
            <w:pPr>
              <w:spacing w:after="0" w:line="240" w:lineRule="auto"/>
              <w:jc w:val="center"/>
              <w:rPr>
                <w:rFonts w:ascii="Arial" w:eastAsia="Calibri" w:hAnsi="Arial" w:cs="Arial"/>
                <w:color w:val="000000"/>
              </w:rPr>
            </w:pPr>
            <w:r w:rsidRPr="00F32542">
              <w:rPr>
                <w:rFonts w:ascii="Arial" w:hAnsi="Arial" w:cs="Arial"/>
                <w:color w:val="000000" w:themeColor="text1"/>
              </w:rPr>
              <w:t>207,895</w:t>
            </w:r>
          </w:p>
        </w:tc>
        <w:tc>
          <w:tcPr>
            <w:tcW w:w="1766" w:type="pct"/>
            <w:vAlign w:val="center"/>
          </w:tcPr>
          <w:p w14:paraId="453A2DCA" w14:textId="77777777" w:rsidR="00455864" w:rsidRPr="00F32542" w:rsidRDefault="00455864" w:rsidP="00455864">
            <w:pPr>
              <w:spacing w:after="0" w:line="360" w:lineRule="auto"/>
              <w:jc w:val="center"/>
              <w:rPr>
                <w:rFonts w:ascii="Arial" w:eastAsia="Calibri" w:hAnsi="Arial" w:cs="Arial"/>
                <w:color w:val="000000"/>
              </w:rPr>
            </w:pPr>
            <w:r w:rsidRPr="00F32542">
              <w:rPr>
                <w:rFonts w:ascii="Arial" w:eastAsia="Calibri" w:hAnsi="Arial" w:cs="Arial"/>
                <w:color w:val="000000" w:themeColor="text1"/>
              </w:rPr>
              <w:t>5.77%</w:t>
            </w:r>
          </w:p>
        </w:tc>
      </w:tr>
      <w:tr w:rsidR="00455864" w:rsidRPr="00F32542" w14:paraId="14A3E1A0" w14:textId="77777777" w:rsidTr="00455864">
        <w:trPr>
          <w:trHeight w:val="284"/>
          <w:jc w:val="center"/>
        </w:trPr>
        <w:tc>
          <w:tcPr>
            <w:tcW w:w="1692" w:type="pct"/>
            <w:shd w:val="clear" w:color="auto" w:fill="FFFFFF" w:themeFill="background1"/>
            <w:noWrap/>
            <w:vAlign w:val="center"/>
          </w:tcPr>
          <w:p w14:paraId="3F968785" w14:textId="77777777" w:rsidR="00455864" w:rsidRPr="00F32542" w:rsidRDefault="00455864" w:rsidP="00455864">
            <w:pPr>
              <w:spacing w:after="0" w:line="240" w:lineRule="auto"/>
              <w:jc w:val="center"/>
              <w:rPr>
                <w:rFonts w:ascii="Arial" w:eastAsia="Calibri" w:hAnsi="Arial" w:cs="Arial"/>
              </w:rPr>
            </w:pPr>
            <w:r w:rsidRPr="00F32542">
              <w:rPr>
                <w:rFonts w:ascii="Arial" w:eastAsia="Calibri" w:hAnsi="Arial" w:cs="Arial"/>
              </w:rPr>
              <w:t>PVEM</w:t>
            </w:r>
          </w:p>
        </w:tc>
        <w:tc>
          <w:tcPr>
            <w:tcW w:w="1542" w:type="pct"/>
            <w:shd w:val="clear" w:color="auto" w:fill="D9D9D9"/>
            <w:vAlign w:val="center"/>
          </w:tcPr>
          <w:p w14:paraId="0CD9CED0" w14:textId="77777777" w:rsidR="00455864" w:rsidRPr="00F32542" w:rsidRDefault="00455864" w:rsidP="00455864">
            <w:pPr>
              <w:spacing w:after="0" w:line="240" w:lineRule="auto"/>
              <w:jc w:val="center"/>
              <w:rPr>
                <w:rFonts w:ascii="Arial" w:eastAsia="Calibri" w:hAnsi="Arial" w:cs="Arial"/>
                <w:color w:val="000000"/>
              </w:rPr>
            </w:pPr>
            <w:r w:rsidRPr="00F32542">
              <w:rPr>
                <w:rFonts w:ascii="Arial" w:hAnsi="Arial" w:cs="Arial"/>
                <w:color w:val="000000" w:themeColor="text1"/>
              </w:rPr>
              <w:t>125,296</w:t>
            </w:r>
          </w:p>
        </w:tc>
        <w:tc>
          <w:tcPr>
            <w:tcW w:w="1766" w:type="pct"/>
            <w:shd w:val="clear" w:color="auto" w:fill="D9D9D9"/>
            <w:vAlign w:val="center"/>
          </w:tcPr>
          <w:p w14:paraId="1ADFBEB5" w14:textId="77777777" w:rsidR="00455864" w:rsidRPr="00F32542" w:rsidRDefault="00455864" w:rsidP="00455864">
            <w:pPr>
              <w:spacing w:after="0" w:line="360" w:lineRule="auto"/>
              <w:jc w:val="center"/>
              <w:rPr>
                <w:rFonts w:ascii="Arial" w:eastAsia="Calibri" w:hAnsi="Arial" w:cs="Arial"/>
                <w:color w:val="000000"/>
              </w:rPr>
            </w:pPr>
            <w:r w:rsidRPr="00F32542">
              <w:rPr>
                <w:rFonts w:ascii="Arial" w:eastAsia="Calibri" w:hAnsi="Arial" w:cs="Arial"/>
                <w:color w:val="000000" w:themeColor="text1"/>
              </w:rPr>
              <w:t>3.48%</w:t>
            </w:r>
          </w:p>
        </w:tc>
      </w:tr>
      <w:tr w:rsidR="00455864" w:rsidRPr="00F32542" w14:paraId="19C07E24" w14:textId="77777777" w:rsidTr="00455864">
        <w:trPr>
          <w:trHeight w:val="284"/>
          <w:jc w:val="center"/>
        </w:trPr>
        <w:tc>
          <w:tcPr>
            <w:tcW w:w="1692" w:type="pct"/>
            <w:shd w:val="clear" w:color="auto" w:fill="FFFFFF" w:themeFill="background1"/>
            <w:noWrap/>
            <w:vAlign w:val="center"/>
          </w:tcPr>
          <w:p w14:paraId="6E136F9E" w14:textId="77777777" w:rsidR="00455864" w:rsidRPr="00F32542" w:rsidRDefault="00455864" w:rsidP="00455864">
            <w:pPr>
              <w:spacing w:after="0" w:line="240" w:lineRule="auto"/>
              <w:jc w:val="center"/>
              <w:rPr>
                <w:rFonts w:ascii="Arial" w:eastAsia="Calibri" w:hAnsi="Arial" w:cs="Arial"/>
              </w:rPr>
            </w:pPr>
            <w:r w:rsidRPr="00F32542">
              <w:rPr>
                <w:rFonts w:ascii="Arial" w:eastAsia="Calibri" w:hAnsi="Arial" w:cs="Arial"/>
              </w:rPr>
              <w:t>MC</w:t>
            </w:r>
          </w:p>
        </w:tc>
        <w:tc>
          <w:tcPr>
            <w:tcW w:w="1542" w:type="pct"/>
            <w:shd w:val="clear" w:color="auto" w:fill="auto"/>
            <w:vAlign w:val="center"/>
          </w:tcPr>
          <w:p w14:paraId="7AADFEF3" w14:textId="77777777" w:rsidR="00455864" w:rsidRPr="00F32542" w:rsidRDefault="00455864" w:rsidP="00455864">
            <w:pPr>
              <w:spacing w:after="0" w:line="240" w:lineRule="auto"/>
              <w:jc w:val="center"/>
              <w:rPr>
                <w:rFonts w:ascii="Arial" w:eastAsia="Calibri" w:hAnsi="Arial" w:cs="Arial"/>
                <w:color w:val="000000"/>
              </w:rPr>
            </w:pPr>
            <w:r w:rsidRPr="00F32542">
              <w:rPr>
                <w:rFonts w:ascii="Arial" w:hAnsi="Arial" w:cs="Arial"/>
                <w:color w:val="000000" w:themeColor="text1"/>
              </w:rPr>
              <w:t>140,324</w:t>
            </w:r>
          </w:p>
        </w:tc>
        <w:tc>
          <w:tcPr>
            <w:tcW w:w="1766" w:type="pct"/>
            <w:vAlign w:val="center"/>
          </w:tcPr>
          <w:p w14:paraId="001AA88B" w14:textId="77777777" w:rsidR="00455864" w:rsidRPr="00F32542" w:rsidRDefault="00455864" w:rsidP="00455864">
            <w:pPr>
              <w:spacing w:after="0" w:line="360" w:lineRule="auto"/>
              <w:jc w:val="center"/>
              <w:rPr>
                <w:rFonts w:ascii="Arial" w:eastAsia="Calibri" w:hAnsi="Arial" w:cs="Arial"/>
                <w:color w:val="000000"/>
              </w:rPr>
            </w:pPr>
            <w:r w:rsidRPr="00F32542">
              <w:rPr>
                <w:rFonts w:ascii="Arial" w:eastAsia="Calibri" w:hAnsi="Arial" w:cs="Arial"/>
                <w:color w:val="000000" w:themeColor="text1"/>
              </w:rPr>
              <w:t>3.89%</w:t>
            </w:r>
          </w:p>
        </w:tc>
      </w:tr>
      <w:tr w:rsidR="00455864" w:rsidRPr="00F32542" w14:paraId="63CC9EB7" w14:textId="77777777" w:rsidTr="00455864">
        <w:trPr>
          <w:trHeight w:val="284"/>
          <w:jc w:val="center"/>
        </w:trPr>
        <w:tc>
          <w:tcPr>
            <w:tcW w:w="1692" w:type="pct"/>
            <w:shd w:val="clear" w:color="auto" w:fill="FFFFFF" w:themeFill="background1"/>
            <w:noWrap/>
            <w:vAlign w:val="center"/>
          </w:tcPr>
          <w:p w14:paraId="08B3F3EA" w14:textId="77777777" w:rsidR="00455864" w:rsidRPr="00F32542" w:rsidRDefault="00455864" w:rsidP="00455864">
            <w:pPr>
              <w:spacing w:after="0" w:line="240" w:lineRule="auto"/>
              <w:jc w:val="center"/>
              <w:rPr>
                <w:rFonts w:ascii="Arial" w:eastAsia="Calibri" w:hAnsi="Arial" w:cs="Arial"/>
              </w:rPr>
            </w:pPr>
            <w:r w:rsidRPr="00F32542">
              <w:rPr>
                <w:rFonts w:ascii="Arial" w:eastAsia="Calibri" w:hAnsi="Arial" w:cs="Arial"/>
              </w:rPr>
              <w:t>MORENA</w:t>
            </w:r>
          </w:p>
        </w:tc>
        <w:tc>
          <w:tcPr>
            <w:tcW w:w="1542" w:type="pct"/>
            <w:vAlign w:val="center"/>
          </w:tcPr>
          <w:p w14:paraId="7AA108C4" w14:textId="77777777" w:rsidR="00455864" w:rsidRPr="00F32542" w:rsidRDefault="00455864" w:rsidP="00455864">
            <w:pPr>
              <w:spacing w:after="0" w:line="240" w:lineRule="auto"/>
              <w:jc w:val="center"/>
              <w:rPr>
                <w:rFonts w:ascii="Arial" w:eastAsia="Calibri" w:hAnsi="Arial" w:cs="Arial"/>
                <w:color w:val="000000"/>
              </w:rPr>
            </w:pPr>
            <w:r w:rsidRPr="00F32542">
              <w:rPr>
                <w:rFonts w:ascii="Arial" w:hAnsi="Arial" w:cs="Arial"/>
                <w:color w:val="000000" w:themeColor="text1"/>
              </w:rPr>
              <w:t>1513325</w:t>
            </w:r>
          </w:p>
        </w:tc>
        <w:tc>
          <w:tcPr>
            <w:tcW w:w="1766" w:type="pct"/>
            <w:vAlign w:val="center"/>
          </w:tcPr>
          <w:p w14:paraId="0EDA3269" w14:textId="77777777" w:rsidR="00455864" w:rsidRPr="00F32542" w:rsidRDefault="00455864" w:rsidP="00455864">
            <w:pPr>
              <w:spacing w:after="0" w:line="360" w:lineRule="auto"/>
              <w:jc w:val="center"/>
              <w:rPr>
                <w:rFonts w:ascii="Arial" w:eastAsia="Calibri" w:hAnsi="Arial" w:cs="Arial"/>
                <w:color w:val="000000"/>
              </w:rPr>
            </w:pPr>
            <w:r w:rsidRPr="00F32542">
              <w:rPr>
                <w:rFonts w:ascii="Arial" w:eastAsia="Calibri" w:hAnsi="Arial" w:cs="Arial"/>
                <w:color w:val="000000" w:themeColor="text1"/>
              </w:rPr>
              <w:t>42.01%</w:t>
            </w:r>
          </w:p>
        </w:tc>
      </w:tr>
      <w:tr w:rsidR="00455864" w:rsidRPr="00F32542" w14:paraId="1A45E79A" w14:textId="77777777" w:rsidTr="00455864">
        <w:trPr>
          <w:trHeight w:val="284"/>
          <w:jc w:val="center"/>
        </w:trPr>
        <w:tc>
          <w:tcPr>
            <w:tcW w:w="1692" w:type="pct"/>
            <w:shd w:val="clear" w:color="auto" w:fill="FFFFFF" w:themeFill="background1"/>
            <w:noWrap/>
            <w:vAlign w:val="center"/>
          </w:tcPr>
          <w:p w14:paraId="3BF1B1A4" w14:textId="77777777" w:rsidR="00455864" w:rsidRPr="00F32542" w:rsidRDefault="00455864" w:rsidP="00455864">
            <w:pPr>
              <w:spacing w:after="0" w:line="240" w:lineRule="auto"/>
              <w:jc w:val="center"/>
              <w:rPr>
                <w:rFonts w:ascii="Arial" w:eastAsia="Calibri" w:hAnsi="Arial" w:cs="Arial"/>
                <w:b/>
              </w:rPr>
            </w:pPr>
            <w:r w:rsidRPr="00F32542">
              <w:rPr>
                <w:rFonts w:ascii="Arial" w:eastAsia="Calibri" w:hAnsi="Arial" w:cs="Arial"/>
                <w:b/>
              </w:rPr>
              <w:t>Votación local emitida</w:t>
            </w:r>
          </w:p>
        </w:tc>
        <w:tc>
          <w:tcPr>
            <w:tcW w:w="1542" w:type="pct"/>
            <w:vAlign w:val="center"/>
          </w:tcPr>
          <w:p w14:paraId="4238AE47" w14:textId="77777777" w:rsidR="00455864" w:rsidRPr="00F32542" w:rsidRDefault="00455864" w:rsidP="00455864">
            <w:pPr>
              <w:spacing w:after="0" w:line="240" w:lineRule="auto"/>
              <w:jc w:val="center"/>
              <w:rPr>
                <w:rFonts w:ascii="Arial" w:eastAsia="Calibri" w:hAnsi="Arial" w:cs="Arial"/>
                <w:b/>
                <w:color w:val="000000"/>
              </w:rPr>
            </w:pPr>
            <w:r w:rsidRPr="00F32542">
              <w:rPr>
                <w:rFonts w:ascii="Arial" w:eastAsia="Calibri" w:hAnsi="Arial" w:cs="Arial"/>
                <w:b/>
                <w:color w:val="000000" w:themeColor="text1"/>
              </w:rPr>
              <w:fldChar w:fldCharType="begin"/>
            </w:r>
            <w:r w:rsidRPr="00F32542">
              <w:rPr>
                <w:rFonts w:ascii="Arial" w:eastAsia="Calibri" w:hAnsi="Arial" w:cs="Arial"/>
                <w:b/>
                <w:color w:val="000000" w:themeColor="text1"/>
              </w:rPr>
              <w:instrText xml:space="preserve"> =SUM(ABOVE) </w:instrText>
            </w:r>
            <w:r w:rsidRPr="00F32542">
              <w:rPr>
                <w:rFonts w:ascii="Arial" w:eastAsia="Calibri" w:hAnsi="Arial" w:cs="Arial"/>
                <w:b/>
                <w:color w:val="000000" w:themeColor="text1"/>
              </w:rPr>
              <w:fldChar w:fldCharType="separate"/>
            </w:r>
            <w:r w:rsidRPr="00F32542">
              <w:rPr>
                <w:rFonts w:ascii="Arial" w:eastAsia="Calibri" w:hAnsi="Arial" w:cs="Arial"/>
                <w:b/>
                <w:noProof/>
                <w:color w:val="000000" w:themeColor="text1"/>
              </w:rPr>
              <w:t>3,602,132</w:t>
            </w:r>
            <w:r w:rsidRPr="00F32542">
              <w:rPr>
                <w:rFonts w:ascii="Arial" w:eastAsia="Calibri" w:hAnsi="Arial" w:cs="Arial"/>
                <w:b/>
                <w:color w:val="000000" w:themeColor="text1"/>
              </w:rPr>
              <w:fldChar w:fldCharType="end"/>
            </w:r>
          </w:p>
        </w:tc>
        <w:tc>
          <w:tcPr>
            <w:tcW w:w="1766" w:type="pct"/>
            <w:vAlign w:val="center"/>
          </w:tcPr>
          <w:p w14:paraId="1382C17F" w14:textId="77777777" w:rsidR="00455864" w:rsidRPr="00F32542" w:rsidRDefault="00455864" w:rsidP="00455864">
            <w:pPr>
              <w:spacing w:after="0" w:line="360" w:lineRule="auto"/>
              <w:jc w:val="center"/>
              <w:rPr>
                <w:rFonts w:ascii="Arial" w:eastAsia="Calibri" w:hAnsi="Arial" w:cs="Arial"/>
                <w:b/>
                <w:color w:val="000000"/>
              </w:rPr>
            </w:pPr>
            <w:r w:rsidRPr="00F32542">
              <w:rPr>
                <w:rFonts w:ascii="Arial" w:eastAsia="Calibri" w:hAnsi="Arial" w:cs="Arial"/>
                <w:b/>
                <w:color w:val="000000" w:themeColor="text1"/>
              </w:rPr>
              <w:t>100%</w:t>
            </w:r>
          </w:p>
        </w:tc>
      </w:tr>
    </w:tbl>
    <w:p w14:paraId="06D2B6D8" w14:textId="77777777" w:rsidR="00F94B48" w:rsidRPr="00F32542" w:rsidRDefault="00F94B48" w:rsidP="00F94B48">
      <w:pPr>
        <w:spacing w:after="0" w:line="360" w:lineRule="auto"/>
        <w:contextualSpacing/>
        <w:jc w:val="both"/>
        <w:rPr>
          <w:rFonts w:ascii="Arial" w:eastAsia="Calibri" w:hAnsi="Arial" w:cs="Arial"/>
          <w:sz w:val="28"/>
          <w:szCs w:val="28"/>
        </w:rPr>
      </w:pPr>
    </w:p>
    <w:p w14:paraId="5CBD4346" w14:textId="77777777" w:rsidR="00F94B48" w:rsidRPr="00F32542" w:rsidRDefault="00F94B48" w:rsidP="00F94B48">
      <w:pPr>
        <w:spacing w:after="0" w:line="360" w:lineRule="auto"/>
        <w:contextualSpacing/>
        <w:jc w:val="both"/>
        <w:rPr>
          <w:rFonts w:ascii="Arial" w:eastAsia="Calibri" w:hAnsi="Arial" w:cs="Arial"/>
          <w:sz w:val="28"/>
          <w:szCs w:val="28"/>
        </w:rPr>
      </w:pPr>
      <w:r w:rsidRPr="00F32542">
        <w:rPr>
          <w:rFonts w:ascii="Arial" w:eastAsia="Calibri" w:hAnsi="Arial" w:cs="Arial"/>
          <w:sz w:val="28"/>
          <w:szCs w:val="28"/>
        </w:rPr>
        <w:t xml:space="preserve">Por tanto, lo procedente es realizar el ajuste paritario al </w:t>
      </w:r>
      <w:r w:rsidRPr="00F32542">
        <w:rPr>
          <w:rFonts w:ascii="Arial" w:eastAsia="Calibri" w:hAnsi="Arial" w:cs="Arial"/>
          <w:i/>
          <w:sz w:val="28"/>
          <w:szCs w:val="28"/>
        </w:rPr>
        <w:t>PVEM</w:t>
      </w:r>
      <w:r w:rsidRPr="00F32542">
        <w:rPr>
          <w:rFonts w:ascii="Arial" w:eastAsia="Calibri" w:hAnsi="Arial" w:cs="Arial"/>
          <w:sz w:val="28"/>
          <w:szCs w:val="28"/>
        </w:rPr>
        <w:t>, por ser el partido con el menor porcentaje de votación local emitida que, además, la única asignación que le correspondió está conformada por una fórmula integrada por el género sob</w:t>
      </w:r>
      <w:r w:rsidR="00B44446" w:rsidRPr="00F32542">
        <w:rPr>
          <w:rFonts w:ascii="Arial" w:eastAsia="Calibri" w:hAnsi="Arial" w:cs="Arial"/>
          <w:sz w:val="28"/>
          <w:szCs w:val="28"/>
        </w:rPr>
        <w:t>re</w:t>
      </w:r>
      <w:r w:rsidRPr="00F32542">
        <w:rPr>
          <w:rFonts w:ascii="Arial" w:eastAsia="Calibri" w:hAnsi="Arial" w:cs="Arial"/>
          <w:sz w:val="28"/>
          <w:szCs w:val="28"/>
        </w:rPr>
        <w:t xml:space="preserve">rrepresentado de manera que corresponde sustituirla por una fórmula integrada por mujeres, al ser el género subrepresentado.  </w:t>
      </w:r>
    </w:p>
    <w:p w14:paraId="63CAC738" w14:textId="77777777" w:rsidR="00F94B48" w:rsidRPr="00F32542" w:rsidRDefault="00F94B48" w:rsidP="00F94B48">
      <w:pPr>
        <w:spacing w:after="0" w:line="360" w:lineRule="auto"/>
        <w:ind w:left="360"/>
        <w:contextualSpacing/>
        <w:jc w:val="both"/>
        <w:rPr>
          <w:rFonts w:ascii="Arial" w:eastAsia="Calibri" w:hAnsi="Arial" w:cs="Arial"/>
          <w:sz w:val="20"/>
          <w:szCs w:val="20"/>
          <w:u w:val="single"/>
        </w:rPr>
      </w:pPr>
    </w:p>
    <w:tbl>
      <w:tblPr>
        <w:tblStyle w:val="Tablaconcuadrcula94"/>
        <w:tblW w:w="5000" w:type="pct"/>
        <w:jc w:val="center"/>
        <w:tblLook w:val="04A0" w:firstRow="1" w:lastRow="0" w:firstColumn="1" w:lastColumn="0" w:noHBand="0" w:noVBand="1"/>
      </w:tblPr>
      <w:tblGrid>
        <w:gridCol w:w="1831"/>
        <w:gridCol w:w="1824"/>
        <w:gridCol w:w="1497"/>
        <w:gridCol w:w="1492"/>
        <w:gridCol w:w="1618"/>
      </w:tblGrid>
      <w:tr w:rsidR="00F94B48" w:rsidRPr="00F32542" w14:paraId="22B30FA4" w14:textId="77777777" w:rsidTr="00F94B48">
        <w:trPr>
          <w:jc w:val="center"/>
        </w:trPr>
        <w:tc>
          <w:tcPr>
            <w:tcW w:w="5000" w:type="pct"/>
            <w:gridSpan w:val="5"/>
            <w:shd w:val="clear" w:color="auto" w:fill="BFBFBF"/>
            <w:vAlign w:val="center"/>
          </w:tcPr>
          <w:p w14:paraId="754993AB" w14:textId="77777777" w:rsidR="00F94B48" w:rsidRPr="00F32542" w:rsidRDefault="00F94B48" w:rsidP="00F94B48">
            <w:pPr>
              <w:spacing w:after="0" w:line="360" w:lineRule="auto"/>
              <w:jc w:val="center"/>
              <w:rPr>
                <w:rFonts w:ascii="Arial" w:eastAsia="Calibri" w:hAnsi="Arial" w:cs="Arial"/>
                <w:b/>
                <w:sz w:val="20"/>
                <w:szCs w:val="20"/>
              </w:rPr>
            </w:pPr>
            <w:r w:rsidRPr="00F32542">
              <w:rPr>
                <w:rFonts w:ascii="Arial" w:eastAsia="Calibri" w:hAnsi="Arial" w:cs="Arial"/>
                <w:b/>
                <w:sz w:val="20"/>
                <w:szCs w:val="20"/>
              </w:rPr>
              <w:t>PVEM</w:t>
            </w:r>
          </w:p>
        </w:tc>
      </w:tr>
      <w:tr w:rsidR="00F94B48" w:rsidRPr="00F32542" w14:paraId="757D6232" w14:textId="77777777" w:rsidTr="00F94B48">
        <w:trPr>
          <w:jc w:val="center"/>
        </w:trPr>
        <w:tc>
          <w:tcPr>
            <w:tcW w:w="1108" w:type="pct"/>
            <w:vMerge w:val="restart"/>
            <w:shd w:val="clear" w:color="auto" w:fill="D9D9D9"/>
            <w:vAlign w:val="center"/>
          </w:tcPr>
          <w:p w14:paraId="4A6BDE9E" w14:textId="77777777" w:rsidR="00F94B48" w:rsidRPr="00F32542" w:rsidRDefault="00F94B48" w:rsidP="00F94B48">
            <w:pPr>
              <w:spacing w:after="0" w:line="360" w:lineRule="auto"/>
              <w:jc w:val="center"/>
              <w:rPr>
                <w:rFonts w:ascii="Arial" w:eastAsia="Calibri" w:hAnsi="Arial" w:cs="Arial"/>
                <w:b/>
                <w:sz w:val="20"/>
                <w:szCs w:val="20"/>
              </w:rPr>
            </w:pPr>
            <w:r w:rsidRPr="00F32542">
              <w:rPr>
                <w:rFonts w:ascii="Arial" w:eastAsia="Calibri" w:hAnsi="Arial" w:cs="Arial"/>
                <w:b/>
                <w:sz w:val="20"/>
                <w:szCs w:val="20"/>
              </w:rPr>
              <w:t>Diputaciones</w:t>
            </w:r>
          </w:p>
          <w:p w14:paraId="27483DA6" w14:textId="77777777" w:rsidR="00F94B48" w:rsidRPr="00F32542" w:rsidRDefault="00F94B48" w:rsidP="00F94B48">
            <w:pPr>
              <w:spacing w:after="0" w:line="360" w:lineRule="auto"/>
              <w:jc w:val="center"/>
              <w:rPr>
                <w:rFonts w:ascii="Arial" w:eastAsia="Calibri" w:hAnsi="Arial" w:cs="Arial"/>
                <w:b/>
                <w:sz w:val="20"/>
                <w:szCs w:val="20"/>
              </w:rPr>
            </w:pPr>
            <w:r w:rsidRPr="00F32542">
              <w:rPr>
                <w:rFonts w:ascii="Arial" w:eastAsia="Calibri" w:hAnsi="Arial" w:cs="Arial"/>
                <w:b/>
                <w:sz w:val="20"/>
                <w:szCs w:val="20"/>
              </w:rPr>
              <w:t>Asignadas</w:t>
            </w:r>
          </w:p>
        </w:tc>
        <w:tc>
          <w:tcPr>
            <w:tcW w:w="2913" w:type="pct"/>
            <w:gridSpan w:val="3"/>
            <w:tcBorders>
              <w:bottom w:val="single" w:sz="4" w:space="0" w:color="auto"/>
            </w:tcBorders>
            <w:shd w:val="clear" w:color="auto" w:fill="D9D9D9"/>
            <w:vAlign w:val="center"/>
          </w:tcPr>
          <w:p w14:paraId="1971D283" w14:textId="77777777" w:rsidR="00F94B48" w:rsidRPr="00F32542" w:rsidRDefault="00F94B48" w:rsidP="00F94B48">
            <w:pPr>
              <w:spacing w:after="0" w:line="360" w:lineRule="auto"/>
              <w:jc w:val="center"/>
              <w:rPr>
                <w:rFonts w:ascii="Arial" w:eastAsia="Calibri" w:hAnsi="Arial" w:cs="Arial"/>
                <w:b/>
                <w:sz w:val="20"/>
                <w:szCs w:val="20"/>
              </w:rPr>
            </w:pPr>
            <w:r w:rsidRPr="00F32542">
              <w:rPr>
                <w:rFonts w:ascii="Arial" w:eastAsia="Calibri" w:hAnsi="Arial" w:cs="Arial"/>
                <w:b/>
                <w:sz w:val="20"/>
                <w:szCs w:val="20"/>
              </w:rPr>
              <w:t>Lista Definitiva</w:t>
            </w:r>
          </w:p>
        </w:tc>
        <w:tc>
          <w:tcPr>
            <w:tcW w:w="979" w:type="pct"/>
            <w:vMerge w:val="restart"/>
            <w:shd w:val="clear" w:color="auto" w:fill="D9D9D9"/>
            <w:vAlign w:val="center"/>
          </w:tcPr>
          <w:p w14:paraId="3EA5B0D3" w14:textId="77777777" w:rsidR="00F94B48" w:rsidRPr="00F32542" w:rsidRDefault="00F94B48" w:rsidP="00F94B48">
            <w:pPr>
              <w:spacing w:after="0" w:line="360" w:lineRule="auto"/>
              <w:jc w:val="center"/>
              <w:rPr>
                <w:rFonts w:ascii="Arial" w:eastAsia="Calibri" w:hAnsi="Arial" w:cs="Arial"/>
                <w:b/>
                <w:sz w:val="20"/>
                <w:szCs w:val="20"/>
              </w:rPr>
            </w:pPr>
            <w:r w:rsidRPr="00F32542">
              <w:rPr>
                <w:rFonts w:ascii="Arial" w:eastAsia="Calibri" w:hAnsi="Arial" w:cs="Arial"/>
                <w:b/>
                <w:sz w:val="20"/>
                <w:szCs w:val="20"/>
              </w:rPr>
              <w:t>Lista</w:t>
            </w:r>
          </w:p>
        </w:tc>
      </w:tr>
      <w:tr w:rsidR="00F94B48" w:rsidRPr="00F32542" w14:paraId="03E0E5EC" w14:textId="77777777" w:rsidTr="00F94B48">
        <w:trPr>
          <w:jc w:val="center"/>
        </w:trPr>
        <w:tc>
          <w:tcPr>
            <w:tcW w:w="1108" w:type="pct"/>
            <w:vMerge/>
            <w:shd w:val="clear" w:color="auto" w:fill="D9D9D9"/>
            <w:vAlign w:val="center"/>
          </w:tcPr>
          <w:p w14:paraId="662D064F" w14:textId="77777777" w:rsidR="00F94B48" w:rsidRPr="00F32542" w:rsidRDefault="00F94B48" w:rsidP="00F94B48">
            <w:pPr>
              <w:spacing w:after="0" w:line="360" w:lineRule="auto"/>
              <w:jc w:val="center"/>
              <w:rPr>
                <w:rFonts w:ascii="Arial" w:eastAsia="Calibri" w:hAnsi="Arial" w:cs="Arial"/>
                <w:sz w:val="20"/>
                <w:szCs w:val="20"/>
              </w:rPr>
            </w:pPr>
          </w:p>
        </w:tc>
        <w:tc>
          <w:tcPr>
            <w:tcW w:w="1104" w:type="pct"/>
            <w:vMerge w:val="restart"/>
            <w:shd w:val="clear" w:color="auto" w:fill="D9D9D9"/>
            <w:vAlign w:val="center"/>
          </w:tcPr>
          <w:p w14:paraId="6857DF23" w14:textId="77777777" w:rsidR="00F94B48" w:rsidRPr="00F32542" w:rsidRDefault="00F94B48" w:rsidP="00F94B48">
            <w:pPr>
              <w:spacing w:after="0" w:line="360" w:lineRule="auto"/>
              <w:jc w:val="center"/>
              <w:rPr>
                <w:rFonts w:ascii="Arial" w:eastAsia="Calibri" w:hAnsi="Arial" w:cs="Arial"/>
                <w:b/>
                <w:sz w:val="20"/>
                <w:szCs w:val="20"/>
              </w:rPr>
            </w:pPr>
            <w:r w:rsidRPr="00F32542">
              <w:rPr>
                <w:rFonts w:ascii="Arial" w:eastAsia="Calibri" w:hAnsi="Arial" w:cs="Arial"/>
                <w:b/>
                <w:sz w:val="20"/>
                <w:szCs w:val="20"/>
              </w:rPr>
              <w:t>Fórmula</w:t>
            </w:r>
          </w:p>
        </w:tc>
        <w:tc>
          <w:tcPr>
            <w:tcW w:w="1809" w:type="pct"/>
            <w:gridSpan w:val="2"/>
            <w:shd w:val="clear" w:color="auto" w:fill="D9D9D9"/>
            <w:vAlign w:val="center"/>
          </w:tcPr>
          <w:p w14:paraId="0E1824C6" w14:textId="77777777" w:rsidR="00F94B48" w:rsidRPr="00F32542" w:rsidRDefault="00F94B48" w:rsidP="00F94B48">
            <w:pPr>
              <w:spacing w:after="0" w:line="360" w:lineRule="auto"/>
              <w:jc w:val="center"/>
              <w:rPr>
                <w:rFonts w:ascii="Arial" w:eastAsia="Calibri" w:hAnsi="Arial" w:cs="Arial"/>
                <w:b/>
                <w:sz w:val="20"/>
                <w:szCs w:val="20"/>
              </w:rPr>
            </w:pPr>
            <w:r w:rsidRPr="00F32542">
              <w:rPr>
                <w:rFonts w:ascii="Arial" w:eastAsia="Calibri" w:hAnsi="Arial" w:cs="Arial"/>
                <w:b/>
                <w:sz w:val="20"/>
                <w:szCs w:val="20"/>
              </w:rPr>
              <w:t>Género</w:t>
            </w:r>
          </w:p>
        </w:tc>
        <w:tc>
          <w:tcPr>
            <w:tcW w:w="979" w:type="pct"/>
            <w:vMerge/>
            <w:shd w:val="clear" w:color="auto" w:fill="D9D9D9"/>
            <w:vAlign w:val="center"/>
          </w:tcPr>
          <w:p w14:paraId="4F47785A" w14:textId="77777777" w:rsidR="00F94B48" w:rsidRPr="00F32542" w:rsidRDefault="00F94B48" w:rsidP="00F94B48">
            <w:pPr>
              <w:spacing w:after="0" w:line="360" w:lineRule="auto"/>
              <w:jc w:val="center"/>
              <w:rPr>
                <w:rFonts w:ascii="Arial" w:eastAsia="Calibri" w:hAnsi="Arial" w:cs="Arial"/>
                <w:b/>
                <w:sz w:val="20"/>
                <w:szCs w:val="20"/>
              </w:rPr>
            </w:pPr>
          </w:p>
        </w:tc>
      </w:tr>
      <w:tr w:rsidR="00F94B48" w:rsidRPr="00F32542" w14:paraId="1D7451DD" w14:textId="77777777" w:rsidTr="00F94B48">
        <w:trPr>
          <w:jc w:val="center"/>
        </w:trPr>
        <w:tc>
          <w:tcPr>
            <w:tcW w:w="1108" w:type="pct"/>
            <w:vMerge/>
            <w:shd w:val="clear" w:color="auto" w:fill="D9D9D9"/>
            <w:vAlign w:val="center"/>
          </w:tcPr>
          <w:p w14:paraId="65E13E50" w14:textId="77777777" w:rsidR="00F94B48" w:rsidRPr="00F32542" w:rsidRDefault="00F94B48" w:rsidP="00F94B48">
            <w:pPr>
              <w:spacing w:after="0" w:line="360" w:lineRule="auto"/>
              <w:jc w:val="center"/>
              <w:rPr>
                <w:rFonts w:ascii="Arial" w:eastAsia="Calibri" w:hAnsi="Arial" w:cs="Arial"/>
                <w:sz w:val="20"/>
                <w:szCs w:val="20"/>
              </w:rPr>
            </w:pPr>
          </w:p>
        </w:tc>
        <w:tc>
          <w:tcPr>
            <w:tcW w:w="1104" w:type="pct"/>
            <w:vMerge/>
            <w:shd w:val="clear" w:color="auto" w:fill="D9D9D9"/>
            <w:vAlign w:val="center"/>
          </w:tcPr>
          <w:p w14:paraId="0D206A04" w14:textId="77777777" w:rsidR="00F94B48" w:rsidRPr="00F32542" w:rsidRDefault="00F94B48" w:rsidP="00F94B48">
            <w:pPr>
              <w:spacing w:after="0" w:line="360" w:lineRule="auto"/>
              <w:jc w:val="center"/>
              <w:rPr>
                <w:rFonts w:ascii="Arial" w:eastAsia="Calibri" w:hAnsi="Arial" w:cs="Arial"/>
                <w:b/>
                <w:sz w:val="20"/>
                <w:szCs w:val="20"/>
              </w:rPr>
            </w:pPr>
          </w:p>
        </w:tc>
        <w:tc>
          <w:tcPr>
            <w:tcW w:w="906" w:type="pct"/>
            <w:shd w:val="clear" w:color="auto" w:fill="D9D9D9"/>
            <w:vAlign w:val="center"/>
          </w:tcPr>
          <w:p w14:paraId="2F8FE4F6" w14:textId="77777777" w:rsidR="00F94B48" w:rsidRPr="00F32542" w:rsidRDefault="00F94B48" w:rsidP="00F94B48">
            <w:pPr>
              <w:spacing w:after="0" w:line="360" w:lineRule="auto"/>
              <w:jc w:val="center"/>
              <w:rPr>
                <w:rFonts w:ascii="Arial" w:eastAsia="Calibri" w:hAnsi="Arial" w:cs="Arial"/>
                <w:b/>
                <w:sz w:val="20"/>
                <w:szCs w:val="20"/>
              </w:rPr>
            </w:pPr>
            <w:r w:rsidRPr="00F32542">
              <w:rPr>
                <w:rFonts w:ascii="Arial" w:eastAsia="Calibri" w:hAnsi="Arial" w:cs="Arial"/>
                <w:b/>
                <w:sz w:val="20"/>
                <w:szCs w:val="20"/>
              </w:rPr>
              <w:t>Mujeres</w:t>
            </w:r>
          </w:p>
        </w:tc>
        <w:tc>
          <w:tcPr>
            <w:tcW w:w="903" w:type="pct"/>
            <w:shd w:val="clear" w:color="auto" w:fill="D9D9D9"/>
            <w:vAlign w:val="center"/>
          </w:tcPr>
          <w:p w14:paraId="3E4F6C1D" w14:textId="77777777" w:rsidR="00F94B48" w:rsidRPr="00F32542" w:rsidRDefault="00F94B48" w:rsidP="00F94B48">
            <w:pPr>
              <w:spacing w:after="0" w:line="360" w:lineRule="auto"/>
              <w:jc w:val="center"/>
              <w:rPr>
                <w:rFonts w:ascii="Arial" w:eastAsia="Calibri" w:hAnsi="Arial" w:cs="Arial"/>
                <w:b/>
                <w:sz w:val="20"/>
                <w:szCs w:val="20"/>
              </w:rPr>
            </w:pPr>
            <w:r w:rsidRPr="00F32542">
              <w:rPr>
                <w:rFonts w:ascii="Arial" w:eastAsia="Calibri" w:hAnsi="Arial" w:cs="Arial"/>
                <w:b/>
                <w:sz w:val="20"/>
                <w:szCs w:val="20"/>
              </w:rPr>
              <w:t>Hombres</w:t>
            </w:r>
          </w:p>
        </w:tc>
        <w:tc>
          <w:tcPr>
            <w:tcW w:w="979" w:type="pct"/>
            <w:vMerge/>
            <w:shd w:val="clear" w:color="auto" w:fill="D9D9D9"/>
            <w:vAlign w:val="center"/>
          </w:tcPr>
          <w:p w14:paraId="07F3579A" w14:textId="77777777" w:rsidR="00F94B48" w:rsidRPr="00F32542" w:rsidRDefault="00F94B48" w:rsidP="00F94B48">
            <w:pPr>
              <w:spacing w:after="0" w:line="360" w:lineRule="auto"/>
              <w:jc w:val="center"/>
              <w:rPr>
                <w:rFonts w:ascii="Arial" w:eastAsia="Calibri" w:hAnsi="Arial" w:cs="Arial"/>
                <w:b/>
                <w:sz w:val="20"/>
                <w:szCs w:val="20"/>
              </w:rPr>
            </w:pPr>
          </w:p>
        </w:tc>
      </w:tr>
      <w:tr w:rsidR="00F94B48" w:rsidRPr="00F32542" w14:paraId="0D5A82A9" w14:textId="77777777" w:rsidTr="00B65D24">
        <w:trPr>
          <w:trHeight w:val="457"/>
          <w:jc w:val="center"/>
        </w:trPr>
        <w:tc>
          <w:tcPr>
            <w:tcW w:w="1108" w:type="pct"/>
            <w:vAlign w:val="center"/>
          </w:tcPr>
          <w:p w14:paraId="1275577E"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w:t>
            </w:r>
          </w:p>
        </w:tc>
        <w:tc>
          <w:tcPr>
            <w:tcW w:w="1104" w:type="pct"/>
            <w:vAlign w:val="center"/>
          </w:tcPr>
          <w:p w14:paraId="3AAA25D6"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w:t>
            </w:r>
          </w:p>
        </w:tc>
        <w:tc>
          <w:tcPr>
            <w:tcW w:w="906" w:type="pct"/>
            <w:vAlign w:val="center"/>
          </w:tcPr>
          <w:p w14:paraId="2C7A4AE6"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M</w:t>
            </w:r>
          </w:p>
        </w:tc>
        <w:tc>
          <w:tcPr>
            <w:tcW w:w="903" w:type="pct"/>
            <w:vAlign w:val="center"/>
          </w:tcPr>
          <w:p w14:paraId="6A983052" w14:textId="77777777" w:rsidR="00F94B48" w:rsidRPr="00F32542" w:rsidRDefault="00F94B48" w:rsidP="00F94B48">
            <w:pPr>
              <w:spacing w:after="0" w:line="360" w:lineRule="auto"/>
              <w:jc w:val="center"/>
              <w:rPr>
                <w:rFonts w:ascii="Arial" w:eastAsia="Calibri" w:hAnsi="Arial" w:cs="Arial"/>
                <w:sz w:val="20"/>
                <w:szCs w:val="20"/>
              </w:rPr>
            </w:pPr>
          </w:p>
        </w:tc>
        <w:tc>
          <w:tcPr>
            <w:tcW w:w="979" w:type="pct"/>
            <w:vAlign w:val="center"/>
          </w:tcPr>
          <w:p w14:paraId="6B82A0AA"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1B</w:t>
            </w:r>
          </w:p>
        </w:tc>
      </w:tr>
      <w:tr w:rsidR="00F94B48" w:rsidRPr="00F32542" w14:paraId="155C813C" w14:textId="77777777" w:rsidTr="00F94B48">
        <w:trPr>
          <w:jc w:val="center"/>
        </w:trPr>
        <w:tc>
          <w:tcPr>
            <w:tcW w:w="1108" w:type="pct"/>
            <w:tcBorders>
              <w:left w:val="single" w:sz="4" w:space="0" w:color="auto"/>
              <w:bottom w:val="single" w:sz="4" w:space="0" w:color="auto"/>
              <w:right w:val="single" w:sz="4" w:space="0" w:color="auto"/>
            </w:tcBorders>
            <w:shd w:val="clear" w:color="auto" w:fill="D9D9D9"/>
            <w:vAlign w:val="center"/>
          </w:tcPr>
          <w:p w14:paraId="64534C42"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Total</w:t>
            </w:r>
          </w:p>
        </w:tc>
        <w:tc>
          <w:tcPr>
            <w:tcW w:w="1104" w:type="pct"/>
            <w:tcBorders>
              <w:left w:val="single" w:sz="4" w:space="0" w:color="auto"/>
              <w:bottom w:val="single" w:sz="4" w:space="0" w:color="auto"/>
              <w:right w:val="single" w:sz="4" w:space="0" w:color="auto"/>
            </w:tcBorders>
            <w:shd w:val="clear" w:color="auto" w:fill="D9D9D9"/>
            <w:vAlign w:val="center"/>
          </w:tcPr>
          <w:p w14:paraId="6AA16906" w14:textId="77777777" w:rsidR="00F94B48" w:rsidRPr="00F32542" w:rsidRDefault="00F94B48" w:rsidP="00F94B48">
            <w:pPr>
              <w:spacing w:after="0" w:line="360" w:lineRule="auto"/>
              <w:jc w:val="center"/>
              <w:rPr>
                <w:rFonts w:ascii="Arial" w:eastAsia="Calibri" w:hAnsi="Arial" w:cs="Arial"/>
                <w:sz w:val="20"/>
                <w:szCs w:val="20"/>
              </w:rPr>
            </w:pPr>
          </w:p>
        </w:tc>
        <w:tc>
          <w:tcPr>
            <w:tcW w:w="906" w:type="pct"/>
            <w:tcBorders>
              <w:left w:val="single" w:sz="4" w:space="0" w:color="auto"/>
            </w:tcBorders>
            <w:shd w:val="clear" w:color="auto" w:fill="D9D9D9"/>
            <w:vAlign w:val="center"/>
          </w:tcPr>
          <w:p w14:paraId="4D46FE58"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1</w:t>
            </w:r>
          </w:p>
        </w:tc>
        <w:tc>
          <w:tcPr>
            <w:tcW w:w="903" w:type="pct"/>
            <w:shd w:val="clear" w:color="auto" w:fill="D9D9D9"/>
            <w:vAlign w:val="center"/>
          </w:tcPr>
          <w:p w14:paraId="379856C7" w14:textId="77777777" w:rsidR="00F94B48" w:rsidRPr="00F32542" w:rsidRDefault="00F94B48" w:rsidP="00F94B48">
            <w:pPr>
              <w:spacing w:after="0" w:line="360" w:lineRule="auto"/>
              <w:jc w:val="center"/>
              <w:rPr>
                <w:rFonts w:ascii="Arial" w:eastAsia="Calibri" w:hAnsi="Arial" w:cs="Arial"/>
                <w:sz w:val="20"/>
                <w:szCs w:val="20"/>
              </w:rPr>
            </w:pPr>
            <w:r w:rsidRPr="00F32542">
              <w:rPr>
                <w:rFonts w:ascii="Arial" w:eastAsia="Calibri" w:hAnsi="Arial" w:cs="Arial"/>
                <w:sz w:val="20"/>
                <w:szCs w:val="20"/>
              </w:rPr>
              <w:t>0</w:t>
            </w:r>
          </w:p>
        </w:tc>
        <w:tc>
          <w:tcPr>
            <w:tcW w:w="979" w:type="pct"/>
            <w:shd w:val="clear" w:color="auto" w:fill="D9D9D9"/>
            <w:vAlign w:val="center"/>
          </w:tcPr>
          <w:p w14:paraId="6A45DDD7" w14:textId="77777777" w:rsidR="00F94B48" w:rsidRPr="00F32542" w:rsidRDefault="00F94B48" w:rsidP="00F94B48">
            <w:pPr>
              <w:spacing w:after="0" w:line="360" w:lineRule="auto"/>
              <w:jc w:val="center"/>
              <w:rPr>
                <w:rFonts w:ascii="Arial" w:eastAsia="Calibri" w:hAnsi="Arial" w:cs="Arial"/>
                <w:sz w:val="20"/>
                <w:szCs w:val="20"/>
              </w:rPr>
            </w:pPr>
          </w:p>
        </w:tc>
      </w:tr>
    </w:tbl>
    <w:p w14:paraId="18D6A581" w14:textId="77777777" w:rsidR="00F94B48" w:rsidRPr="00F32542" w:rsidRDefault="00F94B48" w:rsidP="00F94B48">
      <w:pPr>
        <w:spacing w:after="0" w:line="360" w:lineRule="auto"/>
        <w:contextualSpacing/>
        <w:jc w:val="both"/>
        <w:rPr>
          <w:rFonts w:ascii="Arial" w:eastAsia="Calibri" w:hAnsi="Arial" w:cs="Arial"/>
          <w:sz w:val="28"/>
          <w:szCs w:val="28"/>
        </w:rPr>
      </w:pPr>
    </w:p>
    <w:p w14:paraId="7D97FD02" w14:textId="77777777" w:rsidR="00F94B48" w:rsidRPr="00F32542" w:rsidRDefault="00F94B48" w:rsidP="00F94B48">
      <w:pPr>
        <w:spacing w:after="0" w:line="360" w:lineRule="auto"/>
        <w:contextualSpacing/>
        <w:jc w:val="both"/>
        <w:rPr>
          <w:rFonts w:ascii="Arial" w:eastAsia="Calibri" w:hAnsi="Arial" w:cs="Arial"/>
          <w:sz w:val="28"/>
          <w:szCs w:val="28"/>
        </w:rPr>
      </w:pPr>
      <w:r w:rsidRPr="00F32542">
        <w:rPr>
          <w:rFonts w:ascii="Arial" w:eastAsia="Calibri" w:hAnsi="Arial" w:cs="Arial"/>
          <w:sz w:val="28"/>
          <w:szCs w:val="28"/>
        </w:rPr>
        <w:t xml:space="preserve">Hecho lo anterior, el Congreso queda integrado de manera paritaria, con treinta y tres (33) fórmulas asignadas a mujeres y treinta y tres (33) correspondientes a hombres, sin que algún </w:t>
      </w:r>
      <w:r w:rsidRPr="00F32542">
        <w:rPr>
          <w:rFonts w:ascii="Arial" w:eastAsia="Calibri" w:hAnsi="Arial" w:cs="Arial"/>
          <w:sz w:val="28"/>
          <w:szCs w:val="28"/>
        </w:rPr>
        <w:lastRenderedPageBreak/>
        <w:t>partido político rebase las barreras legales o límites a la sobre y subrepresentación, como se advierte enseguida:</w:t>
      </w:r>
    </w:p>
    <w:p w14:paraId="4AD229F1" w14:textId="77777777" w:rsidR="00F94B48" w:rsidRPr="00F32542" w:rsidRDefault="00F94B48" w:rsidP="00F94B48">
      <w:pPr>
        <w:spacing w:after="0" w:line="360" w:lineRule="auto"/>
        <w:contextualSpacing/>
        <w:jc w:val="both"/>
        <w:rPr>
          <w:rFonts w:ascii="Arial" w:eastAsia="Calibri" w:hAnsi="Arial" w:cs="Arial"/>
          <w:sz w:val="28"/>
          <w:szCs w:val="28"/>
        </w:rPr>
      </w:pPr>
    </w:p>
    <w:tbl>
      <w:tblPr>
        <w:tblStyle w:val="Tablaconcuadrcula911"/>
        <w:tblW w:w="8784" w:type="dxa"/>
        <w:jc w:val="center"/>
        <w:tblLayout w:type="fixed"/>
        <w:tblLook w:val="04A0" w:firstRow="1" w:lastRow="0" w:firstColumn="1" w:lastColumn="0" w:noHBand="0" w:noVBand="1"/>
      </w:tblPr>
      <w:tblGrid>
        <w:gridCol w:w="1271"/>
        <w:gridCol w:w="709"/>
        <w:gridCol w:w="850"/>
        <w:gridCol w:w="709"/>
        <w:gridCol w:w="851"/>
        <w:gridCol w:w="425"/>
        <w:gridCol w:w="850"/>
        <w:gridCol w:w="567"/>
        <w:gridCol w:w="993"/>
        <w:gridCol w:w="1559"/>
      </w:tblGrid>
      <w:tr w:rsidR="00F94B48" w:rsidRPr="00F32542" w14:paraId="42197D32" w14:textId="77777777" w:rsidTr="00F94B48">
        <w:trPr>
          <w:tblHeader/>
          <w:jc w:val="center"/>
        </w:trPr>
        <w:tc>
          <w:tcPr>
            <w:tcW w:w="1271" w:type="dxa"/>
            <w:vMerge w:val="restart"/>
            <w:shd w:val="clear" w:color="auto" w:fill="AEAAAA"/>
            <w:vAlign w:val="center"/>
          </w:tcPr>
          <w:p w14:paraId="7B9FD1E6" w14:textId="77777777" w:rsidR="00F94B48" w:rsidRPr="00F32542" w:rsidRDefault="00F94B48" w:rsidP="00F94B48">
            <w:pPr>
              <w:spacing w:after="0" w:line="240" w:lineRule="auto"/>
              <w:jc w:val="center"/>
              <w:rPr>
                <w:rFonts w:ascii="Arial" w:eastAsia="Calibri" w:hAnsi="Arial" w:cs="Arial"/>
                <w:b/>
                <w:sz w:val="20"/>
                <w:szCs w:val="20"/>
                <w:lang w:val="es-ES"/>
              </w:rPr>
            </w:pPr>
            <w:r w:rsidRPr="00F32542">
              <w:rPr>
                <w:rFonts w:ascii="Arial" w:eastAsia="Calibri" w:hAnsi="Arial" w:cs="Arial"/>
                <w:b/>
                <w:sz w:val="20"/>
                <w:szCs w:val="20"/>
                <w:lang w:val="es-ES"/>
              </w:rPr>
              <w:t>Partido político</w:t>
            </w:r>
          </w:p>
        </w:tc>
        <w:tc>
          <w:tcPr>
            <w:tcW w:w="1559" w:type="dxa"/>
            <w:gridSpan w:val="2"/>
            <w:shd w:val="clear" w:color="auto" w:fill="AEAAAA"/>
            <w:vAlign w:val="center"/>
          </w:tcPr>
          <w:p w14:paraId="3D444C1B" w14:textId="77777777" w:rsidR="00F94B48" w:rsidRPr="00F32542" w:rsidRDefault="00F94B48" w:rsidP="00F94B48">
            <w:pPr>
              <w:spacing w:after="0" w:line="240" w:lineRule="auto"/>
              <w:jc w:val="center"/>
              <w:rPr>
                <w:rFonts w:ascii="Arial" w:eastAsia="Calibri" w:hAnsi="Arial" w:cs="Arial"/>
                <w:b/>
                <w:sz w:val="20"/>
                <w:szCs w:val="20"/>
                <w:lang w:val="es-ES"/>
              </w:rPr>
            </w:pPr>
            <w:r w:rsidRPr="00F32542">
              <w:rPr>
                <w:rFonts w:ascii="Arial" w:eastAsia="Calibri" w:hAnsi="Arial" w:cs="Arial"/>
                <w:b/>
                <w:sz w:val="20"/>
                <w:szCs w:val="20"/>
                <w:lang w:val="es-ES"/>
              </w:rPr>
              <w:t>Diputaciones de MR</w:t>
            </w:r>
          </w:p>
        </w:tc>
        <w:tc>
          <w:tcPr>
            <w:tcW w:w="1560" w:type="dxa"/>
            <w:gridSpan w:val="2"/>
            <w:shd w:val="clear" w:color="auto" w:fill="AEAAAA"/>
            <w:vAlign w:val="center"/>
          </w:tcPr>
          <w:p w14:paraId="002882DA" w14:textId="77777777" w:rsidR="00F94B48" w:rsidRPr="00F32542" w:rsidRDefault="00F94B48" w:rsidP="00F94B48">
            <w:pPr>
              <w:spacing w:after="0" w:line="240" w:lineRule="auto"/>
              <w:jc w:val="center"/>
              <w:rPr>
                <w:rFonts w:ascii="Arial" w:eastAsia="Calibri" w:hAnsi="Arial" w:cs="Arial"/>
                <w:b/>
                <w:sz w:val="20"/>
                <w:szCs w:val="20"/>
                <w:lang w:val="es-ES"/>
              </w:rPr>
            </w:pPr>
            <w:r w:rsidRPr="00F32542">
              <w:rPr>
                <w:rFonts w:ascii="Arial" w:eastAsia="Calibri" w:hAnsi="Arial" w:cs="Arial"/>
                <w:b/>
                <w:sz w:val="20"/>
                <w:szCs w:val="20"/>
                <w:lang w:val="es-ES"/>
              </w:rPr>
              <w:t>Diputaciones de RP</w:t>
            </w:r>
          </w:p>
        </w:tc>
        <w:tc>
          <w:tcPr>
            <w:tcW w:w="1275" w:type="dxa"/>
            <w:gridSpan w:val="2"/>
            <w:shd w:val="clear" w:color="auto" w:fill="AEAAAA"/>
            <w:vAlign w:val="center"/>
          </w:tcPr>
          <w:p w14:paraId="2D308CE9" w14:textId="77777777" w:rsidR="00F94B48" w:rsidRPr="00F32542" w:rsidRDefault="00F94B48" w:rsidP="00F94B48">
            <w:pPr>
              <w:spacing w:after="0" w:line="240" w:lineRule="auto"/>
              <w:jc w:val="center"/>
              <w:rPr>
                <w:rFonts w:ascii="Arial" w:eastAsia="Calibri" w:hAnsi="Arial" w:cs="Arial"/>
                <w:b/>
                <w:sz w:val="20"/>
                <w:szCs w:val="20"/>
                <w:lang w:val="es-ES"/>
              </w:rPr>
            </w:pPr>
            <w:r w:rsidRPr="00F32542">
              <w:rPr>
                <w:rFonts w:ascii="Arial" w:eastAsia="Calibri" w:hAnsi="Arial" w:cs="Arial"/>
                <w:b/>
                <w:sz w:val="20"/>
                <w:szCs w:val="20"/>
                <w:lang w:val="es-ES"/>
              </w:rPr>
              <w:t>Diputación migrante</w:t>
            </w:r>
          </w:p>
        </w:tc>
        <w:tc>
          <w:tcPr>
            <w:tcW w:w="1560" w:type="dxa"/>
            <w:gridSpan w:val="2"/>
            <w:shd w:val="clear" w:color="auto" w:fill="AEAAAA"/>
            <w:vAlign w:val="center"/>
          </w:tcPr>
          <w:p w14:paraId="3A9A8476" w14:textId="77777777" w:rsidR="00F94B48" w:rsidRPr="00F32542" w:rsidRDefault="00F94B48" w:rsidP="00F94B48">
            <w:pPr>
              <w:spacing w:after="0" w:line="240" w:lineRule="auto"/>
              <w:jc w:val="center"/>
              <w:rPr>
                <w:rFonts w:ascii="Arial" w:eastAsia="Calibri" w:hAnsi="Arial" w:cs="Arial"/>
                <w:b/>
                <w:sz w:val="20"/>
                <w:szCs w:val="20"/>
                <w:lang w:val="es-ES"/>
              </w:rPr>
            </w:pPr>
            <w:r w:rsidRPr="00F32542">
              <w:rPr>
                <w:rFonts w:ascii="Arial" w:eastAsia="Calibri" w:hAnsi="Arial" w:cs="Arial"/>
                <w:b/>
                <w:sz w:val="20"/>
                <w:szCs w:val="20"/>
                <w:lang w:val="es-ES"/>
              </w:rPr>
              <w:t>Diputaciones por ambos principios</w:t>
            </w:r>
          </w:p>
        </w:tc>
        <w:tc>
          <w:tcPr>
            <w:tcW w:w="1559" w:type="dxa"/>
            <w:vMerge w:val="restart"/>
            <w:shd w:val="clear" w:color="auto" w:fill="AEAAAA"/>
            <w:vAlign w:val="center"/>
          </w:tcPr>
          <w:p w14:paraId="54D88579" w14:textId="77777777" w:rsidR="00F94B48" w:rsidRPr="00F32542" w:rsidRDefault="00F94B48" w:rsidP="00F94B48">
            <w:pPr>
              <w:spacing w:after="0" w:line="240" w:lineRule="auto"/>
              <w:jc w:val="center"/>
              <w:rPr>
                <w:rFonts w:ascii="Arial" w:eastAsia="Calibri" w:hAnsi="Arial" w:cs="Arial"/>
                <w:b/>
                <w:sz w:val="20"/>
                <w:szCs w:val="20"/>
                <w:lang w:val="es-ES"/>
              </w:rPr>
            </w:pPr>
            <w:r w:rsidRPr="00F32542">
              <w:rPr>
                <w:rFonts w:ascii="Arial" w:eastAsia="Calibri" w:hAnsi="Arial" w:cs="Arial"/>
                <w:b/>
                <w:sz w:val="20"/>
                <w:szCs w:val="20"/>
                <w:lang w:val="es-ES"/>
              </w:rPr>
              <w:t>Total</w:t>
            </w:r>
          </w:p>
          <w:p w14:paraId="11854E4C" w14:textId="77777777" w:rsidR="00F94B48" w:rsidRPr="00F32542" w:rsidRDefault="00F94B48" w:rsidP="00F94B48">
            <w:pPr>
              <w:spacing w:after="0" w:line="240" w:lineRule="auto"/>
              <w:jc w:val="center"/>
              <w:rPr>
                <w:rFonts w:ascii="Arial" w:eastAsia="Calibri" w:hAnsi="Arial" w:cs="Arial"/>
                <w:b/>
                <w:sz w:val="20"/>
                <w:szCs w:val="20"/>
                <w:lang w:val="es-ES"/>
              </w:rPr>
            </w:pPr>
            <w:r w:rsidRPr="00F32542">
              <w:rPr>
                <w:rFonts w:ascii="Arial" w:eastAsia="Calibri" w:hAnsi="Arial" w:cs="Arial"/>
                <w:b/>
                <w:sz w:val="20"/>
                <w:szCs w:val="20"/>
                <w:lang w:val="es-ES"/>
              </w:rPr>
              <w:t>diputaciones</w:t>
            </w:r>
          </w:p>
        </w:tc>
      </w:tr>
      <w:tr w:rsidR="00F94B48" w:rsidRPr="00F32542" w14:paraId="3FDF91AB" w14:textId="77777777" w:rsidTr="00F94B48">
        <w:trPr>
          <w:tblHeader/>
          <w:jc w:val="center"/>
        </w:trPr>
        <w:tc>
          <w:tcPr>
            <w:tcW w:w="1271" w:type="dxa"/>
            <w:vMerge/>
            <w:tcBorders>
              <w:bottom w:val="single" w:sz="4" w:space="0" w:color="auto"/>
            </w:tcBorders>
            <w:shd w:val="clear" w:color="auto" w:fill="7030A0"/>
            <w:vAlign w:val="center"/>
          </w:tcPr>
          <w:p w14:paraId="66E4BADB" w14:textId="77777777" w:rsidR="00F94B48" w:rsidRPr="00F32542" w:rsidRDefault="00F94B48" w:rsidP="00F94B48">
            <w:pPr>
              <w:spacing w:after="0" w:line="240" w:lineRule="auto"/>
              <w:jc w:val="center"/>
              <w:rPr>
                <w:rFonts w:ascii="Arial" w:eastAsia="Calibri" w:hAnsi="Arial" w:cs="Arial"/>
                <w:b/>
                <w:color w:val="FFFFFF"/>
                <w:lang w:val="es-ES"/>
              </w:rPr>
            </w:pPr>
          </w:p>
        </w:tc>
        <w:tc>
          <w:tcPr>
            <w:tcW w:w="709" w:type="dxa"/>
            <w:tcBorders>
              <w:bottom w:val="single" w:sz="4" w:space="0" w:color="auto"/>
            </w:tcBorders>
            <w:shd w:val="clear" w:color="auto" w:fill="808080"/>
            <w:vAlign w:val="center"/>
          </w:tcPr>
          <w:p w14:paraId="6FE15FA3"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M</w:t>
            </w:r>
          </w:p>
        </w:tc>
        <w:tc>
          <w:tcPr>
            <w:tcW w:w="850" w:type="dxa"/>
            <w:tcBorders>
              <w:bottom w:val="single" w:sz="4" w:space="0" w:color="auto"/>
            </w:tcBorders>
            <w:shd w:val="clear" w:color="auto" w:fill="808080"/>
            <w:vAlign w:val="center"/>
          </w:tcPr>
          <w:p w14:paraId="341EE8A0"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H</w:t>
            </w:r>
          </w:p>
        </w:tc>
        <w:tc>
          <w:tcPr>
            <w:tcW w:w="709" w:type="dxa"/>
            <w:tcBorders>
              <w:bottom w:val="single" w:sz="4" w:space="0" w:color="auto"/>
            </w:tcBorders>
            <w:shd w:val="clear" w:color="auto" w:fill="808080"/>
            <w:vAlign w:val="center"/>
          </w:tcPr>
          <w:p w14:paraId="20CF1812"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M</w:t>
            </w:r>
          </w:p>
        </w:tc>
        <w:tc>
          <w:tcPr>
            <w:tcW w:w="851" w:type="dxa"/>
            <w:tcBorders>
              <w:bottom w:val="single" w:sz="4" w:space="0" w:color="auto"/>
            </w:tcBorders>
            <w:shd w:val="clear" w:color="auto" w:fill="808080"/>
            <w:vAlign w:val="center"/>
          </w:tcPr>
          <w:p w14:paraId="43DB2B21"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H</w:t>
            </w:r>
          </w:p>
        </w:tc>
        <w:tc>
          <w:tcPr>
            <w:tcW w:w="425" w:type="dxa"/>
            <w:tcBorders>
              <w:bottom w:val="single" w:sz="4" w:space="0" w:color="auto"/>
            </w:tcBorders>
            <w:shd w:val="clear" w:color="auto" w:fill="808080"/>
            <w:vAlign w:val="center"/>
          </w:tcPr>
          <w:p w14:paraId="4A125A7E"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 xml:space="preserve">M </w:t>
            </w:r>
          </w:p>
        </w:tc>
        <w:tc>
          <w:tcPr>
            <w:tcW w:w="850" w:type="dxa"/>
            <w:tcBorders>
              <w:bottom w:val="single" w:sz="4" w:space="0" w:color="auto"/>
            </w:tcBorders>
            <w:shd w:val="clear" w:color="auto" w:fill="808080"/>
            <w:vAlign w:val="center"/>
          </w:tcPr>
          <w:p w14:paraId="3D2674E2"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H</w:t>
            </w:r>
          </w:p>
        </w:tc>
        <w:tc>
          <w:tcPr>
            <w:tcW w:w="567" w:type="dxa"/>
            <w:tcBorders>
              <w:bottom w:val="single" w:sz="4" w:space="0" w:color="auto"/>
            </w:tcBorders>
            <w:shd w:val="clear" w:color="auto" w:fill="808080"/>
            <w:vAlign w:val="center"/>
          </w:tcPr>
          <w:p w14:paraId="075EC52B"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M</w:t>
            </w:r>
          </w:p>
        </w:tc>
        <w:tc>
          <w:tcPr>
            <w:tcW w:w="993" w:type="dxa"/>
            <w:tcBorders>
              <w:bottom w:val="single" w:sz="4" w:space="0" w:color="auto"/>
            </w:tcBorders>
            <w:shd w:val="clear" w:color="auto" w:fill="808080"/>
            <w:vAlign w:val="center"/>
          </w:tcPr>
          <w:p w14:paraId="59BEA589"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H</w:t>
            </w:r>
          </w:p>
        </w:tc>
        <w:tc>
          <w:tcPr>
            <w:tcW w:w="1559" w:type="dxa"/>
            <w:vMerge/>
            <w:tcBorders>
              <w:bottom w:val="single" w:sz="4" w:space="0" w:color="auto"/>
            </w:tcBorders>
            <w:shd w:val="clear" w:color="auto" w:fill="7030A0"/>
            <w:vAlign w:val="center"/>
          </w:tcPr>
          <w:p w14:paraId="01E16B57" w14:textId="77777777" w:rsidR="00F94B48" w:rsidRPr="00F32542" w:rsidRDefault="00F94B48" w:rsidP="00F94B48">
            <w:pPr>
              <w:spacing w:after="0" w:line="240" w:lineRule="auto"/>
              <w:jc w:val="center"/>
              <w:rPr>
                <w:rFonts w:ascii="Arial" w:eastAsia="Calibri" w:hAnsi="Arial" w:cs="Arial"/>
                <w:b/>
                <w:color w:val="FFFFFF"/>
                <w:lang w:val="es-ES"/>
              </w:rPr>
            </w:pPr>
          </w:p>
        </w:tc>
      </w:tr>
      <w:tr w:rsidR="00F94B48" w:rsidRPr="00F32542" w14:paraId="6ADFD608" w14:textId="77777777" w:rsidTr="00B65D24">
        <w:trPr>
          <w:trHeight w:val="397"/>
          <w:jc w:val="center"/>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tcPr>
          <w:p w14:paraId="7EE41547" w14:textId="77777777" w:rsidR="00F94B48" w:rsidRPr="00F32542" w:rsidRDefault="00F94B48" w:rsidP="00F94B48">
            <w:pPr>
              <w:spacing w:after="0" w:line="240" w:lineRule="auto"/>
              <w:jc w:val="center"/>
              <w:rPr>
                <w:rFonts w:ascii="Arial" w:eastAsia="Calibri" w:hAnsi="Arial" w:cs="Arial"/>
                <w:color w:val="000000"/>
              </w:rPr>
            </w:pPr>
            <w:r w:rsidRPr="00F32542">
              <w:rPr>
                <w:rFonts w:ascii="Arial" w:eastAsia="Calibri" w:hAnsi="Arial" w:cs="Arial"/>
                <w:color w:val="000000"/>
              </w:rPr>
              <w:t>PAN</w:t>
            </w:r>
          </w:p>
        </w:tc>
        <w:tc>
          <w:tcPr>
            <w:tcW w:w="709" w:type="dxa"/>
            <w:tcBorders>
              <w:top w:val="single" w:sz="4" w:space="0" w:color="auto"/>
              <w:left w:val="single" w:sz="4" w:space="0" w:color="auto"/>
              <w:bottom w:val="single" w:sz="4" w:space="0" w:color="auto"/>
              <w:right w:val="single" w:sz="4" w:space="0" w:color="auto"/>
            </w:tcBorders>
            <w:vAlign w:val="center"/>
          </w:tcPr>
          <w:p w14:paraId="0F113291"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1CD9C33"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7EE1ADB"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4892497"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C4D9751" w14:textId="77777777" w:rsidR="00F94B48" w:rsidRPr="00F32542" w:rsidRDefault="00F94B48" w:rsidP="00F94B48">
            <w:pPr>
              <w:spacing w:after="0" w:line="240" w:lineRule="auto"/>
              <w:jc w:val="center"/>
              <w:rPr>
                <w:rFonts w:ascii="Arial" w:eastAsia="Calibri"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7B2A577"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c>
          <w:tcPr>
            <w:tcW w:w="567" w:type="dxa"/>
            <w:tcBorders>
              <w:top w:val="single" w:sz="4" w:space="0" w:color="auto"/>
              <w:left w:val="single" w:sz="4" w:space="0" w:color="auto"/>
              <w:bottom w:val="single" w:sz="4" w:space="0" w:color="auto"/>
              <w:right w:val="single" w:sz="4" w:space="0" w:color="auto"/>
            </w:tcBorders>
            <w:vAlign w:val="center"/>
          </w:tcPr>
          <w:p w14:paraId="3B82920F"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7</w:t>
            </w:r>
          </w:p>
        </w:tc>
        <w:tc>
          <w:tcPr>
            <w:tcW w:w="993" w:type="dxa"/>
            <w:tcBorders>
              <w:top w:val="single" w:sz="4" w:space="0" w:color="auto"/>
              <w:left w:val="single" w:sz="4" w:space="0" w:color="auto"/>
              <w:bottom w:val="single" w:sz="4" w:space="0" w:color="auto"/>
              <w:right w:val="single" w:sz="4" w:space="0" w:color="auto"/>
            </w:tcBorders>
            <w:vAlign w:val="center"/>
          </w:tcPr>
          <w:p w14:paraId="1B2A1C66"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9902B74"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17</w:t>
            </w:r>
          </w:p>
        </w:tc>
      </w:tr>
      <w:tr w:rsidR="00F94B48" w:rsidRPr="00F32542" w14:paraId="64CCF3B0" w14:textId="77777777" w:rsidTr="00B65D24">
        <w:trPr>
          <w:trHeight w:val="397"/>
          <w:jc w:val="center"/>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tcPr>
          <w:p w14:paraId="2822E965" w14:textId="77777777" w:rsidR="00F94B48" w:rsidRPr="00F32542" w:rsidRDefault="00F94B48" w:rsidP="00F94B48">
            <w:pPr>
              <w:spacing w:after="0" w:line="240" w:lineRule="auto"/>
              <w:jc w:val="center"/>
              <w:rPr>
                <w:rFonts w:ascii="Arial" w:eastAsia="Calibri" w:hAnsi="Arial" w:cs="Arial"/>
                <w:color w:val="000000"/>
              </w:rPr>
            </w:pPr>
            <w:r w:rsidRPr="00F32542">
              <w:rPr>
                <w:rFonts w:ascii="Arial" w:eastAsia="Calibri" w:hAnsi="Arial" w:cs="Arial"/>
                <w:color w:val="000000"/>
              </w:rPr>
              <w:t>PRI</w:t>
            </w:r>
          </w:p>
        </w:tc>
        <w:tc>
          <w:tcPr>
            <w:tcW w:w="709" w:type="dxa"/>
            <w:tcBorders>
              <w:top w:val="single" w:sz="4" w:space="0" w:color="auto"/>
              <w:left w:val="single" w:sz="4" w:space="0" w:color="auto"/>
              <w:bottom w:val="single" w:sz="4" w:space="0" w:color="auto"/>
              <w:right w:val="single" w:sz="4" w:space="0" w:color="auto"/>
            </w:tcBorders>
            <w:vAlign w:val="center"/>
          </w:tcPr>
          <w:p w14:paraId="5E607E2A"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6D4ED1F"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998C44"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AA6C38E"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AA8D091" w14:textId="77777777" w:rsidR="00F94B48" w:rsidRPr="00F32542" w:rsidRDefault="00F94B48" w:rsidP="00F94B48">
            <w:pPr>
              <w:spacing w:after="0" w:line="240" w:lineRule="auto"/>
              <w:jc w:val="center"/>
              <w:rPr>
                <w:rFonts w:ascii="Arial" w:eastAsia="Calibri"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9560413" w14:textId="77777777" w:rsidR="00F94B48" w:rsidRPr="00F32542" w:rsidRDefault="00F94B48" w:rsidP="00F94B48">
            <w:pPr>
              <w:spacing w:after="0" w:line="240" w:lineRule="auto"/>
              <w:jc w:val="center"/>
              <w:rPr>
                <w:rFonts w:ascii="Arial" w:eastAsia="Calibri"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43E705A0"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5</w:t>
            </w:r>
          </w:p>
        </w:tc>
        <w:tc>
          <w:tcPr>
            <w:tcW w:w="993" w:type="dxa"/>
            <w:tcBorders>
              <w:top w:val="single" w:sz="4" w:space="0" w:color="auto"/>
              <w:left w:val="single" w:sz="4" w:space="0" w:color="auto"/>
              <w:bottom w:val="single" w:sz="4" w:space="0" w:color="auto"/>
              <w:right w:val="single" w:sz="4" w:space="0" w:color="auto"/>
            </w:tcBorders>
            <w:vAlign w:val="center"/>
          </w:tcPr>
          <w:p w14:paraId="10CF91DC"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61B6A62"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9</w:t>
            </w:r>
          </w:p>
        </w:tc>
      </w:tr>
      <w:tr w:rsidR="00F94B48" w:rsidRPr="00F32542" w14:paraId="3CDB1F17" w14:textId="77777777" w:rsidTr="00B65D24">
        <w:trPr>
          <w:trHeight w:val="397"/>
          <w:jc w:val="center"/>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tcPr>
          <w:p w14:paraId="25AD88B9" w14:textId="77777777" w:rsidR="00F94B48" w:rsidRPr="00F32542" w:rsidRDefault="00F94B48" w:rsidP="00F94B48">
            <w:pPr>
              <w:spacing w:after="0" w:line="240" w:lineRule="auto"/>
              <w:jc w:val="center"/>
              <w:rPr>
                <w:rFonts w:ascii="Arial" w:eastAsia="Calibri" w:hAnsi="Arial" w:cs="Arial"/>
                <w:color w:val="000000"/>
              </w:rPr>
            </w:pPr>
            <w:r w:rsidRPr="00F32542">
              <w:rPr>
                <w:rFonts w:ascii="Arial" w:eastAsia="Calibri" w:hAnsi="Arial" w:cs="Arial"/>
                <w:color w:val="000000"/>
              </w:rPr>
              <w:t>PRD</w:t>
            </w:r>
          </w:p>
        </w:tc>
        <w:tc>
          <w:tcPr>
            <w:tcW w:w="709" w:type="dxa"/>
            <w:tcBorders>
              <w:top w:val="single" w:sz="4" w:space="0" w:color="auto"/>
              <w:left w:val="single" w:sz="4" w:space="0" w:color="auto"/>
              <w:bottom w:val="single" w:sz="4" w:space="0" w:color="auto"/>
              <w:right w:val="single" w:sz="4" w:space="0" w:color="auto"/>
            </w:tcBorders>
            <w:vAlign w:val="center"/>
          </w:tcPr>
          <w:p w14:paraId="0D62D642"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3C26C88"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4CA6CFA" w14:textId="77777777" w:rsidR="00F94B48" w:rsidRPr="00F32542" w:rsidRDefault="00F94B48" w:rsidP="00F94B48">
            <w:pPr>
              <w:spacing w:after="0" w:line="240" w:lineRule="auto"/>
              <w:jc w:val="center"/>
              <w:rPr>
                <w:rFonts w:ascii="Arial" w:eastAsia="Calibri"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C3AF47"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2280565" w14:textId="77777777" w:rsidR="00F94B48" w:rsidRPr="00F32542" w:rsidRDefault="00F94B48" w:rsidP="00F94B48">
            <w:pPr>
              <w:spacing w:after="0" w:line="240" w:lineRule="auto"/>
              <w:jc w:val="center"/>
              <w:rPr>
                <w:rFonts w:ascii="Arial" w:eastAsia="Calibri"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63BBEC" w14:textId="77777777" w:rsidR="00F94B48" w:rsidRPr="00F32542" w:rsidRDefault="00F94B48" w:rsidP="00F94B48">
            <w:pPr>
              <w:spacing w:after="0" w:line="240" w:lineRule="auto"/>
              <w:jc w:val="center"/>
              <w:rPr>
                <w:rFonts w:ascii="Arial" w:eastAsia="Calibri"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412D2A78"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2</w:t>
            </w:r>
          </w:p>
        </w:tc>
        <w:tc>
          <w:tcPr>
            <w:tcW w:w="993" w:type="dxa"/>
            <w:tcBorders>
              <w:top w:val="single" w:sz="4" w:space="0" w:color="auto"/>
              <w:left w:val="single" w:sz="4" w:space="0" w:color="auto"/>
              <w:bottom w:val="single" w:sz="4" w:space="0" w:color="auto"/>
              <w:right w:val="single" w:sz="4" w:space="0" w:color="auto"/>
            </w:tcBorders>
            <w:vAlign w:val="center"/>
          </w:tcPr>
          <w:p w14:paraId="7CC32059"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4BCDF9B"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5</w:t>
            </w:r>
          </w:p>
        </w:tc>
      </w:tr>
      <w:tr w:rsidR="00F94B48" w:rsidRPr="00F32542" w14:paraId="1335A0D8" w14:textId="77777777" w:rsidTr="00B65D24">
        <w:trPr>
          <w:trHeight w:val="39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D4490C5" w14:textId="77777777" w:rsidR="00F94B48" w:rsidRPr="00F32542" w:rsidRDefault="00F94B48" w:rsidP="00F94B48">
            <w:pPr>
              <w:spacing w:after="0" w:line="240" w:lineRule="auto"/>
              <w:jc w:val="center"/>
              <w:rPr>
                <w:rFonts w:ascii="Arial" w:eastAsia="Calibri" w:hAnsi="Arial" w:cs="Arial"/>
                <w:color w:val="000000"/>
              </w:rPr>
            </w:pPr>
            <w:r w:rsidRPr="00F32542">
              <w:rPr>
                <w:rFonts w:ascii="Arial" w:eastAsia="Calibri" w:hAnsi="Arial" w:cs="Arial"/>
                <w:color w:val="000000"/>
              </w:rPr>
              <w:t>PVEM</w:t>
            </w:r>
          </w:p>
        </w:tc>
        <w:tc>
          <w:tcPr>
            <w:tcW w:w="709" w:type="dxa"/>
            <w:tcBorders>
              <w:top w:val="single" w:sz="4" w:space="0" w:color="auto"/>
              <w:left w:val="single" w:sz="4" w:space="0" w:color="auto"/>
              <w:bottom w:val="single" w:sz="4" w:space="0" w:color="auto"/>
              <w:right w:val="single" w:sz="4" w:space="0" w:color="auto"/>
            </w:tcBorders>
            <w:vAlign w:val="center"/>
          </w:tcPr>
          <w:p w14:paraId="0A72A020" w14:textId="77777777" w:rsidR="00F94B48" w:rsidRPr="00F32542" w:rsidRDefault="00F94B48" w:rsidP="00F94B48">
            <w:pPr>
              <w:spacing w:after="0" w:line="240" w:lineRule="auto"/>
              <w:jc w:val="center"/>
              <w:rPr>
                <w:rFonts w:ascii="Arial" w:eastAsia="Calibri"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A7594D5"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DBABD6"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55BFF44" w14:textId="77777777" w:rsidR="00F94B48" w:rsidRPr="00F32542" w:rsidRDefault="00F94B48" w:rsidP="00F94B48">
            <w:pPr>
              <w:spacing w:after="0" w:line="240" w:lineRule="auto"/>
              <w:jc w:val="center"/>
              <w:rPr>
                <w:rFonts w:ascii="Arial" w:eastAsia="Calibri"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55CBB54" w14:textId="77777777" w:rsidR="00F94B48" w:rsidRPr="00F32542" w:rsidRDefault="00F94B48" w:rsidP="00F94B48">
            <w:pPr>
              <w:spacing w:after="0" w:line="240" w:lineRule="auto"/>
              <w:jc w:val="center"/>
              <w:rPr>
                <w:rFonts w:ascii="Arial" w:eastAsia="Calibri"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18B6773" w14:textId="77777777" w:rsidR="00F94B48" w:rsidRPr="00F32542" w:rsidRDefault="00F94B48" w:rsidP="00F94B48">
            <w:pPr>
              <w:spacing w:after="0" w:line="240" w:lineRule="auto"/>
              <w:jc w:val="center"/>
              <w:rPr>
                <w:rFonts w:ascii="Arial" w:eastAsia="Calibri"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4C0C69C3"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c>
          <w:tcPr>
            <w:tcW w:w="993" w:type="dxa"/>
            <w:tcBorders>
              <w:top w:val="single" w:sz="4" w:space="0" w:color="auto"/>
              <w:left w:val="single" w:sz="4" w:space="0" w:color="auto"/>
              <w:bottom w:val="single" w:sz="4" w:space="0" w:color="auto"/>
              <w:right w:val="single" w:sz="4" w:space="0" w:color="auto"/>
            </w:tcBorders>
            <w:vAlign w:val="center"/>
          </w:tcPr>
          <w:p w14:paraId="13424685"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0980646"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2</w:t>
            </w:r>
          </w:p>
        </w:tc>
      </w:tr>
      <w:tr w:rsidR="00F94B48" w:rsidRPr="00F32542" w14:paraId="3B33EB96" w14:textId="77777777" w:rsidTr="00B65D24">
        <w:trPr>
          <w:trHeight w:val="39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B684A3A" w14:textId="77777777" w:rsidR="00F94B48" w:rsidRPr="00F32542" w:rsidRDefault="00F94B48" w:rsidP="00F94B48">
            <w:pPr>
              <w:spacing w:after="0" w:line="240" w:lineRule="auto"/>
              <w:jc w:val="center"/>
              <w:rPr>
                <w:rFonts w:ascii="Arial" w:eastAsia="Calibri" w:hAnsi="Arial" w:cs="Arial"/>
                <w:color w:val="000000"/>
              </w:rPr>
            </w:pPr>
            <w:r w:rsidRPr="00F32542">
              <w:rPr>
                <w:rFonts w:ascii="Arial" w:eastAsia="Calibri" w:hAnsi="Arial" w:cs="Arial"/>
                <w:color w:val="000000"/>
              </w:rPr>
              <w:t>MC</w:t>
            </w:r>
          </w:p>
        </w:tc>
        <w:tc>
          <w:tcPr>
            <w:tcW w:w="709" w:type="dxa"/>
            <w:tcBorders>
              <w:top w:val="single" w:sz="4" w:space="0" w:color="auto"/>
              <w:left w:val="single" w:sz="4" w:space="0" w:color="auto"/>
              <w:bottom w:val="single" w:sz="4" w:space="0" w:color="auto"/>
              <w:right w:val="single" w:sz="4" w:space="0" w:color="auto"/>
            </w:tcBorders>
            <w:vAlign w:val="center"/>
          </w:tcPr>
          <w:p w14:paraId="3AF438AF" w14:textId="77777777" w:rsidR="00F94B48" w:rsidRPr="00F32542" w:rsidRDefault="00F94B48" w:rsidP="00F94B48">
            <w:pPr>
              <w:spacing w:after="0" w:line="240" w:lineRule="auto"/>
              <w:jc w:val="center"/>
              <w:rPr>
                <w:rFonts w:ascii="Arial" w:eastAsia="Calibri"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62F7275" w14:textId="77777777" w:rsidR="00F94B48" w:rsidRPr="00F32542" w:rsidRDefault="00F94B48" w:rsidP="00F94B48">
            <w:pPr>
              <w:spacing w:after="0" w:line="240" w:lineRule="auto"/>
              <w:jc w:val="center"/>
              <w:rPr>
                <w:rFonts w:ascii="Arial" w:eastAsia="Calibri"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46C706" w14:textId="77777777" w:rsidR="00F94B48" w:rsidRPr="00F32542" w:rsidRDefault="00F94B48" w:rsidP="00F94B48">
            <w:pPr>
              <w:spacing w:after="0" w:line="240" w:lineRule="auto"/>
              <w:jc w:val="center"/>
              <w:rPr>
                <w:rFonts w:ascii="Arial" w:eastAsia="Calibri"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4E06D3"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76897BA" w14:textId="77777777" w:rsidR="00F94B48" w:rsidRPr="00F32542" w:rsidRDefault="00F94B48" w:rsidP="00F94B48">
            <w:pPr>
              <w:spacing w:after="0" w:line="240" w:lineRule="auto"/>
              <w:jc w:val="center"/>
              <w:rPr>
                <w:rFonts w:ascii="Arial" w:eastAsia="Calibri"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291BAED" w14:textId="77777777" w:rsidR="00F94B48" w:rsidRPr="00F32542" w:rsidRDefault="00F94B48" w:rsidP="00F94B48">
            <w:pPr>
              <w:spacing w:after="0" w:line="240" w:lineRule="auto"/>
              <w:jc w:val="center"/>
              <w:rPr>
                <w:rFonts w:ascii="Arial" w:eastAsia="Calibri"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2BBCCF6B" w14:textId="77777777" w:rsidR="00F94B48" w:rsidRPr="00F32542" w:rsidRDefault="00F94B48" w:rsidP="00F94B48">
            <w:pPr>
              <w:spacing w:after="0" w:line="240" w:lineRule="auto"/>
              <w:jc w:val="center"/>
              <w:rPr>
                <w:rFonts w:ascii="Arial" w:eastAsia="Calibri" w:hAnsi="Arial" w:cs="Arial"/>
              </w:rPr>
            </w:pPr>
          </w:p>
        </w:tc>
        <w:tc>
          <w:tcPr>
            <w:tcW w:w="993" w:type="dxa"/>
            <w:tcBorders>
              <w:top w:val="single" w:sz="4" w:space="0" w:color="auto"/>
              <w:left w:val="single" w:sz="4" w:space="0" w:color="auto"/>
              <w:bottom w:val="single" w:sz="4" w:space="0" w:color="auto"/>
              <w:right w:val="single" w:sz="4" w:space="0" w:color="auto"/>
            </w:tcBorders>
            <w:vAlign w:val="center"/>
          </w:tcPr>
          <w:p w14:paraId="056E13FE"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B01B2C4"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r>
      <w:tr w:rsidR="00F94B48" w:rsidRPr="00F32542" w14:paraId="6E742464" w14:textId="77777777" w:rsidTr="00B65D24">
        <w:trPr>
          <w:trHeight w:val="39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1E1A000" w14:textId="77777777" w:rsidR="00F94B48" w:rsidRPr="00F32542" w:rsidRDefault="00F94B48" w:rsidP="00F94B48">
            <w:pPr>
              <w:spacing w:after="0" w:line="240" w:lineRule="auto"/>
              <w:jc w:val="center"/>
              <w:rPr>
                <w:rFonts w:ascii="Arial" w:eastAsia="Calibri" w:hAnsi="Arial" w:cs="Arial"/>
                <w:color w:val="000000"/>
              </w:rPr>
            </w:pPr>
            <w:r w:rsidRPr="00F32542">
              <w:rPr>
                <w:rFonts w:ascii="Arial" w:eastAsia="Calibri" w:hAnsi="Arial" w:cs="Arial"/>
                <w:color w:val="000000"/>
              </w:rPr>
              <w:t>Morena</w:t>
            </w:r>
          </w:p>
        </w:tc>
        <w:tc>
          <w:tcPr>
            <w:tcW w:w="709" w:type="dxa"/>
            <w:tcBorders>
              <w:top w:val="single" w:sz="4" w:space="0" w:color="auto"/>
              <w:left w:val="single" w:sz="4" w:space="0" w:color="auto"/>
              <w:bottom w:val="single" w:sz="4" w:space="0" w:color="auto"/>
              <w:right w:val="single" w:sz="4" w:space="0" w:color="auto"/>
            </w:tcBorders>
            <w:vAlign w:val="center"/>
          </w:tcPr>
          <w:p w14:paraId="57C3F6EA"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3E463D3"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D64FF2"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C5DCE5"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CB7F8D5" w14:textId="77777777" w:rsidR="00F94B48" w:rsidRPr="00F32542" w:rsidRDefault="00F94B48" w:rsidP="00F94B48">
            <w:pPr>
              <w:spacing w:after="0" w:line="240" w:lineRule="auto"/>
              <w:jc w:val="center"/>
              <w:rPr>
                <w:rFonts w:ascii="Arial" w:eastAsia="Calibri"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8D1F3B2" w14:textId="77777777" w:rsidR="00F94B48" w:rsidRPr="00F32542" w:rsidRDefault="00F94B48" w:rsidP="00F94B48">
            <w:pPr>
              <w:spacing w:after="0" w:line="240" w:lineRule="auto"/>
              <w:jc w:val="center"/>
              <w:rPr>
                <w:rFonts w:ascii="Arial" w:eastAsia="Calibri"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597ED84B"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18</w:t>
            </w:r>
          </w:p>
        </w:tc>
        <w:tc>
          <w:tcPr>
            <w:tcW w:w="993" w:type="dxa"/>
            <w:tcBorders>
              <w:top w:val="single" w:sz="4" w:space="0" w:color="auto"/>
              <w:left w:val="single" w:sz="4" w:space="0" w:color="auto"/>
              <w:bottom w:val="single" w:sz="4" w:space="0" w:color="auto"/>
              <w:right w:val="single" w:sz="4" w:space="0" w:color="auto"/>
            </w:tcBorders>
            <w:vAlign w:val="center"/>
          </w:tcPr>
          <w:p w14:paraId="723C8CE9"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7F6B46B"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32</w:t>
            </w:r>
          </w:p>
        </w:tc>
      </w:tr>
      <w:tr w:rsidR="00F94B48" w:rsidRPr="00F32542" w14:paraId="5814EB49" w14:textId="77777777" w:rsidTr="00F94B48">
        <w:trPr>
          <w:trHeight w:val="397"/>
          <w:jc w:val="center"/>
        </w:trPr>
        <w:tc>
          <w:tcPr>
            <w:tcW w:w="1271" w:type="dxa"/>
            <w:tcBorders>
              <w:top w:val="single" w:sz="4" w:space="0" w:color="auto"/>
            </w:tcBorders>
            <w:shd w:val="clear" w:color="auto" w:fill="AEAAAA"/>
            <w:vAlign w:val="center"/>
          </w:tcPr>
          <w:p w14:paraId="78A50104"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TOTAL</w:t>
            </w:r>
          </w:p>
        </w:tc>
        <w:tc>
          <w:tcPr>
            <w:tcW w:w="709" w:type="dxa"/>
            <w:tcBorders>
              <w:top w:val="single" w:sz="4" w:space="0" w:color="auto"/>
            </w:tcBorders>
            <w:shd w:val="clear" w:color="auto" w:fill="AEAAAA"/>
            <w:vAlign w:val="center"/>
          </w:tcPr>
          <w:p w14:paraId="6D24FDD9" w14:textId="77777777" w:rsidR="00F94B48" w:rsidRPr="00F32542" w:rsidRDefault="00F94B48" w:rsidP="00F94B48">
            <w:pPr>
              <w:spacing w:after="0" w:line="240" w:lineRule="auto"/>
              <w:jc w:val="center"/>
              <w:rPr>
                <w:rFonts w:ascii="Arial" w:eastAsia="Calibri" w:hAnsi="Arial" w:cs="Arial"/>
                <w:b/>
              </w:rPr>
            </w:pPr>
            <w:r w:rsidRPr="00F32542">
              <w:rPr>
                <w:rFonts w:ascii="Arial" w:eastAsia="Calibri" w:hAnsi="Arial" w:cs="Arial"/>
                <w:b/>
              </w:rPr>
              <w:t>20</w:t>
            </w:r>
          </w:p>
        </w:tc>
        <w:tc>
          <w:tcPr>
            <w:tcW w:w="850" w:type="dxa"/>
            <w:tcBorders>
              <w:top w:val="single" w:sz="4" w:space="0" w:color="auto"/>
              <w:left w:val="nil"/>
              <w:bottom w:val="single" w:sz="4" w:space="0" w:color="auto"/>
              <w:right w:val="nil"/>
            </w:tcBorders>
            <w:shd w:val="clear" w:color="auto" w:fill="AEAAAA"/>
            <w:vAlign w:val="center"/>
          </w:tcPr>
          <w:p w14:paraId="3F2B505D" w14:textId="77777777" w:rsidR="00F94B48" w:rsidRPr="00F32542" w:rsidRDefault="00F94B48" w:rsidP="00F94B48">
            <w:pPr>
              <w:spacing w:after="0" w:line="240" w:lineRule="auto"/>
              <w:jc w:val="center"/>
              <w:rPr>
                <w:rFonts w:ascii="Arial" w:eastAsia="Calibri" w:hAnsi="Arial" w:cs="Arial"/>
                <w:b/>
              </w:rPr>
            </w:pPr>
            <w:r w:rsidRPr="00F32542">
              <w:rPr>
                <w:rFonts w:ascii="Arial" w:eastAsia="Calibri" w:hAnsi="Arial" w:cs="Arial"/>
                <w:b/>
              </w:rPr>
              <w:t>13</w:t>
            </w:r>
          </w:p>
        </w:tc>
        <w:tc>
          <w:tcPr>
            <w:tcW w:w="709" w:type="dxa"/>
            <w:tcBorders>
              <w:top w:val="single" w:sz="4" w:space="0" w:color="auto"/>
            </w:tcBorders>
            <w:shd w:val="clear" w:color="auto" w:fill="AEAAAA"/>
            <w:vAlign w:val="center"/>
          </w:tcPr>
          <w:p w14:paraId="7BB6D43A"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13</w:t>
            </w:r>
          </w:p>
        </w:tc>
        <w:tc>
          <w:tcPr>
            <w:tcW w:w="851" w:type="dxa"/>
            <w:tcBorders>
              <w:top w:val="single" w:sz="4" w:space="0" w:color="auto"/>
            </w:tcBorders>
            <w:shd w:val="clear" w:color="auto" w:fill="AEAAAA"/>
            <w:vAlign w:val="center"/>
          </w:tcPr>
          <w:p w14:paraId="2FF8AA1C"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19</w:t>
            </w:r>
          </w:p>
        </w:tc>
        <w:tc>
          <w:tcPr>
            <w:tcW w:w="425" w:type="dxa"/>
            <w:tcBorders>
              <w:top w:val="single" w:sz="4" w:space="0" w:color="auto"/>
            </w:tcBorders>
            <w:shd w:val="clear" w:color="auto" w:fill="AEAAAA"/>
            <w:vAlign w:val="center"/>
          </w:tcPr>
          <w:p w14:paraId="71A2C385" w14:textId="77777777" w:rsidR="00F94B48" w:rsidRPr="00F32542" w:rsidRDefault="00F94B48" w:rsidP="00F94B48">
            <w:pPr>
              <w:spacing w:after="0" w:line="240" w:lineRule="auto"/>
              <w:jc w:val="center"/>
              <w:rPr>
                <w:rFonts w:ascii="Arial" w:eastAsia="Calibri" w:hAnsi="Arial" w:cs="Arial"/>
                <w:b/>
                <w:lang w:val="es-ES"/>
              </w:rPr>
            </w:pPr>
          </w:p>
        </w:tc>
        <w:tc>
          <w:tcPr>
            <w:tcW w:w="850" w:type="dxa"/>
            <w:tcBorders>
              <w:top w:val="single" w:sz="4" w:space="0" w:color="auto"/>
            </w:tcBorders>
            <w:shd w:val="clear" w:color="auto" w:fill="AEAAAA"/>
            <w:vAlign w:val="center"/>
          </w:tcPr>
          <w:p w14:paraId="0C33ACDF"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1</w:t>
            </w:r>
          </w:p>
        </w:tc>
        <w:tc>
          <w:tcPr>
            <w:tcW w:w="567" w:type="dxa"/>
            <w:tcBorders>
              <w:top w:val="single" w:sz="4" w:space="0" w:color="auto"/>
            </w:tcBorders>
            <w:shd w:val="clear" w:color="auto" w:fill="AEAAAA"/>
            <w:vAlign w:val="center"/>
          </w:tcPr>
          <w:p w14:paraId="357B9BB0"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33</w:t>
            </w:r>
          </w:p>
        </w:tc>
        <w:tc>
          <w:tcPr>
            <w:tcW w:w="993" w:type="dxa"/>
            <w:tcBorders>
              <w:top w:val="single" w:sz="4" w:space="0" w:color="auto"/>
            </w:tcBorders>
            <w:shd w:val="clear" w:color="auto" w:fill="AEAAAA"/>
            <w:vAlign w:val="center"/>
          </w:tcPr>
          <w:p w14:paraId="62107D03"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33</w:t>
            </w:r>
          </w:p>
        </w:tc>
        <w:tc>
          <w:tcPr>
            <w:tcW w:w="1559" w:type="dxa"/>
            <w:tcBorders>
              <w:top w:val="single" w:sz="4" w:space="0" w:color="auto"/>
            </w:tcBorders>
            <w:shd w:val="clear" w:color="auto" w:fill="AEAAAA"/>
            <w:vAlign w:val="center"/>
          </w:tcPr>
          <w:p w14:paraId="2D98C045"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fldChar w:fldCharType="begin"/>
            </w:r>
            <w:r w:rsidRPr="00F32542">
              <w:rPr>
                <w:rFonts w:ascii="Arial" w:eastAsia="Calibri" w:hAnsi="Arial" w:cs="Arial"/>
                <w:b/>
                <w:lang w:val="es-ES"/>
              </w:rPr>
              <w:instrText xml:space="preserve"> =SUM(ABOVE) </w:instrText>
            </w:r>
            <w:r w:rsidRPr="00F32542">
              <w:rPr>
                <w:rFonts w:ascii="Arial" w:eastAsia="Calibri" w:hAnsi="Arial" w:cs="Arial"/>
                <w:b/>
                <w:lang w:val="es-ES"/>
              </w:rPr>
              <w:fldChar w:fldCharType="separate"/>
            </w:r>
            <w:r w:rsidRPr="00F32542">
              <w:rPr>
                <w:rFonts w:ascii="Arial" w:eastAsia="Calibri" w:hAnsi="Arial" w:cs="Arial"/>
                <w:b/>
                <w:noProof/>
                <w:lang w:val="es-ES"/>
              </w:rPr>
              <w:t>66</w:t>
            </w:r>
            <w:r w:rsidRPr="00F32542">
              <w:rPr>
                <w:rFonts w:ascii="Arial" w:eastAsia="Calibri" w:hAnsi="Arial" w:cs="Arial"/>
                <w:b/>
                <w:lang w:val="es-ES"/>
              </w:rPr>
              <w:fldChar w:fldCharType="end"/>
            </w:r>
          </w:p>
        </w:tc>
      </w:tr>
    </w:tbl>
    <w:p w14:paraId="35932FA7" w14:textId="77777777" w:rsidR="00F94B48" w:rsidRPr="00F32542" w:rsidRDefault="00F94B48" w:rsidP="00F94B48">
      <w:pPr>
        <w:spacing w:after="0" w:line="360" w:lineRule="auto"/>
        <w:contextualSpacing/>
        <w:jc w:val="both"/>
        <w:rPr>
          <w:rFonts w:ascii="Arial" w:eastAsia="Calibri" w:hAnsi="Arial" w:cs="Arial"/>
          <w:sz w:val="28"/>
          <w:szCs w:val="28"/>
        </w:rPr>
      </w:pPr>
    </w:p>
    <w:p w14:paraId="6A97F53A"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De conformidad con la asignación precedente, lo procede es modificar las constancias de asignación de representación proporcional relativas a los partidos </w:t>
      </w:r>
      <w:r w:rsidRPr="00F32542">
        <w:rPr>
          <w:rFonts w:ascii="Arial" w:eastAsia="Calibri" w:hAnsi="Arial" w:cs="Times New Roman"/>
          <w:i/>
          <w:sz w:val="28"/>
        </w:rPr>
        <w:t xml:space="preserve">PAN, PVEM </w:t>
      </w:r>
      <w:r w:rsidRPr="00F32542">
        <w:rPr>
          <w:rFonts w:ascii="Arial" w:eastAsia="Calibri" w:hAnsi="Arial" w:cs="Times New Roman"/>
          <w:sz w:val="28"/>
        </w:rPr>
        <w:t xml:space="preserve">y </w:t>
      </w:r>
      <w:r w:rsidRPr="00F32542">
        <w:rPr>
          <w:rFonts w:ascii="Arial" w:eastAsia="Calibri" w:hAnsi="Arial" w:cs="Times New Roman"/>
          <w:i/>
          <w:sz w:val="28"/>
        </w:rPr>
        <w:t>Morena</w:t>
      </w:r>
      <w:r w:rsidRPr="00F32542">
        <w:rPr>
          <w:rFonts w:ascii="Arial" w:eastAsia="Calibri" w:hAnsi="Arial" w:cs="Times New Roman"/>
          <w:sz w:val="28"/>
        </w:rPr>
        <w:t xml:space="preserve">, en atención a la modificación de sus listas definitivas, para quedar en los términos siguientes: </w:t>
      </w:r>
    </w:p>
    <w:p w14:paraId="62A7B0EC" w14:textId="77777777" w:rsidR="00F94B48" w:rsidRPr="00F32542" w:rsidRDefault="00F94B48" w:rsidP="00F94B48">
      <w:pPr>
        <w:spacing w:after="0" w:line="360" w:lineRule="auto"/>
        <w:jc w:val="both"/>
        <w:rPr>
          <w:rFonts w:ascii="Arial" w:eastAsia="Calibri" w:hAnsi="Arial" w:cs="Times New Roman"/>
          <w:sz w:val="28"/>
        </w:rPr>
      </w:pPr>
    </w:p>
    <w:p w14:paraId="563B3B6E" w14:textId="77777777" w:rsidR="00F94B48" w:rsidRPr="00F32542" w:rsidRDefault="00F94B48" w:rsidP="009B6ED0">
      <w:pPr>
        <w:numPr>
          <w:ilvl w:val="0"/>
          <w:numId w:val="27"/>
        </w:numPr>
        <w:spacing w:after="0" w:line="360" w:lineRule="auto"/>
        <w:contextualSpacing/>
        <w:jc w:val="both"/>
        <w:rPr>
          <w:rFonts w:ascii="Arial" w:eastAsia="Calibri" w:hAnsi="Arial" w:cs="Times New Roman"/>
          <w:b/>
          <w:sz w:val="28"/>
        </w:rPr>
      </w:pPr>
      <w:r w:rsidRPr="00F32542">
        <w:rPr>
          <w:rFonts w:ascii="Arial" w:eastAsia="Calibri" w:hAnsi="Arial" w:cs="Times New Roman"/>
          <w:b/>
          <w:sz w:val="28"/>
        </w:rPr>
        <w:t>Quedan sin efectos</w:t>
      </w:r>
      <w:r w:rsidRPr="00F32542">
        <w:rPr>
          <w:rFonts w:ascii="Arial" w:eastAsia="Calibri" w:hAnsi="Arial" w:cs="Times New Roman"/>
          <w:sz w:val="28"/>
        </w:rPr>
        <w:t xml:space="preserve"> las constancias de asignación expedidas a las fórmulas integradas por </w:t>
      </w:r>
      <w:r w:rsidRPr="00F32542">
        <w:rPr>
          <w:rFonts w:ascii="Arial" w:eastAsia="Calibri" w:hAnsi="Arial" w:cs="Times New Roman"/>
          <w:b/>
          <w:sz w:val="28"/>
        </w:rPr>
        <w:t xml:space="preserve">Frida Jimena Guillén Ortiz y </w:t>
      </w:r>
      <w:proofErr w:type="spellStart"/>
      <w:r w:rsidRPr="00F32542">
        <w:rPr>
          <w:rFonts w:ascii="Arial" w:eastAsia="Calibri" w:hAnsi="Arial" w:cs="Times New Roman"/>
          <w:b/>
          <w:sz w:val="28"/>
        </w:rPr>
        <w:t>Ahichell</w:t>
      </w:r>
      <w:proofErr w:type="spellEnd"/>
      <w:r w:rsidRPr="00F32542">
        <w:rPr>
          <w:rFonts w:ascii="Arial" w:eastAsia="Calibri" w:hAnsi="Arial" w:cs="Times New Roman"/>
          <w:b/>
          <w:sz w:val="28"/>
        </w:rPr>
        <w:t xml:space="preserve"> Sánchez Valle (</w:t>
      </w:r>
      <w:r w:rsidRPr="00F32542">
        <w:rPr>
          <w:rFonts w:ascii="Arial" w:eastAsia="Calibri" w:hAnsi="Arial" w:cs="Times New Roman"/>
          <w:b/>
          <w:i/>
          <w:sz w:val="28"/>
        </w:rPr>
        <w:t>PAN</w:t>
      </w:r>
      <w:r w:rsidRPr="00F32542">
        <w:rPr>
          <w:rFonts w:ascii="Arial" w:eastAsia="Calibri" w:hAnsi="Arial" w:cs="Times New Roman"/>
          <w:b/>
          <w:sz w:val="28"/>
        </w:rPr>
        <w:t>), Isabela Rosales Herrera y Alicia Medina Hernández (</w:t>
      </w:r>
      <w:r w:rsidRPr="00F32542">
        <w:rPr>
          <w:rFonts w:ascii="Arial" w:eastAsia="Calibri" w:hAnsi="Arial" w:cs="Times New Roman"/>
          <w:b/>
          <w:i/>
          <w:sz w:val="28"/>
        </w:rPr>
        <w:t>Morena</w:t>
      </w:r>
      <w:r w:rsidRPr="00F32542">
        <w:rPr>
          <w:rFonts w:ascii="Arial" w:eastAsia="Calibri" w:hAnsi="Arial" w:cs="Times New Roman"/>
          <w:b/>
          <w:sz w:val="28"/>
        </w:rPr>
        <w:t xml:space="preserve">), así como a Manuel </w:t>
      </w:r>
      <w:proofErr w:type="spellStart"/>
      <w:r w:rsidRPr="00F32542">
        <w:rPr>
          <w:rFonts w:ascii="Arial" w:eastAsia="Calibri" w:hAnsi="Arial" w:cs="Times New Roman"/>
          <w:b/>
          <w:sz w:val="28"/>
        </w:rPr>
        <w:t>Talayero</w:t>
      </w:r>
      <w:proofErr w:type="spellEnd"/>
      <w:r w:rsidRPr="00F32542">
        <w:rPr>
          <w:rFonts w:ascii="Arial" w:eastAsia="Calibri" w:hAnsi="Arial" w:cs="Times New Roman"/>
          <w:b/>
          <w:sz w:val="28"/>
        </w:rPr>
        <w:t xml:space="preserve"> Pariente (</w:t>
      </w:r>
      <w:r w:rsidRPr="00F32542">
        <w:rPr>
          <w:rFonts w:ascii="Arial" w:eastAsia="Calibri" w:hAnsi="Arial" w:cs="Times New Roman"/>
          <w:b/>
          <w:i/>
          <w:sz w:val="28"/>
        </w:rPr>
        <w:t>PVEM</w:t>
      </w:r>
      <w:r w:rsidRPr="00F32542">
        <w:rPr>
          <w:rFonts w:ascii="Arial" w:eastAsia="Calibri" w:hAnsi="Arial" w:cs="Times New Roman"/>
          <w:b/>
          <w:sz w:val="28"/>
        </w:rPr>
        <w:t>).</w:t>
      </w:r>
    </w:p>
    <w:p w14:paraId="3963C1CE" w14:textId="77777777" w:rsidR="00F94B48" w:rsidRPr="00F32542" w:rsidRDefault="00F94B48" w:rsidP="00F94B48">
      <w:pPr>
        <w:spacing w:after="0" w:line="360" w:lineRule="auto"/>
        <w:ind w:left="720"/>
        <w:contextualSpacing/>
        <w:jc w:val="both"/>
        <w:rPr>
          <w:rFonts w:ascii="Arial" w:eastAsia="Calibri" w:hAnsi="Arial" w:cs="Times New Roman"/>
          <w:sz w:val="28"/>
        </w:rPr>
      </w:pPr>
    </w:p>
    <w:p w14:paraId="430EC351" w14:textId="77777777" w:rsidR="00F94B48" w:rsidRPr="00F32542" w:rsidRDefault="00F94B48" w:rsidP="009B6ED0">
      <w:pPr>
        <w:numPr>
          <w:ilvl w:val="0"/>
          <w:numId w:val="27"/>
        </w:numPr>
        <w:spacing w:after="0" w:line="360" w:lineRule="auto"/>
        <w:contextualSpacing/>
        <w:jc w:val="both"/>
        <w:rPr>
          <w:rFonts w:ascii="Arial" w:eastAsia="Calibri" w:hAnsi="Arial" w:cs="Times New Roman"/>
          <w:b/>
          <w:sz w:val="28"/>
        </w:rPr>
      </w:pPr>
      <w:r w:rsidRPr="00F32542">
        <w:rPr>
          <w:rFonts w:ascii="Arial" w:eastAsia="Calibri" w:hAnsi="Arial" w:cs="Times New Roman"/>
          <w:sz w:val="28"/>
        </w:rPr>
        <w:t xml:space="preserve">Procede que </w:t>
      </w:r>
      <w:r w:rsidR="00137439" w:rsidRPr="00F32542">
        <w:rPr>
          <w:rFonts w:ascii="Arial" w:eastAsia="Calibri" w:hAnsi="Arial" w:cs="Times New Roman"/>
          <w:sz w:val="28"/>
        </w:rPr>
        <w:t xml:space="preserve">el </w:t>
      </w:r>
      <w:r w:rsidRPr="00F32542">
        <w:rPr>
          <w:rFonts w:ascii="Arial" w:eastAsia="Calibri" w:hAnsi="Arial" w:cs="Times New Roman"/>
          <w:b/>
          <w:sz w:val="28"/>
        </w:rPr>
        <w:t xml:space="preserve">Consejo General </w:t>
      </w:r>
      <w:r w:rsidR="00137439" w:rsidRPr="00F32542">
        <w:rPr>
          <w:rFonts w:ascii="Arial" w:eastAsia="Calibri" w:hAnsi="Arial" w:cs="Times New Roman"/>
          <w:b/>
          <w:sz w:val="28"/>
        </w:rPr>
        <w:t xml:space="preserve">del </w:t>
      </w:r>
      <w:r w:rsidR="00137439" w:rsidRPr="00F32542">
        <w:rPr>
          <w:rFonts w:ascii="Arial" w:eastAsia="Calibri" w:hAnsi="Arial" w:cs="Times New Roman"/>
          <w:b/>
          <w:i/>
          <w:iCs/>
          <w:sz w:val="28"/>
        </w:rPr>
        <w:t xml:space="preserve">IECM </w:t>
      </w:r>
      <w:r w:rsidRPr="00F32542">
        <w:rPr>
          <w:rFonts w:ascii="Arial" w:eastAsia="Calibri" w:hAnsi="Arial" w:cs="Times New Roman"/>
          <w:b/>
          <w:sz w:val="28"/>
        </w:rPr>
        <w:t>expida</w:t>
      </w:r>
      <w:r w:rsidRPr="00F32542">
        <w:rPr>
          <w:rFonts w:ascii="Arial" w:eastAsia="Calibri" w:hAnsi="Arial" w:cs="Times New Roman"/>
          <w:sz w:val="28"/>
        </w:rPr>
        <w:t xml:space="preserve"> </w:t>
      </w:r>
      <w:r w:rsidRPr="00F32542">
        <w:rPr>
          <w:rFonts w:ascii="Arial" w:eastAsia="Calibri" w:hAnsi="Arial" w:cs="Times New Roman"/>
          <w:b/>
          <w:sz w:val="28"/>
        </w:rPr>
        <w:t>las constancias de asignación</w:t>
      </w:r>
      <w:r w:rsidRPr="00F32542">
        <w:rPr>
          <w:rFonts w:ascii="Arial" w:eastAsia="Calibri" w:hAnsi="Arial" w:cs="Times New Roman"/>
          <w:sz w:val="28"/>
        </w:rPr>
        <w:t xml:space="preserve"> a favor de las fórmulas encabezadas conformadas por </w:t>
      </w:r>
      <w:r w:rsidRPr="00F32542">
        <w:rPr>
          <w:rFonts w:ascii="Arial" w:eastAsia="Calibri" w:hAnsi="Arial" w:cs="Times New Roman"/>
          <w:b/>
          <w:sz w:val="28"/>
        </w:rPr>
        <w:t>Rodrigo Miranda Berumen y Luis Paris Oviedo Guarneros (</w:t>
      </w:r>
      <w:r w:rsidRPr="00F32542">
        <w:rPr>
          <w:rFonts w:ascii="Arial" w:eastAsia="Calibri" w:hAnsi="Arial" w:cs="Times New Roman"/>
          <w:b/>
          <w:i/>
          <w:sz w:val="28"/>
        </w:rPr>
        <w:t>PAN</w:t>
      </w:r>
      <w:r w:rsidRPr="00F32542">
        <w:rPr>
          <w:rFonts w:ascii="Arial" w:eastAsia="Calibri" w:hAnsi="Arial" w:cs="Times New Roman"/>
          <w:b/>
          <w:sz w:val="28"/>
        </w:rPr>
        <w:t>) Elizabeth Mateos Hernández y Martha Patricia Aguilar Ramírez (</w:t>
      </w:r>
      <w:r w:rsidRPr="00F32542">
        <w:rPr>
          <w:rFonts w:ascii="Arial" w:eastAsia="Calibri" w:hAnsi="Arial" w:cs="Times New Roman"/>
          <w:b/>
          <w:i/>
          <w:sz w:val="28"/>
        </w:rPr>
        <w:t>PVEM</w:t>
      </w:r>
      <w:r w:rsidRPr="00F32542">
        <w:rPr>
          <w:rFonts w:ascii="Arial" w:eastAsia="Calibri" w:hAnsi="Arial" w:cs="Times New Roman"/>
          <w:b/>
          <w:sz w:val="28"/>
        </w:rPr>
        <w:t xml:space="preserve">) </w:t>
      </w:r>
      <w:r w:rsidRPr="00F32542">
        <w:rPr>
          <w:rFonts w:ascii="Arial" w:eastAsia="Calibri" w:hAnsi="Arial" w:cs="Times New Roman"/>
          <w:b/>
          <w:sz w:val="28"/>
        </w:rPr>
        <w:lastRenderedPageBreak/>
        <w:t>José Luis Rodríguez Díaz de León y Francisco Medina Padilla (</w:t>
      </w:r>
      <w:r w:rsidRPr="00F32542">
        <w:rPr>
          <w:rFonts w:ascii="Arial" w:eastAsia="Calibri" w:hAnsi="Arial" w:cs="Times New Roman"/>
          <w:b/>
          <w:i/>
          <w:sz w:val="28"/>
        </w:rPr>
        <w:t>Morena</w:t>
      </w:r>
      <w:r w:rsidRPr="00F32542">
        <w:rPr>
          <w:rFonts w:ascii="Arial" w:eastAsia="Calibri" w:hAnsi="Arial" w:cs="Times New Roman"/>
          <w:b/>
          <w:sz w:val="28"/>
        </w:rPr>
        <w:t xml:space="preserve">).  </w:t>
      </w:r>
    </w:p>
    <w:p w14:paraId="2867DF35" w14:textId="77777777" w:rsidR="00F94B48" w:rsidRPr="00F32542" w:rsidRDefault="00F94B48" w:rsidP="00F94B48">
      <w:pPr>
        <w:spacing w:after="0" w:line="360" w:lineRule="auto"/>
        <w:jc w:val="both"/>
        <w:rPr>
          <w:rFonts w:ascii="Arial" w:eastAsia="Calibri" w:hAnsi="Arial" w:cs="Times New Roman"/>
          <w:sz w:val="28"/>
        </w:rPr>
      </w:pPr>
    </w:p>
    <w:p w14:paraId="33EAB37F" w14:textId="77777777" w:rsidR="00F94B48" w:rsidRPr="00F32542" w:rsidRDefault="00F94B48" w:rsidP="00F94B48">
      <w:pPr>
        <w:spacing w:after="0" w:line="360" w:lineRule="auto"/>
        <w:jc w:val="both"/>
        <w:rPr>
          <w:rFonts w:ascii="Arial" w:eastAsia="Times New Roman" w:hAnsi="Arial" w:cs="Arial"/>
          <w:b/>
          <w:sz w:val="28"/>
          <w:szCs w:val="28"/>
          <w:lang w:eastAsia="es-MX"/>
        </w:rPr>
      </w:pPr>
      <w:r w:rsidRPr="00F32542">
        <w:rPr>
          <w:rFonts w:ascii="Arial" w:eastAsia="Calibri" w:hAnsi="Arial" w:cs="Arial"/>
          <w:b/>
          <w:sz w:val="28"/>
          <w:szCs w:val="28"/>
        </w:rPr>
        <w:t>X</w:t>
      </w:r>
      <w:r w:rsidR="00E84D46" w:rsidRPr="00F32542">
        <w:rPr>
          <w:rFonts w:ascii="Arial" w:eastAsia="Calibri" w:hAnsi="Arial" w:cs="Arial"/>
          <w:b/>
          <w:sz w:val="28"/>
          <w:szCs w:val="28"/>
        </w:rPr>
        <w:t>VII</w:t>
      </w:r>
      <w:r w:rsidRPr="00F32542">
        <w:rPr>
          <w:rFonts w:ascii="Arial" w:eastAsia="Calibri" w:hAnsi="Arial" w:cs="Arial"/>
          <w:b/>
          <w:sz w:val="28"/>
          <w:szCs w:val="28"/>
        </w:rPr>
        <w:t xml:space="preserve">. </w:t>
      </w:r>
      <w:r w:rsidRPr="00F32542">
        <w:rPr>
          <w:rFonts w:ascii="Arial" w:eastAsia="Times New Roman" w:hAnsi="Arial" w:cs="Arial"/>
          <w:b/>
          <w:sz w:val="28"/>
          <w:szCs w:val="28"/>
          <w:lang w:eastAsia="es-MX"/>
        </w:rPr>
        <w:t>Sobre y subrepresentación</w:t>
      </w:r>
    </w:p>
    <w:p w14:paraId="4DF4CE4D" w14:textId="77777777" w:rsidR="00F94B48" w:rsidRPr="00F32542" w:rsidRDefault="00F94B48" w:rsidP="00F94B48">
      <w:pPr>
        <w:spacing w:after="0" w:line="360" w:lineRule="auto"/>
        <w:jc w:val="both"/>
        <w:rPr>
          <w:rFonts w:ascii="Arial" w:eastAsia="Times New Roman" w:hAnsi="Arial" w:cs="Arial"/>
          <w:sz w:val="28"/>
          <w:szCs w:val="28"/>
          <w:lang w:eastAsia="es-MX"/>
        </w:rPr>
      </w:pPr>
    </w:p>
    <w:p w14:paraId="439B3E88" w14:textId="77777777" w:rsidR="00F94B48" w:rsidRPr="00F32542" w:rsidRDefault="00A310C4" w:rsidP="00A310C4">
      <w:pPr>
        <w:spacing w:after="0" w:line="360" w:lineRule="auto"/>
        <w:contextualSpacing/>
        <w:jc w:val="both"/>
        <w:rPr>
          <w:rFonts w:ascii="Arial" w:eastAsia="Calibri" w:hAnsi="Arial" w:cs="Arial"/>
          <w:b/>
          <w:sz w:val="28"/>
          <w:szCs w:val="28"/>
          <w:lang w:val="es-ES"/>
        </w:rPr>
      </w:pPr>
      <w:r w:rsidRPr="00F32542">
        <w:rPr>
          <w:rFonts w:ascii="Arial" w:eastAsia="Calibri" w:hAnsi="Arial" w:cs="Arial"/>
          <w:b/>
          <w:sz w:val="28"/>
          <w:szCs w:val="28"/>
          <w:lang w:val="es-ES"/>
        </w:rPr>
        <w:t xml:space="preserve">1. </w:t>
      </w:r>
      <w:r w:rsidR="00F94B48" w:rsidRPr="00F32542">
        <w:rPr>
          <w:rFonts w:ascii="Arial" w:eastAsia="Calibri" w:hAnsi="Arial" w:cs="Arial"/>
          <w:b/>
          <w:sz w:val="28"/>
          <w:szCs w:val="28"/>
          <w:lang w:val="es-ES"/>
        </w:rPr>
        <w:t>Parámetro legal para verificar sobre</w:t>
      </w:r>
      <w:r w:rsidRPr="00F32542">
        <w:rPr>
          <w:rFonts w:ascii="Arial" w:eastAsia="Calibri" w:hAnsi="Arial" w:cs="Arial"/>
          <w:b/>
          <w:sz w:val="28"/>
          <w:szCs w:val="28"/>
          <w:lang w:val="es-ES"/>
        </w:rPr>
        <w:t>r</w:t>
      </w:r>
      <w:r w:rsidR="00F94B48" w:rsidRPr="00F32542">
        <w:rPr>
          <w:rFonts w:ascii="Arial" w:eastAsia="Calibri" w:hAnsi="Arial" w:cs="Arial"/>
          <w:b/>
          <w:sz w:val="28"/>
          <w:szCs w:val="28"/>
          <w:lang w:val="es-ES"/>
        </w:rPr>
        <w:t>representación</w:t>
      </w:r>
      <w:r w:rsidRPr="00F32542">
        <w:rPr>
          <w:rFonts w:ascii="Arial" w:eastAsia="Calibri" w:hAnsi="Arial" w:cs="Arial"/>
          <w:b/>
          <w:sz w:val="28"/>
          <w:szCs w:val="28"/>
          <w:lang w:val="es-ES"/>
        </w:rPr>
        <w:t xml:space="preserve"> </w:t>
      </w:r>
    </w:p>
    <w:p w14:paraId="35BACA16" w14:textId="77777777" w:rsidR="00F94B48" w:rsidRPr="00F32542" w:rsidRDefault="00F94B48" w:rsidP="00F94B48">
      <w:pPr>
        <w:spacing w:after="0" w:line="360" w:lineRule="auto"/>
        <w:ind w:left="360"/>
        <w:jc w:val="both"/>
        <w:rPr>
          <w:rFonts w:ascii="Arial" w:eastAsia="Calibri" w:hAnsi="Arial" w:cs="Arial"/>
          <w:b/>
          <w:sz w:val="28"/>
          <w:szCs w:val="28"/>
        </w:rPr>
      </w:pPr>
    </w:p>
    <w:p w14:paraId="59E7904C" w14:textId="77777777" w:rsidR="00F94B48" w:rsidRPr="00F32542" w:rsidRDefault="00F94B48" w:rsidP="00F94B48">
      <w:pPr>
        <w:spacing w:after="0" w:line="360" w:lineRule="auto"/>
        <w:jc w:val="both"/>
        <w:rPr>
          <w:rFonts w:ascii="Arial" w:eastAsia="Calibri" w:hAnsi="Arial" w:cs="Arial"/>
          <w:b/>
          <w:sz w:val="28"/>
          <w:szCs w:val="28"/>
          <w:lang w:val="es-ES"/>
        </w:rPr>
      </w:pPr>
      <w:r w:rsidRPr="00F32542">
        <w:rPr>
          <w:rFonts w:ascii="Arial" w:eastAsia="Calibri" w:hAnsi="Arial" w:cs="Arial"/>
          <w:b/>
          <w:sz w:val="28"/>
          <w:szCs w:val="28"/>
        </w:rPr>
        <w:t>TECDMX-</w:t>
      </w:r>
      <w:r w:rsidRPr="00F32542">
        <w:rPr>
          <w:rFonts w:ascii="Arial" w:eastAsia="Calibri" w:hAnsi="Arial" w:cs="Arial"/>
          <w:b/>
          <w:sz w:val="28"/>
          <w:szCs w:val="28"/>
          <w:lang w:val="es-ES"/>
        </w:rPr>
        <w:t xml:space="preserve">JLDC-109/2021 (Nayaret </w:t>
      </w:r>
      <w:proofErr w:type="spellStart"/>
      <w:r w:rsidRPr="00F32542">
        <w:rPr>
          <w:rFonts w:ascii="Arial" w:eastAsia="Calibri" w:hAnsi="Arial" w:cs="Arial"/>
          <w:b/>
          <w:sz w:val="28"/>
          <w:szCs w:val="28"/>
          <w:lang w:val="es-ES"/>
        </w:rPr>
        <w:t>Yazmín</w:t>
      </w:r>
      <w:proofErr w:type="spellEnd"/>
      <w:r w:rsidRPr="00F32542">
        <w:rPr>
          <w:rFonts w:ascii="Arial" w:eastAsia="Calibri" w:hAnsi="Arial" w:cs="Arial"/>
          <w:b/>
          <w:sz w:val="28"/>
          <w:szCs w:val="28"/>
          <w:lang w:val="es-ES"/>
        </w:rPr>
        <w:t xml:space="preserve"> Calderón)</w:t>
      </w:r>
    </w:p>
    <w:p w14:paraId="23979970" w14:textId="77777777" w:rsidR="00F94B48" w:rsidRPr="00F32542" w:rsidRDefault="00F94B48" w:rsidP="00F94B48">
      <w:pPr>
        <w:spacing w:after="0" w:line="360" w:lineRule="auto"/>
        <w:ind w:left="360"/>
        <w:jc w:val="both"/>
        <w:rPr>
          <w:rFonts w:ascii="Arial" w:eastAsia="Calibri" w:hAnsi="Arial" w:cs="Arial"/>
          <w:sz w:val="28"/>
          <w:szCs w:val="28"/>
        </w:rPr>
      </w:pPr>
    </w:p>
    <w:p w14:paraId="09E631C3"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La </w:t>
      </w:r>
      <w:r w:rsidRPr="00F32542">
        <w:rPr>
          <w:rFonts w:ascii="Arial" w:eastAsia="Calibri" w:hAnsi="Arial" w:cs="Arial"/>
          <w:i/>
          <w:sz w:val="28"/>
          <w:szCs w:val="28"/>
        </w:rPr>
        <w:t>parte actora</w:t>
      </w:r>
      <w:r w:rsidRPr="00F32542">
        <w:rPr>
          <w:rFonts w:ascii="Arial" w:eastAsia="Calibri" w:hAnsi="Arial" w:cs="Arial"/>
          <w:sz w:val="28"/>
          <w:szCs w:val="28"/>
        </w:rPr>
        <w:t xml:space="preserve"> manifiesta que la sobrer</w:t>
      </w:r>
      <w:r w:rsidR="00B44446" w:rsidRPr="00F32542">
        <w:rPr>
          <w:rFonts w:ascii="Arial" w:eastAsia="Calibri" w:hAnsi="Arial" w:cs="Arial"/>
          <w:sz w:val="28"/>
          <w:szCs w:val="28"/>
        </w:rPr>
        <w:t>r</w:t>
      </w:r>
      <w:r w:rsidRPr="00F32542">
        <w:rPr>
          <w:rFonts w:ascii="Arial" w:eastAsia="Calibri" w:hAnsi="Arial" w:cs="Arial"/>
          <w:sz w:val="28"/>
          <w:szCs w:val="28"/>
        </w:rPr>
        <w:t xml:space="preserve">epresentación del </w:t>
      </w:r>
      <w:r w:rsidRPr="00F32542">
        <w:rPr>
          <w:rFonts w:ascii="Arial" w:eastAsia="Calibri" w:hAnsi="Arial" w:cs="Arial"/>
          <w:i/>
          <w:sz w:val="28"/>
          <w:szCs w:val="28"/>
        </w:rPr>
        <w:t>Congreso</w:t>
      </w:r>
      <w:r w:rsidRPr="00F32542">
        <w:rPr>
          <w:rFonts w:ascii="Arial" w:eastAsia="Calibri" w:hAnsi="Arial" w:cs="Arial"/>
          <w:sz w:val="28"/>
          <w:szCs w:val="28"/>
        </w:rPr>
        <w:t xml:space="preserve"> se consideró a partir del ocho por ciento y no del cuatro por ciento, como lo prevé el artículo 27 del </w:t>
      </w:r>
      <w:r w:rsidRPr="00F32542">
        <w:rPr>
          <w:rFonts w:ascii="Arial" w:eastAsia="Calibri" w:hAnsi="Arial" w:cs="Arial"/>
          <w:i/>
          <w:sz w:val="28"/>
          <w:szCs w:val="28"/>
        </w:rPr>
        <w:t>Código Local</w:t>
      </w:r>
      <w:r w:rsidRPr="00F32542">
        <w:rPr>
          <w:rFonts w:ascii="Arial" w:eastAsia="Calibri" w:hAnsi="Arial" w:cs="Arial"/>
          <w:sz w:val="28"/>
          <w:szCs w:val="28"/>
        </w:rPr>
        <w:t>; siendo que Morena tiene una sobre</w:t>
      </w:r>
      <w:r w:rsidR="00B44446" w:rsidRPr="00F32542">
        <w:rPr>
          <w:rFonts w:ascii="Arial" w:eastAsia="Calibri" w:hAnsi="Arial" w:cs="Arial"/>
          <w:sz w:val="28"/>
          <w:szCs w:val="28"/>
        </w:rPr>
        <w:t>r</w:t>
      </w:r>
      <w:r w:rsidRPr="00F32542">
        <w:rPr>
          <w:rFonts w:ascii="Arial" w:eastAsia="Calibri" w:hAnsi="Arial" w:cs="Arial"/>
          <w:sz w:val="28"/>
          <w:szCs w:val="28"/>
        </w:rPr>
        <w:t>representación del seis punto cuarenta y un por ciento, por lo que procede ajustar la asignación, de manera tal que le corresponde una diputación.</w:t>
      </w:r>
    </w:p>
    <w:p w14:paraId="5F0FB1AC" w14:textId="77777777" w:rsidR="00F94B48" w:rsidRPr="00F32542" w:rsidRDefault="00F94B48" w:rsidP="00F94B48">
      <w:pPr>
        <w:spacing w:after="0" w:line="360" w:lineRule="auto"/>
        <w:jc w:val="both"/>
        <w:rPr>
          <w:rFonts w:ascii="Arial" w:eastAsia="Calibri" w:hAnsi="Arial" w:cs="Arial"/>
          <w:sz w:val="28"/>
          <w:szCs w:val="28"/>
        </w:rPr>
      </w:pPr>
    </w:p>
    <w:p w14:paraId="781FF749" w14:textId="77777777" w:rsidR="00F94B48" w:rsidRPr="00F32542" w:rsidRDefault="00F94B48" w:rsidP="00F94B48">
      <w:pPr>
        <w:spacing w:after="0" w:line="360" w:lineRule="auto"/>
        <w:jc w:val="both"/>
        <w:rPr>
          <w:rFonts w:ascii="Arial" w:eastAsia="Calibri" w:hAnsi="Arial" w:cs="Arial"/>
          <w:b/>
          <w:sz w:val="28"/>
          <w:szCs w:val="28"/>
        </w:rPr>
      </w:pPr>
      <w:r w:rsidRPr="00F32542">
        <w:rPr>
          <w:rFonts w:ascii="Arial" w:eastAsia="Calibri" w:hAnsi="Arial" w:cs="Arial"/>
          <w:sz w:val="28"/>
          <w:szCs w:val="28"/>
        </w:rPr>
        <w:t>El agravio es</w:t>
      </w:r>
      <w:r w:rsidRPr="00F32542">
        <w:rPr>
          <w:rFonts w:ascii="Arial" w:eastAsia="Calibri" w:hAnsi="Arial" w:cs="Arial"/>
          <w:b/>
          <w:sz w:val="28"/>
          <w:szCs w:val="28"/>
        </w:rPr>
        <w:t xml:space="preserve"> infundado. </w:t>
      </w:r>
    </w:p>
    <w:p w14:paraId="7D5EA99F" w14:textId="77777777" w:rsidR="00F94B48" w:rsidRPr="00F32542" w:rsidRDefault="00F94B48" w:rsidP="00F94B48">
      <w:pPr>
        <w:spacing w:after="0" w:line="360" w:lineRule="auto"/>
        <w:ind w:left="720"/>
        <w:contextualSpacing/>
        <w:jc w:val="both"/>
        <w:rPr>
          <w:rFonts w:ascii="Arial" w:eastAsia="Calibri" w:hAnsi="Arial" w:cs="Arial"/>
          <w:sz w:val="28"/>
          <w:szCs w:val="28"/>
        </w:rPr>
      </w:pPr>
    </w:p>
    <w:p w14:paraId="339E2D93"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En primer lugar, cabe precisar que el parámetro para verificar la sobre o subrepresentación de los partidos políticos, tal como lo indicó el </w:t>
      </w:r>
      <w:r w:rsidRPr="00F32542">
        <w:rPr>
          <w:rFonts w:ascii="Arial" w:eastAsia="Calibri" w:hAnsi="Arial" w:cs="Arial"/>
          <w:i/>
          <w:sz w:val="28"/>
          <w:szCs w:val="28"/>
        </w:rPr>
        <w:t>Consejo General</w:t>
      </w:r>
      <w:r w:rsidRPr="00F32542">
        <w:rPr>
          <w:rFonts w:ascii="Arial" w:eastAsia="Calibri" w:hAnsi="Arial" w:cs="Arial"/>
          <w:sz w:val="28"/>
          <w:szCs w:val="28"/>
        </w:rPr>
        <w:t>, es el ocho por ciento.</w:t>
      </w:r>
    </w:p>
    <w:p w14:paraId="56474122" w14:textId="77777777" w:rsidR="00F94B48" w:rsidRPr="00F32542" w:rsidRDefault="00F94B48" w:rsidP="00F94B48">
      <w:pPr>
        <w:spacing w:after="0" w:line="360" w:lineRule="auto"/>
        <w:jc w:val="both"/>
        <w:rPr>
          <w:rFonts w:ascii="Arial" w:eastAsia="Calibri" w:hAnsi="Arial" w:cs="Arial"/>
          <w:sz w:val="28"/>
          <w:szCs w:val="28"/>
        </w:rPr>
      </w:pPr>
    </w:p>
    <w:p w14:paraId="069AA24D"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Arial"/>
          <w:sz w:val="28"/>
          <w:szCs w:val="28"/>
        </w:rPr>
        <w:t xml:space="preserve">El artículo 122, apartado A, fracción II, de la </w:t>
      </w:r>
      <w:r w:rsidRPr="00F32542">
        <w:rPr>
          <w:rFonts w:ascii="Arial" w:eastAsia="Calibri" w:hAnsi="Arial" w:cs="Arial"/>
          <w:i/>
          <w:sz w:val="28"/>
          <w:szCs w:val="28"/>
        </w:rPr>
        <w:t>Constitución Federal</w:t>
      </w:r>
      <w:r w:rsidRPr="00F32542">
        <w:rPr>
          <w:rFonts w:ascii="Arial" w:eastAsia="Calibri" w:hAnsi="Arial" w:cs="Arial"/>
          <w:sz w:val="28"/>
          <w:szCs w:val="28"/>
        </w:rPr>
        <w:t xml:space="preserve"> establece que </w:t>
      </w:r>
      <w:r w:rsidRPr="00F32542">
        <w:rPr>
          <w:rFonts w:ascii="Arial" w:eastAsia="Calibri" w:hAnsi="Arial" w:cs="Times New Roman"/>
          <w:sz w:val="28"/>
        </w:rPr>
        <w:t xml:space="preserve">el ejercicio del Poder Legislativo de la Ciudad de México se deposita en </w:t>
      </w:r>
      <w:smartTag w:uri="urn:schemas-microsoft-com:office:smarttags" w:element="PersonName">
        <w:smartTagPr>
          <w:attr w:name="ProductID" w:val="la Legislatura"/>
        </w:smartTagPr>
        <w:r w:rsidRPr="00F32542">
          <w:rPr>
            <w:rFonts w:ascii="Arial" w:eastAsia="Calibri" w:hAnsi="Arial" w:cs="Times New Roman"/>
            <w:sz w:val="28"/>
          </w:rPr>
          <w:t>la Legislatura</w:t>
        </w:r>
      </w:smartTag>
      <w:r w:rsidRPr="00F32542">
        <w:rPr>
          <w:rFonts w:ascii="Arial" w:eastAsia="Calibri" w:hAnsi="Arial" w:cs="Times New Roman"/>
          <w:sz w:val="28"/>
        </w:rPr>
        <w:t xml:space="preserve"> local, la cual se integrará en los términos que establezca </w:t>
      </w:r>
      <w:smartTag w:uri="urn:schemas-microsoft-com:office:smarttags" w:element="PersonName">
        <w:smartTagPr>
          <w:attr w:name="ProductID" w:val="la Constitución Política"/>
        </w:smartTagPr>
        <w:r w:rsidRPr="00F32542">
          <w:rPr>
            <w:rFonts w:ascii="Arial" w:eastAsia="Calibri" w:hAnsi="Arial" w:cs="Times New Roman"/>
            <w:sz w:val="28"/>
          </w:rPr>
          <w:t>la Constitución Política</w:t>
        </w:r>
      </w:smartTag>
      <w:r w:rsidRPr="00F32542">
        <w:rPr>
          <w:rFonts w:ascii="Arial" w:eastAsia="Calibri" w:hAnsi="Arial" w:cs="Times New Roman"/>
          <w:sz w:val="28"/>
        </w:rPr>
        <w:t xml:space="preserve"> de la entidad, siendo que sus integrantes deberán cumplir los requisitos que la misma establezca y serán electos mediante sufragio universal, libre, secreto y directo, según los principios de mayoría relativa y de representación proporcional, por un periodo de tres años.</w:t>
      </w:r>
    </w:p>
    <w:p w14:paraId="75511B7E" w14:textId="77777777" w:rsidR="00F94B48" w:rsidRPr="00F32542" w:rsidRDefault="00F94B48" w:rsidP="00F94B48">
      <w:pPr>
        <w:spacing w:after="0" w:line="360" w:lineRule="auto"/>
        <w:jc w:val="both"/>
        <w:rPr>
          <w:rFonts w:ascii="Arial" w:eastAsia="Calibri" w:hAnsi="Arial" w:cs="Times New Roman"/>
          <w:sz w:val="28"/>
        </w:rPr>
      </w:pPr>
    </w:p>
    <w:p w14:paraId="4398A177"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Asimismo, dispone que, en ningún caso, un partido político podrá contar con un número de diputaciones por ambos principios que representen un porcentaje del total de </w:t>
      </w:r>
      <w:smartTag w:uri="urn:schemas-microsoft-com:office:smarttags" w:element="PersonName">
        <w:smartTagPr>
          <w:attr w:name="ProductID" w:val="la Legislatura"/>
        </w:smartTagPr>
        <w:r w:rsidRPr="00F32542">
          <w:rPr>
            <w:rFonts w:ascii="Arial" w:eastAsia="Calibri" w:hAnsi="Arial" w:cs="Times New Roman"/>
            <w:sz w:val="28"/>
          </w:rPr>
          <w:t>la Legislatura</w:t>
        </w:r>
      </w:smartTag>
      <w:r w:rsidRPr="00F32542">
        <w:rPr>
          <w:rFonts w:ascii="Arial" w:eastAsia="Calibri" w:hAnsi="Arial" w:cs="Times New Roman"/>
          <w:sz w:val="28"/>
        </w:rPr>
        <w:t xml:space="preserve"> que exceda en </w:t>
      </w:r>
      <w:r w:rsidRPr="00F32542">
        <w:rPr>
          <w:rFonts w:ascii="Arial" w:eastAsia="Calibri" w:hAnsi="Arial" w:cs="Times New Roman"/>
          <w:b/>
          <w:sz w:val="28"/>
        </w:rPr>
        <w:t>ocho puntos su porcentaje de votación emitida</w:t>
      </w:r>
      <w:r w:rsidRPr="00F32542">
        <w:rPr>
          <w:rFonts w:ascii="Arial" w:eastAsia="Calibri" w:hAnsi="Arial" w:cs="Times New Roman"/>
          <w:sz w:val="28"/>
        </w:rPr>
        <w:t xml:space="preserve">; porcentaje que no será a aplicable al partido que, por sus triunfos en distritos uninominales, obtenga un porcentaje de curules del total de </w:t>
      </w:r>
      <w:smartTag w:uri="urn:schemas-microsoft-com:office:smarttags" w:element="PersonName">
        <w:smartTagPr>
          <w:attr w:name="ProductID" w:val="la Legislatura"/>
        </w:smartTagPr>
        <w:r w:rsidRPr="00F32542">
          <w:rPr>
            <w:rFonts w:ascii="Arial" w:eastAsia="Calibri" w:hAnsi="Arial" w:cs="Times New Roman"/>
            <w:sz w:val="28"/>
          </w:rPr>
          <w:t>la Legislatura</w:t>
        </w:r>
      </w:smartTag>
      <w:r w:rsidRPr="00F32542">
        <w:rPr>
          <w:rFonts w:ascii="Arial" w:eastAsia="Calibri" w:hAnsi="Arial" w:cs="Times New Roman"/>
          <w:sz w:val="28"/>
        </w:rPr>
        <w:t xml:space="preserve">, superior a la suma del porcentaje de su votación emitida más el ocho por ciento. </w:t>
      </w:r>
    </w:p>
    <w:p w14:paraId="51773343" w14:textId="77777777" w:rsidR="00F94B48" w:rsidRPr="00F32542" w:rsidRDefault="00F94B48" w:rsidP="00F94B48">
      <w:pPr>
        <w:spacing w:after="0" w:line="360" w:lineRule="auto"/>
        <w:jc w:val="both"/>
        <w:rPr>
          <w:rFonts w:ascii="Arial" w:eastAsia="Calibri" w:hAnsi="Arial" w:cs="Times New Roman"/>
          <w:sz w:val="28"/>
        </w:rPr>
      </w:pPr>
    </w:p>
    <w:p w14:paraId="64F673CB" w14:textId="77777777" w:rsidR="00F94B48" w:rsidRPr="00F32542" w:rsidRDefault="00F94B48" w:rsidP="00F94B48">
      <w:pPr>
        <w:spacing w:after="0" w:line="360" w:lineRule="auto"/>
        <w:jc w:val="both"/>
        <w:rPr>
          <w:rFonts w:ascii="Arial" w:eastAsia="Calibri" w:hAnsi="Arial" w:cs="Times New Roman"/>
          <w:b/>
          <w:sz w:val="28"/>
        </w:rPr>
      </w:pPr>
      <w:r w:rsidRPr="00F32542">
        <w:rPr>
          <w:rFonts w:ascii="Arial" w:eastAsia="Calibri" w:hAnsi="Arial" w:cs="Times New Roman"/>
          <w:sz w:val="28"/>
        </w:rPr>
        <w:t xml:space="preserve">Además, que, en la integración de </w:t>
      </w:r>
      <w:smartTag w:uri="urn:schemas-microsoft-com:office:smarttags" w:element="PersonName">
        <w:smartTagPr>
          <w:attr w:name="ProductID" w:val="la Legislatura"/>
        </w:smartTagPr>
        <w:r w:rsidRPr="00F32542">
          <w:rPr>
            <w:rFonts w:ascii="Arial" w:eastAsia="Calibri" w:hAnsi="Arial" w:cs="Times New Roman"/>
            <w:sz w:val="28"/>
          </w:rPr>
          <w:t>la Legislatura</w:t>
        </w:r>
      </w:smartTag>
      <w:r w:rsidRPr="00F32542">
        <w:rPr>
          <w:rFonts w:ascii="Arial" w:eastAsia="Calibri" w:hAnsi="Arial" w:cs="Times New Roman"/>
          <w:sz w:val="28"/>
        </w:rPr>
        <w:t xml:space="preserve">, el porcentaje de representación de un partido político no podrá ser menor al porcentaje de votación que hubiere recibido menos </w:t>
      </w:r>
      <w:r w:rsidRPr="00F32542">
        <w:rPr>
          <w:rFonts w:ascii="Arial" w:eastAsia="Calibri" w:hAnsi="Arial" w:cs="Times New Roman"/>
          <w:b/>
          <w:sz w:val="28"/>
        </w:rPr>
        <w:t>ocho puntos porcentuales.</w:t>
      </w:r>
    </w:p>
    <w:p w14:paraId="5DC52682" w14:textId="77777777" w:rsidR="00F94B48" w:rsidRPr="00F32542" w:rsidRDefault="00F94B48" w:rsidP="00F94B48">
      <w:pPr>
        <w:spacing w:after="0" w:line="360" w:lineRule="auto"/>
        <w:jc w:val="both"/>
        <w:rPr>
          <w:rFonts w:ascii="Arial" w:eastAsia="Calibri" w:hAnsi="Arial" w:cs="Times New Roman"/>
          <w:sz w:val="28"/>
        </w:rPr>
      </w:pPr>
    </w:p>
    <w:p w14:paraId="6F633B6A"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En concordancia con esa disposición, el artículo 29, apartado B, párrafo segundo, inciso c), de la </w:t>
      </w:r>
      <w:r w:rsidRPr="00F32542">
        <w:rPr>
          <w:rFonts w:ascii="Arial" w:eastAsia="Calibri" w:hAnsi="Arial" w:cs="Times New Roman"/>
          <w:i/>
          <w:sz w:val="28"/>
        </w:rPr>
        <w:t>Constitución Local</w:t>
      </w:r>
      <w:r w:rsidRPr="00F32542">
        <w:rPr>
          <w:rFonts w:ascii="Arial" w:eastAsia="Calibri" w:hAnsi="Arial" w:cs="Times New Roman"/>
          <w:sz w:val="28"/>
        </w:rPr>
        <w:t xml:space="preserve">, prevé, entre otras reglas para la asignación de curules por el principio de representación proporcional, la relativa a que, en ningún caso, un partido político podrá contar con un número de diputaciones por ambos principios que represente un porcentaje del total del </w:t>
      </w:r>
      <w:r w:rsidRPr="00F32542">
        <w:rPr>
          <w:rFonts w:ascii="Arial" w:eastAsia="Calibri" w:hAnsi="Arial" w:cs="Times New Roman"/>
          <w:i/>
          <w:sz w:val="28"/>
        </w:rPr>
        <w:t>Congreso</w:t>
      </w:r>
      <w:r w:rsidRPr="00F32542">
        <w:rPr>
          <w:rFonts w:ascii="Arial" w:eastAsia="Calibri" w:hAnsi="Arial" w:cs="Times New Roman"/>
          <w:sz w:val="28"/>
        </w:rPr>
        <w:t xml:space="preserve"> que exceda en ocho puntos a su votación válida emitida, salvo en el caso del partido político que, por sus triunfos en distritos uninominales, obtenga un porcentaje de curules del total del </w:t>
      </w:r>
      <w:r w:rsidRPr="00F32542">
        <w:rPr>
          <w:rFonts w:ascii="Arial" w:eastAsia="Calibri" w:hAnsi="Arial" w:cs="Times New Roman"/>
          <w:i/>
          <w:sz w:val="28"/>
        </w:rPr>
        <w:t>Congreso</w:t>
      </w:r>
      <w:r w:rsidRPr="00F32542">
        <w:rPr>
          <w:rFonts w:ascii="Arial" w:eastAsia="Calibri" w:hAnsi="Arial" w:cs="Times New Roman"/>
          <w:sz w:val="28"/>
        </w:rPr>
        <w:t xml:space="preserve">, superior a la suma del porcentaje de su votación válida emitida más el ocho por ciento. </w:t>
      </w:r>
    </w:p>
    <w:p w14:paraId="4CEB4AD1" w14:textId="77777777" w:rsidR="00F94B48" w:rsidRPr="00F32542" w:rsidRDefault="00F94B48" w:rsidP="00F94B48">
      <w:pPr>
        <w:spacing w:after="0" w:line="360" w:lineRule="auto"/>
        <w:jc w:val="both"/>
        <w:rPr>
          <w:rFonts w:ascii="Arial" w:eastAsia="Calibri" w:hAnsi="Arial" w:cs="Times New Roman"/>
          <w:sz w:val="28"/>
        </w:rPr>
      </w:pPr>
    </w:p>
    <w:p w14:paraId="79A210C2"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Aunado a que el porcentaje de representación de un partido político no podrá ser menor al porcentaje de su votación válida emitida menos ocho puntos porcentuales.</w:t>
      </w:r>
    </w:p>
    <w:p w14:paraId="5969E4B3" w14:textId="77777777" w:rsidR="00F94B48" w:rsidRPr="00F32542" w:rsidRDefault="00F94B48" w:rsidP="00F94B48">
      <w:pPr>
        <w:spacing w:after="0" w:line="360" w:lineRule="auto"/>
        <w:jc w:val="both"/>
        <w:rPr>
          <w:rFonts w:ascii="Arial" w:eastAsia="Calibri" w:hAnsi="Arial" w:cs="Times New Roman"/>
          <w:sz w:val="28"/>
        </w:rPr>
      </w:pPr>
    </w:p>
    <w:p w14:paraId="4E779B8A"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Por tanto, contrario a lo que refiere la </w:t>
      </w:r>
      <w:r w:rsidRPr="00F32542">
        <w:rPr>
          <w:rFonts w:ascii="Arial" w:eastAsia="Calibri" w:hAnsi="Arial" w:cs="Times New Roman"/>
          <w:i/>
          <w:sz w:val="28"/>
        </w:rPr>
        <w:t>parte actora</w:t>
      </w:r>
      <w:r w:rsidRPr="00F32542">
        <w:rPr>
          <w:rFonts w:ascii="Arial" w:eastAsia="Calibri" w:hAnsi="Arial" w:cs="Times New Roman"/>
          <w:sz w:val="28"/>
        </w:rPr>
        <w:t xml:space="preserve">, el parámetro para analizar la sobre o subrepresentación de un partido político respecto de la integración del </w:t>
      </w:r>
      <w:r w:rsidRPr="00F32542">
        <w:rPr>
          <w:rFonts w:ascii="Arial" w:eastAsia="Calibri" w:hAnsi="Arial" w:cs="Times New Roman"/>
          <w:i/>
          <w:sz w:val="28"/>
        </w:rPr>
        <w:t>Congreso</w:t>
      </w:r>
      <w:r w:rsidRPr="00F32542">
        <w:rPr>
          <w:rFonts w:ascii="Arial" w:eastAsia="Calibri" w:hAnsi="Arial" w:cs="Times New Roman"/>
          <w:sz w:val="28"/>
        </w:rPr>
        <w:t xml:space="preserve">, es el relativo al ocho por ciento de votación válida emitida. </w:t>
      </w:r>
    </w:p>
    <w:p w14:paraId="5D96E847" w14:textId="77777777" w:rsidR="00F94B48" w:rsidRPr="00F32542" w:rsidRDefault="00F94B48" w:rsidP="00F94B48">
      <w:pPr>
        <w:spacing w:after="0" w:line="360" w:lineRule="auto"/>
        <w:jc w:val="both"/>
        <w:rPr>
          <w:rFonts w:ascii="Arial" w:eastAsia="Calibri" w:hAnsi="Arial" w:cs="Times New Roman"/>
          <w:sz w:val="28"/>
        </w:rPr>
      </w:pPr>
    </w:p>
    <w:p w14:paraId="0159E242"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Times New Roman"/>
          <w:sz w:val="28"/>
        </w:rPr>
        <w:t xml:space="preserve">Y si bien, en el texto original del </w:t>
      </w:r>
      <w:r w:rsidRPr="00F32542">
        <w:rPr>
          <w:rFonts w:ascii="Arial" w:eastAsia="Calibri" w:hAnsi="Arial" w:cs="Times New Roman"/>
          <w:i/>
          <w:sz w:val="28"/>
        </w:rPr>
        <w:t>Código Electoral</w:t>
      </w:r>
      <w:r w:rsidRPr="00F32542">
        <w:rPr>
          <w:rFonts w:ascii="Arial" w:eastAsia="Calibri" w:hAnsi="Arial" w:cs="Times New Roman"/>
          <w:sz w:val="28"/>
        </w:rPr>
        <w:t xml:space="preserve">, en vigor desde el ocho de junio de dos mil diecisiete, se estableció, en el artículo 27, fracción II, que </w:t>
      </w:r>
      <w:r w:rsidRPr="00F32542">
        <w:rPr>
          <w:rFonts w:ascii="Arial" w:eastAsia="Calibri" w:hAnsi="Arial" w:cs="Times New Roman"/>
          <w:i/>
          <w:sz w:val="28"/>
        </w:rPr>
        <w:t>“</w:t>
      </w:r>
      <w:r w:rsidRPr="00F32542">
        <w:rPr>
          <w:rFonts w:ascii="Arial" w:eastAsia="Calibri" w:hAnsi="Arial" w:cs="Arial"/>
          <w:i/>
          <w:sz w:val="28"/>
          <w:szCs w:val="28"/>
        </w:rPr>
        <w:t>En ningún caso un partido político podrá contar con un número de Diputadas y Diputados, por ambos principios, que represente un porcentaje del total de la legislatura que exceda en cuatro puntos a su porcentaje de votación local emitida. Esta base no se aplicará al partido político que por sus triunfos en distritos uninominales obtenga un porcentaje de curules del total de la legislatura, superior a la suma del porcentaje de su votación local emitida más el cuatro por ciento”.</w:t>
      </w:r>
    </w:p>
    <w:p w14:paraId="7049B81E" w14:textId="77777777" w:rsidR="00F94B48" w:rsidRPr="00F32542" w:rsidRDefault="00F94B48" w:rsidP="00F94B48">
      <w:pPr>
        <w:spacing w:after="0" w:line="360" w:lineRule="auto"/>
        <w:jc w:val="both"/>
        <w:rPr>
          <w:rFonts w:ascii="Arial" w:eastAsia="Calibri" w:hAnsi="Arial" w:cs="Arial"/>
          <w:sz w:val="28"/>
          <w:szCs w:val="28"/>
        </w:rPr>
      </w:pPr>
    </w:p>
    <w:p w14:paraId="5729554D" w14:textId="77777777" w:rsidR="00F94B48" w:rsidRPr="00F32542" w:rsidRDefault="00F94B48" w:rsidP="00F94B48">
      <w:pPr>
        <w:spacing w:after="0" w:line="360" w:lineRule="auto"/>
        <w:jc w:val="both"/>
        <w:rPr>
          <w:rFonts w:ascii="Arial" w:eastAsia="Calibri" w:hAnsi="Arial" w:cs="Arial"/>
          <w:i/>
          <w:sz w:val="28"/>
          <w:szCs w:val="28"/>
        </w:rPr>
      </w:pPr>
      <w:r w:rsidRPr="00F32542">
        <w:rPr>
          <w:rFonts w:ascii="Arial" w:eastAsia="Calibri" w:hAnsi="Arial" w:cs="Arial"/>
          <w:sz w:val="28"/>
          <w:szCs w:val="28"/>
        </w:rPr>
        <w:t xml:space="preserve">Mientras que en la fracción IV de ese numeral, en el segundo párrafo, se previó que </w:t>
      </w:r>
      <w:r w:rsidRPr="00F32542">
        <w:rPr>
          <w:rFonts w:ascii="Arial" w:eastAsia="Calibri" w:hAnsi="Arial" w:cs="Arial"/>
          <w:i/>
          <w:sz w:val="28"/>
          <w:szCs w:val="28"/>
        </w:rPr>
        <w:t>“En la integración del Congreso local, el porcentaje de representación de un partido político no podrá ser menor al porcentaje de votación local emitida que hubiere recibido menos cuatro puntos porcentuales; Para la asignación de diputaciones de representación proporcional del Congreso de la Ciudad”.</w:t>
      </w:r>
    </w:p>
    <w:p w14:paraId="67BA60D5" w14:textId="77777777" w:rsidR="00F94B48" w:rsidRPr="00F32542" w:rsidRDefault="00F94B48" w:rsidP="00F94B48">
      <w:pPr>
        <w:spacing w:after="0" w:line="360" w:lineRule="auto"/>
        <w:jc w:val="both"/>
        <w:rPr>
          <w:rFonts w:ascii="Arial" w:eastAsia="Calibri" w:hAnsi="Arial" w:cs="Arial"/>
          <w:i/>
          <w:sz w:val="28"/>
          <w:szCs w:val="28"/>
        </w:rPr>
      </w:pPr>
    </w:p>
    <w:p w14:paraId="7421C0DD"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Esto es, a diferencia de las disposiciones de la </w:t>
      </w:r>
      <w:r w:rsidRPr="00F32542">
        <w:rPr>
          <w:rFonts w:ascii="Arial" w:eastAsia="Calibri" w:hAnsi="Arial" w:cs="Times New Roman"/>
          <w:i/>
          <w:sz w:val="28"/>
        </w:rPr>
        <w:t>Constitución Federal</w:t>
      </w:r>
      <w:r w:rsidRPr="00F32542">
        <w:rPr>
          <w:rFonts w:ascii="Arial" w:eastAsia="Calibri" w:hAnsi="Arial" w:cs="Times New Roman"/>
          <w:sz w:val="28"/>
        </w:rPr>
        <w:t xml:space="preserve"> y la </w:t>
      </w:r>
      <w:r w:rsidRPr="00F32542">
        <w:rPr>
          <w:rFonts w:ascii="Arial" w:eastAsia="Calibri" w:hAnsi="Arial" w:cs="Times New Roman"/>
          <w:i/>
          <w:sz w:val="28"/>
        </w:rPr>
        <w:t>Constitución Local</w:t>
      </w:r>
      <w:r w:rsidRPr="00F32542">
        <w:rPr>
          <w:rFonts w:ascii="Arial" w:eastAsia="Calibri" w:hAnsi="Arial" w:cs="Times New Roman"/>
          <w:sz w:val="28"/>
        </w:rPr>
        <w:t xml:space="preserve">, se estableció en el </w:t>
      </w:r>
      <w:r w:rsidRPr="00F32542">
        <w:rPr>
          <w:rFonts w:ascii="Arial" w:eastAsia="Calibri" w:hAnsi="Arial" w:cs="Times New Roman"/>
          <w:i/>
          <w:sz w:val="28"/>
        </w:rPr>
        <w:t>Código Electoral</w:t>
      </w:r>
      <w:r w:rsidRPr="00F32542">
        <w:rPr>
          <w:rFonts w:ascii="Arial" w:eastAsia="Calibri" w:hAnsi="Arial" w:cs="Times New Roman"/>
          <w:sz w:val="28"/>
        </w:rPr>
        <w:t xml:space="preserve"> el cuatro por ciento como base para verificar la sobre y subrepresentación. </w:t>
      </w:r>
    </w:p>
    <w:p w14:paraId="4DF0D74B" w14:textId="77777777" w:rsidR="00F94B48" w:rsidRPr="00F32542" w:rsidRDefault="00F94B48" w:rsidP="00F94B48">
      <w:pPr>
        <w:spacing w:after="0" w:line="360" w:lineRule="auto"/>
        <w:jc w:val="both"/>
        <w:rPr>
          <w:rFonts w:ascii="Arial" w:eastAsia="Calibri" w:hAnsi="Arial" w:cs="Times New Roman"/>
          <w:sz w:val="28"/>
        </w:rPr>
      </w:pPr>
    </w:p>
    <w:p w14:paraId="2B803F93"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lastRenderedPageBreak/>
        <w:t xml:space="preserve">Sin embargo, esas disposiciones del </w:t>
      </w:r>
      <w:r w:rsidRPr="00F32542">
        <w:rPr>
          <w:rFonts w:ascii="Arial" w:eastAsia="Calibri" w:hAnsi="Arial" w:cs="Times New Roman"/>
          <w:i/>
          <w:sz w:val="28"/>
        </w:rPr>
        <w:t xml:space="preserve">Código Electoral </w:t>
      </w:r>
      <w:r w:rsidRPr="00F32542">
        <w:rPr>
          <w:rFonts w:ascii="Arial" w:eastAsia="Calibri" w:hAnsi="Arial" w:cs="Times New Roman"/>
          <w:sz w:val="28"/>
        </w:rPr>
        <w:t>no son aplicables.</w:t>
      </w:r>
    </w:p>
    <w:p w14:paraId="7213B062" w14:textId="77777777" w:rsidR="00F94B48" w:rsidRPr="00F32542" w:rsidRDefault="00F94B48" w:rsidP="00F94B48">
      <w:pPr>
        <w:spacing w:after="0" w:line="360" w:lineRule="auto"/>
        <w:jc w:val="both"/>
        <w:rPr>
          <w:rFonts w:ascii="Arial" w:eastAsia="Calibri" w:hAnsi="Arial" w:cs="Times New Roman"/>
          <w:sz w:val="28"/>
        </w:rPr>
      </w:pPr>
    </w:p>
    <w:p w14:paraId="78629277"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Lo anterior, en razón de que la </w:t>
      </w:r>
      <w:r w:rsidRPr="00F32542">
        <w:rPr>
          <w:rFonts w:ascii="Arial" w:eastAsia="Calibri" w:hAnsi="Arial" w:cs="Arial"/>
          <w:i/>
          <w:sz w:val="28"/>
          <w:szCs w:val="28"/>
        </w:rPr>
        <w:t>Suprema Corte</w:t>
      </w:r>
      <w:r w:rsidRPr="00F32542">
        <w:rPr>
          <w:rFonts w:ascii="Arial" w:eastAsia="Calibri" w:hAnsi="Arial" w:cs="Arial"/>
          <w:sz w:val="28"/>
          <w:szCs w:val="28"/>
        </w:rPr>
        <w:t xml:space="preserve">, al resolver la </w:t>
      </w:r>
      <w:r w:rsidRPr="00F32542">
        <w:rPr>
          <w:rFonts w:ascii="Arial" w:eastAsia="Calibri" w:hAnsi="Arial" w:cs="Arial"/>
          <w:b/>
          <w:sz w:val="28"/>
          <w:szCs w:val="28"/>
        </w:rPr>
        <w:t>acción de inconstitucionalidad 63/2017 y sus acumuladas</w:t>
      </w:r>
      <w:r w:rsidRPr="00F32542">
        <w:rPr>
          <w:rFonts w:ascii="Arial" w:eastAsia="Calibri" w:hAnsi="Arial" w:cs="Arial"/>
          <w:sz w:val="28"/>
          <w:szCs w:val="28"/>
          <w:vertAlign w:val="superscript"/>
        </w:rPr>
        <w:footnoteReference w:id="59"/>
      </w:r>
      <w:r w:rsidRPr="00F32542">
        <w:rPr>
          <w:rFonts w:ascii="Arial" w:eastAsia="Calibri" w:hAnsi="Arial" w:cs="Arial"/>
          <w:sz w:val="28"/>
          <w:szCs w:val="28"/>
        </w:rPr>
        <w:t xml:space="preserve">, analizó ese precepto legal, respecto al cual consideró que la disminución de los límites de sobre y subrepresentación del ocho a un cuatro por ciento, contravenía las bases que establece el artículo 122, apartado A, fracción II, párrafo segundo, de la </w:t>
      </w:r>
      <w:r w:rsidRPr="00F32542">
        <w:rPr>
          <w:rFonts w:ascii="Arial" w:eastAsia="Calibri" w:hAnsi="Arial" w:cs="Arial"/>
          <w:i/>
          <w:sz w:val="28"/>
          <w:szCs w:val="28"/>
        </w:rPr>
        <w:t>Constitución Federal</w:t>
      </w:r>
      <w:r w:rsidRPr="00F32542">
        <w:rPr>
          <w:rFonts w:ascii="Arial" w:eastAsia="Calibri" w:hAnsi="Arial" w:cs="Arial"/>
          <w:sz w:val="28"/>
          <w:szCs w:val="28"/>
        </w:rPr>
        <w:t xml:space="preserve">, las cuales impiden que se prevean límites distintos al ocho por ciento, así como por contradecir lo dispuesto por el artículo 29, apartado B, numeral 2, inciso c), de la </w:t>
      </w:r>
      <w:r w:rsidRPr="00F32542">
        <w:rPr>
          <w:rFonts w:ascii="Arial" w:eastAsia="Calibri" w:hAnsi="Arial" w:cs="Arial"/>
          <w:i/>
          <w:sz w:val="28"/>
          <w:szCs w:val="28"/>
        </w:rPr>
        <w:t>Constitución Local</w:t>
      </w:r>
      <w:r w:rsidRPr="00F32542">
        <w:rPr>
          <w:rFonts w:ascii="Arial" w:eastAsia="Calibri" w:hAnsi="Arial" w:cs="Arial"/>
          <w:sz w:val="28"/>
          <w:szCs w:val="28"/>
        </w:rPr>
        <w:t xml:space="preserve">  y generar con ello una antinomia, en violación al principio de certeza en materia electoral. </w:t>
      </w:r>
    </w:p>
    <w:p w14:paraId="7899CA99" w14:textId="77777777" w:rsidR="00F94B48" w:rsidRPr="00F32542" w:rsidRDefault="00F94B48" w:rsidP="00F94B48">
      <w:pPr>
        <w:spacing w:after="0" w:line="360" w:lineRule="auto"/>
        <w:jc w:val="both"/>
        <w:rPr>
          <w:rFonts w:ascii="Arial" w:eastAsia="Calibri" w:hAnsi="Arial" w:cs="Arial"/>
          <w:sz w:val="28"/>
          <w:szCs w:val="28"/>
        </w:rPr>
      </w:pPr>
    </w:p>
    <w:p w14:paraId="3EFE5B06"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Por tanto, la </w:t>
      </w:r>
      <w:r w:rsidRPr="00F32542">
        <w:rPr>
          <w:rFonts w:ascii="Arial" w:eastAsia="Calibri" w:hAnsi="Arial" w:cs="Arial"/>
          <w:i/>
          <w:sz w:val="28"/>
          <w:szCs w:val="28"/>
        </w:rPr>
        <w:t>Suprema Corte</w:t>
      </w:r>
      <w:r w:rsidRPr="00F32542">
        <w:rPr>
          <w:rFonts w:ascii="Arial" w:eastAsia="Calibri" w:hAnsi="Arial" w:cs="Arial"/>
          <w:sz w:val="28"/>
          <w:szCs w:val="28"/>
        </w:rPr>
        <w:t xml:space="preserve"> declaró la invalidez, entre otras, de las fracciones II y IV, esta última en la porción normativa </w:t>
      </w:r>
      <w:r w:rsidRPr="00F32542">
        <w:rPr>
          <w:rFonts w:ascii="Arial" w:eastAsia="Calibri" w:hAnsi="Arial" w:cs="Arial"/>
          <w:i/>
          <w:sz w:val="28"/>
          <w:szCs w:val="28"/>
        </w:rPr>
        <w:t xml:space="preserve">“superior al cuatro por </w:t>
      </w:r>
      <w:r w:rsidRPr="00F32542">
        <w:rPr>
          <w:rFonts w:ascii="Arial" w:eastAsia="Calibri" w:hAnsi="Arial" w:cs="Arial"/>
          <w:i/>
          <w:spacing w:val="-2"/>
          <w:sz w:val="28"/>
          <w:szCs w:val="28"/>
        </w:rPr>
        <w:t>ciento de su votación local emitida”</w:t>
      </w:r>
      <w:r w:rsidRPr="00F32542">
        <w:rPr>
          <w:rFonts w:ascii="Arial" w:eastAsia="Calibri" w:hAnsi="Arial" w:cs="Arial"/>
          <w:spacing w:val="-2"/>
          <w:sz w:val="28"/>
          <w:szCs w:val="28"/>
        </w:rPr>
        <w:t xml:space="preserve"> (prevista en el acápite), del</w:t>
      </w:r>
      <w:r w:rsidRPr="00F32542">
        <w:rPr>
          <w:rFonts w:ascii="Arial" w:eastAsia="Calibri" w:hAnsi="Arial" w:cs="Arial"/>
          <w:sz w:val="28"/>
          <w:szCs w:val="28"/>
        </w:rPr>
        <w:t xml:space="preserve"> artículo 27 del </w:t>
      </w:r>
      <w:r w:rsidRPr="00F32542">
        <w:rPr>
          <w:rFonts w:ascii="Arial" w:eastAsia="Calibri" w:hAnsi="Arial" w:cs="Arial"/>
          <w:i/>
          <w:sz w:val="28"/>
          <w:szCs w:val="28"/>
        </w:rPr>
        <w:t>Código Electoral</w:t>
      </w:r>
      <w:r w:rsidRPr="00F32542">
        <w:rPr>
          <w:rFonts w:ascii="Arial" w:eastAsia="Calibri" w:hAnsi="Arial" w:cs="Arial"/>
          <w:sz w:val="28"/>
          <w:szCs w:val="28"/>
        </w:rPr>
        <w:t xml:space="preserve">, precisando que, en la aplicación de este precepto, se debía atender a las bases establecidas en el inciso c) del numeral 2 del apartado B del artículo 29 de la </w:t>
      </w:r>
      <w:r w:rsidRPr="00F32542">
        <w:rPr>
          <w:rFonts w:ascii="Arial" w:eastAsia="Calibri" w:hAnsi="Arial" w:cs="Arial"/>
          <w:i/>
          <w:sz w:val="28"/>
          <w:szCs w:val="28"/>
        </w:rPr>
        <w:t>Constitución Local</w:t>
      </w:r>
      <w:r w:rsidRPr="00F32542">
        <w:rPr>
          <w:rFonts w:ascii="Arial" w:eastAsia="Calibri" w:hAnsi="Arial" w:cs="Arial"/>
          <w:sz w:val="28"/>
          <w:szCs w:val="28"/>
        </w:rPr>
        <w:t xml:space="preserve">, esto es, el parámetro del </w:t>
      </w:r>
      <w:r w:rsidRPr="00F32542">
        <w:rPr>
          <w:rFonts w:ascii="Arial" w:eastAsia="Calibri" w:hAnsi="Arial" w:cs="Arial"/>
          <w:b/>
          <w:sz w:val="28"/>
          <w:szCs w:val="28"/>
        </w:rPr>
        <w:t>ocho por ciento</w:t>
      </w:r>
      <w:r w:rsidRPr="00F32542">
        <w:rPr>
          <w:rFonts w:ascii="Arial" w:eastAsia="Calibri" w:hAnsi="Arial" w:cs="Arial"/>
          <w:sz w:val="28"/>
          <w:szCs w:val="28"/>
        </w:rPr>
        <w:t xml:space="preserve"> para la sobre y subrepresentación.</w:t>
      </w:r>
    </w:p>
    <w:p w14:paraId="3EF6D05E" w14:textId="77777777" w:rsidR="00F94B48" w:rsidRPr="00F32542" w:rsidRDefault="00F94B48" w:rsidP="00F94B48">
      <w:pPr>
        <w:spacing w:after="0" w:line="360" w:lineRule="auto"/>
        <w:jc w:val="both"/>
        <w:rPr>
          <w:rFonts w:ascii="Arial" w:eastAsia="Calibri" w:hAnsi="Arial" w:cs="Arial"/>
          <w:sz w:val="28"/>
          <w:szCs w:val="28"/>
        </w:rPr>
      </w:pPr>
    </w:p>
    <w:p w14:paraId="1DA4822A"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Por tanto, contrario a lo que sostiene la </w:t>
      </w:r>
      <w:r w:rsidRPr="00F32542">
        <w:rPr>
          <w:rFonts w:ascii="Arial" w:eastAsia="Calibri" w:hAnsi="Arial" w:cs="Arial"/>
          <w:i/>
          <w:sz w:val="28"/>
          <w:szCs w:val="28"/>
        </w:rPr>
        <w:t>parte actora</w:t>
      </w:r>
      <w:r w:rsidRPr="00F32542">
        <w:rPr>
          <w:rFonts w:ascii="Arial" w:eastAsia="Calibri" w:hAnsi="Arial" w:cs="Arial"/>
          <w:sz w:val="28"/>
          <w:szCs w:val="28"/>
        </w:rPr>
        <w:t xml:space="preserve">, no es aplicable el límite de sobre y subrepresentación del cuatro por ciento, puesto que fue declarado inválido, de manera que, acorde con las bases </w:t>
      </w:r>
      <w:r w:rsidRPr="00F32542">
        <w:rPr>
          <w:rFonts w:ascii="Arial" w:eastAsia="Calibri" w:hAnsi="Arial" w:cs="Arial"/>
          <w:sz w:val="28"/>
          <w:szCs w:val="28"/>
        </w:rPr>
        <w:lastRenderedPageBreak/>
        <w:t xml:space="preserve">de la </w:t>
      </w:r>
      <w:r w:rsidRPr="00F32542">
        <w:rPr>
          <w:rFonts w:ascii="Arial" w:eastAsia="Calibri" w:hAnsi="Arial" w:cs="Arial"/>
          <w:i/>
          <w:sz w:val="28"/>
          <w:szCs w:val="28"/>
        </w:rPr>
        <w:t>Constitución Federal</w:t>
      </w:r>
      <w:r w:rsidRPr="00F32542">
        <w:rPr>
          <w:rFonts w:ascii="Arial" w:eastAsia="Calibri" w:hAnsi="Arial" w:cs="Arial"/>
          <w:sz w:val="28"/>
          <w:szCs w:val="28"/>
        </w:rPr>
        <w:t xml:space="preserve">, replicadas en la </w:t>
      </w:r>
      <w:r w:rsidRPr="00F32542">
        <w:rPr>
          <w:rFonts w:ascii="Arial" w:eastAsia="Calibri" w:hAnsi="Arial" w:cs="Arial"/>
          <w:i/>
          <w:sz w:val="28"/>
          <w:szCs w:val="28"/>
        </w:rPr>
        <w:t>Constitución Local</w:t>
      </w:r>
      <w:r w:rsidRPr="00F32542">
        <w:rPr>
          <w:rFonts w:ascii="Arial" w:eastAsia="Calibri" w:hAnsi="Arial" w:cs="Arial"/>
          <w:sz w:val="28"/>
          <w:szCs w:val="28"/>
        </w:rPr>
        <w:t xml:space="preserve">, el parámetro es el correspondiente al ocho por ciento. </w:t>
      </w:r>
    </w:p>
    <w:p w14:paraId="4B223AD5" w14:textId="77777777" w:rsidR="00F94B48" w:rsidRPr="00F32542" w:rsidRDefault="00F94B48" w:rsidP="00F94B48">
      <w:pPr>
        <w:spacing w:after="0" w:line="360" w:lineRule="auto"/>
        <w:jc w:val="both"/>
        <w:rPr>
          <w:rFonts w:ascii="Arial" w:eastAsia="Calibri" w:hAnsi="Arial" w:cs="Arial"/>
          <w:sz w:val="28"/>
          <w:szCs w:val="28"/>
        </w:rPr>
      </w:pPr>
    </w:p>
    <w:p w14:paraId="7B37D258"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En ese contexto, en el caso, como se analizó previamente, ninguno de los partidos políticos que tuvieron derecho a participar en la asignación de diputaciones por el principio de representación proporcional incurre en </w:t>
      </w:r>
      <w:proofErr w:type="spellStart"/>
      <w:r w:rsidRPr="00F32542">
        <w:rPr>
          <w:rFonts w:ascii="Arial" w:eastAsia="Calibri" w:hAnsi="Arial" w:cs="Arial"/>
          <w:sz w:val="28"/>
          <w:szCs w:val="28"/>
        </w:rPr>
        <w:t>sobrerepresentación</w:t>
      </w:r>
      <w:proofErr w:type="spellEnd"/>
      <w:r w:rsidRPr="00F32542">
        <w:rPr>
          <w:rFonts w:ascii="Arial" w:eastAsia="Calibri" w:hAnsi="Arial" w:cs="Arial"/>
          <w:sz w:val="28"/>
          <w:szCs w:val="28"/>
        </w:rPr>
        <w:t xml:space="preserve">. </w:t>
      </w:r>
    </w:p>
    <w:p w14:paraId="278D796C" w14:textId="77777777" w:rsidR="00F94B48" w:rsidRPr="00F32542" w:rsidRDefault="00F94B48" w:rsidP="00F94B48">
      <w:pPr>
        <w:spacing w:after="0" w:line="360" w:lineRule="auto"/>
        <w:jc w:val="both"/>
        <w:rPr>
          <w:rFonts w:ascii="Arial" w:eastAsia="Calibri" w:hAnsi="Arial" w:cs="Arial"/>
          <w:sz w:val="28"/>
          <w:szCs w:val="28"/>
        </w:rPr>
      </w:pPr>
    </w:p>
    <w:p w14:paraId="7977FD05"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En efecto, en el apartado precedente se verificó la sobrer</w:t>
      </w:r>
      <w:r w:rsidR="00B44446" w:rsidRPr="00F32542">
        <w:rPr>
          <w:rFonts w:ascii="Arial" w:eastAsia="Calibri" w:hAnsi="Arial" w:cs="Arial"/>
          <w:sz w:val="28"/>
          <w:szCs w:val="28"/>
        </w:rPr>
        <w:t>r</w:t>
      </w:r>
      <w:r w:rsidRPr="00F32542">
        <w:rPr>
          <w:rFonts w:ascii="Arial" w:eastAsia="Calibri" w:hAnsi="Arial" w:cs="Arial"/>
          <w:sz w:val="28"/>
          <w:szCs w:val="28"/>
        </w:rPr>
        <w:t>epresentación en los siguientes términos:</w:t>
      </w:r>
    </w:p>
    <w:p w14:paraId="0B32B263" w14:textId="77777777" w:rsidR="00B44446" w:rsidRPr="00F32542" w:rsidRDefault="00B44446" w:rsidP="00B44446">
      <w:pPr>
        <w:spacing w:after="0" w:line="360" w:lineRule="auto"/>
        <w:jc w:val="both"/>
        <w:rPr>
          <w:rFonts w:ascii="Arial" w:eastAsia="Calibri" w:hAnsi="Arial" w:cs="Arial"/>
          <w:sz w:val="28"/>
          <w:szCs w:val="28"/>
        </w:rPr>
      </w:pPr>
    </w:p>
    <w:tbl>
      <w:tblPr>
        <w:tblStyle w:val="Tablaconcuadrcula254"/>
        <w:tblW w:w="0" w:type="auto"/>
        <w:tblLook w:val="04A0" w:firstRow="1" w:lastRow="0" w:firstColumn="1" w:lastColumn="0" w:noHBand="0" w:noVBand="1"/>
      </w:tblPr>
      <w:tblGrid>
        <w:gridCol w:w="1367"/>
        <w:gridCol w:w="1587"/>
        <w:gridCol w:w="1539"/>
        <w:gridCol w:w="1872"/>
        <w:gridCol w:w="1897"/>
      </w:tblGrid>
      <w:tr w:rsidR="00B44446" w:rsidRPr="00F32542" w14:paraId="60795F01" w14:textId="77777777" w:rsidTr="00B65D24">
        <w:tc>
          <w:tcPr>
            <w:tcW w:w="1367" w:type="dxa"/>
            <w:shd w:val="clear" w:color="auto" w:fill="AEAAAA"/>
            <w:vAlign w:val="center"/>
          </w:tcPr>
          <w:p w14:paraId="32F24653" w14:textId="77777777" w:rsidR="00B44446" w:rsidRPr="00F32542" w:rsidRDefault="00B44446" w:rsidP="00B44446">
            <w:pPr>
              <w:spacing w:after="0" w:line="240" w:lineRule="auto"/>
              <w:jc w:val="center"/>
              <w:rPr>
                <w:rFonts w:ascii="Arial" w:eastAsia="Calibri" w:hAnsi="Arial" w:cs="Arial"/>
                <w:b/>
                <w:sz w:val="18"/>
                <w:szCs w:val="18"/>
              </w:rPr>
            </w:pPr>
            <w:r w:rsidRPr="00F32542">
              <w:rPr>
                <w:rFonts w:ascii="Arial" w:eastAsia="Calibri" w:hAnsi="Arial" w:cs="Arial"/>
                <w:b/>
                <w:sz w:val="18"/>
                <w:szCs w:val="18"/>
              </w:rPr>
              <w:t>PARTIDO POLÍTICO</w:t>
            </w:r>
          </w:p>
        </w:tc>
        <w:tc>
          <w:tcPr>
            <w:tcW w:w="1587" w:type="dxa"/>
            <w:shd w:val="clear" w:color="auto" w:fill="AEAAAA"/>
            <w:vAlign w:val="center"/>
          </w:tcPr>
          <w:p w14:paraId="1380A723" w14:textId="77777777" w:rsidR="00B44446" w:rsidRPr="00F32542" w:rsidRDefault="00B44446" w:rsidP="00B44446">
            <w:pPr>
              <w:spacing w:after="0" w:line="240" w:lineRule="auto"/>
              <w:jc w:val="center"/>
              <w:rPr>
                <w:rFonts w:ascii="Arial" w:eastAsia="Calibri" w:hAnsi="Arial" w:cs="Arial"/>
                <w:b/>
                <w:sz w:val="18"/>
                <w:szCs w:val="18"/>
              </w:rPr>
            </w:pPr>
            <w:r w:rsidRPr="00F32542">
              <w:rPr>
                <w:rFonts w:ascii="Arial" w:eastAsia="Calibri" w:hAnsi="Arial" w:cs="Arial"/>
                <w:b/>
                <w:sz w:val="18"/>
                <w:szCs w:val="18"/>
              </w:rPr>
              <w:t>(A)</w:t>
            </w:r>
          </w:p>
          <w:p w14:paraId="49989A0B" w14:textId="77777777" w:rsidR="00B44446" w:rsidRPr="00F32542" w:rsidRDefault="00B44446" w:rsidP="00B44446">
            <w:pPr>
              <w:spacing w:after="0" w:line="240" w:lineRule="auto"/>
              <w:jc w:val="both"/>
              <w:rPr>
                <w:rFonts w:ascii="Arial" w:eastAsia="Calibri" w:hAnsi="Arial" w:cs="Arial"/>
                <w:b/>
                <w:sz w:val="18"/>
                <w:szCs w:val="18"/>
              </w:rPr>
            </w:pPr>
            <w:r w:rsidRPr="00F32542">
              <w:rPr>
                <w:rFonts w:ascii="Arial" w:eastAsia="Calibri" w:hAnsi="Arial" w:cs="Arial"/>
                <w:b/>
                <w:sz w:val="18"/>
                <w:szCs w:val="18"/>
              </w:rPr>
              <w:t>TOTAL DE DIPUTACIONES POR PARTIDO POLÍTICO</w:t>
            </w:r>
          </w:p>
        </w:tc>
        <w:tc>
          <w:tcPr>
            <w:tcW w:w="1539" w:type="dxa"/>
            <w:shd w:val="clear" w:color="auto" w:fill="AEAAAA"/>
            <w:vAlign w:val="center"/>
          </w:tcPr>
          <w:p w14:paraId="7E5A77E7" w14:textId="77777777" w:rsidR="00B44446" w:rsidRPr="00F32542" w:rsidRDefault="00B44446" w:rsidP="00B44446">
            <w:pPr>
              <w:spacing w:after="0" w:line="240" w:lineRule="auto"/>
              <w:jc w:val="center"/>
              <w:rPr>
                <w:rFonts w:ascii="Arial" w:eastAsia="Calibri" w:hAnsi="Arial" w:cs="Arial"/>
                <w:b/>
                <w:sz w:val="18"/>
                <w:szCs w:val="18"/>
              </w:rPr>
            </w:pPr>
            <w:r w:rsidRPr="00F32542">
              <w:rPr>
                <w:rFonts w:ascii="Arial" w:eastAsia="Calibri" w:hAnsi="Arial" w:cs="Arial"/>
                <w:b/>
                <w:sz w:val="18"/>
                <w:szCs w:val="18"/>
              </w:rPr>
              <w:t>[B=(A/66)x100]</w:t>
            </w:r>
          </w:p>
          <w:p w14:paraId="6FB6C5F0" w14:textId="77777777" w:rsidR="00B44446" w:rsidRPr="00F32542" w:rsidRDefault="00B44446" w:rsidP="00B44446">
            <w:pPr>
              <w:spacing w:after="0" w:line="240" w:lineRule="auto"/>
              <w:jc w:val="center"/>
              <w:rPr>
                <w:rFonts w:ascii="Arial" w:eastAsia="Calibri" w:hAnsi="Arial" w:cs="Arial"/>
                <w:b/>
                <w:sz w:val="18"/>
                <w:szCs w:val="18"/>
              </w:rPr>
            </w:pPr>
            <w:r w:rsidRPr="00F32542">
              <w:rPr>
                <w:rFonts w:ascii="Arial" w:eastAsia="Calibri" w:hAnsi="Arial" w:cs="Arial"/>
                <w:b/>
                <w:sz w:val="18"/>
                <w:szCs w:val="18"/>
              </w:rPr>
              <w:t>PORCENTAJE DE CURULES DEL CONGRESO LOCAL</w:t>
            </w:r>
          </w:p>
        </w:tc>
        <w:tc>
          <w:tcPr>
            <w:tcW w:w="1872" w:type="dxa"/>
            <w:shd w:val="clear" w:color="auto" w:fill="AEAAAA"/>
            <w:vAlign w:val="center"/>
          </w:tcPr>
          <w:p w14:paraId="51D46D1D" w14:textId="77777777" w:rsidR="00B44446" w:rsidRPr="00F32542" w:rsidRDefault="00B44446" w:rsidP="00B44446">
            <w:pPr>
              <w:spacing w:after="0" w:line="240" w:lineRule="auto"/>
              <w:jc w:val="center"/>
              <w:rPr>
                <w:rFonts w:ascii="Arial" w:eastAsia="Calibri" w:hAnsi="Arial" w:cs="Arial"/>
                <w:b/>
                <w:sz w:val="18"/>
                <w:szCs w:val="18"/>
              </w:rPr>
            </w:pPr>
            <w:r w:rsidRPr="00F32542">
              <w:rPr>
                <w:rFonts w:ascii="Arial" w:eastAsia="Calibri" w:hAnsi="Arial" w:cs="Arial"/>
                <w:b/>
                <w:sz w:val="18"/>
                <w:szCs w:val="18"/>
              </w:rPr>
              <w:t>[C=(VPP/VLE)X100]</w:t>
            </w:r>
          </w:p>
          <w:p w14:paraId="5D6AE526" w14:textId="77777777" w:rsidR="00B44446" w:rsidRPr="00F32542" w:rsidRDefault="00B44446" w:rsidP="00B44446">
            <w:pPr>
              <w:spacing w:after="0" w:line="240" w:lineRule="auto"/>
              <w:jc w:val="center"/>
              <w:rPr>
                <w:rFonts w:ascii="Arial" w:eastAsia="Calibri" w:hAnsi="Arial" w:cs="Arial"/>
                <w:b/>
                <w:sz w:val="18"/>
                <w:szCs w:val="18"/>
              </w:rPr>
            </w:pPr>
            <w:r w:rsidRPr="00F32542">
              <w:rPr>
                <w:rFonts w:ascii="Arial" w:eastAsia="Calibri" w:hAnsi="Arial" w:cs="Arial"/>
                <w:b/>
                <w:sz w:val="18"/>
                <w:szCs w:val="18"/>
              </w:rPr>
              <w:t>PORCENTAJE DE VOTACIÓN LOCAL EMITIDA</w:t>
            </w:r>
          </w:p>
        </w:tc>
        <w:tc>
          <w:tcPr>
            <w:tcW w:w="1897" w:type="dxa"/>
            <w:shd w:val="clear" w:color="auto" w:fill="AEAAAA"/>
            <w:vAlign w:val="center"/>
          </w:tcPr>
          <w:p w14:paraId="68E5C70E" w14:textId="77777777" w:rsidR="00B44446" w:rsidRPr="00F32542" w:rsidRDefault="00B44446" w:rsidP="00B44446">
            <w:pPr>
              <w:spacing w:after="0" w:line="240" w:lineRule="auto"/>
              <w:jc w:val="center"/>
              <w:rPr>
                <w:rFonts w:ascii="Arial" w:eastAsia="Calibri" w:hAnsi="Arial" w:cs="Arial"/>
                <w:b/>
                <w:sz w:val="18"/>
                <w:szCs w:val="18"/>
              </w:rPr>
            </w:pPr>
            <w:r w:rsidRPr="00F32542">
              <w:rPr>
                <w:rFonts w:ascii="Arial" w:eastAsia="Calibri" w:hAnsi="Arial" w:cs="Arial"/>
                <w:b/>
                <w:sz w:val="18"/>
                <w:szCs w:val="18"/>
              </w:rPr>
              <w:t xml:space="preserve">(B-C) </w:t>
            </w:r>
          </w:p>
          <w:p w14:paraId="521265A3" w14:textId="77777777" w:rsidR="00B44446" w:rsidRPr="00F32542" w:rsidRDefault="00B44446" w:rsidP="00B44446">
            <w:pPr>
              <w:spacing w:after="0" w:line="240" w:lineRule="auto"/>
              <w:jc w:val="center"/>
              <w:rPr>
                <w:rFonts w:ascii="Arial" w:eastAsia="Calibri" w:hAnsi="Arial" w:cs="Arial"/>
                <w:b/>
                <w:sz w:val="18"/>
                <w:szCs w:val="18"/>
              </w:rPr>
            </w:pPr>
            <w:r w:rsidRPr="00F32542">
              <w:rPr>
                <w:rFonts w:ascii="Arial" w:eastAsia="Calibri" w:hAnsi="Arial" w:cs="Arial"/>
                <w:b/>
                <w:sz w:val="18"/>
                <w:szCs w:val="18"/>
              </w:rPr>
              <w:t>SOBRE</w:t>
            </w:r>
          </w:p>
          <w:p w14:paraId="26D1FA3B" w14:textId="77777777" w:rsidR="00B44446" w:rsidRPr="00F32542" w:rsidRDefault="00B44446" w:rsidP="00B44446">
            <w:pPr>
              <w:spacing w:after="0" w:line="240" w:lineRule="auto"/>
              <w:jc w:val="center"/>
              <w:rPr>
                <w:rFonts w:ascii="Arial" w:eastAsia="Calibri" w:hAnsi="Arial" w:cs="Arial"/>
                <w:b/>
                <w:sz w:val="18"/>
                <w:szCs w:val="18"/>
              </w:rPr>
            </w:pPr>
            <w:r w:rsidRPr="00F32542">
              <w:rPr>
                <w:rFonts w:ascii="Arial" w:eastAsia="Calibri" w:hAnsi="Arial" w:cs="Arial"/>
                <w:b/>
                <w:sz w:val="18"/>
                <w:szCs w:val="18"/>
              </w:rPr>
              <w:t>REPRESENTACIÓN</w:t>
            </w:r>
          </w:p>
        </w:tc>
      </w:tr>
      <w:tr w:rsidR="00ED476B" w:rsidRPr="00F32542" w14:paraId="1A7C6F54" w14:textId="77777777" w:rsidTr="004B0CC0">
        <w:tc>
          <w:tcPr>
            <w:tcW w:w="1367" w:type="dxa"/>
            <w:vAlign w:val="center"/>
          </w:tcPr>
          <w:p w14:paraId="2B3EA4B2" w14:textId="77777777" w:rsidR="00ED476B" w:rsidRPr="00F32542" w:rsidRDefault="00ED476B" w:rsidP="00ED476B">
            <w:pPr>
              <w:spacing w:after="0" w:line="240" w:lineRule="auto"/>
              <w:jc w:val="center"/>
              <w:rPr>
                <w:rFonts w:ascii="Arial" w:eastAsia="Calibri" w:hAnsi="Arial" w:cs="Arial"/>
                <w:sz w:val="20"/>
                <w:szCs w:val="20"/>
              </w:rPr>
            </w:pPr>
            <w:r w:rsidRPr="00F32542">
              <w:rPr>
                <w:rFonts w:ascii="Arial" w:eastAsia="Calibri" w:hAnsi="Arial" w:cs="Arial"/>
                <w:sz w:val="20"/>
                <w:szCs w:val="20"/>
              </w:rPr>
              <w:t>PAN</w:t>
            </w:r>
          </w:p>
        </w:tc>
        <w:tc>
          <w:tcPr>
            <w:tcW w:w="1587" w:type="dxa"/>
            <w:vAlign w:val="center"/>
          </w:tcPr>
          <w:p w14:paraId="1D4119C2" w14:textId="77777777" w:rsidR="00ED476B" w:rsidRPr="00F32542" w:rsidRDefault="00ED476B" w:rsidP="00ED476B">
            <w:pPr>
              <w:spacing w:after="0" w:line="240" w:lineRule="auto"/>
              <w:jc w:val="center"/>
              <w:rPr>
                <w:rFonts w:ascii="Arial" w:eastAsia="Calibri" w:hAnsi="Arial" w:cs="Arial"/>
                <w:sz w:val="20"/>
                <w:szCs w:val="20"/>
              </w:rPr>
            </w:pPr>
            <w:r w:rsidRPr="00F32542">
              <w:rPr>
                <w:rFonts w:ascii="Arial" w:eastAsia="Calibri" w:hAnsi="Arial" w:cs="Arial"/>
                <w:sz w:val="20"/>
                <w:szCs w:val="20"/>
              </w:rPr>
              <w:t>17</w:t>
            </w:r>
          </w:p>
        </w:tc>
        <w:tc>
          <w:tcPr>
            <w:tcW w:w="1539" w:type="dxa"/>
            <w:vAlign w:val="center"/>
          </w:tcPr>
          <w:p w14:paraId="6585D9D4" w14:textId="77777777" w:rsidR="00ED476B" w:rsidRPr="00F32542" w:rsidRDefault="00ED476B" w:rsidP="00ED476B">
            <w:pPr>
              <w:spacing w:after="0" w:line="240" w:lineRule="auto"/>
              <w:jc w:val="center"/>
              <w:rPr>
                <w:rFonts w:ascii="Arial" w:eastAsia="Calibri" w:hAnsi="Arial" w:cs="Arial"/>
                <w:sz w:val="20"/>
                <w:szCs w:val="20"/>
              </w:rPr>
            </w:pPr>
            <w:r w:rsidRPr="00F32542">
              <w:rPr>
                <w:rFonts w:ascii="Arial" w:eastAsia="Calibri" w:hAnsi="Arial" w:cs="Arial"/>
                <w:sz w:val="20"/>
                <w:szCs w:val="20"/>
              </w:rPr>
              <w:t>25.75</w:t>
            </w:r>
          </w:p>
        </w:tc>
        <w:tc>
          <w:tcPr>
            <w:tcW w:w="1872" w:type="dxa"/>
            <w:vAlign w:val="bottom"/>
          </w:tcPr>
          <w:p w14:paraId="5B027640" w14:textId="77777777" w:rsidR="00ED476B" w:rsidRPr="00F32542" w:rsidRDefault="008236AE" w:rsidP="008236AE">
            <w:pPr>
              <w:spacing w:after="0" w:line="240" w:lineRule="auto"/>
              <w:jc w:val="center"/>
              <w:rPr>
                <w:rFonts w:ascii="Arial" w:eastAsia="Calibri" w:hAnsi="Arial" w:cs="Arial"/>
                <w:sz w:val="20"/>
                <w:szCs w:val="20"/>
              </w:rPr>
            </w:pPr>
            <w:r w:rsidRPr="00F32542">
              <w:rPr>
                <w:rFonts w:ascii="Calibri" w:hAnsi="Calibri" w:cs="Calibri"/>
                <w:color w:val="000000" w:themeColor="text1"/>
              </w:rPr>
              <w:t>28.69</w:t>
            </w:r>
          </w:p>
        </w:tc>
        <w:tc>
          <w:tcPr>
            <w:tcW w:w="1897" w:type="dxa"/>
            <w:vAlign w:val="bottom"/>
          </w:tcPr>
          <w:p w14:paraId="087F6619" w14:textId="77777777" w:rsidR="00ED476B" w:rsidRPr="00F32542" w:rsidRDefault="00ED476B" w:rsidP="00ED476B">
            <w:pPr>
              <w:spacing w:after="0" w:line="240" w:lineRule="auto"/>
              <w:jc w:val="center"/>
              <w:rPr>
                <w:rFonts w:ascii="Arial" w:eastAsia="Calibri" w:hAnsi="Arial" w:cs="Arial"/>
                <w:sz w:val="20"/>
                <w:szCs w:val="20"/>
              </w:rPr>
            </w:pPr>
            <w:r w:rsidRPr="00F32542">
              <w:rPr>
                <w:rFonts w:ascii="Calibri" w:hAnsi="Calibri" w:cs="Calibri"/>
                <w:color w:val="000000" w:themeColor="text1"/>
              </w:rPr>
              <w:t>-2.94</w:t>
            </w:r>
          </w:p>
        </w:tc>
      </w:tr>
      <w:tr w:rsidR="00ED476B" w:rsidRPr="00F32542" w14:paraId="141622B0" w14:textId="77777777" w:rsidTr="004B0CC0">
        <w:tc>
          <w:tcPr>
            <w:tcW w:w="1367" w:type="dxa"/>
            <w:vAlign w:val="center"/>
          </w:tcPr>
          <w:p w14:paraId="32C79D5E" w14:textId="77777777" w:rsidR="00ED476B" w:rsidRPr="00F32542" w:rsidRDefault="00ED476B" w:rsidP="00ED476B">
            <w:pPr>
              <w:spacing w:after="0" w:line="240" w:lineRule="auto"/>
              <w:jc w:val="center"/>
              <w:rPr>
                <w:rFonts w:ascii="Arial" w:eastAsia="Calibri" w:hAnsi="Arial" w:cs="Arial"/>
                <w:sz w:val="20"/>
                <w:szCs w:val="20"/>
              </w:rPr>
            </w:pPr>
            <w:r w:rsidRPr="00F32542">
              <w:rPr>
                <w:rFonts w:ascii="Arial" w:eastAsia="Calibri" w:hAnsi="Arial" w:cs="Arial"/>
                <w:sz w:val="20"/>
                <w:szCs w:val="20"/>
              </w:rPr>
              <w:t>PRI</w:t>
            </w:r>
          </w:p>
        </w:tc>
        <w:tc>
          <w:tcPr>
            <w:tcW w:w="1587" w:type="dxa"/>
            <w:vAlign w:val="center"/>
          </w:tcPr>
          <w:p w14:paraId="2EECED4D" w14:textId="77777777" w:rsidR="00ED476B" w:rsidRPr="00F32542" w:rsidRDefault="00ED476B" w:rsidP="00ED476B">
            <w:pPr>
              <w:spacing w:after="0" w:line="240" w:lineRule="auto"/>
              <w:jc w:val="center"/>
              <w:rPr>
                <w:rFonts w:ascii="Arial" w:eastAsia="Calibri" w:hAnsi="Arial" w:cs="Arial"/>
                <w:sz w:val="20"/>
                <w:szCs w:val="20"/>
              </w:rPr>
            </w:pPr>
            <w:r w:rsidRPr="00F32542">
              <w:rPr>
                <w:rFonts w:ascii="Arial" w:eastAsia="Calibri" w:hAnsi="Arial" w:cs="Arial"/>
                <w:sz w:val="20"/>
                <w:szCs w:val="20"/>
              </w:rPr>
              <w:t>9</w:t>
            </w:r>
          </w:p>
        </w:tc>
        <w:tc>
          <w:tcPr>
            <w:tcW w:w="1539" w:type="dxa"/>
            <w:vAlign w:val="center"/>
          </w:tcPr>
          <w:p w14:paraId="525867C2" w14:textId="77777777" w:rsidR="00ED476B" w:rsidRPr="00F32542" w:rsidRDefault="00ED476B" w:rsidP="00ED476B">
            <w:pPr>
              <w:spacing w:after="0" w:line="240" w:lineRule="auto"/>
              <w:jc w:val="center"/>
              <w:rPr>
                <w:rFonts w:ascii="Arial" w:eastAsia="Calibri" w:hAnsi="Arial" w:cs="Arial"/>
                <w:sz w:val="20"/>
                <w:szCs w:val="20"/>
              </w:rPr>
            </w:pPr>
            <w:r w:rsidRPr="00F32542">
              <w:rPr>
                <w:rFonts w:ascii="Arial" w:eastAsia="Calibri" w:hAnsi="Arial" w:cs="Arial"/>
                <w:sz w:val="20"/>
                <w:szCs w:val="20"/>
              </w:rPr>
              <w:t>13.63</w:t>
            </w:r>
          </w:p>
        </w:tc>
        <w:tc>
          <w:tcPr>
            <w:tcW w:w="1872" w:type="dxa"/>
            <w:vAlign w:val="bottom"/>
          </w:tcPr>
          <w:p w14:paraId="24914D94" w14:textId="77777777" w:rsidR="00ED476B" w:rsidRPr="00F32542" w:rsidRDefault="008236AE" w:rsidP="00ED476B">
            <w:pPr>
              <w:spacing w:after="0" w:line="240" w:lineRule="auto"/>
              <w:jc w:val="center"/>
              <w:rPr>
                <w:rFonts w:ascii="Arial" w:eastAsia="Calibri" w:hAnsi="Arial" w:cs="Arial"/>
                <w:sz w:val="20"/>
                <w:szCs w:val="20"/>
              </w:rPr>
            </w:pPr>
            <w:r w:rsidRPr="00F32542">
              <w:rPr>
                <w:rFonts w:ascii="Arial" w:eastAsia="Calibri" w:hAnsi="Arial" w:cs="Arial"/>
                <w:sz w:val="20"/>
                <w:szCs w:val="20"/>
              </w:rPr>
              <w:t>16.15</w:t>
            </w:r>
          </w:p>
        </w:tc>
        <w:tc>
          <w:tcPr>
            <w:tcW w:w="1897" w:type="dxa"/>
            <w:vAlign w:val="bottom"/>
          </w:tcPr>
          <w:p w14:paraId="7559E0E8" w14:textId="77777777" w:rsidR="00ED476B" w:rsidRPr="00F32542" w:rsidRDefault="00ED476B" w:rsidP="00ED476B">
            <w:pPr>
              <w:spacing w:after="0" w:line="240" w:lineRule="auto"/>
              <w:jc w:val="center"/>
              <w:rPr>
                <w:rFonts w:ascii="Arial" w:eastAsia="Calibri" w:hAnsi="Arial" w:cs="Arial"/>
                <w:sz w:val="20"/>
                <w:szCs w:val="20"/>
              </w:rPr>
            </w:pPr>
            <w:r w:rsidRPr="00F32542">
              <w:rPr>
                <w:rFonts w:ascii="Calibri" w:hAnsi="Calibri" w:cs="Calibri"/>
                <w:color w:val="000000" w:themeColor="text1"/>
              </w:rPr>
              <w:t>-2.52</w:t>
            </w:r>
          </w:p>
        </w:tc>
      </w:tr>
      <w:tr w:rsidR="00ED476B" w:rsidRPr="00F32542" w14:paraId="2281978E" w14:textId="77777777" w:rsidTr="004B0CC0">
        <w:tc>
          <w:tcPr>
            <w:tcW w:w="1367" w:type="dxa"/>
            <w:vAlign w:val="center"/>
          </w:tcPr>
          <w:p w14:paraId="303D7DE6" w14:textId="77777777" w:rsidR="00ED476B" w:rsidRPr="00F32542" w:rsidRDefault="00ED476B" w:rsidP="00ED476B">
            <w:pPr>
              <w:spacing w:after="0" w:line="240" w:lineRule="auto"/>
              <w:jc w:val="center"/>
              <w:rPr>
                <w:rFonts w:ascii="Arial" w:eastAsia="Calibri" w:hAnsi="Arial" w:cs="Arial"/>
                <w:sz w:val="20"/>
                <w:szCs w:val="20"/>
              </w:rPr>
            </w:pPr>
            <w:r w:rsidRPr="00F32542">
              <w:rPr>
                <w:rFonts w:ascii="Arial" w:eastAsia="Calibri" w:hAnsi="Arial" w:cs="Arial"/>
                <w:sz w:val="20"/>
                <w:szCs w:val="20"/>
              </w:rPr>
              <w:t>PRD</w:t>
            </w:r>
          </w:p>
        </w:tc>
        <w:tc>
          <w:tcPr>
            <w:tcW w:w="1587" w:type="dxa"/>
            <w:vAlign w:val="center"/>
          </w:tcPr>
          <w:p w14:paraId="4213B0BA" w14:textId="77777777" w:rsidR="00ED476B" w:rsidRPr="00F32542" w:rsidRDefault="00ED476B" w:rsidP="00ED476B">
            <w:pPr>
              <w:spacing w:after="0" w:line="240" w:lineRule="auto"/>
              <w:jc w:val="center"/>
              <w:rPr>
                <w:rFonts w:ascii="Arial" w:eastAsia="Calibri" w:hAnsi="Arial" w:cs="Arial"/>
                <w:sz w:val="20"/>
                <w:szCs w:val="20"/>
              </w:rPr>
            </w:pPr>
            <w:r w:rsidRPr="00F32542">
              <w:rPr>
                <w:rFonts w:ascii="Arial" w:eastAsia="Calibri" w:hAnsi="Arial" w:cs="Arial"/>
                <w:sz w:val="20"/>
                <w:szCs w:val="20"/>
              </w:rPr>
              <w:t>5</w:t>
            </w:r>
          </w:p>
        </w:tc>
        <w:tc>
          <w:tcPr>
            <w:tcW w:w="1539" w:type="dxa"/>
            <w:vAlign w:val="center"/>
          </w:tcPr>
          <w:p w14:paraId="086FB70D" w14:textId="77777777" w:rsidR="00ED476B" w:rsidRPr="00F32542" w:rsidRDefault="00ED476B" w:rsidP="00ED476B">
            <w:pPr>
              <w:spacing w:after="0" w:line="240" w:lineRule="auto"/>
              <w:jc w:val="center"/>
              <w:rPr>
                <w:rFonts w:ascii="Arial" w:eastAsia="Calibri" w:hAnsi="Arial" w:cs="Arial"/>
                <w:sz w:val="20"/>
                <w:szCs w:val="20"/>
              </w:rPr>
            </w:pPr>
            <w:r w:rsidRPr="00F32542">
              <w:rPr>
                <w:rFonts w:ascii="Arial" w:eastAsia="Calibri" w:hAnsi="Arial" w:cs="Arial"/>
                <w:sz w:val="20"/>
                <w:szCs w:val="20"/>
              </w:rPr>
              <w:t>7.57</w:t>
            </w:r>
          </w:p>
        </w:tc>
        <w:tc>
          <w:tcPr>
            <w:tcW w:w="1872" w:type="dxa"/>
            <w:vAlign w:val="bottom"/>
          </w:tcPr>
          <w:p w14:paraId="40CE1B48" w14:textId="77777777" w:rsidR="00ED476B" w:rsidRPr="00F32542" w:rsidRDefault="008236AE" w:rsidP="00ED476B">
            <w:pPr>
              <w:spacing w:after="0" w:line="240" w:lineRule="auto"/>
              <w:jc w:val="center"/>
              <w:rPr>
                <w:rFonts w:ascii="Arial" w:eastAsia="Calibri" w:hAnsi="Arial" w:cs="Arial"/>
                <w:sz w:val="20"/>
                <w:szCs w:val="20"/>
              </w:rPr>
            </w:pPr>
            <w:r w:rsidRPr="00F32542">
              <w:rPr>
                <w:rFonts w:ascii="Arial" w:eastAsia="Calibri" w:hAnsi="Arial" w:cs="Arial"/>
                <w:sz w:val="20"/>
                <w:szCs w:val="20"/>
              </w:rPr>
              <w:t>5.77</w:t>
            </w:r>
          </w:p>
        </w:tc>
        <w:tc>
          <w:tcPr>
            <w:tcW w:w="1897" w:type="dxa"/>
            <w:vAlign w:val="bottom"/>
          </w:tcPr>
          <w:p w14:paraId="3DF95D6B" w14:textId="77777777" w:rsidR="00ED476B" w:rsidRPr="00F32542" w:rsidRDefault="00ED476B" w:rsidP="00ED476B">
            <w:pPr>
              <w:spacing w:after="0" w:line="240" w:lineRule="auto"/>
              <w:jc w:val="center"/>
              <w:rPr>
                <w:rFonts w:ascii="Arial" w:eastAsia="Calibri" w:hAnsi="Arial" w:cs="Arial"/>
                <w:sz w:val="20"/>
                <w:szCs w:val="20"/>
              </w:rPr>
            </w:pPr>
            <w:r w:rsidRPr="00F32542">
              <w:rPr>
                <w:rFonts w:ascii="Calibri" w:hAnsi="Calibri" w:cs="Calibri"/>
                <w:color w:val="000000" w:themeColor="text1"/>
              </w:rPr>
              <w:t>1.8</w:t>
            </w:r>
          </w:p>
        </w:tc>
      </w:tr>
      <w:tr w:rsidR="00ED476B" w:rsidRPr="00F32542" w14:paraId="3D072D5C" w14:textId="77777777" w:rsidTr="004B0CC0">
        <w:tc>
          <w:tcPr>
            <w:tcW w:w="1367" w:type="dxa"/>
            <w:vAlign w:val="center"/>
          </w:tcPr>
          <w:p w14:paraId="609FF993" w14:textId="77777777" w:rsidR="00ED476B" w:rsidRPr="00F32542" w:rsidRDefault="00ED476B" w:rsidP="00ED476B">
            <w:pPr>
              <w:spacing w:after="0" w:line="240" w:lineRule="auto"/>
              <w:jc w:val="center"/>
              <w:rPr>
                <w:rFonts w:ascii="Arial" w:eastAsia="Calibri" w:hAnsi="Arial" w:cs="Arial"/>
                <w:sz w:val="20"/>
                <w:szCs w:val="20"/>
              </w:rPr>
            </w:pPr>
            <w:r w:rsidRPr="00F32542">
              <w:rPr>
                <w:rFonts w:ascii="Arial" w:eastAsia="Calibri" w:hAnsi="Arial" w:cs="Arial"/>
                <w:sz w:val="20"/>
                <w:szCs w:val="20"/>
              </w:rPr>
              <w:t>PVEM</w:t>
            </w:r>
          </w:p>
        </w:tc>
        <w:tc>
          <w:tcPr>
            <w:tcW w:w="1587" w:type="dxa"/>
            <w:vAlign w:val="center"/>
          </w:tcPr>
          <w:p w14:paraId="7436782E" w14:textId="77777777" w:rsidR="00ED476B" w:rsidRPr="00F32542" w:rsidRDefault="00ED476B" w:rsidP="00ED476B">
            <w:pPr>
              <w:spacing w:after="0" w:line="240" w:lineRule="auto"/>
              <w:jc w:val="center"/>
              <w:rPr>
                <w:rFonts w:ascii="Arial" w:eastAsia="Calibri" w:hAnsi="Arial" w:cs="Arial"/>
                <w:sz w:val="20"/>
                <w:szCs w:val="20"/>
              </w:rPr>
            </w:pPr>
            <w:r w:rsidRPr="00F32542">
              <w:rPr>
                <w:rFonts w:ascii="Arial" w:eastAsia="Calibri" w:hAnsi="Arial" w:cs="Arial"/>
                <w:sz w:val="20"/>
                <w:szCs w:val="20"/>
              </w:rPr>
              <w:t>2</w:t>
            </w:r>
          </w:p>
        </w:tc>
        <w:tc>
          <w:tcPr>
            <w:tcW w:w="1539" w:type="dxa"/>
            <w:vAlign w:val="center"/>
          </w:tcPr>
          <w:p w14:paraId="68AD7F9C" w14:textId="77777777" w:rsidR="00ED476B" w:rsidRPr="00F32542" w:rsidRDefault="00ED476B" w:rsidP="00ED476B">
            <w:pPr>
              <w:spacing w:after="0" w:line="240" w:lineRule="auto"/>
              <w:jc w:val="center"/>
              <w:rPr>
                <w:rFonts w:ascii="Arial" w:eastAsia="Calibri" w:hAnsi="Arial" w:cs="Arial"/>
                <w:sz w:val="20"/>
                <w:szCs w:val="20"/>
              </w:rPr>
            </w:pPr>
            <w:r w:rsidRPr="00F32542">
              <w:rPr>
                <w:rFonts w:ascii="Arial" w:eastAsia="Calibri" w:hAnsi="Arial" w:cs="Arial"/>
                <w:sz w:val="20"/>
                <w:szCs w:val="20"/>
              </w:rPr>
              <w:t>3.03</w:t>
            </w:r>
          </w:p>
        </w:tc>
        <w:tc>
          <w:tcPr>
            <w:tcW w:w="1872" w:type="dxa"/>
            <w:vAlign w:val="bottom"/>
          </w:tcPr>
          <w:p w14:paraId="63056A19" w14:textId="77777777" w:rsidR="00ED476B" w:rsidRPr="00F32542" w:rsidRDefault="008236AE" w:rsidP="00ED476B">
            <w:pPr>
              <w:spacing w:after="0" w:line="240" w:lineRule="auto"/>
              <w:jc w:val="center"/>
              <w:rPr>
                <w:rFonts w:ascii="Arial" w:eastAsia="Calibri" w:hAnsi="Arial" w:cs="Arial"/>
                <w:sz w:val="20"/>
                <w:szCs w:val="20"/>
              </w:rPr>
            </w:pPr>
            <w:r w:rsidRPr="00F32542">
              <w:rPr>
                <w:rFonts w:ascii="Arial" w:eastAsia="Calibri" w:hAnsi="Arial" w:cs="Arial"/>
                <w:sz w:val="20"/>
                <w:szCs w:val="20"/>
              </w:rPr>
              <w:t>3.48</w:t>
            </w:r>
          </w:p>
        </w:tc>
        <w:tc>
          <w:tcPr>
            <w:tcW w:w="1897" w:type="dxa"/>
            <w:vAlign w:val="bottom"/>
          </w:tcPr>
          <w:p w14:paraId="61C42688" w14:textId="77777777" w:rsidR="00ED476B" w:rsidRPr="00F32542" w:rsidRDefault="00ED476B" w:rsidP="00ED476B">
            <w:pPr>
              <w:spacing w:after="0" w:line="240" w:lineRule="auto"/>
              <w:jc w:val="center"/>
              <w:rPr>
                <w:rFonts w:ascii="Arial" w:eastAsia="Calibri" w:hAnsi="Arial" w:cs="Arial"/>
                <w:sz w:val="20"/>
                <w:szCs w:val="20"/>
              </w:rPr>
            </w:pPr>
            <w:r w:rsidRPr="00F32542">
              <w:rPr>
                <w:rFonts w:ascii="Calibri" w:hAnsi="Calibri" w:cs="Calibri"/>
                <w:color w:val="000000" w:themeColor="text1"/>
              </w:rPr>
              <w:t>-0.45</w:t>
            </w:r>
          </w:p>
        </w:tc>
      </w:tr>
      <w:tr w:rsidR="00ED476B" w:rsidRPr="00F32542" w14:paraId="17D2E9D9" w14:textId="77777777" w:rsidTr="004B0CC0">
        <w:tc>
          <w:tcPr>
            <w:tcW w:w="1367" w:type="dxa"/>
            <w:vAlign w:val="center"/>
          </w:tcPr>
          <w:p w14:paraId="57640939" w14:textId="77777777" w:rsidR="00ED476B" w:rsidRPr="00F32542" w:rsidRDefault="00ED476B" w:rsidP="00ED476B">
            <w:pPr>
              <w:spacing w:after="0" w:line="240" w:lineRule="auto"/>
              <w:jc w:val="center"/>
              <w:rPr>
                <w:rFonts w:ascii="Arial" w:eastAsia="Calibri" w:hAnsi="Arial" w:cs="Arial"/>
                <w:sz w:val="20"/>
                <w:szCs w:val="20"/>
              </w:rPr>
            </w:pPr>
            <w:r w:rsidRPr="00F32542">
              <w:rPr>
                <w:rFonts w:ascii="Arial" w:eastAsia="Calibri" w:hAnsi="Arial" w:cs="Arial"/>
                <w:sz w:val="20"/>
                <w:szCs w:val="20"/>
              </w:rPr>
              <w:t>MC</w:t>
            </w:r>
          </w:p>
        </w:tc>
        <w:tc>
          <w:tcPr>
            <w:tcW w:w="1587" w:type="dxa"/>
            <w:vAlign w:val="center"/>
          </w:tcPr>
          <w:p w14:paraId="33C2B1A4" w14:textId="77777777" w:rsidR="00ED476B" w:rsidRPr="00F32542" w:rsidRDefault="00ED476B" w:rsidP="00ED476B">
            <w:pPr>
              <w:spacing w:after="0" w:line="240" w:lineRule="auto"/>
              <w:jc w:val="center"/>
              <w:rPr>
                <w:rFonts w:ascii="Arial" w:eastAsia="Calibri" w:hAnsi="Arial" w:cs="Arial"/>
                <w:sz w:val="20"/>
                <w:szCs w:val="20"/>
              </w:rPr>
            </w:pPr>
            <w:r w:rsidRPr="00F32542">
              <w:rPr>
                <w:rFonts w:ascii="Arial" w:eastAsia="Calibri" w:hAnsi="Arial" w:cs="Arial"/>
                <w:sz w:val="20"/>
                <w:szCs w:val="20"/>
              </w:rPr>
              <w:t>1</w:t>
            </w:r>
          </w:p>
        </w:tc>
        <w:tc>
          <w:tcPr>
            <w:tcW w:w="1539" w:type="dxa"/>
            <w:vAlign w:val="center"/>
          </w:tcPr>
          <w:p w14:paraId="4F25A390" w14:textId="77777777" w:rsidR="00ED476B" w:rsidRPr="00F32542" w:rsidRDefault="00ED476B" w:rsidP="00ED476B">
            <w:pPr>
              <w:spacing w:after="0" w:line="240" w:lineRule="auto"/>
              <w:jc w:val="center"/>
              <w:rPr>
                <w:rFonts w:ascii="Arial" w:eastAsia="Calibri" w:hAnsi="Arial" w:cs="Arial"/>
                <w:sz w:val="20"/>
                <w:szCs w:val="20"/>
              </w:rPr>
            </w:pPr>
            <w:r w:rsidRPr="00F32542">
              <w:rPr>
                <w:rFonts w:ascii="Arial" w:eastAsia="Calibri" w:hAnsi="Arial" w:cs="Arial"/>
                <w:sz w:val="20"/>
                <w:szCs w:val="20"/>
              </w:rPr>
              <w:t>1.51</w:t>
            </w:r>
          </w:p>
        </w:tc>
        <w:tc>
          <w:tcPr>
            <w:tcW w:w="1872" w:type="dxa"/>
            <w:vAlign w:val="bottom"/>
          </w:tcPr>
          <w:p w14:paraId="7200B3FC" w14:textId="77777777" w:rsidR="00ED476B" w:rsidRPr="00F32542" w:rsidRDefault="008236AE" w:rsidP="00ED476B">
            <w:pPr>
              <w:spacing w:after="0" w:line="240" w:lineRule="auto"/>
              <w:jc w:val="center"/>
              <w:rPr>
                <w:rFonts w:ascii="Arial" w:eastAsia="Calibri" w:hAnsi="Arial" w:cs="Arial"/>
                <w:sz w:val="20"/>
                <w:szCs w:val="20"/>
              </w:rPr>
            </w:pPr>
            <w:r w:rsidRPr="00F32542">
              <w:rPr>
                <w:rFonts w:ascii="Arial" w:eastAsia="Calibri" w:hAnsi="Arial" w:cs="Arial"/>
                <w:sz w:val="20"/>
                <w:szCs w:val="20"/>
              </w:rPr>
              <w:t>3.89</w:t>
            </w:r>
          </w:p>
        </w:tc>
        <w:tc>
          <w:tcPr>
            <w:tcW w:w="1897" w:type="dxa"/>
            <w:vAlign w:val="bottom"/>
          </w:tcPr>
          <w:p w14:paraId="2005C13C" w14:textId="77777777" w:rsidR="00ED476B" w:rsidRPr="00F32542" w:rsidRDefault="00ED476B" w:rsidP="00ED476B">
            <w:pPr>
              <w:spacing w:after="0" w:line="240" w:lineRule="auto"/>
              <w:jc w:val="center"/>
              <w:rPr>
                <w:rFonts w:ascii="Arial" w:eastAsia="Calibri" w:hAnsi="Arial" w:cs="Arial"/>
                <w:sz w:val="20"/>
                <w:szCs w:val="20"/>
              </w:rPr>
            </w:pPr>
            <w:r w:rsidRPr="00F32542">
              <w:rPr>
                <w:rFonts w:ascii="Calibri" w:hAnsi="Calibri" w:cs="Calibri"/>
                <w:color w:val="000000" w:themeColor="text1"/>
              </w:rPr>
              <w:t>-2.38</w:t>
            </w:r>
          </w:p>
        </w:tc>
      </w:tr>
      <w:tr w:rsidR="00ED476B" w:rsidRPr="00F32542" w14:paraId="273445EC" w14:textId="77777777" w:rsidTr="004B0CC0">
        <w:tc>
          <w:tcPr>
            <w:tcW w:w="1367" w:type="dxa"/>
            <w:vAlign w:val="center"/>
          </w:tcPr>
          <w:p w14:paraId="1161F583" w14:textId="77777777" w:rsidR="00ED476B" w:rsidRPr="00F32542" w:rsidRDefault="00ED476B" w:rsidP="00ED476B">
            <w:pPr>
              <w:spacing w:after="0" w:line="240" w:lineRule="auto"/>
              <w:jc w:val="center"/>
              <w:rPr>
                <w:rFonts w:ascii="Arial" w:eastAsia="Calibri" w:hAnsi="Arial" w:cs="Arial"/>
                <w:sz w:val="20"/>
                <w:szCs w:val="20"/>
              </w:rPr>
            </w:pPr>
            <w:r w:rsidRPr="00F32542">
              <w:rPr>
                <w:rFonts w:ascii="Arial" w:eastAsia="Calibri" w:hAnsi="Arial" w:cs="Arial"/>
                <w:sz w:val="20"/>
                <w:szCs w:val="20"/>
              </w:rPr>
              <w:t>MORENA</w:t>
            </w:r>
          </w:p>
        </w:tc>
        <w:tc>
          <w:tcPr>
            <w:tcW w:w="1587" w:type="dxa"/>
            <w:vAlign w:val="center"/>
          </w:tcPr>
          <w:p w14:paraId="76146799" w14:textId="77777777" w:rsidR="00ED476B" w:rsidRPr="00F32542" w:rsidRDefault="00ED476B" w:rsidP="00ED476B">
            <w:pPr>
              <w:spacing w:after="0" w:line="240" w:lineRule="auto"/>
              <w:jc w:val="center"/>
              <w:rPr>
                <w:rFonts w:ascii="Arial" w:eastAsia="Calibri" w:hAnsi="Arial" w:cs="Arial"/>
                <w:sz w:val="20"/>
                <w:szCs w:val="20"/>
              </w:rPr>
            </w:pPr>
            <w:r w:rsidRPr="00F32542">
              <w:rPr>
                <w:rFonts w:ascii="Arial" w:eastAsia="Calibri" w:hAnsi="Arial" w:cs="Arial"/>
                <w:sz w:val="20"/>
                <w:szCs w:val="20"/>
              </w:rPr>
              <w:t>32</w:t>
            </w:r>
          </w:p>
        </w:tc>
        <w:tc>
          <w:tcPr>
            <w:tcW w:w="1539" w:type="dxa"/>
            <w:vAlign w:val="center"/>
          </w:tcPr>
          <w:p w14:paraId="07D73D97" w14:textId="77777777" w:rsidR="00ED476B" w:rsidRPr="00F32542" w:rsidRDefault="00ED476B" w:rsidP="00ED476B">
            <w:pPr>
              <w:spacing w:after="0" w:line="240" w:lineRule="auto"/>
              <w:jc w:val="center"/>
              <w:rPr>
                <w:rFonts w:ascii="Arial" w:eastAsia="Calibri" w:hAnsi="Arial" w:cs="Arial"/>
                <w:sz w:val="20"/>
                <w:szCs w:val="20"/>
              </w:rPr>
            </w:pPr>
            <w:r w:rsidRPr="00F32542">
              <w:rPr>
                <w:rFonts w:ascii="Arial" w:eastAsia="Calibri" w:hAnsi="Arial" w:cs="Arial"/>
                <w:sz w:val="20"/>
                <w:szCs w:val="20"/>
              </w:rPr>
              <w:t>48.48</w:t>
            </w:r>
          </w:p>
        </w:tc>
        <w:tc>
          <w:tcPr>
            <w:tcW w:w="1872" w:type="dxa"/>
            <w:vAlign w:val="bottom"/>
          </w:tcPr>
          <w:p w14:paraId="676277A2" w14:textId="77777777" w:rsidR="00ED476B" w:rsidRPr="00F32542" w:rsidRDefault="008236AE" w:rsidP="00ED476B">
            <w:pPr>
              <w:spacing w:after="0" w:line="240" w:lineRule="auto"/>
              <w:jc w:val="center"/>
              <w:rPr>
                <w:rFonts w:ascii="Arial" w:eastAsia="Calibri" w:hAnsi="Arial" w:cs="Arial"/>
                <w:sz w:val="20"/>
                <w:szCs w:val="20"/>
              </w:rPr>
            </w:pPr>
            <w:r w:rsidRPr="00F32542">
              <w:rPr>
                <w:rFonts w:ascii="Arial" w:eastAsia="Calibri" w:hAnsi="Arial" w:cs="Arial"/>
                <w:sz w:val="20"/>
                <w:szCs w:val="20"/>
              </w:rPr>
              <w:t>42.01</w:t>
            </w:r>
          </w:p>
        </w:tc>
        <w:tc>
          <w:tcPr>
            <w:tcW w:w="1897" w:type="dxa"/>
            <w:vAlign w:val="bottom"/>
          </w:tcPr>
          <w:p w14:paraId="47948161" w14:textId="77777777" w:rsidR="00ED476B" w:rsidRPr="00F32542" w:rsidRDefault="00ED476B" w:rsidP="00ED476B">
            <w:pPr>
              <w:spacing w:after="0" w:line="240" w:lineRule="auto"/>
              <w:jc w:val="center"/>
              <w:rPr>
                <w:rFonts w:ascii="Arial" w:eastAsia="Calibri" w:hAnsi="Arial" w:cs="Arial"/>
                <w:sz w:val="20"/>
                <w:szCs w:val="20"/>
              </w:rPr>
            </w:pPr>
            <w:r w:rsidRPr="00F32542">
              <w:rPr>
                <w:rFonts w:ascii="Calibri" w:hAnsi="Calibri" w:cs="Calibri"/>
                <w:color w:val="000000" w:themeColor="text1"/>
              </w:rPr>
              <w:t>6.47</w:t>
            </w:r>
          </w:p>
        </w:tc>
      </w:tr>
    </w:tbl>
    <w:p w14:paraId="1B6B46DA" w14:textId="77777777" w:rsidR="00B44446" w:rsidRPr="00F32542" w:rsidRDefault="00B44446" w:rsidP="00B44446">
      <w:pPr>
        <w:spacing w:after="0" w:line="360" w:lineRule="auto"/>
        <w:jc w:val="both"/>
        <w:rPr>
          <w:rFonts w:ascii="Arial" w:eastAsia="Calibri" w:hAnsi="Arial" w:cs="Arial"/>
          <w:b/>
          <w:sz w:val="28"/>
          <w:szCs w:val="28"/>
        </w:rPr>
      </w:pPr>
    </w:p>
    <w:p w14:paraId="7D89E40C" w14:textId="77777777" w:rsidR="00B44446" w:rsidRPr="00F32542" w:rsidRDefault="00B44446" w:rsidP="00F94B48">
      <w:pPr>
        <w:spacing w:after="0" w:line="360" w:lineRule="auto"/>
        <w:jc w:val="both"/>
        <w:rPr>
          <w:rFonts w:ascii="Arial" w:eastAsia="Calibri" w:hAnsi="Arial" w:cs="Arial"/>
          <w:sz w:val="28"/>
          <w:szCs w:val="28"/>
        </w:rPr>
      </w:pPr>
    </w:p>
    <w:p w14:paraId="2DFE8BCF"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Como se advierte, ningún partido político tiene más de ocho puntos porcentuales.</w:t>
      </w:r>
    </w:p>
    <w:p w14:paraId="194649F6" w14:textId="77777777" w:rsidR="00F94B48" w:rsidRPr="00F32542" w:rsidRDefault="00F94B48" w:rsidP="00F94B48">
      <w:pPr>
        <w:spacing w:after="0" w:line="360" w:lineRule="auto"/>
        <w:jc w:val="both"/>
        <w:rPr>
          <w:rFonts w:ascii="Arial" w:eastAsia="Calibri" w:hAnsi="Arial" w:cs="Arial"/>
          <w:b/>
          <w:sz w:val="28"/>
          <w:szCs w:val="28"/>
        </w:rPr>
      </w:pPr>
    </w:p>
    <w:p w14:paraId="389019F7" w14:textId="77777777" w:rsidR="00F94B48" w:rsidRPr="00F32542" w:rsidRDefault="00F94B48" w:rsidP="00F94B48">
      <w:pPr>
        <w:spacing w:after="0" w:line="360" w:lineRule="auto"/>
        <w:jc w:val="both"/>
        <w:rPr>
          <w:rFonts w:ascii="Arial" w:eastAsia="Calibri" w:hAnsi="Arial" w:cs="Arial"/>
          <w:b/>
          <w:sz w:val="28"/>
          <w:szCs w:val="28"/>
        </w:rPr>
      </w:pPr>
      <w:r w:rsidRPr="00F32542">
        <w:rPr>
          <w:rFonts w:ascii="Arial" w:eastAsia="Calibri" w:hAnsi="Arial" w:cs="Arial"/>
          <w:b/>
          <w:sz w:val="28"/>
          <w:szCs w:val="28"/>
        </w:rPr>
        <w:t xml:space="preserve">Cabe precisar que si bien, en apartados precedentes, este Tribunal Electoral modificó la asignación de diputaciones de representación proporcional, ello sólo fue respecto de las personas candidatas que deben ocupar el cargo, a partir de la modificación de las listas de los partidos políticos, sin haberse hecho cambio alguno en el número de curules que corresponde a cada ente político. </w:t>
      </w:r>
    </w:p>
    <w:p w14:paraId="0B40EA08" w14:textId="77777777" w:rsidR="00F94B48" w:rsidRPr="00F32542" w:rsidRDefault="00F94B48" w:rsidP="00F94B48">
      <w:pPr>
        <w:spacing w:after="0" w:line="360" w:lineRule="auto"/>
        <w:jc w:val="both"/>
        <w:rPr>
          <w:rFonts w:ascii="Arial" w:eastAsia="Calibri" w:hAnsi="Arial" w:cs="Arial"/>
          <w:sz w:val="28"/>
          <w:szCs w:val="28"/>
        </w:rPr>
      </w:pPr>
    </w:p>
    <w:p w14:paraId="545EEB74" w14:textId="77777777" w:rsidR="00F94B48" w:rsidRPr="00F32542" w:rsidRDefault="00F94B48" w:rsidP="00F94B48">
      <w:pPr>
        <w:spacing w:after="0" w:line="360" w:lineRule="auto"/>
        <w:jc w:val="both"/>
        <w:rPr>
          <w:rFonts w:ascii="Arial" w:eastAsia="Calibri" w:hAnsi="Arial" w:cs="Arial"/>
          <w:i/>
          <w:sz w:val="28"/>
          <w:szCs w:val="28"/>
        </w:rPr>
      </w:pPr>
      <w:r w:rsidRPr="00F32542">
        <w:rPr>
          <w:rFonts w:ascii="Arial" w:eastAsia="Calibri" w:hAnsi="Arial" w:cs="Arial"/>
          <w:sz w:val="28"/>
          <w:szCs w:val="28"/>
        </w:rPr>
        <w:lastRenderedPageBreak/>
        <w:t>De manera que, acorde con el cuadro precedente, ningún partido político supera el porcentaje de sobre</w:t>
      </w:r>
      <w:r w:rsidR="00B44446" w:rsidRPr="00F32542">
        <w:rPr>
          <w:rFonts w:ascii="Arial" w:eastAsia="Calibri" w:hAnsi="Arial" w:cs="Arial"/>
          <w:sz w:val="28"/>
          <w:szCs w:val="28"/>
        </w:rPr>
        <w:t>r</w:t>
      </w:r>
      <w:r w:rsidRPr="00F32542">
        <w:rPr>
          <w:rFonts w:ascii="Arial" w:eastAsia="Calibri" w:hAnsi="Arial" w:cs="Arial"/>
          <w:sz w:val="28"/>
          <w:szCs w:val="28"/>
        </w:rPr>
        <w:t xml:space="preserve">representación superior al ocho por ciento, ni siquiera Morena, que se ubica dentro del parámetro legal, puesto que su representación supera su porcentaje de votación en seis punto cuarenta y un por ciento, esto es, por debajo del límite del ocho por ciento. </w:t>
      </w:r>
    </w:p>
    <w:p w14:paraId="587BA3F8" w14:textId="77777777" w:rsidR="00F94B48" w:rsidRPr="00F32542" w:rsidRDefault="00F94B48" w:rsidP="00F94B48">
      <w:pPr>
        <w:spacing w:after="0" w:line="360" w:lineRule="auto"/>
        <w:jc w:val="both"/>
        <w:rPr>
          <w:rFonts w:ascii="Arial" w:eastAsia="Calibri" w:hAnsi="Arial" w:cs="Arial"/>
          <w:sz w:val="28"/>
          <w:szCs w:val="28"/>
        </w:rPr>
      </w:pPr>
    </w:p>
    <w:p w14:paraId="1A4E5157"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Por tanto, contrario a lo que manifestó la </w:t>
      </w:r>
      <w:r w:rsidRPr="00F32542">
        <w:rPr>
          <w:rFonts w:ascii="Arial" w:eastAsia="Calibri" w:hAnsi="Arial" w:cs="Arial"/>
          <w:i/>
          <w:sz w:val="28"/>
          <w:szCs w:val="28"/>
        </w:rPr>
        <w:t xml:space="preserve">parte actora, </w:t>
      </w:r>
      <w:r w:rsidRPr="00F32542">
        <w:rPr>
          <w:rFonts w:ascii="Arial" w:eastAsia="Calibri" w:hAnsi="Arial" w:cs="Arial"/>
          <w:sz w:val="28"/>
          <w:szCs w:val="28"/>
        </w:rPr>
        <w:t>Morena no está sobre</w:t>
      </w:r>
      <w:r w:rsidR="00B44446" w:rsidRPr="00F32542">
        <w:rPr>
          <w:rFonts w:ascii="Arial" w:eastAsia="Calibri" w:hAnsi="Arial" w:cs="Arial"/>
          <w:sz w:val="28"/>
          <w:szCs w:val="28"/>
        </w:rPr>
        <w:t>r</w:t>
      </w:r>
      <w:r w:rsidRPr="00F32542">
        <w:rPr>
          <w:rFonts w:ascii="Arial" w:eastAsia="Calibri" w:hAnsi="Arial" w:cs="Arial"/>
          <w:sz w:val="28"/>
          <w:szCs w:val="28"/>
        </w:rPr>
        <w:t>representado.</w:t>
      </w:r>
    </w:p>
    <w:p w14:paraId="49932DD4" w14:textId="77777777" w:rsidR="00F94B48" w:rsidRPr="00F32542" w:rsidRDefault="00F94B48" w:rsidP="00F94B48">
      <w:pPr>
        <w:spacing w:after="0" w:line="360" w:lineRule="auto"/>
        <w:jc w:val="both"/>
        <w:rPr>
          <w:rFonts w:ascii="Arial" w:eastAsia="Calibri" w:hAnsi="Arial" w:cs="Arial"/>
          <w:sz w:val="28"/>
          <w:szCs w:val="28"/>
        </w:rPr>
      </w:pPr>
    </w:p>
    <w:p w14:paraId="2E51F2D6" w14:textId="77777777" w:rsidR="00F94B48" w:rsidRPr="00F32542" w:rsidRDefault="00A310C4" w:rsidP="00A310C4">
      <w:pPr>
        <w:spacing w:after="0" w:line="360" w:lineRule="auto"/>
        <w:contextualSpacing/>
        <w:jc w:val="both"/>
        <w:rPr>
          <w:rFonts w:ascii="Arial" w:eastAsia="Calibri" w:hAnsi="Arial" w:cs="Arial"/>
          <w:b/>
          <w:sz w:val="28"/>
          <w:szCs w:val="28"/>
        </w:rPr>
      </w:pPr>
      <w:r w:rsidRPr="00F32542">
        <w:rPr>
          <w:rFonts w:ascii="Arial" w:eastAsia="Calibri" w:hAnsi="Arial" w:cs="Arial"/>
          <w:b/>
          <w:sz w:val="28"/>
          <w:szCs w:val="28"/>
        </w:rPr>
        <w:t xml:space="preserve">2. </w:t>
      </w:r>
      <w:r w:rsidR="00F94B48" w:rsidRPr="00F32542">
        <w:rPr>
          <w:rFonts w:ascii="Arial" w:eastAsia="Calibri" w:hAnsi="Arial" w:cs="Arial"/>
          <w:b/>
          <w:sz w:val="28"/>
          <w:szCs w:val="28"/>
        </w:rPr>
        <w:t>Subrepresentación por partido político</w:t>
      </w:r>
    </w:p>
    <w:p w14:paraId="18DDC6E6" w14:textId="77777777" w:rsidR="00F94B48" w:rsidRPr="00F32542" w:rsidRDefault="00F94B48" w:rsidP="00F94B48">
      <w:pPr>
        <w:spacing w:after="0" w:line="360" w:lineRule="auto"/>
        <w:jc w:val="both"/>
        <w:rPr>
          <w:rFonts w:ascii="Arial" w:eastAsia="Calibri" w:hAnsi="Arial" w:cs="Arial"/>
          <w:b/>
          <w:sz w:val="28"/>
          <w:szCs w:val="28"/>
        </w:rPr>
      </w:pPr>
    </w:p>
    <w:p w14:paraId="0F242027" w14:textId="77777777" w:rsidR="00F94B48" w:rsidRPr="00F32542" w:rsidRDefault="00F94B48" w:rsidP="00F94B48">
      <w:pPr>
        <w:spacing w:after="0" w:line="360" w:lineRule="auto"/>
        <w:jc w:val="both"/>
        <w:rPr>
          <w:rFonts w:ascii="Arial" w:eastAsia="Calibri" w:hAnsi="Arial" w:cs="Arial"/>
          <w:b/>
          <w:sz w:val="28"/>
          <w:szCs w:val="28"/>
        </w:rPr>
      </w:pPr>
      <w:r w:rsidRPr="00F32542">
        <w:rPr>
          <w:rFonts w:ascii="Arial" w:eastAsia="Calibri" w:hAnsi="Arial" w:cs="Arial"/>
          <w:b/>
          <w:sz w:val="28"/>
          <w:szCs w:val="28"/>
        </w:rPr>
        <w:t>TECDMX-JEL 205/2021 (PRI)</w:t>
      </w:r>
    </w:p>
    <w:p w14:paraId="77F22D4A" w14:textId="77777777" w:rsidR="00F94B48" w:rsidRPr="00F32542" w:rsidRDefault="00F94B48" w:rsidP="00F94B48">
      <w:pPr>
        <w:spacing w:after="0" w:line="360" w:lineRule="auto"/>
        <w:jc w:val="both"/>
        <w:rPr>
          <w:rFonts w:ascii="Arial" w:eastAsia="Calibri" w:hAnsi="Arial" w:cs="Arial"/>
          <w:b/>
          <w:sz w:val="28"/>
          <w:szCs w:val="28"/>
        </w:rPr>
      </w:pPr>
    </w:p>
    <w:p w14:paraId="20C067C5"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La </w:t>
      </w:r>
      <w:r w:rsidRPr="00F32542">
        <w:rPr>
          <w:rFonts w:ascii="Arial" w:eastAsia="Calibri" w:hAnsi="Arial" w:cs="Arial"/>
          <w:i/>
          <w:sz w:val="28"/>
          <w:szCs w:val="28"/>
        </w:rPr>
        <w:t>autoridad responsable</w:t>
      </w:r>
      <w:r w:rsidRPr="00F32542">
        <w:rPr>
          <w:rFonts w:ascii="Arial" w:eastAsia="Calibri" w:hAnsi="Arial" w:cs="Arial"/>
          <w:sz w:val="28"/>
          <w:szCs w:val="28"/>
        </w:rPr>
        <w:t xml:space="preserve"> hizo una incorrecta aplicación de las reglas de asignación, dejando de lado el concepto de representación proporcional, lo que lo conduce a realizar una mala distribución, beneficiando la subrepresentación y la </w:t>
      </w:r>
      <w:proofErr w:type="spellStart"/>
      <w:r w:rsidRPr="00F32542">
        <w:rPr>
          <w:rFonts w:ascii="Arial" w:eastAsia="Calibri" w:hAnsi="Arial" w:cs="Arial"/>
          <w:sz w:val="28"/>
          <w:szCs w:val="28"/>
        </w:rPr>
        <w:t>sobrerepresentación</w:t>
      </w:r>
      <w:proofErr w:type="spellEnd"/>
      <w:r w:rsidRPr="00F32542">
        <w:rPr>
          <w:rFonts w:ascii="Arial" w:eastAsia="Calibri" w:hAnsi="Arial" w:cs="Arial"/>
          <w:sz w:val="28"/>
          <w:szCs w:val="28"/>
        </w:rPr>
        <w:t>.</w:t>
      </w:r>
    </w:p>
    <w:p w14:paraId="1059BC06" w14:textId="77777777" w:rsidR="00F94B48" w:rsidRPr="00F32542" w:rsidRDefault="00F94B48" w:rsidP="00F94B48">
      <w:pPr>
        <w:spacing w:after="0" w:line="360" w:lineRule="auto"/>
        <w:jc w:val="both"/>
        <w:rPr>
          <w:rFonts w:ascii="Arial" w:eastAsia="Calibri" w:hAnsi="Arial" w:cs="Arial"/>
          <w:sz w:val="28"/>
          <w:szCs w:val="28"/>
        </w:rPr>
      </w:pPr>
    </w:p>
    <w:p w14:paraId="5D8EE248"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Si se toman en cuenta los porcentajes de la votación válida emitida, la cual corresponde al porcentaje más apegado a la voluntad ciudadana, cuatro partidos se encuentran subrepresentados (</w:t>
      </w:r>
      <w:r w:rsidRPr="00F32542">
        <w:rPr>
          <w:rFonts w:ascii="Arial" w:eastAsia="Calibri" w:hAnsi="Arial" w:cs="Arial"/>
          <w:i/>
          <w:sz w:val="28"/>
          <w:szCs w:val="28"/>
        </w:rPr>
        <w:t>MC, PRI, PAN y PVEM</w:t>
      </w:r>
      <w:r w:rsidRPr="00F32542">
        <w:rPr>
          <w:rFonts w:ascii="Arial" w:eastAsia="Calibri" w:hAnsi="Arial" w:cs="Arial"/>
          <w:sz w:val="28"/>
          <w:szCs w:val="28"/>
        </w:rPr>
        <w:t xml:space="preserve">) si bien el de mayor porcentaje de subrepresentación, es el </w:t>
      </w:r>
      <w:r w:rsidRPr="00F32542">
        <w:rPr>
          <w:rFonts w:ascii="Arial" w:eastAsia="Calibri" w:hAnsi="Arial" w:cs="Arial"/>
          <w:i/>
          <w:sz w:val="28"/>
          <w:szCs w:val="28"/>
        </w:rPr>
        <w:t>PAN</w:t>
      </w:r>
      <w:r w:rsidRPr="00F32542">
        <w:rPr>
          <w:rFonts w:ascii="Arial" w:eastAsia="Calibri" w:hAnsi="Arial" w:cs="Arial"/>
          <w:sz w:val="28"/>
          <w:szCs w:val="28"/>
        </w:rPr>
        <w:t>, es el que tiene mayor número de diputaciones por mayoría relativa, además de que obtuvo la diputación migrante; no obstante, se le asignaron un mayor número de diputaciones.</w:t>
      </w:r>
    </w:p>
    <w:p w14:paraId="4D8BD586" w14:textId="77777777" w:rsidR="00F94B48" w:rsidRPr="00F32542" w:rsidRDefault="00F94B48" w:rsidP="00F94B48">
      <w:pPr>
        <w:spacing w:after="0" w:line="360" w:lineRule="auto"/>
        <w:jc w:val="both"/>
        <w:rPr>
          <w:rFonts w:ascii="Arial" w:eastAsia="Calibri" w:hAnsi="Arial" w:cs="Arial"/>
          <w:sz w:val="28"/>
          <w:szCs w:val="28"/>
        </w:rPr>
      </w:pPr>
    </w:p>
    <w:p w14:paraId="088B48B4"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lastRenderedPageBreak/>
        <w:t>Conforme su dicho, el segundo partido con mayor porcentaje de subrepresentación, el PR</w:t>
      </w:r>
      <w:r w:rsidR="00A310C4" w:rsidRPr="00F32542">
        <w:rPr>
          <w:rFonts w:ascii="Arial" w:eastAsia="Calibri" w:hAnsi="Arial" w:cs="Arial"/>
          <w:sz w:val="28"/>
          <w:szCs w:val="28"/>
        </w:rPr>
        <w:t>D</w:t>
      </w:r>
      <w:r w:rsidRPr="00F32542">
        <w:rPr>
          <w:rFonts w:ascii="Arial" w:eastAsia="Calibri" w:hAnsi="Arial" w:cs="Arial"/>
          <w:sz w:val="28"/>
          <w:szCs w:val="28"/>
        </w:rPr>
        <w:t>, sólo obtuvo cuatro diputaciones por mayoría relativa, por lo que se deben reasignar las diputaciones de representación proporcional, a fin de que le correspondan seis porque se está ante un “</w:t>
      </w:r>
      <w:r w:rsidRPr="00F32542">
        <w:rPr>
          <w:rFonts w:ascii="Arial" w:eastAsia="Calibri" w:hAnsi="Arial" w:cs="Arial"/>
          <w:i/>
          <w:iCs/>
          <w:sz w:val="28"/>
          <w:szCs w:val="28"/>
        </w:rPr>
        <w:t>problema grave de proporcionalidad y legitimidad que, a su vez influye en la gobernabilidad</w:t>
      </w:r>
      <w:r w:rsidRPr="00F32542">
        <w:rPr>
          <w:rFonts w:ascii="Arial" w:eastAsia="Calibri" w:hAnsi="Arial" w:cs="Arial"/>
          <w:sz w:val="28"/>
          <w:szCs w:val="28"/>
        </w:rPr>
        <w:t xml:space="preserve">” en la integración del </w:t>
      </w:r>
      <w:r w:rsidRPr="00F32542">
        <w:rPr>
          <w:rFonts w:ascii="Arial" w:eastAsia="Calibri" w:hAnsi="Arial" w:cs="Arial"/>
          <w:i/>
          <w:sz w:val="28"/>
          <w:szCs w:val="28"/>
        </w:rPr>
        <w:t>Congreso</w:t>
      </w:r>
      <w:r w:rsidRPr="00F32542">
        <w:rPr>
          <w:rFonts w:ascii="Arial" w:eastAsia="Calibri" w:hAnsi="Arial" w:cs="Arial"/>
          <w:sz w:val="28"/>
          <w:szCs w:val="28"/>
        </w:rPr>
        <w:t>.</w:t>
      </w:r>
    </w:p>
    <w:p w14:paraId="6270DEC1" w14:textId="77777777" w:rsidR="00F94B48" w:rsidRPr="00F32542" w:rsidRDefault="00F94B48" w:rsidP="00F94B48">
      <w:pPr>
        <w:spacing w:after="0" w:line="360" w:lineRule="auto"/>
        <w:jc w:val="both"/>
        <w:rPr>
          <w:rFonts w:ascii="Arial" w:eastAsia="Calibri" w:hAnsi="Arial" w:cs="Arial"/>
          <w:sz w:val="28"/>
          <w:szCs w:val="28"/>
        </w:rPr>
      </w:pPr>
    </w:p>
    <w:p w14:paraId="1F1E8940"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El </w:t>
      </w:r>
      <w:r w:rsidRPr="00F32542">
        <w:rPr>
          <w:rFonts w:ascii="Arial" w:eastAsia="Calibri" w:hAnsi="Arial" w:cs="Arial"/>
          <w:i/>
          <w:sz w:val="28"/>
          <w:szCs w:val="28"/>
        </w:rPr>
        <w:t>Consejo General</w:t>
      </w:r>
      <w:r w:rsidRPr="00F32542">
        <w:rPr>
          <w:rFonts w:ascii="Arial" w:eastAsia="Calibri" w:hAnsi="Arial" w:cs="Arial"/>
          <w:sz w:val="28"/>
          <w:szCs w:val="28"/>
        </w:rPr>
        <w:t xml:space="preserve"> no consideró que el principio de representación proporcional implica asignar a cada partido un número de curules proporcional al número de votos en toda la ciudad; si bien, la representación proporcional pura es difícil de encontrar, la repartición debe ser lo más apegado al porcentaje de votos recibido. </w:t>
      </w:r>
    </w:p>
    <w:p w14:paraId="71842EBE" w14:textId="77777777" w:rsidR="00F94B48" w:rsidRPr="00F32542" w:rsidRDefault="00F94B48" w:rsidP="00F94B48">
      <w:pPr>
        <w:spacing w:after="0" w:line="360" w:lineRule="auto"/>
        <w:jc w:val="both"/>
        <w:rPr>
          <w:rFonts w:ascii="Arial" w:eastAsia="Calibri" w:hAnsi="Arial" w:cs="Arial"/>
          <w:sz w:val="28"/>
          <w:szCs w:val="28"/>
        </w:rPr>
      </w:pPr>
    </w:p>
    <w:p w14:paraId="77022EB3"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Causa agravio la inexacta aplicación del artículo 29, numeral 2, inciso c) de la </w:t>
      </w:r>
      <w:r w:rsidRPr="00F32542">
        <w:rPr>
          <w:rFonts w:ascii="Arial" w:eastAsia="Calibri" w:hAnsi="Arial" w:cs="Arial"/>
          <w:i/>
          <w:sz w:val="28"/>
          <w:szCs w:val="28"/>
        </w:rPr>
        <w:t>Constitución Local</w:t>
      </w:r>
      <w:r w:rsidRPr="00F32542">
        <w:rPr>
          <w:rFonts w:ascii="Arial" w:eastAsia="Calibri" w:hAnsi="Arial" w:cs="Arial"/>
          <w:sz w:val="28"/>
          <w:szCs w:val="28"/>
        </w:rPr>
        <w:t xml:space="preserve">, pues no por el hecho de que establezca un máximo y un mínimo para la representación, la autoridad electoral debe aplicar esos extremos, sino que debe analizarse el caso concreto, es decir, </w:t>
      </w:r>
      <w:r w:rsidRPr="00F32542">
        <w:rPr>
          <w:rFonts w:ascii="Arial" w:eastAsia="Calibri" w:hAnsi="Arial" w:cs="Arial"/>
          <w:i/>
          <w:sz w:val="28"/>
          <w:szCs w:val="28"/>
        </w:rPr>
        <w:t>“todos los elementos existentes en la votación”</w:t>
      </w:r>
      <w:r w:rsidRPr="00F32542">
        <w:rPr>
          <w:rFonts w:ascii="Arial" w:eastAsia="Calibri" w:hAnsi="Arial" w:cs="Arial"/>
          <w:sz w:val="28"/>
          <w:szCs w:val="28"/>
        </w:rPr>
        <w:t xml:space="preserve">, además de que la responsable debió percatarse de que los porcentajes están muy alejados uno del otro. </w:t>
      </w:r>
    </w:p>
    <w:p w14:paraId="29C676A6" w14:textId="77777777" w:rsidR="00F94B48" w:rsidRPr="00F32542" w:rsidRDefault="00F94B48" w:rsidP="00F94B48">
      <w:pPr>
        <w:spacing w:after="0" w:line="360" w:lineRule="auto"/>
        <w:jc w:val="both"/>
        <w:rPr>
          <w:rFonts w:ascii="Arial" w:eastAsia="Calibri" w:hAnsi="Arial" w:cs="Arial"/>
          <w:sz w:val="28"/>
          <w:szCs w:val="28"/>
        </w:rPr>
      </w:pPr>
    </w:p>
    <w:p w14:paraId="3DC28E41"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Refiere que no basta con que la autoridad electoral revise si un partido se encuentra sub o sobrer</w:t>
      </w:r>
      <w:r w:rsidR="00B44446" w:rsidRPr="00F32542">
        <w:rPr>
          <w:rFonts w:ascii="Arial" w:eastAsia="Calibri" w:hAnsi="Arial" w:cs="Arial"/>
          <w:sz w:val="28"/>
          <w:szCs w:val="28"/>
        </w:rPr>
        <w:t>r</w:t>
      </w:r>
      <w:r w:rsidRPr="00F32542">
        <w:rPr>
          <w:rFonts w:ascii="Arial" w:eastAsia="Calibri" w:hAnsi="Arial" w:cs="Arial"/>
          <w:sz w:val="28"/>
          <w:szCs w:val="28"/>
        </w:rPr>
        <w:t xml:space="preserve">epresentado, sino también que el </w:t>
      </w:r>
      <w:r w:rsidRPr="00F32542">
        <w:rPr>
          <w:rFonts w:ascii="Arial" w:eastAsia="Calibri" w:hAnsi="Arial" w:cs="Arial"/>
          <w:i/>
          <w:sz w:val="28"/>
          <w:szCs w:val="28"/>
        </w:rPr>
        <w:t>Congreso</w:t>
      </w:r>
      <w:r w:rsidRPr="00F32542">
        <w:rPr>
          <w:rFonts w:ascii="Arial" w:eastAsia="Calibri" w:hAnsi="Arial" w:cs="Arial"/>
          <w:sz w:val="28"/>
          <w:szCs w:val="28"/>
        </w:rPr>
        <w:t xml:space="preserve"> se encuentre equilibrado en proporción a la votación de cada partido, ello en cumplimiento al principio de progresividad, interpretando las normas de modo que se amplíe el derecho al voto activo. No aplicar la norma de manera progresiva, violenta el </w:t>
      </w:r>
      <w:r w:rsidRPr="00F32542">
        <w:rPr>
          <w:rFonts w:ascii="Arial" w:eastAsia="Calibri" w:hAnsi="Arial" w:cs="Arial"/>
          <w:sz w:val="28"/>
          <w:szCs w:val="28"/>
        </w:rPr>
        <w:lastRenderedPageBreak/>
        <w:t>principio de democracia representativa a través del voto y daña severamente el voto de todas las personas.</w:t>
      </w:r>
    </w:p>
    <w:p w14:paraId="6BD8262F" w14:textId="77777777" w:rsidR="00F94B48" w:rsidRPr="00F32542" w:rsidRDefault="00F94B48" w:rsidP="00F94B48">
      <w:pPr>
        <w:spacing w:after="0" w:line="360" w:lineRule="auto"/>
        <w:jc w:val="both"/>
        <w:rPr>
          <w:rFonts w:ascii="Arial" w:eastAsia="Calibri" w:hAnsi="Arial" w:cs="Arial"/>
          <w:sz w:val="28"/>
          <w:szCs w:val="28"/>
        </w:rPr>
      </w:pPr>
    </w:p>
    <w:p w14:paraId="5E3DB95B"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El acuerdo impugnado fue indebidamente fundado y motivado, pues no se tomó en cuenta que para la integración del </w:t>
      </w:r>
      <w:r w:rsidRPr="00F32542">
        <w:rPr>
          <w:rFonts w:ascii="Arial" w:eastAsia="Calibri" w:hAnsi="Arial" w:cs="Arial"/>
          <w:i/>
          <w:sz w:val="28"/>
          <w:szCs w:val="28"/>
        </w:rPr>
        <w:t>Congreso</w:t>
      </w:r>
      <w:r w:rsidRPr="00F32542">
        <w:rPr>
          <w:rFonts w:ascii="Arial" w:eastAsia="Calibri" w:hAnsi="Arial" w:cs="Arial"/>
          <w:sz w:val="28"/>
          <w:szCs w:val="28"/>
        </w:rPr>
        <w:t xml:space="preserve"> operan los principios de mayoría relativa y de representación proporcional y el hecho de que haya partidos con votación minoritaria, no significa que su importancia sea menor, sobre todo cuando obtuvieron votación suficiente para tener representación de la voluntad popular.</w:t>
      </w:r>
    </w:p>
    <w:p w14:paraId="00FCC1A3" w14:textId="77777777" w:rsidR="00F94B48" w:rsidRPr="00F32542" w:rsidRDefault="00F94B48" w:rsidP="00F94B48">
      <w:pPr>
        <w:spacing w:after="0" w:line="360" w:lineRule="auto"/>
        <w:jc w:val="both"/>
        <w:rPr>
          <w:rFonts w:ascii="Arial" w:eastAsia="Calibri" w:hAnsi="Arial" w:cs="Arial"/>
          <w:sz w:val="28"/>
          <w:szCs w:val="28"/>
        </w:rPr>
      </w:pPr>
    </w:p>
    <w:p w14:paraId="7B9D3B11" w14:textId="77777777" w:rsidR="00F94B48" w:rsidRPr="00F32542" w:rsidRDefault="00F94B48" w:rsidP="00F94B48">
      <w:pPr>
        <w:spacing w:after="0" w:line="360" w:lineRule="auto"/>
        <w:jc w:val="both"/>
        <w:rPr>
          <w:rFonts w:ascii="Arial" w:eastAsia="Calibri" w:hAnsi="Arial" w:cs="Arial"/>
          <w:b/>
          <w:sz w:val="28"/>
          <w:szCs w:val="28"/>
        </w:rPr>
      </w:pPr>
      <w:r w:rsidRPr="00F32542">
        <w:rPr>
          <w:rFonts w:ascii="Arial" w:eastAsia="Calibri" w:hAnsi="Arial" w:cs="Arial"/>
          <w:sz w:val="28"/>
          <w:szCs w:val="28"/>
        </w:rPr>
        <w:t>Los argumentos de la parte actora son</w:t>
      </w:r>
      <w:r w:rsidRPr="00F32542">
        <w:rPr>
          <w:rFonts w:ascii="Arial" w:eastAsia="Calibri" w:hAnsi="Arial" w:cs="Arial"/>
          <w:b/>
          <w:sz w:val="28"/>
          <w:szCs w:val="28"/>
        </w:rPr>
        <w:t xml:space="preserve"> inoperantes. </w:t>
      </w:r>
    </w:p>
    <w:p w14:paraId="59EFE580" w14:textId="77777777" w:rsidR="00F94B48" w:rsidRPr="00F32542" w:rsidRDefault="00F94B48" w:rsidP="00F94B48">
      <w:pPr>
        <w:spacing w:after="0" w:line="360" w:lineRule="auto"/>
        <w:ind w:left="720"/>
        <w:contextualSpacing/>
        <w:jc w:val="both"/>
        <w:rPr>
          <w:rFonts w:ascii="Arial" w:eastAsia="Calibri" w:hAnsi="Arial" w:cs="Arial"/>
          <w:b/>
          <w:sz w:val="28"/>
          <w:szCs w:val="28"/>
        </w:rPr>
      </w:pPr>
    </w:p>
    <w:p w14:paraId="63443B49"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Times New Roman"/>
          <w:sz w:val="28"/>
        </w:rPr>
        <w:t xml:space="preserve">El calificativo atiende a que no es factible asumir la pretensión del PRI, en el sentido realizar una interpretación del </w:t>
      </w:r>
      <w:r w:rsidRPr="00F32542">
        <w:rPr>
          <w:rFonts w:ascii="Arial" w:eastAsia="Calibri" w:hAnsi="Arial" w:cs="Arial"/>
          <w:sz w:val="28"/>
          <w:szCs w:val="28"/>
        </w:rPr>
        <w:t xml:space="preserve">artículo 29, numeral 2, inciso c), de la Constitución Local, que permita no considerar de manera estricta los parámetros de sobre y subrepresentación, sino atender a una representatividad más cercana a la votación. </w:t>
      </w:r>
    </w:p>
    <w:p w14:paraId="4BA34CEA" w14:textId="77777777" w:rsidR="00F94B48" w:rsidRPr="00F32542" w:rsidRDefault="00F94B48" w:rsidP="00F94B48">
      <w:pPr>
        <w:spacing w:after="0" w:line="360" w:lineRule="auto"/>
        <w:jc w:val="both"/>
        <w:rPr>
          <w:rFonts w:ascii="Arial" w:eastAsia="Calibri" w:hAnsi="Arial" w:cs="Arial"/>
          <w:sz w:val="28"/>
          <w:szCs w:val="28"/>
        </w:rPr>
      </w:pPr>
    </w:p>
    <w:p w14:paraId="52CA8E57"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En efecto, no es atendible ese tipo de interpretación, porque implicaría una proporcionalidad pura, la cual no corresponde al actual sistema electoral de la Ciudad de México. </w:t>
      </w:r>
    </w:p>
    <w:p w14:paraId="3FC37792" w14:textId="77777777" w:rsidR="00F94B48" w:rsidRPr="00F32542" w:rsidRDefault="00F94B48" w:rsidP="00F94B48">
      <w:pPr>
        <w:spacing w:after="0" w:line="360" w:lineRule="auto"/>
        <w:jc w:val="both"/>
        <w:rPr>
          <w:rFonts w:ascii="Arial" w:eastAsia="Calibri" w:hAnsi="Arial" w:cs="Times New Roman"/>
          <w:sz w:val="28"/>
        </w:rPr>
      </w:pPr>
    </w:p>
    <w:p w14:paraId="48CEFF52"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El sistema electoral mexicano, tanto a nivel federal como local, se constituye en un sistema mixto porque prevé la existencia simultánea de dos métodos para convertir los votos emitidos en curules o puestos de gobierno: la mayoría relativa y la representación proporcional.</w:t>
      </w:r>
    </w:p>
    <w:p w14:paraId="4825BA1D" w14:textId="77777777" w:rsidR="00F94B48" w:rsidRPr="00F32542" w:rsidRDefault="00F94B48" w:rsidP="00F94B48">
      <w:pPr>
        <w:spacing w:after="0" w:line="360" w:lineRule="auto"/>
        <w:jc w:val="both"/>
        <w:rPr>
          <w:rFonts w:ascii="Arial" w:eastAsia="Calibri" w:hAnsi="Arial" w:cs="Times New Roman"/>
          <w:sz w:val="28"/>
        </w:rPr>
      </w:pPr>
    </w:p>
    <w:p w14:paraId="6A61D5C1"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lastRenderedPageBreak/>
        <w:t xml:space="preserve">Así, en el caso concreto de las legislaturas locales, el artículo 116, fracción II, párrafo tercero, de la </w:t>
      </w:r>
      <w:r w:rsidRPr="00F32542">
        <w:rPr>
          <w:rFonts w:ascii="Arial" w:eastAsia="Calibri" w:hAnsi="Arial" w:cs="Times New Roman"/>
          <w:i/>
          <w:sz w:val="28"/>
        </w:rPr>
        <w:t>Constitución Federal</w:t>
      </w:r>
      <w:r w:rsidRPr="00F32542">
        <w:rPr>
          <w:rFonts w:ascii="Arial" w:eastAsia="Calibri" w:hAnsi="Arial" w:cs="Times New Roman"/>
          <w:sz w:val="28"/>
        </w:rPr>
        <w:t>, prevé que, en la integración de los congresos de los estados deberá establecerse un sistema electoral combinado que considere tanto la mayoría relativa, como la representación proporcional, estableciendo como única regla el respeto a los límites de sobre y subrepresentación del ocho por ciento.</w:t>
      </w:r>
    </w:p>
    <w:p w14:paraId="46524A8B" w14:textId="77777777" w:rsidR="00F94B48" w:rsidRPr="00F32542" w:rsidRDefault="00F94B48" w:rsidP="00F94B48">
      <w:pPr>
        <w:spacing w:after="0" w:line="360" w:lineRule="auto"/>
        <w:jc w:val="both"/>
        <w:rPr>
          <w:rFonts w:ascii="Arial" w:eastAsia="Calibri" w:hAnsi="Arial" w:cs="Times New Roman"/>
          <w:sz w:val="28"/>
        </w:rPr>
      </w:pPr>
    </w:p>
    <w:p w14:paraId="5E0292E2"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Disposición que sustancialmente se reitera para el caso específico de la Ciudad de México, de conformidad con el artículo 122, fracción II, de la </w:t>
      </w:r>
      <w:r w:rsidRPr="00F32542">
        <w:rPr>
          <w:rFonts w:ascii="Arial" w:eastAsia="Calibri" w:hAnsi="Arial" w:cs="Times New Roman"/>
          <w:i/>
          <w:sz w:val="28"/>
        </w:rPr>
        <w:t>Constitución Federal</w:t>
      </w:r>
      <w:r w:rsidRPr="00F32542">
        <w:rPr>
          <w:rFonts w:ascii="Arial" w:eastAsia="Calibri" w:hAnsi="Arial" w:cs="Times New Roman"/>
          <w:sz w:val="28"/>
        </w:rPr>
        <w:t xml:space="preserve">. </w:t>
      </w:r>
    </w:p>
    <w:p w14:paraId="23C9C085" w14:textId="77777777" w:rsidR="00F94B48" w:rsidRPr="00F32542" w:rsidRDefault="00F94B48" w:rsidP="00F94B48">
      <w:pPr>
        <w:spacing w:after="0" w:line="360" w:lineRule="auto"/>
        <w:jc w:val="both"/>
        <w:rPr>
          <w:rFonts w:ascii="Arial" w:eastAsia="Calibri" w:hAnsi="Arial" w:cs="Times New Roman"/>
          <w:sz w:val="28"/>
        </w:rPr>
      </w:pPr>
    </w:p>
    <w:p w14:paraId="0DEB6EAF"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Al respecto, la Sala Superior, al resolver el recurso de reconsideración </w:t>
      </w:r>
      <w:r w:rsidRPr="00F32542">
        <w:rPr>
          <w:rFonts w:ascii="Arial" w:eastAsia="Calibri" w:hAnsi="Arial" w:cs="Times New Roman"/>
          <w:b/>
          <w:bCs/>
          <w:sz w:val="28"/>
        </w:rPr>
        <w:t>SUP-REC-1176/2018</w:t>
      </w:r>
      <w:r w:rsidRPr="00F32542">
        <w:rPr>
          <w:rFonts w:ascii="Arial" w:eastAsia="Calibri" w:hAnsi="Arial" w:cs="Times New Roman"/>
          <w:sz w:val="28"/>
        </w:rPr>
        <w:t xml:space="preserve"> y acumulados, vinculado precisamente con la asignación de diputaciones por el principio de representación proporcional en la Ciudad de México, estableció que el sistema electoral debe interpretarse y aplicarse a la luz de lo dispuesto en el artículo 122, Apartado A, fracción II, segundo párrafo, correlacionado con el diverso 116, fracción II, tercer párrafo, ambos de la </w:t>
      </w:r>
      <w:r w:rsidRPr="00F32542">
        <w:rPr>
          <w:rFonts w:ascii="Arial" w:eastAsia="Calibri" w:hAnsi="Arial" w:cs="Times New Roman"/>
          <w:i/>
          <w:sz w:val="28"/>
        </w:rPr>
        <w:t>Constitución Federal</w:t>
      </w:r>
      <w:r w:rsidRPr="00F32542">
        <w:rPr>
          <w:rFonts w:ascii="Arial" w:eastAsia="Calibri" w:hAnsi="Arial" w:cs="Times New Roman"/>
          <w:sz w:val="28"/>
        </w:rPr>
        <w:t xml:space="preserve">, que establece los límites de sobre y subrepresentación. </w:t>
      </w:r>
    </w:p>
    <w:p w14:paraId="1C01E42D" w14:textId="77777777" w:rsidR="00F94B48" w:rsidRPr="00F32542" w:rsidRDefault="00F94B48" w:rsidP="00F94B48">
      <w:pPr>
        <w:spacing w:after="0" w:line="360" w:lineRule="auto"/>
        <w:jc w:val="both"/>
        <w:rPr>
          <w:rFonts w:ascii="Arial" w:eastAsia="Calibri" w:hAnsi="Arial" w:cs="Times New Roman"/>
          <w:sz w:val="28"/>
        </w:rPr>
      </w:pPr>
    </w:p>
    <w:p w14:paraId="0F9B5975"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Siendo así, que el sistema de representación proporcional local no puede tener como objetivo la representación proporcional “pura”, puesto que el artículo 122 constitucional establece expresamente los límites indicados, lo que entraña que la propia norma constitucional permite cierta desproporcionalidad en la integración de los congresos de las entidades federativas, siempre que no se rebasen los límites de sobre y subrepresentación, aunado a la </w:t>
      </w:r>
      <w:r w:rsidRPr="00F32542">
        <w:rPr>
          <w:rFonts w:ascii="Arial" w:eastAsia="Calibri" w:hAnsi="Arial" w:cs="Times New Roman"/>
          <w:sz w:val="28"/>
        </w:rPr>
        <w:lastRenderedPageBreak/>
        <w:t xml:space="preserve">existencia de barreras constitucionales y legales para la entrada al sistema. </w:t>
      </w:r>
    </w:p>
    <w:p w14:paraId="55C39F71" w14:textId="77777777" w:rsidR="00F94B48" w:rsidRPr="00F32542" w:rsidRDefault="00F94B48" w:rsidP="00F94B48">
      <w:pPr>
        <w:spacing w:after="0" w:line="360" w:lineRule="auto"/>
        <w:jc w:val="both"/>
        <w:rPr>
          <w:rFonts w:ascii="Arial" w:eastAsia="Calibri" w:hAnsi="Arial" w:cs="Times New Roman"/>
          <w:sz w:val="28"/>
        </w:rPr>
      </w:pPr>
    </w:p>
    <w:p w14:paraId="4CC885E5"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En ese sentido, </w:t>
      </w:r>
      <w:r w:rsidRPr="00F32542">
        <w:rPr>
          <w:rFonts w:ascii="Arial" w:eastAsia="Calibri" w:hAnsi="Arial" w:cs="Times New Roman"/>
          <w:i/>
          <w:sz w:val="28"/>
        </w:rPr>
        <w:t>Sala Superior</w:t>
      </w:r>
      <w:r w:rsidRPr="00F32542">
        <w:rPr>
          <w:rFonts w:ascii="Arial" w:eastAsia="Calibri" w:hAnsi="Arial" w:cs="Times New Roman"/>
          <w:sz w:val="28"/>
        </w:rPr>
        <w:t xml:space="preserve"> destacó que, a partir de los parámetros establecidos en la </w:t>
      </w:r>
      <w:r w:rsidRPr="00F32542">
        <w:rPr>
          <w:rFonts w:ascii="Arial" w:eastAsia="Calibri" w:hAnsi="Arial" w:cs="Times New Roman"/>
          <w:i/>
          <w:sz w:val="28"/>
        </w:rPr>
        <w:t>Constitución Federal</w:t>
      </w:r>
      <w:r w:rsidRPr="00F32542">
        <w:rPr>
          <w:rFonts w:ascii="Arial" w:eastAsia="Calibri" w:hAnsi="Arial" w:cs="Times New Roman"/>
          <w:sz w:val="28"/>
        </w:rPr>
        <w:t>, no cabe sostener que el sistema electoral local tenga como objeto alcanzar la proporcionalidad pura.</w:t>
      </w:r>
    </w:p>
    <w:p w14:paraId="43C585D9" w14:textId="77777777" w:rsidR="00F94B48" w:rsidRPr="00F32542" w:rsidRDefault="00F94B48" w:rsidP="00F94B48">
      <w:pPr>
        <w:spacing w:after="0" w:line="360" w:lineRule="auto"/>
        <w:jc w:val="both"/>
        <w:rPr>
          <w:rFonts w:ascii="Arial" w:eastAsia="Calibri" w:hAnsi="Arial" w:cs="Times New Roman"/>
          <w:sz w:val="28"/>
        </w:rPr>
      </w:pPr>
    </w:p>
    <w:p w14:paraId="0BAC9FA4"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Asimismo, precisó que en el sistema mixto no necesariamente debe existir una correspondencia exacta entre votos y escaños o curules, ya que no se trata de un sistema de representación proporcional pura, aunado a que existen barreras legales o elementos que pueden producir </w:t>
      </w:r>
      <w:proofErr w:type="spellStart"/>
      <w:r w:rsidRPr="00F32542">
        <w:rPr>
          <w:rFonts w:ascii="Arial" w:eastAsia="Calibri" w:hAnsi="Arial" w:cs="Times New Roman"/>
          <w:sz w:val="28"/>
        </w:rPr>
        <w:t>sobrerepresentación</w:t>
      </w:r>
      <w:proofErr w:type="spellEnd"/>
      <w:r w:rsidRPr="00F32542">
        <w:rPr>
          <w:rFonts w:ascii="Arial" w:eastAsia="Calibri" w:hAnsi="Arial" w:cs="Times New Roman"/>
          <w:sz w:val="28"/>
        </w:rPr>
        <w:t xml:space="preserve"> o subrepresentación de una o varias fuerzas políticas.</w:t>
      </w:r>
    </w:p>
    <w:p w14:paraId="787506D4" w14:textId="77777777" w:rsidR="00F94B48" w:rsidRPr="00F32542" w:rsidRDefault="00F94B48" w:rsidP="00F94B48">
      <w:pPr>
        <w:spacing w:after="0" w:line="360" w:lineRule="auto"/>
        <w:jc w:val="both"/>
        <w:rPr>
          <w:rFonts w:ascii="Arial" w:eastAsia="Calibri" w:hAnsi="Arial" w:cs="Times New Roman"/>
          <w:sz w:val="28"/>
        </w:rPr>
      </w:pPr>
    </w:p>
    <w:p w14:paraId="3C93F252"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De ahí que, en el artículo 122, apartado A, fracción II, de la </w:t>
      </w:r>
      <w:r w:rsidRPr="00F32542">
        <w:rPr>
          <w:rFonts w:ascii="Arial" w:eastAsia="Calibri" w:hAnsi="Arial" w:cs="Times New Roman"/>
          <w:i/>
          <w:sz w:val="28"/>
        </w:rPr>
        <w:t>Constitución Federal</w:t>
      </w:r>
      <w:r w:rsidRPr="00F32542">
        <w:rPr>
          <w:rFonts w:ascii="Arial" w:eastAsia="Calibri" w:hAnsi="Arial" w:cs="Times New Roman"/>
          <w:sz w:val="28"/>
        </w:rPr>
        <w:t xml:space="preserve"> se establece que las personas integrantes de la Legislatura de la Ciudad de México serán electas según los principios de mayoría relativa y de representación proporcional, en los términos que se establezcan en la </w:t>
      </w:r>
      <w:r w:rsidRPr="00F32542">
        <w:rPr>
          <w:rFonts w:ascii="Arial" w:eastAsia="Calibri" w:hAnsi="Arial" w:cs="Times New Roman"/>
          <w:i/>
          <w:sz w:val="28"/>
        </w:rPr>
        <w:t>Constitución Local</w:t>
      </w:r>
      <w:r w:rsidRPr="00F32542">
        <w:rPr>
          <w:rFonts w:ascii="Arial" w:eastAsia="Calibri" w:hAnsi="Arial" w:cs="Times New Roman"/>
          <w:sz w:val="28"/>
        </w:rPr>
        <w:t>; que ningún partido político puede contar con el número de diputaciones por ambos principios que rebase el ocho por ciento de su votación obtenida, con la salvedad de que haya obtenido dichos triunfos por el principio de mayoría relativa, caso en que no aplicará dicho límite; y que el porcentaje de subrepresentación de un partido político no puede ser menor a ocho por ciento con respecto a su votación.</w:t>
      </w:r>
    </w:p>
    <w:p w14:paraId="12C3FEA5" w14:textId="77777777" w:rsidR="00F94B48" w:rsidRPr="00F32542" w:rsidRDefault="00F94B48" w:rsidP="00F94B48">
      <w:pPr>
        <w:spacing w:after="0" w:line="360" w:lineRule="auto"/>
        <w:jc w:val="both"/>
        <w:rPr>
          <w:rFonts w:ascii="Arial" w:eastAsia="Calibri" w:hAnsi="Arial" w:cs="Times New Roman"/>
          <w:sz w:val="28"/>
        </w:rPr>
      </w:pPr>
    </w:p>
    <w:p w14:paraId="040CC507"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Así, la </w:t>
      </w:r>
      <w:r w:rsidRPr="00F32542">
        <w:rPr>
          <w:rFonts w:ascii="Arial" w:eastAsia="Calibri" w:hAnsi="Arial" w:cs="Times New Roman"/>
          <w:i/>
          <w:sz w:val="28"/>
        </w:rPr>
        <w:t>Sala Superior</w:t>
      </w:r>
      <w:r w:rsidRPr="00F32542">
        <w:rPr>
          <w:rFonts w:ascii="Arial" w:eastAsia="Calibri" w:hAnsi="Arial" w:cs="Times New Roman"/>
          <w:sz w:val="28"/>
        </w:rPr>
        <w:t xml:space="preserve"> estimó que de lo previsto en el artículo mencionado se puede concluir que el sistema es </w:t>
      </w:r>
      <w:r w:rsidRPr="00F32542">
        <w:rPr>
          <w:rFonts w:ascii="Arial" w:eastAsia="Calibri" w:hAnsi="Arial" w:cs="Times New Roman"/>
          <w:sz w:val="28"/>
        </w:rPr>
        <w:lastRenderedPageBreak/>
        <w:t>predominantemente mayoritario y permite distorsiones en la proporcionalidad, debido a que se impide que los triunfos obtenidos por mayoría relativa sean reducidos aun cuando con ello se genere una sobre</w:t>
      </w:r>
      <w:r w:rsidR="00A310C4" w:rsidRPr="00F32542">
        <w:rPr>
          <w:rFonts w:ascii="Arial" w:eastAsia="Calibri" w:hAnsi="Arial" w:cs="Times New Roman"/>
          <w:sz w:val="28"/>
        </w:rPr>
        <w:t>r</w:t>
      </w:r>
      <w:r w:rsidRPr="00F32542">
        <w:rPr>
          <w:rFonts w:ascii="Arial" w:eastAsia="Calibri" w:hAnsi="Arial" w:cs="Times New Roman"/>
          <w:sz w:val="28"/>
        </w:rPr>
        <w:t>representación mayor a los límites constitucionales.</w:t>
      </w:r>
    </w:p>
    <w:p w14:paraId="78EF6326" w14:textId="77777777" w:rsidR="00F94B48" w:rsidRPr="00F32542" w:rsidRDefault="00F94B48" w:rsidP="00F94B48">
      <w:pPr>
        <w:spacing w:after="0" w:line="360" w:lineRule="auto"/>
        <w:jc w:val="both"/>
        <w:rPr>
          <w:rFonts w:ascii="Arial" w:eastAsia="Calibri" w:hAnsi="Arial" w:cs="Times New Roman"/>
          <w:sz w:val="28"/>
        </w:rPr>
      </w:pPr>
    </w:p>
    <w:p w14:paraId="12BB9F32"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Lo cual, aseveró, es un claro ejemplo también, de que la propia </w:t>
      </w:r>
      <w:r w:rsidRPr="00F32542">
        <w:rPr>
          <w:rFonts w:ascii="Arial" w:eastAsia="Calibri" w:hAnsi="Arial" w:cs="Times New Roman"/>
          <w:i/>
          <w:sz w:val="28"/>
        </w:rPr>
        <w:t>Constitución</w:t>
      </w:r>
      <w:r w:rsidRPr="00F32542">
        <w:rPr>
          <w:rFonts w:ascii="Arial" w:eastAsia="Calibri" w:hAnsi="Arial" w:cs="Times New Roman"/>
          <w:sz w:val="28"/>
        </w:rPr>
        <w:t xml:space="preserve"> </w:t>
      </w:r>
      <w:r w:rsidRPr="00F32542">
        <w:rPr>
          <w:rFonts w:ascii="Arial" w:eastAsia="Calibri" w:hAnsi="Arial" w:cs="Times New Roman"/>
          <w:i/>
          <w:sz w:val="28"/>
        </w:rPr>
        <w:t>Federal</w:t>
      </w:r>
      <w:r w:rsidRPr="00F32542">
        <w:rPr>
          <w:rFonts w:ascii="Arial" w:eastAsia="Calibri" w:hAnsi="Arial" w:cs="Times New Roman"/>
          <w:sz w:val="28"/>
        </w:rPr>
        <w:t xml:space="preserve"> da prevalencia al sistema representativo en su conjunto, pues el hecho de considerar que ante la afectación a la regla de sobre</w:t>
      </w:r>
      <w:r w:rsidR="00A310C4" w:rsidRPr="00F32542">
        <w:rPr>
          <w:rFonts w:ascii="Arial" w:eastAsia="Calibri" w:hAnsi="Arial" w:cs="Times New Roman"/>
          <w:sz w:val="28"/>
        </w:rPr>
        <w:t>r</w:t>
      </w:r>
      <w:r w:rsidRPr="00F32542">
        <w:rPr>
          <w:rFonts w:ascii="Arial" w:eastAsia="Calibri" w:hAnsi="Arial" w:cs="Times New Roman"/>
          <w:sz w:val="28"/>
        </w:rPr>
        <w:t>representación derivada de los triunfos de mayoría relativa deben subsistir los últimos, evidencia que la intención del Constituyente fue mantener la estabilidad del sistema de representación mixto.</w:t>
      </w:r>
    </w:p>
    <w:p w14:paraId="42D6F457" w14:textId="77777777" w:rsidR="00F94B48" w:rsidRPr="00F32542" w:rsidRDefault="00F94B48" w:rsidP="00F94B48">
      <w:pPr>
        <w:spacing w:after="0" w:line="360" w:lineRule="auto"/>
        <w:jc w:val="both"/>
        <w:rPr>
          <w:rFonts w:ascii="Arial" w:eastAsia="Calibri" w:hAnsi="Arial" w:cs="Times New Roman"/>
          <w:sz w:val="28"/>
        </w:rPr>
      </w:pPr>
    </w:p>
    <w:p w14:paraId="4B6889C4"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Por tanto, la </w:t>
      </w:r>
      <w:r w:rsidRPr="00F32542">
        <w:rPr>
          <w:rFonts w:ascii="Arial" w:eastAsia="Calibri" w:hAnsi="Arial" w:cs="Times New Roman"/>
          <w:i/>
          <w:sz w:val="28"/>
        </w:rPr>
        <w:t>Sala Superior</w:t>
      </w:r>
      <w:r w:rsidRPr="00F32542">
        <w:rPr>
          <w:rFonts w:ascii="Arial" w:eastAsia="Calibri" w:hAnsi="Arial" w:cs="Times New Roman"/>
          <w:sz w:val="28"/>
        </w:rPr>
        <w:t xml:space="preserve"> razonó que el sistema de representación proporcional es acorde con el artículo 122 de la </w:t>
      </w:r>
      <w:r w:rsidRPr="00F32542">
        <w:rPr>
          <w:rFonts w:ascii="Arial" w:eastAsia="Calibri" w:hAnsi="Arial" w:cs="Times New Roman"/>
          <w:i/>
          <w:sz w:val="28"/>
        </w:rPr>
        <w:t>Constitución Federal</w:t>
      </w:r>
      <w:r w:rsidRPr="00F32542">
        <w:rPr>
          <w:rFonts w:ascii="Arial" w:eastAsia="Calibri" w:hAnsi="Arial" w:cs="Times New Roman"/>
          <w:sz w:val="28"/>
        </w:rPr>
        <w:t>, en la conformación del órgano deliberativo de la Ciudad de México, porque se prevén reglas que evitan una sobre</w:t>
      </w:r>
      <w:r w:rsidR="00A310C4" w:rsidRPr="00F32542">
        <w:rPr>
          <w:rFonts w:ascii="Arial" w:eastAsia="Calibri" w:hAnsi="Arial" w:cs="Times New Roman"/>
          <w:sz w:val="28"/>
        </w:rPr>
        <w:t>r</w:t>
      </w:r>
      <w:r w:rsidRPr="00F32542">
        <w:rPr>
          <w:rFonts w:ascii="Arial" w:eastAsia="Calibri" w:hAnsi="Arial" w:cs="Times New Roman"/>
          <w:sz w:val="28"/>
        </w:rPr>
        <w:t>representación de las fuerzas políticas mayoritarias y una subrepresentación de los partidos minoritarios.</w:t>
      </w:r>
    </w:p>
    <w:p w14:paraId="047A0E15" w14:textId="77777777" w:rsidR="00F94B48" w:rsidRPr="00F32542" w:rsidRDefault="00F94B48" w:rsidP="00F94B48">
      <w:pPr>
        <w:spacing w:after="0" w:line="360" w:lineRule="auto"/>
        <w:jc w:val="both"/>
        <w:rPr>
          <w:rFonts w:ascii="Arial" w:eastAsia="Calibri" w:hAnsi="Arial" w:cs="Times New Roman"/>
          <w:sz w:val="28"/>
        </w:rPr>
      </w:pPr>
    </w:p>
    <w:p w14:paraId="597AE1FE"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Por ende, consideró que </w:t>
      </w:r>
      <w:r w:rsidRPr="00F32542">
        <w:rPr>
          <w:rFonts w:ascii="Arial" w:eastAsia="Calibri" w:hAnsi="Arial" w:cs="Times New Roman"/>
          <w:b/>
          <w:sz w:val="28"/>
        </w:rPr>
        <w:t>no es posible la aplicación de una fórmula que posibilite una correspondencia exacta entre el número de votos y las curules a asignar a los partidos políticos</w:t>
      </w:r>
      <w:r w:rsidRPr="00F32542">
        <w:rPr>
          <w:rFonts w:ascii="Arial" w:eastAsia="Calibri" w:hAnsi="Arial" w:cs="Times New Roman"/>
          <w:sz w:val="28"/>
        </w:rPr>
        <w:t xml:space="preserve">, sino lo que se busca es lograr en la mayor medida posible la máxima representación y proporcionalidad, </w:t>
      </w:r>
      <w:r w:rsidRPr="00F32542">
        <w:rPr>
          <w:rFonts w:ascii="Arial" w:eastAsia="Calibri" w:hAnsi="Arial" w:cs="Times New Roman"/>
          <w:b/>
          <w:sz w:val="28"/>
        </w:rPr>
        <w:t>atendiendo a las reglas prevista legalmente, en las que se advierte una igual regulación respecto de la sobre y subrepresentación.</w:t>
      </w:r>
    </w:p>
    <w:p w14:paraId="5A3CA71C" w14:textId="77777777" w:rsidR="00F94B48" w:rsidRPr="00F32542" w:rsidRDefault="00F94B48" w:rsidP="00F94B48">
      <w:pPr>
        <w:spacing w:after="0" w:line="360" w:lineRule="auto"/>
        <w:jc w:val="both"/>
        <w:rPr>
          <w:rFonts w:ascii="Arial" w:eastAsia="Calibri" w:hAnsi="Arial" w:cs="Times New Roman"/>
          <w:sz w:val="28"/>
        </w:rPr>
      </w:pPr>
    </w:p>
    <w:p w14:paraId="63E3D535" w14:textId="77777777" w:rsidR="00F94B48" w:rsidRPr="00F32542" w:rsidRDefault="00F94B48" w:rsidP="00F94B48">
      <w:pPr>
        <w:spacing w:after="0" w:line="360" w:lineRule="auto"/>
        <w:jc w:val="both"/>
        <w:rPr>
          <w:rFonts w:ascii="Arial" w:eastAsia="Calibri" w:hAnsi="Arial" w:cs="Times New Roman"/>
          <w:b/>
          <w:sz w:val="28"/>
        </w:rPr>
      </w:pPr>
      <w:r w:rsidRPr="00F32542">
        <w:rPr>
          <w:rFonts w:ascii="Arial" w:eastAsia="Calibri" w:hAnsi="Arial" w:cs="Times New Roman"/>
          <w:sz w:val="28"/>
        </w:rPr>
        <w:t xml:space="preserve">De manera que, concluyó la </w:t>
      </w:r>
      <w:r w:rsidRPr="00F32542">
        <w:rPr>
          <w:rFonts w:ascii="Arial" w:eastAsia="Calibri" w:hAnsi="Arial" w:cs="Times New Roman"/>
          <w:i/>
          <w:sz w:val="28"/>
        </w:rPr>
        <w:t>Sala Superior</w:t>
      </w:r>
      <w:r w:rsidRPr="00F32542">
        <w:rPr>
          <w:rFonts w:ascii="Arial" w:eastAsia="Calibri" w:hAnsi="Arial" w:cs="Times New Roman"/>
          <w:sz w:val="28"/>
        </w:rPr>
        <w:t xml:space="preserve">, se debe verificar que los escaños alcanzados por los partidos políticos por ambos </w:t>
      </w:r>
      <w:r w:rsidRPr="00F32542">
        <w:rPr>
          <w:rFonts w:ascii="Arial" w:eastAsia="Calibri" w:hAnsi="Arial" w:cs="Times New Roman"/>
          <w:sz w:val="28"/>
        </w:rPr>
        <w:lastRenderedPageBreak/>
        <w:t xml:space="preserve">principios sean proporcionales a la votación recibida, siendo que, en el caso de que uno o varios partidos políticos estén fuera de los márgenes de tolerancia, se deben hacer los ajustes necesarios, ya sea no asignándoles o dándoles las curules de representación proporcional necesarias para que estén dentro de los parámetros exigidos por la normativa electoral, </w:t>
      </w:r>
      <w:r w:rsidRPr="00F32542">
        <w:rPr>
          <w:rFonts w:ascii="Arial" w:eastAsia="Calibri" w:hAnsi="Arial" w:cs="Times New Roman"/>
          <w:b/>
          <w:sz w:val="28"/>
        </w:rPr>
        <w:t>sin que sea dable hacer un ajuste respecto a las diputaciones obtenidas por el principio de mayoría relativa, o bien cuando todos los partidos se encuentran dentro de los parámetros.</w:t>
      </w:r>
    </w:p>
    <w:p w14:paraId="36772BA5" w14:textId="77777777" w:rsidR="00F94B48" w:rsidRPr="00F32542" w:rsidRDefault="00F94B48" w:rsidP="00F94B48">
      <w:pPr>
        <w:spacing w:after="0" w:line="360" w:lineRule="auto"/>
        <w:jc w:val="both"/>
        <w:rPr>
          <w:rFonts w:ascii="Arial" w:eastAsia="Calibri" w:hAnsi="Arial" w:cs="Times New Roman"/>
          <w:b/>
          <w:sz w:val="28"/>
        </w:rPr>
      </w:pPr>
    </w:p>
    <w:p w14:paraId="14D2272B"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De conformidad con lo expuesto, como se anticipó, no es procedente lo planteado por la </w:t>
      </w:r>
      <w:r w:rsidRPr="00F32542">
        <w:rPr>
          <w:rFonts w:ascii="Arial" w:eastAsia="Calibri" w:hAnsi="Arial" w:cs="Times New Roman"/>
          <w:i/>
          <w:sz w:val="28"/>
        </w:rPr>
        <w:t>parte actora</w:t>
      </w:r>
      <w:r w:rsidRPr="00F32542">
        <w:rPr>
          <w:rFonts w:ascii="Arial" w:eastAsia="Calibri" w:hAnsi="Arial" w:cs="Times New Roman"/>
          <w:sz w:val="28"/>
        </w:rPr>
        <w:t xml:space="preserve"> puesto que pretende que este Tribunal Electoral asuma una interpretación que desvirtúe el sistema electoral mixto que impera en la Ciudad de México, para buscar una representación pura. </w:t>
      </w:r>
    </w:p>
    <w:p w14:paraId="5D35685F" w14:textId="77777777" w:rsidR="00F94B48" w:rsidRPr="00F32542" w:rsidRDefault="00F94B48" w:rsidP="00F94B48">
      <w:pPr>
        <w:spacing w:after="0" w:line="360" w:lineRule="auto"/>
        <w:ind w:left="720"/>
        <w:contextualSpacing/>
        <w:jc w:val="both"/>
        <w:rPr>
          <w:rFonts w:ascii="Arial" w:eastAsia="Calibri" w:hAnsi="Arial" w:cs="Arial"/>
          <w:sz w:val="28"/>
          <w:szCs w:val="28"/>
        </w:rPr>
      </w:pPr>
    </w:p>
    <w:p w14:paraId="64F1F6DA"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De manera que el </w:t>
      </w:r>
      <w:r w:rsidRPr="00F32542">
        <w:rPr>
          <w:rFonts w:ascii="Arial" w:eastAsia="Calibri" w:hAnsi="Arial" w:cs="Times New Roman"/>
          <w:i/>
          <w:sz w:val="28"/>
        </w:rPr>
        <w:t>PRI</w:t>
      </w:r>
      <w:r w:rsidRPr="00F32542">
        <w:rPr>
          <w:rFonts w:ascii="Arial" w:eastAsia="Calibri" w:hAnsi="Arial" w:cs="Times New Roman"/>
          <w:sz w:val="28"/>
        </w:rPr>
        <w:t xml:space="preserve"> ciertamente pretende una modificación al modelo constitucional y legal de asignación, ya que el sistema de representación proporcional mixto no puede interpretarse a fin de reducir lo más posible la diferencia entre votos y escaños que reciba cada partido político, puesto que, dado su diseño, no pretende alcanzar la proporcionalidad pura. </w:t>
      </w:r>
    </w:p>
    <w:p w14:paraId="3197EA14" w14:textId="77777777" w:rsidR="00F94B48" w:rsidRPr="00F32542" w:rsidRDefault="00F94B48" w:rsidP="00F94B48">
      <w:pPr>
        <w:spacing w:after="0" w:line="360" w:lineRule="auto"/>
        <w:jc w:val="both"/>
        <w:rPr>
          <w:rFonts w:ascii="Arial" w:eastAsia="Calibri" w:hAnsi="Arial" w:cs="Times New Roman"/>
          <w:sz w:val="28"/>
        </w:rPr>
      </w:pPr>
    </w:p>
    <w:p w14:paraId="2BFBD5C9"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En efecto, el sistema de representación mixto no implica un reflejo puro del voto-representación, sino que busca compensar la desproporción de la representación elegida por medio de la mayoría relativa.</w:t>
      </w:r>
    </w:p>
    <w:p w14:paraId="774555A9" w14:textId="77777777" w:rsidR="00F94B48" w:rsidRPr="00F32542" w:rsidRDefault="00F94B48" w:rsidP="00F94B48">
      <w:pPr>
        <w:spacing w:after="0" w:line="360" w:lineRule="auto"/>
        <w:jc w:val="both"/>
        <w:rPr>
          <w:rFonts w:ascii="Arial" w:eastAsia="Calibri" w:hAnsi="Arial" w:cs="Times New Roman"/>
          <w:sz w:val="28"/>
        </w:rPr>
      </w:pPr>
    </w:p>
    <w:p w14:paraId="39F425D6"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lastRenderedPageBreak/>
        <w:t xml:space="preserve">Por ende, no es jurídicamente procedente considerar algún ajuste a las asignaciones de representación proporcional cuando no hay rebase a los límites de sobre y subrepresentación. </w:t>
      </w:r>
    </w:p>
    <w:p w14:paraId="665C5CE1" w14:textId="77777777" w:rsidR="00F94B48" w:rsidRPr="00F32542" w:rsidRDefault="00F94B48" w:rsidP="00F94B48">
      <w:pPr>
        <w:spacing w:after="0" w:line="360" w:lineRule="auto"/>
        <w:jc w:val="both"/>
        <w:rPr>
          <w:rFonts w:ascii="Arial" w:eastAsia="Calibri" w:hAnsi="Arial" w:cs="Times New Roman"/>
          <w:sz w:val="28"/>
        </w:rPr>
      </w:pPr>
    </w:p>
    <w:p w14:paraId="0064114A"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Esto es, de acuerdo con el diseño constitucional, la imposibilidad de reducir la asignación de diputaciones obtenidas por mayoría relativa y la previsión de un tope de ocho por ciento, significa que no se busca que haya una proporcionalidad exacta entre el número de curules asignada a cada partido y la votación obtenida. </w:t>
      </w:r>
    </w:p>
    <w:p w14:paraId="19F7E66D" w14:textId="77777777" w:rsidR="00F94B48" w:rsidRPr="00F32542" w:rsidRDefault="00F94B48" w:rsidP="00F94B48">
      <w:pPr>
        <w:spacing w:after="0" w:line="360" w:lineRule="auto"/>
        <w:jc w:val="both"/>
        <w:rPr>
          <w:rFonts w:ascii="Arial" w:eastAsia="Calibri" w:hAnsi="Arial" w:cs="Times New Roman"/>
          <w:sz w:val="28"/>
        </w:rPr>
      </w:pPr>
    </w:p>
    <w:p w14:paraId="564FB352"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En cambio, el tope previsto en la Constitución Federal y la </w:t>
      </w:r>
      <w:r w:rsidRPr="00F32542">
        <w:rPr>
          <w:rFonts w:ascii="Arial" w:eastAsia="Calibri" w:hAnsi="Arial" w:cs="Times New Roman"/>
          <w:i/>
          <w:sz w:val="28"/>
        </w:rPr>
        <w:t>Constitución Local</w:t>
      </w:r>
      <w:r w:rsidRPr="00F32542">
        <w:rPr>
          <w:rFonts w:ascii="Arial" w:eastAsia="Calibri" w:hAnsi="Arial" w:cs="Times New Roman"/>
          <w:sz w:val="28"/>
        </w:rPr>
        <w:t xml:space="preserve"> busca generar un equilibrio entre la pluralidad política en el sistema de partidos y la gobernabilidad a la que pueden acceder los partidos mayoritarios; tal como lo consideró la </w:t>
      </w:r>
      <w:r w:rsidRPr="00F32542">
        <w:rPr>
          <w:rFonts w:ascii="Arial" w:eastAsia="Calibri" w:hAnsi="Arial" w:cs="Times New Roman"/>
          <w:i/>
          <w:sz w:val="28"/>
        </w:rPr>
        <w:t>Sala Superior</w:t>
      </w:r>
      <w:r w:rsidRPr="00F32542">
        <w:rPr>
          <w:rFonts w:ascii="Arial" w:eastAsia="Calibri" w:hAnsi="Arial" w:cs="Times New Roman"/>
          <w:sz w:val="28"/>
        </w:rPr>
        <w:t xml:space="preserve">, al resolver el recurso de apelación SUP-RAP-136/2021 y acumulado. </w:t>
      </w:r>
    </w:p>
    <w:p w14:paraId="4A9F432F" w14:textId="77777777" w:rsidR="00F94B48" w:rsidRPr="00F32542" w:rsidRDefault="00F94B48" w:rsidP="00F94B48">
      <w:pPr>
        <w:spacing w:after="0" w:line="360" w:lineRule="auto"/>
        <w:jc w:val="both"/>
        <w:rPr>
          <w:rFonts w:ascii="Arial" w:eastAsia="Calibri" w:hAnsi="Arial" w:cs="Times New Roman"/>
          <w:sz w:val="28"/>
        </w:rPr>
      </w:pPr>
    </w:p>
    <w:p w14:paraId="5AE151CA"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En ese sentido, es importante destacar que, al resolver el expediente </w:t>
      </w:r>
      <w:r w:rsidRPr="00F32542">
        <w:rPr>
          <w:rFonts w:ascii="Arial" w:eastAsia="Calibri" w:hAnsi="Arial" w:cs="Times New Roman"/>
          <w:b/>
          <w:bCs/>
          <w:sz w:val="28"/>
        </w:rPr>
        <w:t>SUP-REC-1629/2018</w:t>
      </w:r>
      <w:r w:rsidRPr="00F32542">
        <w:rPr>
          <w:rFonts w:ascii="Arial" w:eastAsia="Calibri" w:hAnsi="Arial" w:cs="Times New Roman"/>
          <w:sz w:val="28"/>
        </w:rPr>
        <w:t xml:space="preserve">, la </w:t>
      </w:r>
      <w:r w:rsidRPr="00F32542">
        <w:rPr>
          <w:rFonts w:ascii="Arial" w:eastAsia="Calibri" w:hAnsi="Arial" w:cs="Times New Roman"/>
          <w:i/>
          <w:sz w:val="28"/>
        </w:rPr>
        <w:t>Sala Superior</w:t>
      </w:r>
      <w:r w:rsidRPr="00F32542">
        <w:rPr>
          <w:rFonts w:ascii="Arial" w:eastAsia="Calibri" w:hAnsi="Arial" w:cs="Times New Roman"/>
          <w:sz w:val="28"/>
        </w:rPr>
        <w:t xml:space="preserve"> concluyó que: </w:t>
      </w:r>
      <w:r w:rsidRPr="00F32542">
        <w:rPr>
          <w:rFonts w:ascii="Arial" w:eastAsia="Calibri" w:hAnsi="Arial" w:cs="Times New Roman"/>
          <w:b/>
          <w:i/>
          <w:sz w:val="28"/>
        </w:rPr>
        <w:t>“no se advierte que haya mandato constitucional alguno que justifique la necesidad de adoptar ajustes adicionales en ninguna asignación de representación proporcional a nivel federal o local, más allá de los previstos en la propia legislación local y los necesarios para cumplir con los límites constitucional del 8% en sobre y subrepresentación”.</w:t>
      </w:r>
    </w:p>
    <w:p w14:paraId="110BABEB" w14:textId="77777777" w:rsidR="00F94B48" w:rsidRPr="00F32542" w:rsidRDefault="00F94B48" w:rsidP="00F94B48">
      <w:pPr>
        <w:spacing w:after="0" w:line="360" w:lineRule="auto"/>
        <w:jc w:val="both"/>
        <w:rPr>
          <w:rFonts w:ascii="Arial" w:eastAsia="Calibri" w:hAnsi="Arial" w:cs="Times New Roman"/>
          <w:sz w:val="28"/>
        </w:rPr>
      </w:pPr>
    </w:p>
    <w:p w14:paraId="07CF21AE" w14:textId="77777777" w:rsidR="00F94B48" w:rsidRPr="00F32542" w:rsidRDefault="00F94B48" w:rsidP="00F94B48">
      <w:pPr>
        <w:spacing w:after="0" w:line="360" w:lineRule="auto"/>
        <w:jc w:val="both"/>
        <w:rPr>
          <w:rFonts w:ascii="Arial" w:eastAsia="Calibri" w:hAnsi="Arial" w:cs="Arial"/>
          <w:i/>
          <w:sz w:val="28"/>
          <w:szCs w:val="28"/>
        </w:rPr>
      </w:pPr>
      <w:r w:rsidRPr="00F32542">
        <w:rPr>
          <w:rFonts w:ascii="Arial" w:eastAsia="Calibri" w:hAnsi="Arial" w:cs="Arial"/>
          <w:sz w:val="28"/>
          <w:szCs w:val="28"/>
        </w:rPr>
        <w:t xml:space="preserve">Por tanto, al existir criterio firme del máximo órgano de justicia electoral del país, en el sentido de la imposibilidad de hacer mayores ajustes a la asignación de representación proporcional, a </w:t>
      </w:r>
      <w:r w:rsidRPr="00F32542">
        <w:rPr>
          <w:rFonts w:ascii="Arial" w:eastAsia="Calibri" w:hAnsi="Arial" w:cs="Arial"/>
          <w:sz w:val="28"/>
          <w:szCs w:val="28"/>
        </w:rPr>
        <w:lastRenderedPageBreak/>
        <w:t xml:space="preserve">los establecidos constitucional y legalmente, no es atendible la pretensión de la </w:t>
      </w:r>
      <w:r w:rsidRPr="00F32542">
        <w:rPr>
          <w:rFonts w:ascii="Arial" w:eastAsia="Calibri" w:hAnsi="Arial" w:cs="Arial"/>
          <w:i/>
          <w:sz w:val="28"/>
          <w:szCs w:val="28"/>
        </w:rPr>
        <w:t xml:space="preserve">parte actora. </w:t>
      </w:r>
    </w:p>
    <w:p w14:paraId="304BB261" w14:textId="77777777" w:rsidR="00F94B48" w:rsidRPr="00F32542" w:rsidRDefault="00F94B48" w:rsidP="00F94B48">
      <w:pPr>
        <w:spacing w:after="0" w:line="360" w:lineRule="auto"/>
        <w:jc w:val="both"/>
        <w:rPr>
          <w:rFonts w:ascii="Arial" w:eastAsia="Calibri" w:hAnsi="Arial" w:cs="Arial"/>
          <w:i/>
          <w:sz w:val="28"/>
          <w:szCs w:val="28"/>
        </w:rPr>
      </w:pPr>
    </w:p>
    <w:p w14:paraId="6307067B"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Adicionalmente, cabe precisar que tanto la </w:t>
      </w:r>
      <w:r w:rsidRPr="00F32542">
        <w:rPr>
          <w:rFonts w:ascii="Arial" w:eastAsia="Calibri" w:hAnsi="Arial" w:cs="Times New Roman"/>
          <w:i/>
          <w:sz w:val="28"/>
        </w:rPr>
        <w:t>Suprema Corte</w:t>
      </w:r>
      <w:r w:rsidRPr="00F32542">
        <w:rPr>
          <w:rFonts w:ascii="Arial" w:eastAsia="Calibri" w:hAnsi="Arial" w:cs="Times New Roman"/>
          <w:sz w:val="28"/>
        </w:rPr>
        <w:t xml:space="preserve"> como la </w:t>
      </w:r>
      <w:r w:rsidRPr="00F32542">
        <w:rPr>
          <w:rFonts w:ascii="Arial" w:eastAsia="Calibri" w:hAnsi="Arial" w:cs="Times New Roman"/>
          <w:i/>
          <w:sz w:val="28"/>
        </w:rPr>
        <w:t>Sala Superior</w:t>
      </w:r>
      <w:r w:rsidRPr="00F32542">
        <w:rPr>
          <w:rFonts w:ascii="Arial" w:eastAsia="Calibri" w:hAnsi="Arial" w:cs="Times New Roman"/>
          <w:sz w:val="28"/>
          <w:vertAlign w:val="superscript"/>
        </w:rPr>
        <w:footnoteReference w:id="60"/>
      </w:r>
      <w:r w:rsidRPr="00F32542">
        <w:rPr>
          <w:rFonts w:ascii="Arial" w:eastAsia="Calibri" w:hAnsi="Arial" w:cs="Times New Roman"/>
          <w:sz w:val="28"/>
        </w:rPr>
        <w:t xml:space="preserve"> han considerado</w:t>
      </w:r>
      <w:r w:rsidR="00581D8F" w:rsidRPr="00F32542">
        <w:rPr>
          <w:rFonts w:ascii="Arial" w:eastAsia="Calibri" w:hAnsi="Arial" w:cs="Times New Roman"/>
          <w:sz w:val="28"/>
        </w:rPr>
        <w:t xml:space="preserve"> que los límites de sobre y sub</w:t>
      </w:r>
      <w:r w:rsidR="00A310C4" w:rsidRPr="00F32542">
        <w:rPr>
          <w:rFonts w:ascii="Arial" w:eastAsia="Calibri" w:hAnsi="Arial" w:cs="Times New Roman"/>
          <w:sz w:val="28"/>
        </w:rPr>
        <w:t>r</w:t>
      </w:r>
      <w:r w:rsidRPr="00F32542">
        <w:rPr>
          <w:rFonts w:ascii="Arial" w:eastAsia="Calibri" w:hAnsi="Arial" w:cs="Times New Roman"/>
          <w:sz w:val="28"/>
        </w:rPr>
        <w:t xml:space="preserve">epresentación tienen como finalidad garantizar la representatividad y pluralidad en la integración del órgano legislativo, ya que, mediante las limitantes señaladas, se permite que formen parte de la integración del órgano legislativo las personas candidatas postuladas por partidos minoritarios y se impide, a su vez, que los partidos dominantes alcancen un alto grado de </w:t>
      </w:r>
      <w:proofErr w:type="spellStart"/>
      <w:r w:rsidRPr="00F32542">
        <w:rPr>
          <w:rFonts w:ascii="Arial" w:eastAsia="Calibri" w:hAnsi="Arial" w:cs="Times New Roman"/>
          <w:sz w:val="28"/>
        </w:rPr>
        <w:t>sobrerepresentación</w:t>
      </w:r>
      <w:proofErr w:type="spellEnd"/>
      <w:r w:rsidRPr="00F32542">
        <w:rPr>
          <w:rFonts w:ascii="Arial" w:eastAsia="Calibri" w:hAnsi="Arial" w:cs="Times New Roman"/>
          <w:sz w:val="28"/>
        </w:rPr>
        <w:t>.</w:t>
      </w:r>
    </w:p>
    <w:p w14:paraId="1F909552" w14:textId="77777777" w:rsidR="00F94B48" w:rsidRPr="00F32542" w:rsidRDefault="00F94B48" w:rsidP="00F94B48">
      <w:pPr>
        <w:spacing w:after="0" w:line="360" w:lineRule="auto"/>
        <w:jc w:val="both"/>
        <w:rPr>
          <w:rFonts w:ascii="Arial" w:eastAsia="Calibri" w:hAnsi="Arial" w:cs="Times New Roman"/>
          <w:sz w:val="28"/>
        </w:rPr>
      </w:pPr>
    </w:p>
    <w:p w14:paraId="08BD2F34"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Siendo que, en el caso, el </w:t>
      </w:r>
      <w:r w:rsidRPr="00F32542">
        <w:rPr>
          <w:rFonts w:ascii="Arial" w:eastAsia="Calibri" w:hAnsi="Arial" w:cs="Times New Roman"/>
          <w:i/>
          <w:sz w:val="28"/>
        </w:rPr>
        <w:t>PRI</w:t>
      </w:r>
      <w:r w:rsidRPr="00F32542">
        <w:rPr>
          <w:rFonts w:ascii="Arial" w:eastAsia="Calibri" w:hAnsi="Arial" w:cs="Times New Roman"/>
          <w:sz w:val="28"/>
        </w:rPr>
        <w:t xml:space="preserve"> contará con representación política en el </w:t>
      </w:r>
      <w:r w:rsidRPr="00F32542">
        <w:rPr>
          <w:rFonts w:ascii="Arial" w:eastAsia="Calibri" w:hAnsi="Arial" w:cs="Times New Roman"/>
          <w:i/>
          <w:sz w:val="28"/>
        </w:rPr>
        <w:t>Congreso</w:t>
      </w:r>
      <w:r w:rsidRPr="00F32542">
        <w:rPr>
          <w:rFonts w:ascii="Arial" w:eastAsia="Calibri" w:hAnsi="Arial" w:cs="Times New Roman"/>
          <w:sz w:val="28"/>
        </w:rPr>
        <w:t>, al haber obtenido un total de nueve diputaciones (cuatro de mayoría relativa y cinco de representación proporcional), sin que se encuentre sobre o subrepresentado, de manera que, al tener representatividad, se garantiza el pluralismo político en la conformación del órgano legislativo.</w:t>
      </w:r>
    </w:p>
    <w:p w14:paraId="5CC88B25" w14:textId="77777777" w:rsidR="00F94B48" w:rsidRPr="00F32542" w:rsidRDefault="00F94B48" w:rsidP="00F94B48">
      <w:pPr>
        <w:spacing w:after="0" w:line="360" w:lineRule="auto"/>
        <w:jc w:val="both"/>
        <w:rPr>
          <w:rFonts w:ascii="Arial" w:eastAsia="Calibri" w:hAnsi="Arial" w:cs="Times New Roman"/>
          <w:sz w:val="28"/>
        </w:rPr>
      </w:pPr>
    </w:p>
    <w:p w14:paraId="148EFF8F" w14:textId="77777777" w:rsidR="00F94B48" w:rsidRPr="00F32542" w:rsidRDefault="00A310C4" w:rsidP="00A310C4">
      <w:pPr>
        <w:spacing w:after="0" w:line="360" w:lineRule="auto"/>
        <w:contextualSpacing/>
        <w:jc w:val="both"/>
        <w:rPr>
          <w:rFonts w:ascii="Arial" w:eastAsia="Calibri" w:hAnsi="Arial" w:cs="Arial"/>
          <w:b/>
          <w:sz w:val="28"/>
          <w:szCs w:val="28"/>
        </w:rPr>
      </w:pPr>
      <w:r w:rsidRPr="00F32542">
        <w:rPr>
          <w:rFonts w:ascii="Arial" w:eastAsia="Times New Roman" w:hAnsi="Arial" w:cs="Arial"/>
          <w:b/>
          <w:sz w:val="28"/>
          <w:szCs w:val="28"/>
          <w:lang w:eastAsia="es-MX"/>
        </w:rPr>
        <w:t xml:space="preserve">3. </w:t>
      </w:r>
      <w:r w:rsidR="00F94B48" w:rsidRPr="00F32542">
        <w:rPr>
          <w:rFonts w:ascii="Arial" w:eastAsia="Times New Roman" w:hAnsi="Arial" w:cs="Arial"/>
          <w:b/>
          <w:sz w:val="28"/>
          <w:szCs w:val="28"/>
          <w:lang w:eastAsia="es-MX"/>
        </w:rPr>
        <w:t>Sobrer</w:t>
      </w:r>
      <w:r w:rsidRPr="00F32542">
        <w:rPr>
          <w:rFonts w:ascii="Arial" w:eastAsia="Times New Roman" w:hAnsi="Arial" w:cs="Arial"/>
          <w:b/>
          <w:sz w:val="28"/>
          <w:szCs w:val="28"/>
          <w:lang w:eastAsia="es-MX"/>
        </w:rPr>
        <w:t>r</w:t>
      </w:r>
      <w:r w:rsidR="00F94B48" w:rsidRPr="00F32542">
        <w:rPr>
          <w:rFonts w:ascii="Arial" w:eastAsia="Times New Roman" w:hAnsi="Arial" w:cs="Arial"/>
          <w:b/>
          <w:sz w:val="28"/>
          <w:szCs w:val="28"/>
          <w:lang w:eastAsia="es-MX"/>
        </w:rPr>
        <w:t>epresentación y subrepresentación por género</w:t>
      </w:r>
    </w:p>
    <w:p w14:paraId="4CEEC0C1" w14:textId="77777777" w:rsidR="00F94B48" w:rsidRPr="00F32542" w:rsidRDefault="00F94B48" w:rsidP="00F94B48">
      <w:pPr>
        <w:spacing w:after="0" w:line="360" w:lineRule="auto"/>
        <w:jc w:val="both"/>
        <w:rPr>
          <w:rFonts w:ascii="Arial" w:eastAsia="Calibri" w:hAnsi="Arial" w:cs="Arial"/>
          <w:b/>
          <w:sz w:val="28"/>
          <w:szCs w:val="28"/>
        </w:rPr>
      </w:pPr>
    </w:p>
    <w:p w14:paraId="7E65819A" w14:textId="77777777" w:rsidR="00F94B48" w:rsidRPr="00F32542" w:rsidRDefault="00F94B48" w:rsidP="00F94B48">
      <w:pPr>
        <w:spacing w:after="0" w:line="360" w:lineRule="auto"/>
        <w:jc w:val="both"/>
        <w:rPr>
          <w:rFonts w:ascii="Arial" w:eastAsia="Calibri" w:hAnsi="Arial" w:cs="Arial"/>
          <w:b/>
          <w:sz w:val="28"/>
          <w:szCs w:val="28"/>
        </w:rPr>
      </w:pPr>
      <w:r w:rsidRPr="00F32542">
        <w:rPr>
          <w:rFonts w:ascii="Arial" w:eastAsia="Calibri" w:hAnsi="Arial" w:cs="Arial"/>
          <w:b/>
          <w:sz w:val="28"/>
          <w:szCs w:val="28"/>
        </w:rPr>
        <w:t xml:space="preserve">TECDMX-JLDC-90/2021 (Alejandro Argüelles </w:t>
      </w:r>
      <w:proofErr w:type="spellStart"/>
      <w:r w:rsidRPr="00F32542">
        <w:rPr>
          <w:rFonts w:ascii="Arial" w:eastAsia="Calibri" w:hAnsi="Arial" w:cs="Arial"/>
          <w:b/>
          <w:sz w:val="28"/>
          <w:szCs w:val="28"/>
        </w:rPr>
        <w:t>Almontes</w:t>
      </w:r>
      <w:proofErr w:type="spellEnd"/>
      <w:r w:rsidRPr="00F32542">
        <w:rPr>
          <w:rFonts w:ascii="Arial" w:eastAsia="Calibri" w:hAnsi="Arial" w:cs="Arial"/>
          <w:b/>
          <w:sz w:val="28"/>
          <w:szCs w:val="28"/>
        </w:rPr>
        <w:t>)</w:t>
      </w:r>
    </w:p>
    <w:p w14:paraId="1729FAD1" w14:textId="77777777" w:rsidR="00F94B48" w:rsidRPr="00F32542" w:rsidRDefault="00F94B48" w:rsidP="00F94B48">
      <w:pPr>
        <w:spacing w:after="0" w:line="360" w:lineRule="auto"/>
        <w:jc w:val="both"/>
        <w:rPr>
          <w:rFonts w:ascii="Arial" w:eastAsia="Calibri" w:hAnsi="Arial" w:cs="Arial"/>
          <w:b/>
          <w:sz w:val="28"/>
          <w:szCs w:val="28"/>
        </w:rPr>
      </w:pPr>
    </w:p>
    <w:p w14:paraId="4087DFCB"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Sostiene que no se observó el procedimiento previsto en el </w:t>
      </w:r>
      <w:r w:rsidRPr="00F32542">
        <w:rPr>
          <w:rFonts w:ascii="Arial" w:eastAsia="Calibri" w:hAnsi="Arial" w:cs="Arial"/>
          <w:i/>
          <w:sz w:val="28"/>
          <w:szCs w:val="28"/>
        </w:rPr>
        <w:t>Código Electoral</w:t>
      </w:r>
      <w:r w:rsidRPr="00F32542">
        <w:rPr>
          <w:rFonts w:ascii="Arial" w:eastAsia="Calibri" w:hAnsi="Arial" w:cs="Arial"/>
          <w:sz w:val="28"/>
          <w:szCs w:val="28"/>
        </w:rPr>
        <w:t xml:space="preserve"> para compensar la sobre</w:t>
      </w:r>
      <w:r w:rsidR="00A310C4" w:rsidRPr="00F32542">
        <w:rPr>
          <w:rFonts w:ascii="Arial" w:eastAsia="Calibri" w:hAnsi="Arial" w:cs="Arial"/>
          <w:sz w:val="28"/>
          <w:szCs w:val="28"/>
        </w:rPr>
        <w:t>r</w:t>
      </w:r>
      <w:r w:rsidRPr="00F32542">
        <w:rPr>
          <w:rFonts w:ascii="Arial" w:eastAsia="Calibri" w:hAnsi="Arial" w:cs="Arial"/>
          <w:sz w:val="28"/>
          <w:szCs w:val="28"/>
        </w:rPr>
        <w:t xml:space="preserve">representación de un género y lograr una integración paritaria con lo que la responsable dejó de aplicar el artículo 29, apartado A, numeral 3, de la </w:t>
      </w:r>
      <w:r w:rsidRPr="00F32542">
        <w:rPr>
          <w:rFonts w:ascii="Arial" w:eastAsia="Calibri" w:hAnsi="Arial" w:cs="Arial"/>
          <w:i/>
          <w:sz w:val="28"/>
          <w:szCs w:val="28"/>
        </w:rPr>
        <w:t xml:space="preserve">Constitución </w:t>
      </w:r>
      <w:r w:rsidRPr="00F32542">
        <w:rPr>
          <w:rFonts w:ascii="Arial" w:eastAsia="Calibri" w:hAnsi="Arial" w:cs="Arial"/>
          <w:i/>
          <w:sz w:val="28"/>
          <w:szCs w:val="28"/>
        </w:rPr>
        <w:lastRenderedPageBreak/>
        <w:t>local</w:t>
      </w:r>
      <w:r w:rsidRPr="00F32542">
        <w:rPr>
          <w:rFonts w:ascii="Arial" w:eastAsia="Calibri" w:hAnsi="Arial" w:cs="Arial"/>
          <w:sz w:val="28"/>
          <w:szCs w:val="28"/>
        </w:rPr>
        <w:t xml:space="preserve">, sin fundar ni motivar el </w:t>
      </w:r>
      <w:proofErr w:type="spellStart"/>
      <w:r w:rsidRPr="00F32542">
        <w:rPr>
          <w:rFonts w:ascii="Arial" w:eastAsia="Calibri" w:hAnsi="Arial" w:cs="Arial"/>
          <w:sz w:val="28"/>
          <w:szCs w:val="28"/>
        </w:rPr>
        <w:t>por qué</w:t>
      </w:r>
      <w:proofErr w:type="spellEnd"/>
      <w:r w:rsidRPr="00F32542">
        <w:rPr>
          <w:rFonts w:ascii="Arial" w:eastAsia="Calibri" w:hAnsi="Arial" w:cs="Arial"/>
          <w:sz w:val="28"/>
          <w:szCs w:val="28"/>
        </w:rPr>
        <w:t xml:space="preserve"> de esa decisión, pues se limitó a señalar que la compensación no se realizaría conforme al artículo 15, inciso f), de los </w:t>
      </w:r>
      <w:r w:rsidRPr="00F32542">
        <w:rPr>
          <w:rFonts w:ascii="Arial" w:eastAsia="Calibri" w:hAnsi="Arial" w:cs="Arial"/>
          <w:i/>
          <w:sz w:val="28"/>
          <w:szCs w:val="28"/>
        </w:rPr>
        <w:t>Lineamientos para la asignación</w:t>
      </w:r>
      <w:r w:rsidRPr="00F32542">
        <w:rPr>
          <w:rFonts w:ascii="Arial" w:eastAsia="Calibri" w:hAnsi="Arial" w:cs="Arial"/>
          <w:sz w:val="28"/>
          <w:szCs w:val="28"/>
        </w:rPr>
        <w:t>, por lo que infringió el principio de supremacía constitucional.</w:t>
      </w:r>
    </w:p>
    <w:p w14:paraId="37A14D9B" w14:textId="77777777" w:rsidR="00F94B48" w:rsidRPr="00F32542" w:rsidRDefault="00F94B48" w:rsidP="00F94B48">
      <w:pPr>
        <w:spacing w:after="0" w:line="360" w:lineRule="auto"/>
        <w:jc w:val="both"/>
        <w:rPr>
          <w:rFonts w:ascii="Arial" w:eastAsia="Calibri" w:hAnsi="Arial" w:cs="Arial"/>
          <w:sz w:val="28"/>
          <w:szCs w:val="28"/>
        </w:rPr>
      </w:pPr>
    </w:p>
    <w:p w14:paraId="422B0B80" w14:textId="77777777" w:rsidR="00F94B48" w:rsidRPr="00F32542" w:rsidRDefault="00F94B48" w:rsidP="00F94B48">
      <w:pPr>
        <w:spacing w:after="0" w:line="360" w:lineRule="auto"/>
        <w:jc w:val="both"/>
        <w:rPr>
          <w:rFonts w:ascii="Arial" w:eastAsia="Calibri" w:hAnsi="Arial" w:cs="Arial"/>
          <w:b/>
          <w:sz w:val="28"/>
          <w:szCs w:val="28"/>
        </w:rPr>
      </w:pPr>
      <w:r w:rsidRPr="00F32542">
        <w:rPr>
          <w:rFonts w:ascii="Arial" w:eastAsia="Calibri" w:hAnsi="Arial" w:cs="Arial"/>
          <w:b/>
          <w:sz w:val="28"/>
          <w:szCs w:val="28"/>
        </w:rPr>
        <w:t>TECDMX-JLDC 91/2021 (</w:t>
      </w:r>
      <w:proofErr w:type="spellStart"/>
      <w:r w:rsidRPr="00F32542">
        <w:rPr>
          <w:rFonts w:ascii="Arial" w:eastAsia="Calibri" w:hAnsi="Arial" w:cs="Arial"/>
          <w:b/>
          <w:sz w:val="28"/>
          <w:szCs w:val="28"/>
        </w:rPr>
        <w:t>Nury</w:t>
      </w:r>
      <w:proofErr w:type="spellEnd"/>
      <w:r w:rsidRPr="00F32542">
        <w:rPr>
          <w:rFonts w:ascii="Arial" w:eastAsia="Calibri" w:hAnsi="Arial" w:cs="Arial"/>
          <w:b/>
          <w:sz w:val="28"/>
          <w:szCs w:val="28"/>
        </w:rPr>
        <w:t xml:space="preserve"> Delia Ruiz Ovando)</w:t>
      </w:r>
    </w:p>
    <w:p w14:paraId="0864FF53" w14:textId="77777777" w:rsidR="00F94B48" w:rsidRPr="00F32542" w:rsidRDefault="00F94B48" w:rsidP="00F94B48">
      <w:pPr>
        <w:spacing w:after="0" w:line="360" w:lineRule="auto"/>
        <w:jc w:val="both"/>
        <w:rPr>
          <w:rFonts w:ascii="Arial" w:eastAsia="Calibri" w:hAnsi="Arial" w:cs="Arial"/>
          <w:b/>
          <w:sz w:val="28"/>
          <w:szCs w:val="28"/>
        </w:rPr>
      </w:pPr>
    </w:p>
    <w:p w14:paraId="25A3D41E"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La </w:t>
      </w:r>
      <w:r w:rsidRPr="00F32542">
        <w:rPr>
          <w:rFonts w:ascii="Arial" w:eastAsia="Calibri" w:hAnsi="Arial" w:cs="Arial"/>
          <w:i/>
          <w:sz w:val="28"/>
          <w:szCs w:val="28"/>
        </w:rPr>
        <w:t xml:space="preserve">actora </w:t>
      </w:r>
      <w:r w:rsidRPr="00F32542">
        <w:rPr>
          <w:rFonts w:ascii="Arial" w:eastAsia="Calibri" w:hAnsi="Arial" w:cs="Arial"/>
          <w:sz w:val="28"/>
          <w:szCs w:val="28"/>
        </w:rPr>
        <w:t xml:space="preserve">sostiene que </w:t>
      </w:r>
      <w:r w:rsidRPr="00F32542">
        <w:rPr>
          <w:rFonts w:ascii="Arial" w:eastAsia="Calibri" w:hAnsi="Arial" w:cs="Arial"/>
          <w:i/>
          <w:sz w:val="28"/>
          <w:szCs w:val="28"/>
        </w:rPr>
        <w:t>autoridad responsable</w:t>
      </w:r>
      <w:r w:rsidRPr="00F32542">
        <w:rPr>
          <w:rFonts w:ascii="Arial" w:eastAsia="Calibri" w:hAnsi="Arial" w:cs="Arial"/>
          <w:sz w:val="28"/>
          <w:szCs w:val="28"/>
        </w:rPr>
        <w:t xml:space="preserve"> no observó que la asignación de diputaciones no fue paritaria pues correspondieron más a hombres, incluso, a los tres partidos de menor votación se les asignaron sólo diputaciones con fórmulas integradas por hombres, por lo que las mujeres quedan subrepresentadas, a pesar de que se debe preferir la asignación a fórmulas integradas por mujeres para garantizar la paridad. No obsta la integración final del Congreso con treinta y cuatro mujeres y treinta y dos hombres, porque ello obedeció a los triunfos de mujeres en mayoría relativa.</w:t>
      </w:r>
    </w:p>
    <w:p w14:paraId="190D48E2" w14:textId="77777777" w:rsidR="00F94B48" w:rsidRPr="00F32542" w:rsidRDefault="00F94B48" w:rsidP="00F94B48">
      <w:pPr>
        <w:spacing w:after="0" w:line="360" w:lineRule="auto"/>
        <w:jc w:val="both"/>
        <w:rPr>
          <w:rFonts w:ascii="Arial" w:eastAsia="Calibri" w:hAnsi="Arial" w:cs="Arial"/>
          <w:sz w:val="28"/>
          <w:szCs w:val="28"/>
        </w:rPr>
      </w:pPr>
    </w:p>
    <w:p w14:paraId="2DB1D29B"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La integración que realizó el </w:t>
      </w:r>
      <w:r w:rsidRPr="00F32542">
        <w:rPr>
          <w:rFonts w:ascii="Arial" w:eastAsia="Calibri" w:hAnsi="Arial" w:cs="Arial"/>
          <w:i/>
          <w:sz w:val="28"/>
          <w:szCs w:val="28"/>
        </w:rPr>
        <w:t>Consejo General</w:t>
      </w:r>
      <w:r w:rsidRPr="00F32542">
        <w:rPr>
          <w:rFonts w:ascii="Arial" w:eastAsia="Calibri" w:hAnsi="Arial" w:cs="Arial"/>
          <w:sz w:val="28"/>
          <w:szCs w:val="28"/>
        </w:rPr>
        <w:t xml:space="preserve"> desfavorece a las mujeres, pues no se cumple la paridad real, por lo que deben deducirse las diputaciones extras otorgadas a hombres y sustituirlas por fórmulas de mujeres. </w:t>
      </w:r>
    </w:p>
    <w:p w14:paraId="19E9493F" w14:textId="77777777" w:rsidR="00F94B48" w:rsidRPr="00F32542" w:rsidRDefault="00F94B48" w:rsidP="00F94B48">
      <w:pPr>
        <w:spacing w:after="0" w:line="360" w:lineRule="auto"/>
        <w:jc w:val="both"/>
        <w:rPr>
          <w:rFonts w:ascii="Arial" w:eastAsia="Calibri" w:hAnsi="Arial" w:cs="Arial"/>
          <w:b/>
          <w:sz w:val="28"/>
          <w:szCs w:val="28"/>
        </w:rPr>
      </w:pPr>
    </w:p>
    <w:p w14:paraId="25ABAD8F" w14:textId="77777777" w:rsidR="00F94B48" w:rsidRPr="00F32542" w:rsidRDefault="00F94B48" w:rsidP="00F94B48">
      <w:pPr>
        <w:spacing w:after="0" w:line="360" w:lineRule="auto"/>
        <w:jc w:val="both"/>
        <w:rPr>
          <w:rFonts w:ascii="Arial" w:eastAsia="Calibri" w:hAnsi="Arial" w:cs="Arial"/>
          <w:b/>
          <w:sz w:val="28"/>
          <w:szCs w:val="28"/>
        </w:rPr>
      </w:pPr>
      <w:r w:rsidRPr="00F32542">
        <w:rPr>
          <w:rFonts w:ascii="Arial" w:eastAsia="Calibri" w:hAnsi="Arial" w:cs="Arial"/>
          <w:b/>
          <w:sz w:val="28"/>
          <w:szCs w:val="28"/>
        </w:rPr>
        <w:t>TECDMX-JLDC-93/2021 (Lucía Alejandra Puente García)</w:t>
      </w:r>
    </w:p>
    <w:p w14:paraId="462E1F37" w14:textId="77777777" w:rsidR="00F94B48" w:rsidRPr="00F32542" w:rsidRDefault="00F94B48" w:rsidP="00F94B48">
      <w:pPr>
        <w:spacing w:after="0" w:line="360" w:lineRule="auto"/>
        <w:jc w:val="both"/>
        <w:rPr>
          <w:rFonts w:ascii="Arial" w:eastAsia="Calibri" w:hAnsi="Arial" w:cs="Arial"/>
          <w:color w:val="FF0000"/>
          <w:sz w:val="28"/>
          <w:szCs w:val="28"/>
        </w:rPr>
      </w:pPr>
    </w:p>
    <w:p w14:paraId="727059C5"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Aduce que debe aplicarse el criterio de la jurisprudencia </w:t>
      </w:r>
      <w:r w:rsidRPr="00F32542">
        <w:rPr>
          <w:rFonts w:ascii="Arial" w:eastAsia="Calibri" w:hAnsi="Arial" w:cs="Arial"/>
          <w:b/>
          <w:sz w:val="28"/>
          <w:szCs w:val="28"/>
        </w:rPr>
        <w:t>36/2015</w:t>
      </w:r>
      <w:r w:rsidRPr="00F32542">
        <w:rPr>
          <w:rFonts w:ascii="Arial" w:eastAsia="Calibri" w:hAnsi="Arial" w:cs="Arial"/>
          <w:sz w:val="28"/>
          <w:szCs w:val="28"/>
        </w:rPr>
        <w:t xml:space="preserve">, según la cual, si un género queda subrepresentado, pueden tomarse medidas tendentes a la paridad siempre que no se afecten otros principios; lo anterior, porque al favorecer al hombre en el primer lugar de la lista A de </w:t>
      </w:r>
      <w:r w:rsidRPr="00F32542">
        <w:rPr>
          <w:rFonts w:ascii="Arial" w:eastAsia="Calibri" w:hAnsi="Arial" w:cs="Arial"/>
          <w:i/>
          <w:sz w:val="28"/>
          <w:szCs w:val="28"/>
        </w:rPr>
        <w:t>MC</w:t>
      </w:r>
      <w:r w:rsidRPr="00F32542">
        <w:rPr>
          <w:rFonts w:ascii="Arial" w:eastAsia="Calibri" w:hAnsi="Arial" w:cs="Arial"/>
          <w:sz w:val="28"/>
          <w:szCs w:val="28"/>
        </w:rPr>
        <w:t xml:space="preserve">, no se provoca la </w:t>
      </w:r>
      <w:r w:rsidRPr="00F32542">
        <w:rPr>
          <w:rFonts w:ascii="Arial" w:eastAsia="Calibri" w:hAnsi="Arial" w:cs="Arial"/>
          <w:sz w:val="28"/>
          <w:szCs w:val="28"/>
        </w:rPr>
        <w:lastRenderedPageBreak/>
        <w:t>subrepresentación de mujeres, sino que su representación se hace inexistente.</w:t>
      </w:r>
    </w:p>
    <w:p w14:paraId="5B30BDC5" w14:textId="77777777" w:rsidR="00F94B48" w:rsidRPr="00F32542" w:rsidRDefault="00F94B48" w:rsidP="00F94B48">
      <w:pPr>
        <w:spacing w:after="0" w:line="360" w:lineRule="auto"/>
        <w:jc w:val="both"/>
        <w:rPr>
          <w:rFonts w:ascii="Arial" w:eastAsia="Calibri" w:hAnsi="Arial" w:cs="Arial"/>
          <w:color w:val="FF0000"/>
          <w:sz w:val="28"/>
          <w:szCs w:val="28"/>
        </w:rPr>
      </w:pPr>
    </w:p>
    <w:p w14:paraId="77ED1B49" w14:textId="77777777" w:rsidR="00F94B48" w:rsidRPr="00F32542" w:rsidRDefault="00F94B48" w:rsidP="00F94B48">
      <w:pPr>
        <w:spacing w:after="0" w:line="360" w:lineRule="auto"/>
        <w:jc w:val="both"/>
        <w:rPr>
          <w:rFonts w:ascii="Arial" w:eastAsia="Calibri" w:hAnsi="Arial" w:cs="Arial"/>
          <w:b/>
          <w:sz w:val="28"/>
          <w:szCs w:val="28"/>
        </w:rPr>
      </w:pPr>
      <w:r w:rsidRPr="00F32542">
        <w:rPr>
          <w:rFonts w:ascii="Arial" w:eastAsia="Calibri" w:hAnsi="Arial" w:cs="Arial"/>
          <w:b/>
          <w:sz w:val="28"/>
          <w:szCs w:val="28"/>
        </w:rPr>
        <w:t>TECDMX-JLDC-94/2021 (Alberto Abraham Melo Torres)</w:t>
      </w:r>
    </w:p>
    <w:p w14:paraId="5E3CAEDD" w14:textId="77777777" w:rsidR="00F94B48" w:rsidRPr="00F32542" w:rsidRDefault="00F94B48" w:rsidP="00F94B48">
      <w:pPr>
        <w:spacing w:after="0" w:line="360" w:lineRule="auto"/>
        <w:jc w:val="both"/>
        <w:rPr>
          <w:rFonts w:ascii="Arial" w:eastAsia="Calibri" w:hAnsi="Arial" w:cs="Arial"/>
          <w:b/>
          <w:sz w:val="28"/>
          <w:szCs w:val="28"/>
        </w:rPr>
      </w:pPr>
    </w:p>
    <w:p w14:paraId="590D2B20"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El </w:t>
      </w:r>
      <w:r w:rsidRPr="00F32542">
        <w:rPr>
          <w:rFonts w:ascii="Arial" w:eastAsia="Calibri" w:hAnsi="Arial" w:cs="Arial"/>
          <w:i/>
          <w:sz w:val="28"/>
          <w:szCs w:val="28"/>
        </w:rPr>
        <w:t>Consejo General</w:t>
      </w:r>
      <w:r w:rsidRPr="00F32542">
        <w:rPr>
          <w:rFonts w:ascii="Arial" w:eastAsia="Calibri" w:hAnsi="Arial" w:cs="Arial"/>
          <w:sz w:val="28"/>
          <w:szCs w:val="28"/>
        </w:rPr>
        <w:t xml:space="preserve"> se abstuvo de aplicar el principio de “</w:t>
      </w:r>
      <w:r w:rsidRPr="00F32542">
        <w:rPr>
          <w:rFonts w:ascii="Arial" w:eastAsia="Calibri" w:hAnsi="Arial" w:cs="Arial"/>
          <w:i/>
          <w:sz w:val="28"/>
          <w:szCs w:val="28"/>
        </w:rPr>
        <w:t>paridad en todo</w:t>
      </w:r>
      <w:r w:rsidRPr="00F32542">
        <w:rPr>
          <w:rFonts w:ascii="Arial" w:eastAsia="Calibri" w:hAnsi="Arial" w:cs="Arial"/>
          <w:sz w:val="28"/>
          <w:szCs w:val="28"/>
        </w:rPr>
        <w:t>”, establecido a nivel constitucional y desarrollado en la normativa local, dejando de compensar la sobrer</w:t>
      </w:r>
      <w:r w:rsidR="00B44446" w:rsidRPr="00F32542">
        <w:rPr>
          <w:rFonts w:ascii="Arial" w:eastAsia="Calibri" w:hAnsi="Arial" w:cs="Arial"/>
          <w:sz w:val="28"/>
          <w:szCs w:val="28"/>
        </w:rPr>
        <w:t>r</w:t>
      </w:r>
      <w:r w:rsidRPr="00F32542">
        <w:rPr>
          <w:rFonts w:ascii="Arial" w:eastAsia="Calibri" w:hAnsi="Arial" w:cs="Arial"/>
          <w:sz w:val="28"/>
          <w:szCs w:val="28"/>
        </w:rPr>
        <w:t xml:space="preserve">epresentación de mujeres con treinta y cuatro fórmulas frente a treinta y dos de hombres, sin fundar ni motivar las razones de esa omisión; por ello, la responsable desatendió un mandato constitucional, y sólo señaló que ese procedimiento no se realizaría de conformidad con el artículo 15, fracción f), de los </w:t>
      </w:r>
      <w:r w:rsidRPr="00F32542">
        <w:rPr>
          <w:rFonts w:ascii="Arial" w:eastAsia="Calibri" w:hAnsi="Arial" w:cs="Arial"/>
          <w:i/>
          <w:sz w:val="28"/>
          <w:szCs w:val="28"/>
        </w:rPr>
        <w:t>Lineamientos para la asignación</w:t>
      </w:r>
      <w:r w:rsidRPr="00F32542">
        <w:rPr>
          <w:rFonts w:ascii="Arial" w:eastAsia="Calibri" w:hAnsi="Arial" w:cs="Arial"/>
          <w:sz w:val="28"/>
          <w:szCs w:val="28"/>
        </w:rPr>
        <w:t>.</w:t>
      </w:r>
    </w:p>
    <w:p w14:paraId="693C5878" w14:textId="77777777" w:rsidR="00F94B48" w:rsidRPr="00F32542" w:rsidRDefault="00F94B48" w:rsidP="00F94B48">
      <w:pPr>
        <w:spacing w:after="0" w:line="360" w:lineRule="auto"/>
        <w:jc w:val="both"/>
        <w:rPr>
          <w:rFonts w:ascii="Arial" w:eastAsia="Calibri" w:hAnsi="Arial" w:cs="Arial"/>
          <w:sz w:val="28"/>
          <w:szCs w:val="28"/>
        </w:rPr>
      </w:pPr>
    </w:p>
    <w:p w14:paraId="4B1AD85F" w14:textId="77777777" w:rsidR="00F94B48" w:rsidRPr="00F32542" w:rsidRDefault="00F94B48" w:rsidP="00F94B48">
      <w:pPr>
        <w:spacing w:after="0" w:line="360" w:lineRule="auto"/>
        <w:rPr>
          <w:rFonts w:ascii="Arial" w:eastAsia="Calibri" w:hAnsi="Arial" w:cs="Arial"/>
          <w:b/>
          <w:sz w:val="28"/>
          <w:szCs w:val="28"/>
          <w:lang w:val="es-ES"/>
        </w:rPr>
      </w:pPr>
      <w:r w:rsidRPr="00F32542">
        <w:rPr>
          <w:rFonts w:ascii="Arial" w:eastAsia="Calibri" w:hAnsi="Arial" w:cs="Arial"/>
          <w:b/>
          <w:sz w:val="28"/>
          <w:szCs w:val="28"/>
        </w:rPr>
        <w:t>TECDMX-</w:t>
      </w:r>
      <w:r w:rsidRPr="00F32542">
        <w:rPr>
          <w:rFonts w:ascii="Arial" w:eastAsia="Calibri" w:hAnsi="Arial" w:cs="Arial"/>
          <w:b/>
          <w:sz w:val="28"/>
          <w:szCs w:val="28"/>
          <w:lang w:val="es-ES"/>
        </w:rPr>
        <w:t>JLDC-102/2021 (Guillermo Sánchez Torres)</w:t>
      </w:r>
    </w:p>
    <w:p w14:paraId="5FEB9A1D" w14:textId="77777777" w:rsidR="00F94B48" w:rsidRPr="00F32542" w:rsidRDefault="00F94B48" w:rsidP="00F94B48">
      <w:pPr>
        <w:spacing w:after="0" w:line="360" w:lineRule="auto"/>
        <w:rPr>
          <w:rFonts w:ascii="Arial" w:eastAsia="Calibri" w:hAnsi="Arial" w:cs="Arial"/>
          <w:b/>
          <w:sz w:val="28"/>
          <w:szCs w:val="28"/>
          <w:lang w:val="es-ES"/>
        </w:rPr>
      </w:pPr>
    </w:p>
    <w:p w14:paraId="6C843010" w14:textId="77777777" w:rsidR="00F94B48" w:rsidRPr="00F32542" w:rsidRDefault="00F94B48" w:rsidP="00F94B48">
      <w:pPr>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Asegura el actor que resulta necesaria la aplicación de la perspectiva de género a su favor, como instrumento para constatar que existe una relación desequilibrada de poder, como en el caso, al no efectuarse una adecuada distribución de representación proporcional en discriminación de los partidos minoritarios, sin tomarlos en cuenta para lograr una paridad de cincuenta por ciento de cada género.</w:t>
      </w:r>
    </w:p>
    <w:p w14:paraId="2634B460" w14:textId="77777777" w:rsidR="00F94B48" w:rsidRPr="00F32542" w:rsidRDefault="00F94B48" w:rsidP="00F94B48">
      <w:pPr>
        <w:spacing w:after="0" w:line="360" w:lineRule="auto"/>
        <w:jc w:val="both"/>
        <w:rPr>
          <w:rFonts w:ascii="Arial" w:eastAsia="Calibri" w:hAnsi="Arial" w:cs="Arial"/>
          <w:sz w:val="28"/>
          <w:szCs w:val="28"/>
        </w:rPr>
      </w:pPr>
    </w:p>
    <w:p w14:paraId="4EF88357" w14:textId="77777777" w:rsidR="00F94B48" w:rsidRPr="00F32542" w:rsidRDefault="00F94B48" w:rsidP="00F94B48">
      <w:pPr>
        <w:spacing w:after="0" w:line="360" w:lineRule="auto"/>
        <w:jc w:val="both"/>
        <w:rPr>
          <w:rFonts w:ascii="Arial" w:eastAsia="Calibri" w:hAnsi="Arial" w:cs="Arial"/>
          <w:b/>
          <w:sz w:val="28"/>
          <w:szCs w:val="28"/>
          <w:lang w:val="es-ES"/>
        </w:rPr>
      </w:pPr>
      <w:r w:rsidRPr="00F32542">
        <w:rPr>
          <w:rFonts w:ascii="Arial" w:eastAsia="Calibri" w:hAnsi="Arial" w:cs="Arial"/>
          <w:b/>
          <w:sz w:val="28"/>
          <w:szCs w:val="28"/>
        </w:rPr>
        <w:t>TECDMX-</w:t>
      </w:r>
      <w:r w:rsidRPr="00F32542">
        <w:rPr>
          <w:rFonts w:ascii="Arial" w:eastAsia="Calibri" w:hAnsi="Arial" w:cs="Arial"/>
          <w:b/>
          <w:sz w:val="28"/>
          <w:szCs w:val="28"/>
          <w:lang w:val="es-ES"/>
        </w:rPr>
        <w:t>JLDC-103</w:t>
      </w:r>
      <w:r w:rsidR="00A310C4" w:rsidRPr="00F32542">
        <w:rPr>
          <w:rFonts w:ascii="Arial" w:eastAsia="Calibri" w:hAnsi="Arial" w:cs="Arial"/>
          <w:b/>
          <w:sz w:val="28"/>
          <w:szCs w:val="28"/>
          <w:lang w:val="es-ES"/>
        </w:rPr>
        <w:t>/2021</w:t>
      </w:r>
      <w:r w:rsidRPr="00F32542">
        <w:rPr>
          <w:rFonts w:ascii="Arial" w:eastAsia="Calibri" w:hAnsi="Arial" w:cs="Arial"/>
          <w:b/>
          <w:sz w:val="28"/>
          <w:szCs w:val="28"/>
          <w:lang w:val="es-ES"/>
        </w:rPr>
        <w:t xml:space="preserve"> (Mónica Jessica Menocal del Moral) </w:t>
      </w:r>
    </w:p>
    <w:p w14:paraId="2ED390D9" w14:textId="77777777" w:rsidR="00F94B48" w:rsidRPr="00F32542" w:rsidRDefault="00F94B48" w:rsidP="00F94B48">
      <w:pPr>
        <w:spacing w:after="0" w:line="360" w:lineRule="auto"/>
        <w:jc w:val="both"/>
        <w:rPr>
          <w:rFonts w:ascii="Arial" w:eastAsia="Calibri" w:hAnsi="Arial" w:cs="Arial"/>
          <w:b/>
          <w:sz w:val="28"/>
          <w:szCs w:val="28"/>
          <w:lang w:val="es-ES"/>
        </w:rPr>
      </w:pPr>
    </w:p>
    <w:p w14:paraId="0568B26C" w14:textId="77777777" w:rsidR="00F94B48" w:rsidRPr="00F32542" w:rsidRDefault="00F94B48" w:rsidP="00F94B48">
      <w:pPr>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La asignación realizada de acuerdo con el orden de prelación de la lista definitiva del PAN resultó en una composición no representativa por el lugar nueve (9) que correspondió a la fórmula </w:t>
      </w:r>
      <w:r w:rsidRPr="00F32542">
        <w:rPr>
          <w:rFonts w:ascii="Arial" w:eastAsia="Calibri" w:hAnsi="Arial" w:cs="Arial"/>
          <w:sz w:val="28"/>
          <w:szCs w:val="28"/>
          <w:lang w:val="es-ES"/>
        </w:rPr>
        <w:lastRenderedPageBreak/>
        <w:t xml:space="preserve">encabezada por Frida Jimena Guillén Ortiz, quien no está identificada con la ciudadanía. </w:t>
      </w:r>
    </w:p>
    <w:p w14:paraId="1C9187B1" w14:textId="77777777" w:rsidR="00F94B48" w:rsidRPr="00F32542" w:rsidRDefault="00F94B48" w:rsidP="00F94B48">
      <w:pPr>
        <w:spacing w:after="0" w:line="360" w:lineRule="auto"/>
        <w:jc w:val="both"/>
        <w:rPr>
          <w:rFonts w:ascii="Arial" w:eastAsia="Calibri" w:hAnsi="Arial" w:cs="Arial"/>
          <w:sz w:val="28"/>
          <w:szCs w:val="28"/>
          <w:lang w:val="es-ES"/>
        </w:rPr>
      </w:pPr>
    </w:p>
    <w:p w14:paraId="160F5C75" w14:textId="77777777" w:rsidR="00F94B48" w:rsidRPr="00F32542" w:rsidRDefault="00F94B48" w:rsidP="00F94B48">
      <w:pPr>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Por tanto, se debe considerar el factor real de preferencia del electorado obtenido por la actora, de manera que se debe interpretar el marco jurídico a fin de garantizar de manera real los derechos de las mujeres, siendo que la designación a su favor lograría la aplicación de una medida en favor del género, así como la decisión del electorado en las urnas.  </w:t>
      </w:r>
    </w:p>
    <w:p w14:paraId="665AAF19" w14:textId="77777777" w:rsidR="00F94B48" w:rsidRPr="00F32542" w:rsidRDefault="00F94B48" w:rsidP="00F94B48">
      <w:pPr>
        <w:spacing w:after="0" w:line="360" w:lineRule="auto"/>
        <w:ind w:firstLine="709"/>
        <w:jc w:val="both"/>
        <w:rPr>
          <w:rFonts w:ascii="Arial" w:eastAsia="Calibri" w:hAnsi="Arial" w:cs="Arial"/>
          <w:b/>
          <w:sz w:val="28"/>
          <w:szCs w:val="28"/>
        </w:rPr>
      </w:pPr>
    </w:p>
    <w:p w14:paraId="3FFC2D92" w14:textId="77777777" w:rsidR="00F94B48" w:rsidRPr="00F32542" w:rsidRDefault="00F94B48" w:rsidP="00F94B48">
      <w:pPr>
        <w:spacing w:after="0" w:line="360" w:lineRule="auto"/>
        <w:jc w:val="both"/>
        <w:rPr>
          <w:rFonts w:ascii="Arial" w:eastAsia="Calibri" w:hAnsi="Arial" w:cs="Arial"/>
          <w:b/>
          <w:sz w:val="28"/>
          <w:szCs w:val="28"/>
        </w:rPr>
      </w:pPr>
      <w:r w:rsidRPr="00F32542">
        <w:rPr>
          <w:rFonts w:ascii="Arial" w:eastAsia="Calibri" w:hAnsi="Arial" w:cs="Arial"/>
          <w:b/>
          <w:sz w:val="28"/>
          <w:szCs w:val="28"/>
        </w:rPr>
        <w:t>TECDMX-JLDC-104/2021 (Paula Andrea Castillo Mendieta)</w:t>
      </w:r>
    </w:p>
    <w:p w14:paraId="486D0B90" w14:textId="77777777" w:rsidR="00F94B48" w:rsidRPr="00F32542" w:rsidRDefault="00F94B48" w:rsidP="00F94B48">
      <w:pPr>
        <w:spacing w:after="0" w:line="360" w:lineRule="auto"/>
        <w:jc w:val="both"/>
        <w:rPr>
          <w:rFonts w:ascii="Arial" w:eastAsia="Calibri" w:hAnsi="Arial" w:cs="Arial"/>
          <w:b/>
          <w:sz w:val="28"/>
          <w:szCs w:val="28"/>
        </w:rPr>
      </w:pPr>
    </w:p>
    <w:p w14:paraId="1A615EC5" w14:textId="77777777" w:rsidR="00F94B48" w:rsidRPr="00F32542" w:rsidRDefault="00F94B48" w:rsidP="00F94B48">
      <w:pPr>
        <w:spacing w:after="0" w:line="360" w:lineRule="auto"/>
        <w:jc w:val="both"/>
        <w:rPr>
          <w:rFonts w:ascii="Arial" w:eastAsia="Calibri" w:hAnsi="Arial" w:cs="Arial"/>
          <w:sz w:val="28"/>
          <w:szCs w:val="28"/>
          <w:lang w:val="es-ES"/>
        </w:rPr>
      </w:pPr>
      <w:r w:rsidRPr="00F32542">
        <w:rPr>
          <w:rFonts w:ascii="Arial" w:eastAsia="Calibri" w:hAnsi="Arial" w:cs="Arial"/>
          <w:sz w:val="28"/>
          <w:szCs w:val="28"/>
          <w:lang w:val="es-ES"/>
        </w:rPr>
        <w:t xml:space="preserve">Si bien la integración final del Congreso es de treinta y cuatro mujeres y treinta y dos hombres, en cuanto al </w:t>
      </w:r>
      <w:r w:rsidRPr="00F32542">
        <w:rPr>
          <w:rFonts w:ascii="Arial" w:eastAsia="Calibri" w:hAnsi="Arial" w:cs="Arial"/>
          <w:i/>
          <w:sz w:val="28"/>
          <w:szCs w:val="28"/>
          <w:lang w:val="es-ES"/>
        </w:rPr>
        <w:t>PRD</w:t>
      </w:r>
      <w:r w:rsidRPr="00F32542">
        <w:rPr>
          <w:rFonts w:ascii="Arial" w:eastAsia="Calibri" w:hAnsi="Arial" w:cs="Arial"/>
          <w:sz w:val="28"/>
          <w:szCs w:val="28"/>
          <w:lang w:val="es-ES"/>
        </w:rPr>
        <w:t xml:space="preserve"> existe una subrepresentación de mujeres, porque de las cinco que obtuvo por mayoría relativa y representación proporcional, tres son de hombres y dos de mujeres, razón por la cual el Consejo General no garantizó que el principio de paridad permeara en el acceso de las candidatas del PRD a una curul por el principio de representación proporcional.</w:t>
      </w:r>
    </w:p>
    <w:p w14:paraId="247D5BAC" w14:textId="77777777" w:rsidR="00F94B48" w:rsidRPr="00F32542" w:rsidRDefault="00F94B48" w:rsidP="00F94B48">
      <w:pPr>
        <w:spacing w:after="0" w:line="360" w:lineRule="auto"/>
        <w:jc w:val="both"/>
        <w:rPr>
          <w:rFonts w:ascii="Arial" w:eastAsia="Calibri" w:hAnsi="Arial" w:cs="Arial"/>
          <w:sz w:val="28"/>
          <w:szCs w:val="28"/>
          <w:lang w:val="es-ES"/>
        </w:rPr>
      </w:pPr>
    </w:p>
    <w:p w14:paraId="7832A07C" w14:textId="77777777" w:rsidR="00F94B48" w:rsidRPr="00F32542" w:rsidRDefault="00F94B48" w:rsidP="00F94B48">
      <w:pPr>
        <w:spacing w:after="0" w:line="360" w:lineRule="auto"/>
        <w:jc w:val="both"/>
        <w:rPr>
          <w:rFonts w:ascii="Arial" w:eastAsia="Calibri" w:hAnsi="Arial" w:cs="Arial"/>
          <w:b/>
          <w:sz w:val="28"/>
          <w:szCs w:val="28"/>
          <w:lang w:val="es-ES"/>
        </w:rPr>
      </w:pPr>
      <w:r w:rsidRPr="00F32542">
        <w:rPr>
          <w:rFonts w:ascii="Arial" w:eastAsia="Calibri" w:hAnsi="Arial" w:cs="Arial"/>
          <w:b/>
          <w:sz w:val="28"/>
          <w:szCs w:val="28"/>
          <w:lang w:val="es-ES"/>
        </w:rPr>
        <w:t>Análisis de los anteriores planteamientos.</w:t>
      </w:r>
    </w:p>
    <w:p w14:paraId="4943AE6E" w14:textId="77777777" w:rsidR="00F94B48" w:rsidRPr="00F32542" w:rsidRDefault="00F94B48" w:rsidP="00F94B48">
      <w:pPr>
        <w:spacing w:after="0" w:line="360" w:lineRule="auto"/>
        <w:jc w:val="both"/>
        <w:rPr>
          <w:rFonts w:ascii="Arial" w:eastAsia="Calibri" w:hAnsi="Arial" w:cs="Arial"/>
          <w:sz w:val="28"/>
          <w:szCs w:val="28"/>
          <w:lang w:val="es-ES"/>
        </w:rPr>
      </w:pPr>
    </w:p>
    <w:p w14:paraId="448795B1"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Como se advierte, las </w:t>
      </w:r>
      <w:r w:rsidRPr="00F32542">
        <w:rPr>
          <w:rFonts w:ascii="Arial" w:eastAsia="Calibri" w:hAnsi="Arial" w:cs="Arial"/>
          <w:i/>
          <w:sz w:val="28"/>
          <w:szCs w:val="28"/>
        </w:rPr>
        <w:t xml:space="preserve">partes actoras </w:t>
      </w:r>
      <w:r w:rsidRPr="00F32542">
        <w:rPr>
          <w:rFonts w:ascii="Arial" w:eastAsia="Calibri" w:hAnsi="Arial" w:cs="Arial"/>
          <w:sz w:val="28"/>
          <w:szCs w:val="28"/>
        </w:rPr>
        <w:t xml:space="preserve">formulan argumentos sobre exceso de representación de un género en detrimento del otro, sobre tres cuestiones diversas: </w:t>
      </w:r>
    </w:p>
    <w:p w14:paraId="20867813" w14:textId="77777777" w:rsidR="00F94B48" w:rsidRPr="00F32542" w:rsidRDefault="00F94B48" w:rsidP="00F94B48">
      <w:pPr>
        <w:spacing w:after="0" w:line="360" w:lineRule="auto"/>
        <w:jc w:val="both"/>
        <w:rPr>
          <w:rFonts w:ascii="Arial" w:eastAsia="Calibri" w:hAnsi="Arial" w:cs="Arial"/>
          <w:sz w:val="28"/>
          <w:szCs w:val="28"/>
        </w:rPr>
      </w:pPr>
    </w:p>
    <w:p w14:paraId="61B94366" w14:textId="77777777" w:rsidR="00F94B48" w:rsidRPr="00F32542" w:rsidRDefault="00F94B48" w:rsidP="009B6ED0">
      <w:pPr>
        <w:numPr>
          <w:ilvl w:val="0"/>
          <w:numId w:val="28"/>
        </w:numPr>
        <w:spacing w:after="0" w:line="360" w:lineRule="auto"/>
        <w:contextualSpacing/>
        <w:jc w:val="both"/>
        <w:rPr>
          <w:rFonts w:ascii="Arial" w:eastAsia="Calibri" w:hAnsi="Arial" w:cs="Arial"/>
          <w:sz w:val="28"/>
          <w:szCs w:val="28"/>
        </w:rPr>
      </w:pPr>
      <w:r w:rsidRPr="00F32542">
        <w:rPr>
          <w:rFonts w:ascii="Arial" w:eastAsia="Calibri" w:hAnsi="Arial" w:cs="Arial"/>
          <w:sz w:val="28"/>
          <w:szCs w:val="28"/>
        </w:rPr>
        <w:t>La falta de paridad en la distribución total del Congreso.</w:t>
      </w:r>
    </w:p>
    <w:p w14:paraId="1B5B795F" w14:textId="77777777" w:rsidR="00F94B48" w:rsidRPr="00F32542" w:rsidRDefault="00F94B48" w:rsidP="00F94B48">
      <w:pPr>
        <w:spacing w:after="0" w:line="360" w:lineRule="auto"/>
        <w:ind w:left="720"/>
        <w:contextualSpacing/>
        <w:jc w:val="both"/>
        <w:rPr>
          <w:rFonts w:ascii="Arial" w:eastAsia="Calibri" w:hAnsi="Arial" w:cs="Arial"/>
          <w:sz w:val="28"/>
          <w:szCs w:val="28"/>
        </w:rPr>
      </w:pPr>
    </w:p>
    <w:p w14:paraId="1F4BF8C5" w14:textId="77777777" w:rsidR="00F94B48" w:rsidRPr="00F32542" w:rsidRDefault="00F94B48" w:rsidP="009B6ED0">
      <w:pPr>
        <w:numPr>
          <w:ilvl w:val="0"/>
          <w:numId w:val="28"/>
        </w:numPr>
        <w:spacing w:after="0" w:line="360" w:lineRule="auto"/>
        <w:contextualSpacing/>
        <w:jc w:val="both"/>
        <w:rPr>
          <w:rFonts w:ascii="Arial" w:eastAsia="Calibri" w:hAnsi="Arial" w:cs="Arial"/>
          <w:sz w:val="28"/>
          <w:szCs w:val="28"/>
        </w:rPr>
      </w:pPr>
      <w:r w:rsidRPr="00F32542">
        <w:rPr>
          <w:rFonts w:ascii="Arial" w:eastAsia="Calibri" w:hAnsi="Arial" w:cs="Arial"/>
          <w:sz w:val="28"/>
          <w:szCs w:val="28"/>
        </w:rPr>
        <w:lastRenderedPageBreak/>
        <w:t xml:space="preserve">La falta de paridad en la asignación de diputaciones por el principio de representación proporcional. </w:t>
      </w:r>
    </w:p>
    <w:p w14:paraId="40936D71" w14:textId="77777777" w:rsidR="00F94B48" w:rsidRPr="00F32542" w:rsidRDefault="00F94B48" w:rsidP="00F94B48">
      <w:pPr>
        <w:spacing w:after="0" w:line="360" w:lineRule="auto"/>
        <w:ind w:left="720"/>
        <w:contextualSpacing/>
        <w:jc w:val="both"/>
        <w:rPr>
          <w:rFonts w:ascii="Arial" w:eastAsia="Calibri" w:hAnsi="Arial" w:cs="Arial"/>
          <w:sz w:val="28"/>
          <w:szCs w:val="28"/>
        </w:rPr>
      </w:pPr>
    </w:p>
    <w:p w14:paraId="72DA53A7" w14:textId="77777777" w:rsidR="00F94B48" w:rsidRPr="00F32542" w:rsidRDefault="00F94B48" w:rsidP="009B6ED0">
      <w:pPr>
        <w:numPr>
          <w:ilvl w:val="0"/>
          <w:numId w:val="28"/>
        </w:numPr>
        <w:spacing w:after="0" w:line="360" w:lineRule="auto"/>
        <w:contextualSpacing/>
        <w:jc w:val="both"/>
        <w:rPr>
          <w:rFonts w:ascii="Arial" w:eastAsia="Calibri" w:hAnsi="Arial" w:cs="Arial"/>
          <w:sz w:val="28"/>
          <w:szCs w:val="28"/>
        </w:rPr>
      </w:pPr>
      <w:r w:rsidRPr="00F32542">
        <w:rPr>
          <w:rFonts w:ascii="Arial" w:eastAsia="Calibri" w:hAnsi="Arial" w:cs="Arial"/>
          <w:sz w:val="28"/>
          <w:szCs w:val="28"/>
        </w:rPr>
        <w:t xml:space="preserve">Subrepresentación de mujeres por grupo parlamentario. </w:t>
      </w:r>
    </w:p>
    <w:p w14:paraId="3CC81213" w14:textId="77777777" w:rsidR="00F94B48" w:rsidRPr="00F32542" w:rsidRDefault="00F94B48" w:rsidP="00F94B48">
      <w:pPr>
        <w:spacing w:after="0" w:line="360" w:lineRule="auto"/>
        <w:jc w:val="both"/>
        <w:rPr>
          <w:rFonts w:ascii="Arial" w:eastAsia="Calibri" w:hAnsi="Arial" w:cs="Arial"/>
          <w:sz w:val="28"/>
          <w:szCs w:val="28"/>
        </w:rPr>
      </w:pPr>
    </w:p>
    <w:p w14:paraId="626A25A9"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En cuanto al primer punto, relativo al cuestionamiento de las </w:t>
      </w:r>
      <w:r w:rsidRPr="00F32542">
        <w:rPr>
          <w:rFonts w:ascii="Arial" w:eastAsia="Calibri" w:hAnsi="Arial" w:cs="Arial"/>
          <w:i/>
          <w:sz w:val="28"/>
          <w:szCs w:val="28"/>
        </w:rPr>
        <w:t xml:space="preserve">partes actoras </w:t>
      </w:r>
      <w:r w:rsidRPr="00F32542">
        <w:rPr>
          <w:rFonts w:ascii="Arial" w:eastAsia="Calibri" w:hAnsi="Arial" w:cs="Arial"/>
          <w:sz w:val="28"/>
          <w:szCs w:val="28"/>
        </w:rPr>
        <w:t xml:space="preserve">respecto de la integración total del órgano legislativo no es paritaria, en detrimento de los hombres, los agravios son </w:t>
      </w:r>
      <w:r w:rsidRPr="00F32542">
        <w:rPr>
          <w:rFonts w:ascii="Arial" w:eastAsia="Calibri" w:hAnsi="Arial" w:cs="Arial"/>
          <w:b/>
          <w:sz w:val="28"/>
          <w:szCs w:val="28"/>
        </w:rPr>
        <w:t>inoperantes</w:t>
      </w:r>
      <w:r w:rsidRPr="00F32542">
        <w:rPr>
          <w:rFonts w:ascii="Arial" w:eastAsia="Calibri" w:hAnsi="Arial" w:cs="Arial"/>
          <w:sz w:val="28"/>
          <w:szCs w:val="28"/>
        </w:rPr>
        <w:t xml:space="preserve">. </w:t>
      </w:r>
    </w:p>
    <w:p w14:paraId="1D33BE88" w14:textId="77777777" w:rsidR="00F94B48" w:rsidRPr="00F32542" w:rsidRDefault="00F94B48" w:rsidP="00F94B48">
      <w:pPr>
        <w:spacing w:after="0" w:line="360" w:lineRule="auto"/>
        <w:jc w:val="both"/>
        <w:rPr>
          <w:rFonts w:ascii="Arial" w:eastAsia="Calibri" w:hAnsi="Arial" w:cs="Arial"/>
          <w:sz w:val="28"/>
          <w:szCs w:val="28"/>
        </w:rPr>
      </w:pPr>
    </w:p>
    <w:p w14:paraId="65211DBA"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Lo anterior, porque, como consecuencia del estudio realizado en apartados precedentes de este fallo, se modificó la asignación de las diputaciones de representación proporcional correspondientes al </w:t>
      </w:r>
      <w:r w:rsidRPr="00F32542">
        <w:rPr>
          <w:rFonts w:ascii="Arial" w:eastAsia="Calibri" w:hAnsi="Arial" w:cs="Arial"/>
          <w:i/>
          <w:sz w:val="28"/>
          <w:szCs w:val="28"/>
        </w:rPr>
        <w:t>PAN, PVEM</w:t>
      </w:r>
      <w:r w:rsidRPr="00F32542">
        <w:rPr>
          <w:rFonts w:ascii="Arial" w:eastAsia="Calibri" w:hAnsi="Arial" w:cs="Arial"/>
          <w:sz w:val="28"/>
          <w:szCs w:val="28"/>
        </w:rPr>
        <w:t xml:space="preserve"> y </w:t>
      </w:r>
      <w:r w:rsidRPr="00F32542">
        <w:rPr>
          <w:rFonts w:ascii="Arial" w:eastAsia="Calibri" w:hAnsi="Arial" w:cs="Arial"/>
          <w:i/>
          <w:sz w:val="28"/>
          <w:szCs w:val="28"/>
        </w:rPr>
        <w:t>Morena</w:t>
      </w:r>
      <w:r w:rsidRPr="00F32542">
        <w:rPr>
          <w:rFonts w:ascii="Arial" w:eastAsia="Calibri" w:hAnsi="Arial" w:cs="Arial"/>
          <w:sz w:val="28"/>
          <w:szCs w:val="28"/>
        </w:rPr>
        <w:t xml:space="preserve">, resultando en una nueva distribución en los términos siguientes: </w:t>
      </w:r>
    </w:p>
    <w:p w14:paraId="427E5CDC" w14:textId="77777777" w:rsidR="00F94B48" w:rsidRPr="00F32542" w:rsidRDefault="00F94B48" w:rsidP="00F94B48">
      <w:pPr>
        <w:spacing w:after="0" w:line="360" w:lineRule="auto"/>
        <w:jc w:val="both"/>
        <w:rPr>
          <w:rFonts w:ascii="Arial" w:eastAsia="Calibri" w:hAnsi="Arial" w:cs="Arial"/>
          <w:sz w:val="28"/>
          <w:szCs w:val="28"/>
        </w:rPr>
      </w:pPr>
    </w:p>
    <w:tbl>
      <w:tblPr>
        <w:tblStyle w:val="Tablaconcuadrcula911"/>
        <w:tblW w:w="8784" w:type="dxa"/>
        <w:jc w:val="center"/>
        <w:tblLayout w:type="fixed"/>
        <w:tblLook w:val="04A0" w:firstRow="1" w:lastRow="0" w:firstColumn="1" w:lastColumn="0" w:noHBand="0" w:noVBand="1"/>
      </w:tblPr>
      <w:tblGrid>
        <w:gridCol w:w="1271"/>
        <w:gridCol w:w="709"/>
        <w:gridCol w:w="850"/>
        <w:gridCol w:w="709"/>
        <w:gridCol w:w="851"/>
        <w:gridCol w:w="425"/>
        <w:gridCol w:w="850"/>
        <w:gridCol w:w="567"/>
        <w:gridCol w:w="993"/>
        <w:gridCol w:w="1559"/>
      </w:tblGrid>
      <w:tr w:rsidR="00F94B48" w:rsidRPr="00F32542" w14:paraId="2D14FF18" w14:textId="77777777" w:rsidTr="00F94B48">
        <w:trPr>
          <w:tblHeader/>
          <w:jc w:val="center"/>
        </w:trPr>
        <w:tc>
          <w:tcPr>
            <w:tcW w:w="1271" w:type="dxa"/>
            <w:vMerge w:val="restart"/>
            <w:shd w:val="clear" w:color="auto" w:fill="AEAAAA"/>
            <w:vAlign w:val="center"/>
          </w:tcPr>
          <w:p w14:paraId="04BD3A2B" w14:textId="77777777" w:rsidR="00F94B48" w:rsidRPr="00F32542" w:rsidRDefault="00F94B48" w:rsidP="00F94B48">
            <w:pPr>
              <w:spacing w:after="0" w:line="240" w:lineRule="auto"/>
              <w:jc w:val="center"/>
              <w:rPr>
                <w:rFonts w:ascii="Arial" w:eastAsia="Calibri" w:hAnsi="Arial" w:cs="Arial"/>
                <w:b/>
                <w:sz w:val="20"/>
                <w:szCs w:val="20"/>
                <w:lang w:val="es-ES"/>
              </w:rPr>
            </w:pPr>
            <w:r w:rsidRPr="00F32542">
              <w:rPr>
                <w:rFonts w:ascii="Arial" w:eastAsia="Calibri" w:hAnsi="Arial" w:cs="Arial"/>
                <w:b/>
                <w:sz w:val="20"/>
                <w:szCs w:val="20"/>
                <w:lang w:val="es-ES"/>
              </w:rPr>
              <w:t>Partido político</w:t>
            </w:r>
          </w:p>
        </w:tc>
        <w:tc>
          <w:tcPr>
            <w:tcW w:w="1559" w:type="dxa"/>
            <w:gridSpan w:val="2"/>
            <w:shd w:val="clear" w:color="auto" w:fill="AEAAAA"/>
            <w:vAlign w:val="center"/>
          </w:tcPr>
          <w:p w14:paraId="6A6D39B8" w14:textId="77777777" w:rsidR="00F94B48" w:rsidRPr="00F32542" w:rsidRDefault="00F94B48" w:rsidP="00F94B48">
            <w:pPr>
              <w:spacing w:after="0" w:line="240" w:lineRule="auto"/>
              <w:jc w:val="center"/>
              <w:rPr>
                <w:rFonts w:ascii="Arial" w:eastAsia="Calibri" w:hAnsi="Arial" w:cs="Arial"/>
                <w:b/>
                <w:sz w:val="20"/>
                <w:szCs w:val="20"/>
                <w:lang w:val="es-ES"/>
              </w:rPr>
            </w:pPr>
            <w:r w:rsidRPr="00F32542">
              <w:rPr>
                <w:rFonts w:ascii="Arial" w:eastAsia="Calibri" w:hAnsi="Arial" w:cs="Arial"/>
                <w:b/>
                <w:sz w:val="20"/>
                <w:szCs w:val="20"/>
                <w:lang w:val="es-ES"/>
              </w:rPr>
              <w:t>Diputaciones de MR</w:t>
            </w:r>
          </w:p>
        </w:tc>
        <w:tc>
          <w:tcPr>
            <w:tcW w:w="1560" w:type="dxa"/>
            <w:gridSpan w:val="2"/>
            <w:shd w:val="clear" w:color="auto" w:fill="AEAAAA"/>
            <w:vAlign w:val="center"/>
          </w:tcPr>
          <w:p w14:paraId="7B4C2739" w14:textId="77777777" w:rsidR="00F94B48" w:rsidRPr="00F32542" w:rsidRDefault="00F94B48" w:rsidP="00F94B48">
            <w:pPr>
              <w:spacing w:after="0" w:line="240" w:lineRule="auto"/>
              <w:jc w:val="center"/>
              <w:rPr>
                <w:rFonts w:ascii="Arial" w:eastAsia="Calibri" w:hAnsi="Arial" w:cs="Arial"/>
                <w:b/>
                <w:sz w:val="20"/>
                <w:szCs w:val="20"/>
                <w:lang w:val="es-ES"/>
              </w:rPr>
            </w:pPr>
            <w:r w:rsidRPr="00F32542">
              <w:rPr>
                <w:rFonts w:ascii="Arial" w:eastAsia="Calibri" w:hAnsi="Arial" w:cs="Arial"/>
                <w:b/>
                <w:sz w:val="20"/>
                <w:szCs w:val="20"/>
                <w:lang w:val="es-ES"/>
              </w:rPr>
              <w:t>Diputaciones de RP</w:t>
            </w:r>
          </w:p>
        </w:tc>
        <w:tc>
          <w:tcPr>
            <w:tcW w:w="1275" w:type="dxa"/>
            <w:gridSpan w:val="2"/>
            <w:shd w:val="clear" w:color="auto" w:fill="AEAAAA"/>
            <w:vAlign w:val="center"/>
          </w:tcPr>
          <w:p w14:paraId="3389BEAD" w14:textId="77777777" w:rsidR="00F94B48" w:rsidRPr="00F32542" w:rsidRDefault="00F94B48" w:rsidP="00F94B48">
            <w:pPr>
              <w:spacing w:after="0" w:line="240" w:lineRule="auto"/>
              <w:jc w:val="center"/>
              <w:rPr>
                <w:rFonts w:ascii="Arial" w:eastAsia="Calibri" w:hAnsi="Arial" w:cs="Arial"/>
                <w:b/>
                <w:sz w:val="20"/>
                <w:szCs w:val="20"/>
                <w:lang w:val="es-ES"/>
              </w:rPr>
            </w:pPr>
            <w:r w:rsidRPr="00F32542">
              <w:rPr>
                <w:rFonts w:ascii="Arial" w:eastAsia="Calibri" w:hAnsi="Arial" w:cs="Arial"/>
                <w:b/>
                <w:sz w:val="20"/>
                <w:szCs w:val="20"/>
                <w:lang w:val="es-ES"/>
              </w:rPr>
              <w:t>Diputación migrante</w:t>
            </w:r>
          </w:p>
        </w:tc>
        <w:tc>
          <w:tcPr>
            <w:tcW w:w="1560" w:type="dxa"/>
            <w:gridSpan w:val="2"/>
            <w:shd w:val="clear" w:color="auto" w:fill="AEAAAA"/>
            <w:vAlign w:val="center"/>
          </w:tcPr>
          <w:p w14:paraId="4664CE2F" w14:textId="77777777" w:rsidR="00F94B48" w:rsidRPr="00F32542" w:rsidRDefault="00F94B48" w:rsidP="00F94B48">
            <w:pPr>
              <w:spacing w:after="0" w:line="240" w:lineRule="auto"/>
              <w:jc w:val="center"/>
              <w:rPr>
                <w:rFonts w:ascii="Arial" w:eastAsia="Calibri" w:hAnsi="Arial" w:cs="Arial"/>
                <w:b/>
                <w:sz w:val="20"/>
                <w:szCs w:val="20"/>
                <w:lang w:val="es-ES"/>
              </w:rPr>
            </w:pPr>
            <w:r w:rsidRPr="00F32542">
              <w:rPr>
                <w:rFonts w:ascii="Arial" w:eastAsia="Calibri" w:hAnsi="Arial" w:cs="Arial"/>
                <w:b/>
                <w:sz w:val="20"/>
                <w:szCs w:val="20"/>
                <w:lang w:val="es-ES"/>
              </w:rPr>
              <w:t>Diputaciones por ambos principios</w:t>
            </w:r>
          </w:p>
        </w:tc>
        <w:tc>
          <w:tcPr>
            <w:tcW w:w="1559" w:type="dxa"/>
            <w:vMerge w:val="restart"/>
            <w:shd w:val="clear" w:color="auto" w:fill="AEAAAA"/>
            <w:vAlign w:val="center"/>
          </w:tcPr>
          <w:p w14:paraId="2446CB06" w14:textId="77777777" w:rsidR="00F94B48" w:rsidRPr="00F32542" w:rsidRDefault="00F94B48" w:rsidP="00F94B48">
            <w:pPr>
              <w:spacing w:after="0" w:line="240" w:lineRule="auto"/>
              <w:jc w:val="center"/>
              <w:rPr>
                <w:rFonts w:ascii="Arial" w:eastAsia="Calibri" w:hAnsi="Arial" w:cs="Arial"/>
                <w:b/>
                <w:sz w:val="20"/>
                <w:szCs w:val="20"/>
                <w:lang w:val="es-ES"/>
              </w:rPr>
            </w:pPr>
            <w:r w:rsidRPr="00F32542">
              <w:rPr>
                <w:rFonts w:ascii="Arial" w:eastAsia="Calibri" w:hAnsi="Arial" w:cs="Arial"/>
                <w:b/>
                <w:sz w:val="20"/>
                <w:szCs w:val="20"/>
                <w:lang w:val="es-ES"/>
              </w:rPr>
              <w:t>Total</w:t>
            </w:r>
          </w:p>
          <w:p w14:paraId="4AE778E0" w14:textId="77777777" w:rsidR="00F94B48" w:rsidRPr="00F32542" w:rsidRDefault="00F94B48" w:rsidP="00F94B48">
            <w:pPr>
              <w:spacing w:after="0" w:line="240" w:lineRule="auto"/>
              <w:jc w:val="center"/>
              <w:rPr>
                <w:rFonts w:ascii="Arial" w:eastAsia="Calibri" w:hAnsi="Arial" w:cs="Arial"/>
                <w:b/>
                <w:sz w:val="20"/>
                <w:szCs w:val="20"/>
                <w:lang w:val="es-ES"/>
              </w:rPr>
            </w:pPr>
            <w:r w:rsidRPr="00F32542">
              <w:rPr>
                <w:rFonts w:ascii="Arial" w:eastAsia="Calibri" w:hAnsi="Arial" w:cs="Arial"/>
                <w:b/>
                <w:sz w:val="20"/>
                <w:szCs w:val="20"/>
                <w:lang w:val="es-ES"/>
              </w:rPr>
              <w:t>diputaciones</w:t>
            </w:r>
          </w:p>
        </w:tc>
      </w:tr>
      <w:tr w:rsidR="00F94B48" w:rsidRPr="00F32542" w14:paraId="7531B6D9" w14:textId="77777777" w:rsidTr="00F94B48">
        <w:trPr>
          <w:tblHeader/>
          <w:jc w:val="center"/>
        </w:trPr>
        <w:tc>
          <w:tcPr>
            <w:tcW w:w="1271" w:type="dxa"/>
            <w:vMerge/>
            <w:tcBorders>
              <w:bottom w:val="single" w:sz="4" w:space="0" w:color="auto"/>
            </w:tcBorders>
            <w:shd w:val="clear" w:color="auto" w:fill="7030A0"/>
            <w:vAlign w:val="center"/>
          </w:tcPr>
          <w:p w14:paraId="198B0DC5" w14:textId="77777777" w:rsidR="00F94B48" w:rsidRPr="00F32542" w:rsidRDefault="00F94B48" w:rsidP="00F94B48">
            <w:pPr>
              <w:spacing w:after="0" w:line="240" w:lineRule="auto"/>
              <w:jc w:val="center"/>
              <w:rPr>
                <w:rFonts w:ascii="Arial" w:eastAsia="Calibri" w:hAnsi="Arial" w:cs="Arial"/>
                <w:b/>
                <w:color w:val="FFFFFF"/>
                <w:lang w:val="es-ES"/>
              </w:rPr>
            </w:pPr>
          </w:p>
        </w:tc>
        <w:tc>
          <w:tcPr>
            <w:tcW w:w="709" w:type="dxa"/>
            <w:tcBorders>
              <w:bottom w:val="single" w:sz="4" w:space="0" w:color="auto"/>
            </w:tcBorders>
            <w:shd w:val="clear" w:color="auto" w:fill="808080"/>
            <w:vAlign w:val="center"/>
          </w:tcPr>
          <w:p w14:paraId="069BEE13"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M</w:t>
            </w:r>
          </w:p>
        </w:tc>
        <w:tc>
          <w:tcPr>
            <w:tcW w:w="850" w:type="dxa"/>
            <w:tcBorders>
              <w:bottom w:val="single" w:sz="4" w:space="0" w:color="auto"/>
            </w:tcBorders>
            <w:shd w:val="clear" w:color="auto" w:fill="808080"/>
            <w:vAlign w:val="center"/>
          </w:tcPr>
          <w:p w14:paraId="27090886"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H</w:t>
            </w:r>
          </w:p>
        </w:tc>
        <w:tc>
          <w:tcPr>
            <w:tcW w:w="709" w:type="dxa"/>
            <w:tcBorders>
              <w:bottom w:val="single" w:sz="4" w:space="0" w:color="auto"/>
            </w:tcBorders>
            <w:shd w:val="clear" w:color="auto" w:fill="808080"/>
            <w:vAlign w:val="center"/>
          </w:tcPr>
          <w:p w14:paraId="2098CA4F"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M</w:t>
            </w:r>
          </w:p>
        </w:tc>
        <w:tc>
          <w:tcPr>
            <w:tcW w:w="851" w:type="dxa"/>
            <w:tcBorders>
              <w:bottom w:val="single" w:sz="4" w:space="0" w:color="auto"/>
            </w:tcBorders>
            <w:shd w:val="clear" w:color="auto" w:fill="808080"/>
            <w:vAlign w:val="center"/>
          </w:tcPr>
          <w:p w14:paraId="2095F312"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H</w:t>
            </w:r>
          </w:p>
        </w:tc>
        <w:tc>
          <w:tcPr>
            <w:tcW w:w="425" w:type="dxa"/>
            <w:tcBorders>
              <w:bottom w:val="single" w:sz="4" w:space="0" w:color="auto"/>
            </w:tcBorders>
            <w:shd w:val="clear" w:color="auto" w:fill="808080"/>
            <w:vAlign w:val="center"/>
          </w:tcPr>
          <w:p w14:paraId="339AC01F"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 xml:space="preserve">M </w:t>
            </w:r>
          </w:p>
        </w:tc>
        <w:tc>
          <w:tcPr>
            <w:tcW w:w="850" w:type="dxa"/>
            <w:tcBorders>
              <w:bottom w:val="single" w:sz="4" w:space="0" w:color="auto"/>
            </w:tcBorders>
            <w:shd w:val="clear" w:color="auto" w:fill="808080"/>
            <w:vAlign w:val="center"/>
          </w:tcPr>
          <w:p w14:paraId="52C94325"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H</w:t>
            </w:r>
          </w:p>
        </w:tc>
        <w:tc>
          <w:tcPr>
            <w:tcW w:w="567" w:type="dxa"/>
            <w:tcBorders>
              <w:bottom w:val="single" w:sz="4" w:space="0" w:color="auto"/>
            </w:tcBorders>
            <w:shd w:val="clear" w:color="auto" w:fill="808080"/>
            <w:vAlign w:val="center"/>
          </w:tcPr>
          <w:p w14:paraId="0E21D323"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M</w:t>
            </w:r>
          </w:p>
        </w:tc>
        <w:tc>
          <w:tcPr>
            <w:tcW w:w="993" w:type="dxa"/>
            <w:tcBorders>
              <w:bottom w:val="single" w:sz="4" w:space="0" w:color="auto"/>
            </w:tcBorders>
            <w:shd w:val="clear" w:color="auto" w:fill="808080"/>
            <w:vAlign w:val="center"/>
          </w:tcPr>
          <w:p w14:paraId="42ADA062"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H</w:t>
            </w:r>
          </w:p>
        </w:tc>
        <w:tc>
          <w:tcPr>
            <w:tcW w:w="1559" w:type="dxa"/>
            <w:vMerge/>
            <w:tcBorders>
              <w:bottom w:val="single" w:sz="4" w:space="0" w:color="auto"/>
            </w:tcBorders>
            <w:shd w:val="clear" w:color="auto" w:fill="7030A0"/>
            <w:vAlign w:val="center"/>
          </w:tcPr>
          <w:p w14:paraId="19EEB20F" w14:textId="77777777" w:rsidR="00F94B48" w:rsidRPr="00F32542" w:rsidRDefault="00F94B48" w:rsidP="00F94B48">
            <w:pPr>
              <w:spacing w:after="0" w:line="240" w:lineRule="auto"/>
              <w:jc w:val="center"/>
              <w:rPr>
                <w:rFonts w:ascii="Arial" w:eastAsia="Calibri" w:hAnsi="Arial" w:cs="Arial"/>
                <w:b/>
                <w:color w:val="FFFFFF"/>
                <w:lang w:val="es-ES"/>
              </w:rPr>
            </w:pPr>
          </w:p>
        </w:tc>
      </w:tr>
      <w:tr w:rsidR="00F94B48" w:rsidRPr="00F32542" w14:paraId="195E87C0" w14:textId="77777777" w:rsidTr="00B65D24">
        <w:trPr>
          <w:trHeight w:val="397"/>
          <w:jc w:val="center"/>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tcPr>
          <w:p w14:paraId="0F409507" w14:textId="77777777" w:rsidR="00F94B48" w:rsidRPr="00F32542" w:rsidRDefault="00F94B48" w:rsidP="00F94B48">
            <w:pPr>
              <w:spacing w:after="0" w:line="240" w:lineRule="auto"/>
              <w:jc w:val="center"/>
              <w:rPr>
                <w:rFonts w:ascii="Arial" w:eastAsia="Calibri" w:hAnsi="Arial" w:cs="Arial"/>
                <w:color w:val="000000"/>
              </w:rPr>
            </w:pPr>
            <w:r w:rsidRPr="00F32542">
              <w:rPr>
                <w:rFonts w:ascii="Arial" w:eastAsia="Calibri" w:hAnsi="Arial" w:cs="Arial"/>
                <w:color w:val="000000"/>
              </w:rPr>
              <w:t>PAN</w:t>
            </w:r>
          </w:p>
        </w:tc>
        <w:tc>
          <w:tcPr>
            <w:tcW w:w="709" w:type="dxa"/>
            <w:tcBorders>
              <w:top w:val="single" w:sz="4" w:space="0" w:color="auto"/>
              <w:left w:val="single" w:sz="4" w:space="0" w:color="auto"/>
              <w:bottom w:val="single" w:sz="4" w:space="0" w:color="auto"/>
              <w:right w:val="single" w:sz="4" w:space="0" w:color="auto"/>
            </w:tcBorders>
            <w:vAlign w:val="center"/>
          </w:tcPr>
          <w:p w14:paraId="3BA1DA20"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B39DA63"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57BDCDD"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D4B60A"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A58A0D5" w14:textId="77777777" w:rsidR="00F94B48" w:rsidRPr="00F32542" w:rsidRDefault="00F94B48" w:rsidP="00F94B48">
            <w:pPr>
              <w:spacing w:after="0" w:line="240" w:lineRule="auto"/>
              <w:jc w:val="center"/>
              <w:rPr>
                <w:rFonts w:ascii="Arial" w:eastAsia="Calibri"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51EE751"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c>
          <w:tcPr>
            <w:tcW w:w="567" w:type="dxa"/>
            <w:tcBorders>
              <w:top w:val="single" w:sz="4" w:space="0" w:color="auto"/>
              <w:left w:val="single" w:sz="4" w:space="0" w:color="auto"/>
              <w:bottom w:val="single" w:sz="4" w:space="0" w:color="auto"/>
              <w:right w:val="single" w:sz="4" w:space="0" w:color="auto"/>
            </w:tcBorders>
            <w:vAlign w:val="center"/>
          </w:tcPr>
          <w:p w14:paraId="2D9CE365"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7</w:t>
            </w:r>
          </w:p>
        </w:tc>
        <w:tc>
          <w:tcPr>
            <w:tcW w:w="993" w:type="dxa"/>
            <w:tcBorders>
              <w:top w:val="single" w:sz="4" w:space="0" w:color="auto"/>
              <w:left w:val="single" w:sz="4" w:space="0" w:color="auto"/>
              <w:bottom w:val="single" w:sz="4" w:space="0" w:color="auto"/>
              <w:right w:val="single" w:sz="4" w:space="0" w:color="auto"/>
            </w:tcBorders>
            <w:vAlign w:val="center"/>
          </w:tcPr>
          <w:p w14:paraId="76CC72C7"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C5C3B60"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17</w:t>
            </w:r>
          </w:p>
        </w:tc>
      </w:tr>
      <w:tr w:rsidR="00F94B48" w:rsidRPr="00F32542" w14:paraId="06C6D767" w14:textId="77777777" w:rsidTr="00B65D24">
        <w:trPr>
          <w:trHeight w:val="397"/>
          <w:jc w:val="center"/>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tcPr>
          <w:p w14:paraId="5A8A9B3A" w14:textId="77777777" w:rsidR="00F94B48" w:rsidRPr="00F32542" w:rsidRDefault="00F94B48" w:rsidP="00F94B48">
            <w:pPr>
              <w:spacing w:after="0" w:line="240" w:lineRule="auto"/>
              <w:jc w:val="center"/>
              <w:rPr>
                <w:rFonts w:ascii="Arial" w:eastAsia="Calibri" w:hAnsi="Arial" w:cs="Arial"/>
                <w:color w:val="000000"/>
              </w:rPr>
            </w:pPr>
            <w:r w:rsidRPr="00F32542">
              <w:rPr>
                <w:rFonts w:ascii="Arial" w:eastAsia="Calibri" w:hAnsi="Arial" w:cs="Arial"/>
                <w:color w:val="000000"/>
              </w:rPr>
              <w:t>PRI</w:t>
            </w:r>
          </w:p>
        </w:tc>
        <w:tc>
          <w:tcPr>
            <w:tcW w:w="709" w:type="dxa"/>
            <w:tcBorders>
              <w:top w:val="single" w:sz="4" w:space="0" w:color="auto"/>
              <w:left w:val="single" w:sz="4" w:space="0" w:color="auto"/>
              <w:bottom w:val="single" w:sz="4" w:space="0" w:color="auto"/>
              <w:right w:val="single" w:sz="4" w:space="0" w:color="auto"/>
            </w:tcBorders>
            <w:vAlign w:val="center"/>
          </w:tcPr>
          <w:p w14:paraId="1271EF0B"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7EC2CD9"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A814EFB"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DBFDE55"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4C13320" w14:textId="77777777" w:rsidR="00F94B48" w:rsidRPr="00F32542" w:rsidRDefault="00F94B48" w:rsidP="00F94B48">
            <w:pPr>
              <w:spacing w:after="0" w:line="240" w:lineRule="auto"/>
              <w:jc w:val="center"/>
              <w:rPr>
                <w:rFonts w:ascii="Arial" w:eastAsia="Calibri"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2D34113" w14:textId="77777777" w:rsidR="00F94B48" w:rsidRPr="00F32542" w:rsidRDefault="00F94B48" w:rsidP="00F94B48">
            <w:pPr>
              <w:spacing w:after="0" w:line="240" w:lineRule="auto"/>
              <w:jc w:val="center"/>
              <w:rPr>
                <w:rFonts w:ascii="Arial" w:eastAsia="Calibri"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4D741F56"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5</w:t>
            </w:r>
          </w:p>
        </w:tc>
        <w:tc>
          <w:tcPr>
            <w:tcW w:w="993" w:type="dxa"/>
            <w:tcBorders>
              <w:top w:val="single" w:sz="4" w:space="0" w:color="auto"/>
              <w:left w:val="single" w:sz="4" w:space="0" w:color="auto"/>
              <w:bottom w:val="single" w:sz="4" w:space="0" w:color="auto"/>
              <w:right w:val="single" w:sz="4" w:space="0" w:color="auto"/>
            </w:tcBorders>
            <w:vAlign w:val="center"/>
          </w:tcPr>
          <w:p w14:paraId="7AE3113D"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41939AF"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9</w:t>
            </w:r>
          </w:p>
        </w:tc>
      </w:tr>
      <w:tr w:rsidR="00F94B48" w:rsidRPr="00F32542" w14:paraId="188FE922" w14:textId="77777777" w:rsidTr="00B65D24">
        <w:trPr>
          <w:trHeight w:val="397"/>
          <w:jc w:val="center"/>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tcPr>
          <w:p w14:paraId="15424264" w14:textId="77777777" w:rsidR="00F94B48" w:rsidRPr="00F32542" w:rsidRDefault="00F94B48" w:rsidP="00F94B48">
            <w:pPr>
              <w:spacing w:after="0" w:line="240" w:lineRule="auto"/>
              <w:jc w:val="center"/>
              <w:rPr>
                <w:rFonts w:ascii="Arial" w:eastAsia="Calibri" w:hAnsi="Arial" w:cs="Arial"/>
                <w:color w:val="000000"/>
              </w:rPr>
            </w:pPr>
            <w:r w:rsidRPr="00F32542">
              <w:rPr>
                <w:rFonts w:ascii="Arial" w:eastAsia="Calibri" w:hAnsi="Arial" w:cs="Arial"/>
                <w:color w:val="000000"/>
              </w:rPr>
              <w:t>PRD</w:t>
            </w:r>
          </w:p>
        </w:tc>
        <w:tc>
          <w:tcPr>
            <w:tcW w:w="709" w:type="dxa"/>
            <w:tcBorders>
              <w:top w:val="single" w:sz="4" w:space="0" w:color="auto"/>
              <w:left w:val="single" w:sz="4" w:space="0" w:color="auto"/>
              <w:bottom w:val="single" w:sz="4" w:space="0" w:color="auto"/>
              <w:right w:val="single" w:sz="4" w:space="0" w:color="auto"/>
            </w:tcBorders>
            <w:vAlign w:val="center"/>
          </w:tcPr>
          <w:p w14:paraId="29F9C41B"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DE5081D"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75253E" w14:textId="77777777" w:rsidR="00F94B48" w:rsidRPr="00F32542" w:rsidRDefault="00F94B48" w:rsidP="00F94B48">
            <w:pPr>
              <w:spacing w:after="0" w:line="240" w:lineRule="auto"/>
              <w:jc w:val="center"/>
              <w:rPr>
                <w:rFonts w:ascii="Arial" w:eastAsia="Calibri"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72273CB"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FC11C65" w14:textId="77777777" w:rsidR="00F94B48" w:rsidRPr="00F32542" w:rsidRDefault="00F94B48" w:rsidP="00F94B48">
            <w:pPr>
              <w:spacing w:after="0" w:line="240" w:lineRule="auto"/>
              <w:jc w:val="center"/>
              <w:rPr>
                <w:rFonts w:ascii="Arial" w:eastAsia="Calibri"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E6B2CE1" w14:textId="77777777" w:rsidR="00F94B48" w:rsidRPr="00F32542" w:rsidRDefault="00F94B48" w:rsidP="00F94B48">
            <w:pPr>
              <w:spacing w:after="0" w:line="240" w:lineRule="auto"/>
              <w:jc w:val="center"/>
              <w:rPr>
                <w:rFonts w:ascii="Arial" w:eastAsia="Calibri"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40A57394"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2</w:t>
            </w:r>
          </w:p>
        </w:tc>
        <w:tc>
          <w:tcPr>
            <w:tcW w:w="993" w:type="dxa"/>
            <w:tcBorders>
              <w:top w:val="single" w:sz="4" w:space="0" w:color="auto"/>
              <w:left w:val="single" w:sz="4" w:space="0" w:color="auto"/>
              <w:bottom w:val="single" w:sz="4" w:space="0" w:color="auto"/>
              <w:right w:val="single" w:sz="4" w:space="0" w:color="auto"/>
            </w:tcBorders>
            <w:vAlign w:val="center"/>
          </w:tcPr>
          <w:p w14:paraId="264FC551"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517204"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5</w:t>
            </w:r>
          </w:p>
        </w:tc>
      </w:tr>
      <w:tr w:rsidR="00F94B48" w:rsidRPr="00F32542" w14:paraId="73AF400D" w14:textId="77777777" w:rsidTr="00B65D24">
        <w:trPr>
          <w:trHeight w:val="39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3EF837C" w14:textId="77777777" w:rsidR="00F94B48" w:rsidRPr="00F32542" w:rsidRDefault="00F94B48" w:rsidP="00F94B48">
            <w:pPr>
              <w:spacing w:after="0" w:line="240" w:lineRule="auto"/>
              <w:jc w:val="center"/>
              <w:rPr>
                <w:rFonts w:ascii="Arial" w:eastAsia="Calibri" w:hAnsi="Arial" w:cs="Arial"/>
                <w:color w:val="000000"/>
              </w:rPr>
            </w:pPr>
            <w:r w:rsidRPr="00F32542">
              <w:rPr>
                <w:rFonts w:ascii="Arial" w:eastAsia="Calibri" w:hAnsi="Arial" w:cs="Arial"/>
                <w:color w:val="000000"/>
              </w:rPr>
              <w:t>PVEM</w:t>
            </w:r>
          </w:p>
        </w:tc>
        <w:tc>
          <w:tcPr>
            <w:tcW w:w="709" w:type="dxa"/>
            <w:tcBorders>
              <w:top w:val="single" w:sz="4" w:space="0" w:color="auto"/>
              <w:left w:val="single" w:sz="4" w:space="0" w:color="auto"/>
              <w:bottom w:val="single" w:sz="4" w:space="0" w:color="auto"/>
              <w:right w:val="single" w:sz="4" w:space="0" w:color="auto"/>
            </w:tcBorders>
            <w:vAlign w:val="center"/>
          </w:tcPr>
          <w:p w14:paraId="7694067B" w14:textId="77777777" w:rsidR="00F94B48" w:rsidRPr="00F32542" w:rsidRDefault="00F94B48" w:rsidP="00F94B48">
            <w:pPr>
              <w:spacing w:after="0" w:line="240" w:lineRule="auto"/>
              <w:jc w:val="center"/>
              <w:rPr>
                <w:rFonts w:ascii="Arial" w:eastAsia="Calibri"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7C9A61B"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F61260"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42BF265" w14:textId="77777777" w:rsidR="00F94B48" w:rsidRPr="00F32542" w:rsidRDefault="00F94B48" w:rsidP="00F94B48">
            <w:pPr>
              <w:spacing w:after="0" w:line="240" w:lineRule="auto"/>
              <w:jc w:val="center"/>
              <w:rPr>
                <w:rFonts w:ascii="Arial" w:eastAsia="Calibri"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4FF00E9" w14:textId="77777777" w:rsidR="00F94B48" w:rsidRPr="00F32542" w:rsidRDefault="00F94B48" w:rsidP="00F94B48">
            <w:pPr>
              <w:spacing w:after="0" w:line="240" w:lineRule="auto"/>
              <w:jc w:val="center"/>
              <w:rPr>
                <w:rFonts w:ascii="Arial" w:eastAsia="Calibri"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5D2938E" w14:textId="77777777" w:rsidR="00F94B48" w:rsidRPr="00F32542" w:rsidRDefault="00F94B48" w:rsidP="00F94B48">
            <w:pPr>
              <w:spacing w:after="0" w:line="240" w:lineRule="auto"/>
              <w:jc w:val="center"/>
              <w:rPr>
                <w:rFonts w:ascii="Arial" w:eastAsia="Calibri"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3A738F2B"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c>
          <w:tcPr>
            <w:tcW w:w="993" w:type="dxa"/>
            <w:tcBorders>
              <w:top w:val="single" w:sz="4" w:space="0" w:color="auto"/>
              <w:left w:val="single" w:sz="4" w:space="0" w:color="auto"/>
              <w:bottom w:val="single" w:sz="4" w:space="0" w:color="auto"/>
              <w:right w:val="single" w:sz="4" w:space="0" w:color="auto"/>
            </w:tcBorders>
            <w:vAlign w:val="center"/>
          </w:tcPr>
          <w:p w14:paraId="7E4843A0"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5575D9E"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2</w:t>
            </w:r>
          </w:p>
        </w:tc>
      </w:tr>
      <w:tr w:rsidR="00F94B48" w:rsidRPr="00F32542" w14:paraId="4AF11F96" w14:textId="77777777" w:rsidTr="00B65D24">
        <w:trPr>
          <w:trHeight w:val="39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53921C5" w14:textId="77777777" w:rsidR="00F94B48" w:rsidRPr="00F32542" w:rsidRDefault="00F94B48" w:rsidP="00F94B48">
            <w:pPr>
              <w:spacing w:after="0" w:line="240" w:lineRule="auto"/>
              <w:jc w:val="center"/>
              <w:rPr>
                <w:rFonts w:ascii="Arial" w:eastAsia="Calibri" w:hAnsi="Arial" w:cs="Arial"/>
                <w:color w:val="000000"/>
              </w:rPr>
            </w:pPr>
            <w:r w:rsidRPr="00F32542">
              <w:rPr>
                <w:rFonts w:ascii="Arial" w:eastAsia="Calibri" w:hAnsi="Arial" w:cs="Arial"/>
                <w:color w:val="000000"/>
              </w:rPr>
              <w:t>MC</w:t>
            </w:r>
          </w:p>
        </w:tc>
        <w:tc>
          <w:tcPr>
            <w:tcW w:w="709" w:type="dxa"/>
            <w:tcBorders>
              <w:top w:val="single" w:sz="4" w:space="0" w:color="auto"/>
              <w:left w:val="single" w:sz="4" w:space="0" w:color="auto"/>
              <w:bottom w:val="single" w:sz="4" w:space="0" w:color="auto"/>
              <w:right w:val="single" w:sz="4" w:space="0" w:color="auto"/>
            </w:tcBorders>
            <w:vAlign w:val="center"/>
          </w:tcPr>
          <w:p w14:paraId="1BD13D8A" w14:textId="77777777" w:rsidR="00F94B48" w:rsidRPr="00F32542" w:rsidRDefault="00F94B48" w:rsidP="00F94B48">
            <w:pPr>
              <w:spacing w:after="0" w:line="240" w:lineRule="auto"/>
              <w:jc w:val="center"/>
              <w:rPr>
                <w:rFonts w:ascii="Arial" w:eastAsia="Calibri"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53288BC" w14:textId="77777777" w:rsidR="00F94B48" w:rsidRPr="00F32542" w:rsidRDefault="00F94B48" w:rsidP="00F94B48">
            <w:pPr>
              <w:spacing w:after="0" w:line="240" w:lineRule="auto"/>
              <w:jc w:val="center"/>
              <w:rPr>
                <w:rFonts w:ascii="Arial" w:eastAsia="Calibri"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B47794" w14:textId="77777777" w:rsidR="00F94B48" w:rsidRPr="00F32542" w:rsidRDefault="00F94B48" w:rsidP="00F94B48">
            <w:pPr>
              <w:spacing w:after="0" w:line="240" w:lineRule="auto"/>
              <w:jc w:val="center"/>
              <w:rPr>
                <w:rFonts w:ascii="Arial" w:eastAsia="Calibri"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C5C3618"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893FB93" w14:textId="77777777" w:rsidR="00F94B48" w:rsidRPr="00F32542" w:rsidRDefault="00F94B48" w:rsidP="00F94B48">
            <w:pPr>
              <w:spacing w:after="0" w:line="240" w:lineRule="auto"/>
              <w:jc w:val="center"/>
              <w:rPr>
                <w:rFonts w:ascii="Arial" w:eastAsia="Calibri"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02733D6" w14:textId="77777777" w:rsidR="00F94B48" w:rsidRPr="00F32542" w:rsidRDefault="00F94B48" w:rsidP="00F94B48">
            <w:pPr>
              <w:spacing w:after="0" w:line="240" w:lineRule="auto"/>
              <w:jc w:val="center"/>
              <w:rPr>
                <w:rFonts w:ascii="Arial" w:eastAsia="Calibri"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4AFC4EC4" w14:textId="77777777" w:rsidR="00F94B48" w:rsidRPr="00F32542" w:rsidRDefault="00F94B48" w:rsidP="00F94B48">
            <w:pPr>
              <w:spacing w:after="0" w:line="240" w:lineRule="auto"/>
              <w:jc w:val="center"/>
              <w:rPr>
                <w:rFonts w:ascii="Arial" w:eastAsia="Calibri" w:hAnsi="Arial" w:cs="Arial"/>
              </w:rPr>
            </w:pPr>
          </w:p>
        </w:tc>
        <w:tc>
          <w:tcPr>
            <w:tcW w:w="993" w:type="dxa"/>
            <w:tcBorders>
              <w:top w:val="single" w:sz="4" w:space="0" w:color="auto"/>
              <w:left w:val="single" w:sz="4" w:space="0" w:color="auto"/>
              <w:bottom w:val="single" w:sz="4" w:space="0" w:color="auto"/>
              <w:right w:val="single" w:sz="4" w:space="0" w:color="auto"/>
            </w:tcBorders>
            <w:vAlign w:val="center"/>
          </w:tcPr>
          <w:p w14:paraId="4C668D9E"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53CD21"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w:t>
            </w:r>
          </w:p>
        </w:tc>
      </w:tr>
      <w:tr w:rsidR="00F94B48" w:rsidRPr="00F32542" w14:paraId="316C032E" w14:textId="77777777" w:rsidTr="00B65D24">
        <w:trPr>
          <w:trHeight w:val="39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F55AAF7" w14:textId="77777777" w:rsidR="00F94B48" w:rsidRPr="00F32542" w:rsidRDefault="00F94B48" w:rsidP="00F94B48">
            <w:pPr>
              <w:spacing w:after="0" w:line="240" w:lineRule="auto"/>
              <w:jc w:val="center"/>
              <w:rPr>
                <w:rFonts w:ascii="Arial" w:eastAsia="Calibri" w:hAnsi="Arial" w:cs="Arial"/>
                <w:color w:val="000000"/>
              </w:rPr>
            </w:pPr>
            <w:r w:rsidRPr="00F32542">
              <w:rPr>
                <w:rFonts w:ascii="Arial" w:eastAsia="Calibri" w:hAnsi="Arial" w:cs="Arial"/>
                <w:color w:val="000000"/>
              </w:rPr>
              <w:t>Morena</w:t>
            </w:r>
          </w:p>
        </w:tc>
        <w:tc>
          <w:tcPr>
            <w:tcW w:w="709" w:type="dxa"/>
            <w:tcBorders>
              <w:top w:val="single" w:sz="4" w:space="0" w:color="auto"/>
              <w:left w:val="single" w:sz="4" w:space="0" w:color="auto"/>
              <w:bottom w:val="single" w:sz="4" w:space="0" w:color="auto"/>
              <w:right w:val="single" w:sz="4" w:space="0" w:color="auto"/>
            </w:tcBorders>
            <w:vAlign w:val="center"/>
          </w:tcPr>
          <w:p w14:paraId="348C87AB"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E3D7EF8"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3CAD62"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D478C4"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429F42F" w14:textId="77777777" w:rsidR="00F94B48" w:rsidRPr="00F32542" w:rsidRDefault="00F94B48" w:rsidP="00F94B48">
            <w:pPr>
              <w:spacing w:after="0" w:line="240" w:lineRule="auto"/>
              <w:jc w:val="center"/>
              <w:rPr>
                <w:rFonts w:ascii="Arial" w:eastAsia="Calibri"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8898804" w14:textId="77777777" w:rsidR="00F94B48" w:rsidRPr="00F32542" w:rsidRDefault="00F94B48" w:rsidP="00F94B48">
            <w:pPr>
              <w:spacing w:after="0" w:line="240" w:lineRule="auto"/>
              <w:jc w:val="center"/>
              <w:rPr>
                <w:rFonts w:ascii="Arial" w:eastAsia="Calibri"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6F33CC3B"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18</w:t>
            </w:r>
          </w:p>
        </w:tc>
        <w:tc>
          <w:tcPr>
            <w:tcW w:w="993" w:type="dxa"/>
            <w:tcBorders>
              <w:top w:val="single" w:sz="4" w:space="0" w:color="auto"/>
              <w:left w:val="single" w:sz="4" w:space="0" w:color="auto"/>
              <w:bottom w:val="single" w:sz="4" w:space="0" w:color="auto"/>
              <w:right w:val="single" w:sz="4" w:space="0" w:color="auto"/>
            </w:tcBorders>
            <w:vAlign w:val="center"/>
          </w:tcPr>
          <w:p w14:paraId="312ED7EA"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1DF5CF" w14:textId="77777777" w:rsidR="00F94B48" w:rsidRPr="00F32542" w:rsidRDefault="00F94B48" w:rsidP="00F94B48">
            <w:pPr>
              <w:spacing w:after="0" w:line="240" w:lineRule="auto"/>
              <w:jc w:val="center"/>
              <w:rPr>
                <w:rFonts w:ascii="Arial" w:eastAsia="Calibri" w:hAnsi="Arial" w:cs="Arial"/>
              </w:rPr>
            </w:pPr>
            <w:r w:rsidRPr="00F32542">
              <w:rPr>
                <w:rFonts w:ascii="Arial" w:eastAsia="Calibri" w:hAnsi="Arial" w:cs="Arial"/>
              </w:rPr>
              <w:t>32</w:t>
            </w:r>
          </w:p>
        </w:tc>
      </w:tr>
      <w:tr w:rsidR="00F94B48" w:rsidRPr="00F32542" w14:paraId="1B906FFC" w14:textId="77777777" w:rsidTr="00F94B48">
        <w:trPr>
          <w:trHeight w:val="397"/>
          <w:jc w:val="center"/>
        </w:trPr>
        <w:tc>
          <w:tcPr>
            <w:tcW w:w="1271" w:type="dxa"/>
            <w:tcBorders>
              <w:top w:val="single" w:sz="4" w:space="0" w:color="auto"/>
            </w:tcBorders>
            <w:shd w:val="clear" w:color="auto" w:fill="AEAAAA"/>
            <w:vAlign w:val="center"/>
          </w:tcPr>
          <w:p w14:paraId="17C2D4A7"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TOTAL</w:t>
            </w:r>
          </w:p>
        </w:tc>
        <w:tc>
          <w:tcPr>
            <w:tcW w:w="709" w:type="dxa"/>
            <w:tcBorders>
              <w:top w:val="single" w:sz="4" w:space="0" w:color="auto"/>
            </w:tcBorders>
            <w:shd w:val="clear" w:color="auto" w:fill="AEAAAA"/>
            <w:vAlign w:val="center"/>
          </w:tcPr>
          <w:p w14:paraId="2864D573" w14:textId="77777777" w:rsidR="00F94B48" w:rsidRPr="00F32542" w:rsidRDefault="00F94B48" w:rsidP="00F94B48">
            <w:pPr>
              <w:spacing w:after="0" w:line="240" w:lineRule="auto"/>
              <w:jc w:val="center"/>
              <w:rPr>
                <w:rFonts w:ascii="Arial" w:eastAsia="Calibri" w:hAnsi="Arial" w:cs="Arial"/>
                <w:b/>
              </w:rPr>
            </w:pPr>
            <w:r w:rsidRPr="00F32542">
              <w:rPr>
                <w:rFonts w:ascii="Arial" w:eastAsia="Calibri" w:hAnsi="Arial" w:cs="Arial"/>
                <w:b/>
              </w:rPr>
              <w:t>20</w:t>
            </w:r>
          </w:p>
        </w:tc>
        <w:tc>
          <w:tcPr>
            <w:tcW w:w="850" w:type="dxa"/>
            <w:tcBorders>
              <w:top w:val="single" w:sz="4" w:space="0" w:color="auto"/>
              <w:left w:val="nil"/>
              <w:bottom w:val="single" w:sz="4" w:space="0" w:color="auto"/>
              <w:right w:val="nil"/>
            </w:tcBorders>
            <w:shd w:val="clear" w:color="auto" w:fill="AEAAAA"/>
            <w:vAlign w:val="center"/>
          </w:tcPr>
          <w:p w14:paraId="3F5D5AE5" w14:textId="77777777" w:rsidR="00F94B48" w:rsidRPr="00F32542" w:rsidRDefault="00F94B48" w:rsidP="00F94B48">
            <w:pPr>
              <w:spacing w:after="0" w:line="240" w:lineRule="auto"/>
              <w:jc w:val="center"/>
              <w:rPr>
                <w:rFonts w:ascii="Arial" w:eastAsia="Calibri" w:hAnsi="Arial" w:cs="Arial"/>
                <w:b/>
              </w:rPr>
            </w:pPr>
            <w:r w:rsidRPr="00F32542">
              <w:rPr>
                <w:rFonts w:ascii="Arial" w:eastAsia="Calibri" w:hAnsi="Arial" w:cs="Arial"/>
                <w:b/>
              </w:rPr>
              <w:t>13</w:t>
            </w:r>
          </w:p>
        </w:tc>
        <w:tc>
          <w:tcPr>
            <w:tcW w:w="709" w:type="dxa"/>
            <w:tcBorders>
              <w:top w:val="single" w:sz="4" w:space="0" w:color="auto"/>
            </w:tcBorders>
            <w:shd w:val="clear" w:color="auto" w:fill="AEAAAA"/>
            <w:vAlign w:val="center"/>
          </w:tcPr>
          <w:p w14:paraId="7B74CCEB"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13</w:t>
            </w:r>
          </w:p>
        </w:tc>
        <w:tc>
          <w:tcPr>
            <w:tcW w:w="851" w:type="dxa"/>
            <w:tcBorders>
              <w:top w:val="single" w:sz="4" w:space="0" w:color="auto"/>
            </w:tcBorders>
            <w:shd w:val="clear" w:color="auto" w:fill="AEAAAA"/>
            <w:vAlign w:val="center"/>
          </w:tcPr>
          <w:p w14:paraId="4AE64962"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19</w:t>
            </w:r>
          </w:p>
        </w:tc>
        <w:tc>
          <w:tcPr>
            <w:tcW w:w="425" w:type="dxa"/>
            <w:tcBorders>
              <w:top w:val="single" w:sz="4" w:space="0" w:color="auto"/>
            </w:tcBorders>
            <w:shd w:val="clear" w:color="auto" w:fill="AEAAAA"/>
            <w:vAlign w:val="center"/>
          </w:tcPr>
          <w:p w14:paraId="7F9A11BC" w14:textId="77777777" w:rsidR="00F94B48" w:rsidRPr="00F32542" w:rsidRDefault="00F94B48" w:rsidP="00F94B48">
            <w:pPr>
              <w:spacing w:after="0" w:line="240" w:lineRule="auto"/>
              <w:jc w:val="center"/>
              <w:rPr>
                <w:rFonts w:ascii="Arial" w:eastAsia="Calibri" w:hAnsi="Arial" w:cs="Arial"/>
                <w:b/>
                <w:lang w:val="es-ES"/>
              </w:rPr>
            </w:pPr>
          </w:p>
        </w:tc>
        <w:tc>
          <w:tcPr>
            <w:tcW w:w="850" w:type="dxa"/>
            <w:tcBorders>
              <w:top w:val="single" w:sz="4" w:space="0" w:color="auto"/>
            </w:tcBorders>
            <w:shd w:val="clear" w:color="auto" w:fill="AEAAAA"/>
            <w:vAlign w:val="center"/>
          </w:tcPr>
          <w:p w14:paraId="54A75108"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1</w:t>
            </w:r>
          </w:p>
        </w:tc>
        <w:tc>
          <w:tcPr>
            <w:tcW w:w="567" w:type="dxa"/>
            <w:tcBorders>
              <w:top w:val="single" w:sz="4" w:space="0" w:color="auto"/>
            </w:tcBorders>
            <w:shd w:val="clear" w:color="auto" w:fill="AEAAAA"/>
            <w:vAlign w:val="center"/>
          </w:tcPr>
          <w:p w14:paraId="31DC83F0"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33</w:t>
            </w:r>
          </w:p>
        </w:tc>
        <w:tc>
          <w:tcPr>
            <w:tcW w:w="993" w:type="dxa"/>
            <w:tcBorders>
              <w:top w:val="single" w:sz="4" w:space="0" w:color="auto"/>
            </w:tcBorders>
            <w:shd w:val="clear" w:color="auto" w:fill="AEAAAA"/>
            <w:vAlign w:val="center"/>
          </w:tcPr>
          <w:p w14:paraId="73BE5478"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t>33</w:t>
            </w:r>
          </w:p>
        </w:tc>
        <w:tc>
          <w:tcPr>
            <w:tcW w:w="1559" w:type="dxa"/>
            <w:tcBorders>
              <w:top w:val="single" w:sz="4" w:space="0" w:color="auto"/>
            </w:tcBorders>
            <w:shd w:val="clear" w:color="auto" w:fill="AEAAAA"/>
            <w:vAlign w:val="center"/>
          </w:tcPr>
          <w:p w14:paraId="67BB67F7" w14:textId="77777777" w:rsidR="00F94B48" w:rsidRPr="00F32542" w:rsidRDefault="00F94B48" w:rsidP="00F94B48">
            <w:pPr>
              <w:spacing w:after="0" w:line="240" w:lineRule="auto"/>
              <w:jc w:val="center"/>
              <w:rPr>
                <w:rFonts w:ascii="Arial" w:eastAsia="Calibri" w:hAnsi="Arial" w:cs="Arial"/>
                <w:b/>
                <w:lang w:val="es-ES"/>
              </w:rPr>
            </w:pPr>
            <w:r w:rsidRPr="00F32542">
              <w:rPr>
                <w:rFonts w:ascii="Arial" w:eastAsia="Calibri" w:hAnsi="Arial" w:cs="Arial"/>
                <w:b/>
                <w:lang w:val="es-ES"/>
              </w:rPr>
              <w:fldChar w:fldCharType="begin"/>
            </w:r>
            <w:r w:rsidRPr="00F32542">
              <w:rPr>
                <w:rFonts w:ascii="Arial" w:eastAsia="Calibri" w:hAnsi="Arial" w:cs="Arial"/>
                <w:b/>
                <w:lang w:val="es-ES"/>
              </w:rPr>
              <w:instrText xml:space="preserve"> =SUM(ABOVE) </w:instrText>
            </w:r>
            <w:r w:rsidRPr="00F32542">
              <w:rPr>
                <w:rFonts w:ascii="Arial" w:eastAsia="Calibri" w:hAnsi="Arial" w:cs="Arial"/>
                <w:b/>
                <w:lang w:val="es-ES"/>
              </w:rPr>
              <w:fldChar w:fldCharType="separate"/>
            </w:r>
            <w:r w:rsidRPr="00F32542">
              <w:rPr>
                <w:rFonts w:ascii="Arial" w:eastAsia="Calibri" w:hAnsi="Arial" w:cs="Arial"/>
                <w:b/>
                <w:noProof/>
                <w:lang w:val="es-ES"/>
              </w:rPr>
              <w:t>66</w:t>
            </w:r>
            <w:r w:rsidRPr="00F32542">
              <w:rPr>
                <w:rFonts w:ascii="Arial" w:eastAsia="Calibri" w:hAnsi="Arial" w:cs="Arial"/>
                <w:b/>
                <w:lang w:val="es-ES"/>
              </w:rPr>
              <w:fldChar w:fldCharType="end"/>
            </w:r>
          </w:p>
        </w:tc>
      </w:tr>
    </w:tbl>
    <w:p w14:paraId="0F24D6B0" w14:textId="77777777" w:rsidR="00F94B48" w:rsidRPr="00F32542" w:rsidRDefault="00F94B48" w:rsidP="00F94B48">
      <w:pPr>
        <w:spacing w:after="0" w:line="360" w:lineRule="auto"/>
        <w:jc w:val="both"/>
        <w:rPr>
          <w:rFonts w:ascii="Arial" w:eastAsia="Calibri" w:hAnsi="Arial" w:cs="Arial"/>
          <w:sz w:val="28"/>
          <w:szCs w:val="28"/>
        </w:rPr>
      </w:pPr>
    </w:p>
    <w:p w14:paraId="134CE400"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De manera que la recomposición en la asignación de representación proporcional tuvo como efecto que la integración total del Congreso sea paritaria, dado que ambos géneros cuentan con treinta y tres espacios. </w:t>
      </w:r>
    </w:p>
    <w:p w14:paraId="07D3811C" w14:textId="77777777" w:rsidR="00F94B48" w:rsidRPr="00F32542" w:rsidRDefault="00F94B48" w:rsidP="00F94B48">
      <w:pPr>
        <w:spacing w:after="0" w:line="360" w:lineRule="auto"/>
        <w:jc w:val="both"/>
        <w:rPr>
          <w:rFonts w:ascii="Arial" w:eastAsia="Calibri" w:hAnsi="Arial" w:cs="Arial"/>
          <w:sz w:val="28"/>
          <w:szCs w:val="28"/>
        </w:rPr>
      </w:pPr>
    </w:p>
    <w:p w14:paraId="580CCFFC"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lastRenderedPageBreak/>
        <w:t xml:space="preserve">Por ende, los argumentos en los que se cuestionaba una integración no paritaria se tornan inoperantes, al haber desaparecido la causa que les dio origen. </w:t>
      </w:r>
    </w:p>
    <w:p w14:paraId="7E93D4F4" w14:textId="77777777" w:rsidR="00F94B48" w:rsidRPr="00F32542" w:rsidRDefault="00F94B48" w:rsidP="00F94B48">
      <w:pPr>
        <w:spacing w:after="0" w:line="360" w:lineRule="auto"/>
        <w:jc w:val="both"/>
        <w:rPr>
          <w:rFonts w:ascii="Arial" w:eastAsia="Calibri" w:hAnsi="Arial" w:cs="Arial"/>
          <w:sz w:val="28"/>
          <w:szCs w:val="28"/>
        </w:rPr>
      </w:pPr>
    </w:p>
    <w:p w14:paraId="085D8FC0"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Por otra parte, son </w:t>
      </w:r>
      <w:r w:rsidRPr="00F32542">
        <w:rPr>
          <w:rFonts w:ascii="Arial" w:eastAsia="Calibri" w:hAnsi="Arial" w:cs="Arial"/>
          <w:b/>
          <w:sz w:val="28"/>
          <w:szCs w:val="28"/>
        </w:rPr>
        <w:t>inoperantes</w:t>
      </w:r>
      <w:r w:rsidRPr="00F32542">
        <w:rPr>
          <w:rFonts w:ascii="Arial" w:eastAsia="Calibri" w:hAnsi="Arial" w:cs="Arial"/>
          <w:sz w:val="28"/>
          <w:szCs w:val="28"/>
        </w:rPr>
        <w:t xml:space="preserve"> los agravios en los que las </w:t>
      </w:r>
      <w:r w:rsidRPr="00F32542">
        <w:rPr>
          <w:rFonts w:ascii="Arial" w:eastAsia="Calibri" w:hAnsi="Arial" w:cs="Arial"/>
          <w:i/>
          <w:sz w:val="28"/>
          <w:szCs w:val="28"/>
        </w:rPr>
        <w:t xml:space="preserve">partes actoras </w:t>
      </w:r>
      <w:r w:rsidRPr="00F32542">
        <w:rPr>
          <w:rFonts w:ascii="Arial" w:eastAsia="Calibri" w:hAnsi="Arial" w:cs="Arial"/>
          <w:sz w:val="28"/>
          <w:szCs w:val="28"/>
        </w:rPr>
        <w:t xml:space="preserve">cuestionan la falta de integración en términos paritarios tanto de la asignación por el principio de representación proporcional, como al interior de los grupos parlamentarios. </w:t>
      </w:r>
    </w:p>
    <w:p w14:paraId="08607D03" w14:textId="77777777" w:rsidR="00F94B48" w:rsidRPr="00F32542" w:rsidRDefault="00F94B48" w:rsidP="00F94B48">
      <w:pPr>
        <w:spacing w:after="0" w:line="360" w:lineRule="auto"/>
        <w:jc w:val="both"/>
        <w:rPr>
          <w:rFonts w:ascii="Arial" w:eastAsia="Calibri" w:hAnsi="Arial" w:cs="Arial"/>
          <w:sz w:val="28"/>
          <w:szCs w:val="28"/>
        </w:rPr>
      </w:pPr>
    </w:p>
    <w:p w14:paraId="78A8A1C5" w14:textId="77777777" w:rsidR="00F94B48" w:rsidRPr="00F32542" w:rsidRDefault="00F94B48" w:rsidP="00F94B48">
      <w:pPr>
        <w:suppressAutoHyphens/>
        <w:autoSpaceDN w:val="0"/>
        <w:spacing w:after="0" w:line="360" w:lineRule="auto"/>
        <w:jc w:val="both"/>
        <w:textAlignment w:val="baseline"/>
        <w:rPr>
          <w:rFonts w:ascii="Arial" w:eastAsia="Calibri" w:hAnsi="Arial" w:cs="Arial"/>
          <w:sz w:val="28"/>
          <w:szCs w:val="28"/>
        </w:rPr>
      </w:pPr>
      <w:r w:rsidRPr="00F32542">
        <w:rPr>
          <w:rFonts w:ascii="Arial" w:eastAsia="Calibri" w:hAnsi="Arial" w:cs="Arial"/>
          <w:sz w:val="28"/>
          <w:szCs w:val="28"/>
        </w:rPr>
        <w:t xml:space="preserve">Lo anterior, toda vez que las </w:t>
      </w:r>
      <w:r w:rsidRPr="00F32542">
        <w:rPr>
          <w:rFonts w:ascii="Arial" w:eastAsia="Calibri" w:hAnsi="Arial" w:cs="Arial"/>
          <w:i/>
          <w:sz w:val="28"/>
          <w:szCs w:val="28"/>
        </w:rPr>
        <w:t>partes demandantes</w:t>
      </w:r>
      <w:r w:rsidRPr="00F32542">
        <w:rPr>
          <w:rFonts w:ascii="Arial" w:eastAsia="Calibri" w:hAnsi="Arial" w:cs="Arial"/>
          <w:sz w:val="28"/>
          <w:szCs w:val="28"/>
        </w:rPr>
        <w:t xml:space="preserve"> parten de una premisa errónea, al considerar que el respeto al principio constitucional de paridad de género en la integración del </w:t>
      </w:r>
      <w:r w:rsidRPr="00F32542">
        <w:rPr>
          <w:rFonts w:ascii="Arial" w:eastAsia="Calibri" w:hAnsi="Arial" w:cs="Arial"/>
          <w:i/>
          <w:sz w:val="28"/>
          <w:szCs w:val="28"/>
        </w:rPr>
        <w:t>Congreso</w:t>
      </w:r>
      <w:r w:rsidRPr="00F32542">
        <w:rPr>
          <w:rFonts w:ascii="Arial" w:eastAsia="Calibri" w:hAnsi="Arial" w:cs="Arial"/>
          <w:sz w:val="28"/>
          <w:szCs w:val="28"/>
        </w:rPr>
        <w:t xml:space="preserve"> también implica garantizar la integración paritaria en la etapa de asignaciones por el principio de representación proporcional y al interior de los grupos parlamentarios del órgano legislativo local. </w:t>
      </w:r>
    </w:p>
    <w:p w14:paraId="7852FFEB" w14:textId="77777777" w:rsidR="00F94B48" w:rsidRPr="00F32542" w:rsidRDefault="00F94B48" w:rsidP="00F94B48">
      <w:pPr>
        <w:spacing w:after="0" w:line="360" w:lineRule="auto"/>
        <w:jc w:val="both"/>
        <w:rPr>
          <w:rFonts w:ascii="Arial" w:eastAsia="Calibri" w:hAnsi="Arial" w:cs="Times New Roman"/>
          <w:sz w:val="28"/>
          <w:szCs w:val="28"/>
        </w:rPr>
      </w:pPr>
    </w:p>
    <w:p w14:paraId="2330D63B" w14:textId="77777777" w:rsidR="00F94B48" w:rsidRPr="00F32542" w:rsidRDefault="00F94B48" w:rsidP="00F94B48">
      <w:pPr>
        <w:spacing w:after="0" w:line="360" w:lineRule="auto"/>
        <w:jc w:val="both"/>
        <w:rPr>
          <w:rFonts w:ascii="Arial" w:eastAsia="Calibri" w:hAnsi="Arial" w:cs="Times New Roman"/>
          <w:b/>
          <w:sz w:val="28"/>
          <w:szCs w:val="28"/>
        </w:rPr>
      </w:pPr>
      <w:r w:rsidRPr="00F32542">
        <w:rPr>
          <w:rFonts w:ascii="Arial" w:eastAsia="Calibri" w:hAnsi="Arial" w:cs="Times New Roman"/>
          <w:sz w:val="28"/>
          <w:szCs w:val="28"/>
        </w:rPr>
        <w:t xml:space="preserve">Esto es, como se vio en apartados precedentes, para definir el alcance del principio de paridad de género al momento de la integración de un órgano de representación popular </w:t>
      </w:r>
      <w:r w:rsidRPr="00F32542">
        <w:rPr>
          <w:rFonts w:ascii="Arial" w:eastAsia="Calibri" w:hAnsi="Arial" w:cs="Times New Roman"/>
          <w:b/>
          <w:sz w:val="28"/>
          <w:szCs w:val="28"/>
        </w:rPr>
        <w:t xml:space="preserve">deben atenderse las reglas específicas previstas en la normativa aplicable. </w:t>
      </w:r>
    </w:p>
    <w:p w14:paraId="239752A7" w14:textId="77777777" w:rsidR="00F94B48" w:rsidRPr="00F32542" w:rsidRDefault="00F94B48" w:rsidP="00F94B48">
      <w:pPr>
        <w:spacing w:after="0" w:line="360" w:lineRule="auto"/>
        <w:jc w:val="both"/>
        <w:rPr>
          <w:rFonts w:ascii="Arial" w:eastAsia="Calibri" w:hAnsi="Arial" w:cs="Times New Roman"/>
          <w:sz w:val="28"/>
          <w:szCs w:val="28"/>
        </w:rPr>
      </w:pPr>
    </w:p>
    <w:p w14:paraId="7F4A9380"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En ese contexto, cabe destacar que la reforma a los artículos 35, fracción II, 41, base I, de la </w:t>
      </w:r>
      <w:r w:rsidRPr="00F32542">
        <w:rPr>
          <w:rFonts w:ascii="Arial" w:eastAsia="Calibri" w:hAnsi="Arial" w:cs="Times New Roman"/>
          <w:i/>
          <w:sz w:val="28"/>
          <w:szCs w:val="28"/>
        </w:rPr>
        <w:t>Constitución Federal</w:t>
      </w:r>
      <w:r w:rsidRPr="00F32542">
        <w:rPr>
          <w:rFonts w:ascii="Arial" w:eastAsia="Calibri" w:hAnsi="Arial" w:cs="Times New Roman"/>
          <w:sz w:val="28"/>
          <w:szCs w:val="28"/>
        </w:rPr>
        <w:t xml:space="preserve">, publicada en el Diario Oficial de la Federación el seis de junio de dos mil nueve, tuvo como finalidad instituir el principio de paridad de género en la conformación de los órganos representativos de la voluntad popular, mediante las siguientes disposiciones: </w:t>
      </w:r>
    </w:p>
    <w:p w14:paraId="6B099699" w14:textId="77777777" w:rsidR="00F94B48" w:rsidRPr="00F32542" w:rsidRDefault="00F94B48" w:rsidP="00F94B48">
      <w:pPr>
        <w:spacing w:after="0" w:line="360" w:lineRule="auto"/>
        <w:jc w:val="both"/>
        <w:rPr>
          <w:rFonts w:ascii="Arial" w:eastAsia="Calibri" w:hAnsi="Arial" w:cs="Times New Roman"/>
          <w:sz w:val="28"/>
          <w:szCs w:val="28"/>
        </w:rPr>
      </w:pPr>
    </w:p>
    <w:p w14:paraId="69E36A95" w14:textId="77777777" w:rsidR="00F94B48" w:rsidRPr="00F32542" w:rsidRDefault="00F94B48" w:rsidP="009B6ED0">
      <w:pPr>
        <w:numPr>
          <w:ilvl w:val="0"/>
          <w:numId w:val="29"/>
        </w:numPr>
        <w:spacing w:after="0" w:line="360" w:lineRule="auto"/>
        <w:contextualSpacing/>
        <w:jc w:val="both"/>
        <w:rPr>
          <w:rFonts w:ascii="Arial" w:eastAsia="Calibri" w:hAnsi="Arial" w:cs="Times New Roman"/>
          <w:sz w:val="28"/>
          <w:szCs w:val="28"/>
        </w:rPr>
      </w:pPr>
      <w:r w:rsidRPr="00F32542">
        <w:rPr>
          <w:rFonts w:ascii="Arial" w:eastAsia="Calibri" w:hAnsi="Arial" w:cs="Times New Roman"/>
          <w:sz w:val="28"/>
          <w:szCs w:val="28"/>
        </w:rPr>
        <w:lastRenderedPageBreak/>
        <w:t xml:space="preserve">Reconoce el derecho fundamental de la ciudadanía de </w:t>
      </w:r>
      <w:r w:rsidRPr="00F32542">
        <w:rPr>
          <w:rFonts w:ascii="Arial" w:eastAsia="Calibri" w:hAnsi="Arial" w:cs="Times New Roman"/>
          <w:b/>
          <w:sz w:val="28"/>
          <w:szCs w:val="28"/>
        </w:rPr>
        <w:t>poder ser votada en condiciones de paridad para todos los cargos de elección popular</w:t>
      </w:r>
      <w:r w:rsidRPr="00F32542">
        <w:rPr>
          <w:rFonts w:ascii="Arial" w:eastAsia="Calibri" w:hAnsi="Arial" w:cs="Times New Roman"/>
          <w:sz w:val="28"/>
          <w:szCs w:val="28"/>
        </w:rPr>
        <w:t xml:space="preserve"> (artículo 35, fracción II).</w:t>
      </w:r>
    </w:p>
    <w:p w14:paraId="547CD1D6" w14:textId="77777777" w:rsidR="00F94B48" w:rsidRPr="00F32542" w:rsidRDefault="00F94B48" w:rsidP="00F94B48">
      <w:pPr>
        <w:spacing w:after="0" w:line="360" w:lineRule="auto"/>
        <w:ind w:left="720"/>
        <w:contextualSpacing/>
        <w:jc w:val="both"/>
        <w:rPr>
          <w:rFonts w:ascii="Arial" w:eastAsia="Calibri" w:hAnsi="Arial" w:cs="Times New Roman"/>
          <w:sz w:val="28"/>
          <w:szCs w:val="28"/>
        </w:rPr>
      </w:pPr>
    </w:p>
    <w:p w14:paraId="538AD44F" w14:textId="77777777" w:rsidR="00F94B48" w:rsidRPr="00F32542" w:rsidRDefault="00F94B48" w:rsidP="009B6ED0">
      <w:pPr>
        <w:numPr>
          <w:ilvl w:val="0"/>
          <w:numId w:val="29"/>
        </w:numPr>
        <w:spacing w:after="0" w:line="360" w:lineRule="auto"/>
        <w:contextualSpacing/>
        <w:jc w:val="both"/>
        <w:rPr>
          <w:rFonts w:ascii="Arial" w:eastAsia="Calibri" w:hAnsi="Arial" w:cs="Times New Roman"/>
          <w:sz w:val="28"/>
          <w:szCs w:val="28"/>
        </w:rPr>
      </w:pPr>
      <w:r w:rsidRPr="00F32542">
        <w:rPr>
          <w:rFonts w:ascii="Arial" w:eastAsia="Calibri" w:hAnsi="Arial" w:cs="Times New Roman"/>
          <w:sz w:val="28"/>
          <w:szCs w:val="28"/>
        </w:rPr>
        <w:t>Impone a los partidos políticos (artículo 41, base I):</w:t>
      </w:r>
    </w:p>
    <w:p w14:paraId="0FFFC52D" w14:textId="77777777" w:rsidR="00F94B48" w:rsidRPr="00F32542" w:rsidRDefault="00F94B48" w:rsidP="00F94B48">
      <w:pPr>
        <w:spacing w:after="0" w:line="360" w:lineRule="auto"/>
        <w:ind w:left="720"/>
        <w:contextualSpacing/>
        <w:jc w:val="both"/>
        <w:rPr>
          <w:rFonts w:ascii="Arial" w:eastAsia="Calibri" w:hAnsi="Arial" w:cs="Times New Roman"/>
          <w:sz w:val="28"/>
          <w:szCs w:val="28"/>
        </w:rPr>
      </w:pPr>
    </w:p>
    <w:p w14:paraId="623C0718" w14:textId="77777777" w:rsidR="00F94B48" w:rsidRPr="00F32542" w:rsidRDefault="00F94B48" w:rsidP="009B6ED0">
      <w:pPr>
        <w:numPr>
          <w:ilvl w:val="1"/>
          <w:numId w:val="29"/>
        </w:numPr>
        <w:spacing w:after="0" w:line="360" w:lineRule="auto"/>
        <w:contextualSpacing/>
        <w:jc w:val="both"/>
        <w:rPr>
          <w:rFonts w:ascii="Arial" w:eastAsia="Calibri" w:hAnsi="Arial" w:cs="Times New Roman"/>
          <w:sz w:val="28"/>
          <w:szCs w:val="28"/>
        </w:rPr>
      </w:pPr>
      <w:r w:rsidRPr="00F32542">
        <w:rPr>
          <w:rFonts w:ascii="Arial" w:eastAsia="Calibri" w:hAnsi="Arial" w:cs="Times New Roman"/>
          <w:b/>
          <w:sz w:val="28"/>
          <w:szCs w:val="28"/>
        </w:rPr>
        <w:t>Observar el principio de paridad de género</w:t>
      </w:r>
      <w:r w:rsidRPr="00F32542">
        <w:rPr>
          <w:rFonts w:ascii="Arial" w:eastAsia="Calibri" w:hAnsi="Arial" w:cs="Times New Roman"/>
          <w:sz w:val="28"/>
          <w:szCs w:val="28"/>
        </w:rPr>
        <w:t xml:space="preserve"> en la </w:t>
      </w:r>
      <w:r w:rsidRPr="00F32542">
        <w:rPr>
          <w:rFonts w:ascii="Arial" w:eastAsia="Calibri" w:hAnsi="Arial" w:cs="Times New Roman"/>
          <w:b/>
          <w:sz w:val="28"/>
          <w:szCs w:val="28"/>
          <w:u w:val="single"/>
        </w:rPr>
        <w:t>postulación de sus candidaturas</w:t>
      </w:r>
      <w:r w:rsidRPr="00F32542">
        <w:rPr>
          <w:rFonts w:ascii="Arial" w:eastAsia="Calibri" w:hAnsi="Arial" w:cs="Times New Roman"/>
          <w:sz w:val="28"/>
          <w:szCs w:val="28"/>
        </w:rPr>
        <w:t>.</w:t>
      </w:r>
    </w:p>
    <w:p w14:paraId="33E902F4" w14:textId="77777777" w:rsidR="00F94B48" w:rsidRPr="00F32542" w:rsidRDefault="00F94B48" w:rsidP="009B6ED0">
      <w:pPr>
        <w:numPr>
          <w:ilvl w:val="1"/>
          <w:numId w:val="29"/>
        </w:numPr>
        <w:spacing w:after="0" w:line="360" w:lineRule="auto"/>
        <w:contextualSpacing/>
        <w:jc w:val="both"/>
        <w:rPr>
          <w:rFonts w:ascii="Arial" w:eastAsia="Calibri" w:hAnsi="Arial" w:cs="Times New Roman"/>
          <w:sz w:val="28"/>
          <w:szCs w:val="28"/>
        </w:rPr>
      </w:pPr>
      <w:r w:rsidRPr="00F32542">
        <w:rPr>
          <w:rFonts w:ascii="Arial" w:eastAsia="Calibri" w:hAnsi="Arial" w:cs="Times New Roman"/>
          <w:sz w:val="28"/>
          <w:szCs w:val="28"/>
        </w:rPr>
        <w:t>Fomentar el principio de paridad de género.</w:t>
      </w:r>
    </w:p>
    <w:p w14:paraId="0D231F50" w14:textId="77777777" w:rsidR="00F94B48" w:rsidRPr="00F32542" w:rsidRDefault="00F94B48" w:rsidP="009B6ED0">
      <w:pPr>
        <w:numPr>
          <w:ilvl w:val="1"/>
          <w:numId w:val="29"/>
        </w:numPr>
        <w:spacing w:after="0" w:line="360" w:lineRule="auto"/>
        <w:contextualSpacing/>
        <w:jc w:val="both"/>
        <w:rPr>
          <w:rFonts w:ascii="Arial" w:eastAsia="Calibri" w:hAnsi="Arial" w:cs="Times New Roman"/>
          <w:sz w:val="28"/>
          <w:szCs w:val="28"/>
        </w:rPr>
      </w:pPr>
      <w:r w:rsidRPr="00F32542">
        <w:rPr>
          <w:rFonts w:ascii="Arial" w:eastAsia="Calibri" w:hAnsi="Arial" w:cs="Times New Roman"/>
          <w:sz w:val="28"/>
          <w:szCs w:val="28"/>
        </w:rPr>
        <w:t>Hacer posible el acceso de la ciudadanía al ejercicio del poder público, de acuerdo con los programas, principios e ideas que postulan y mediante el sufragio universal, libre, secreto y directo, así como con las reglas que marque la ley electoral para garantizar la paridad de género, en las candidaturas a los distintos cargos de elección popular.</w:t>
      </w:r>
    </w:p>
    <w:p w14:paraId="1774FD48" w14:textId="77777777" w:rsidR="00F94B48" w:rsidRPr="00F32542" w:rsidRDefault="00F94B48" w:rsidP="00F94B48">
      <w:pPr>
        <w:spacing w:after="0" w:line="360" w:lineRule="auto"/>
        <w:jc w:val="both"/>
        <w:rPr>
          <w:rFonts w:ascii="Arial" w:eastAsia="Calibri" w:hAnsi="Arial" w:cs="Times New Roman"/>
          <w:sz w:val="28"/>
          <w:szCs w:val="28"/>
        </w:rPr>
      </w:pPr>
    </w:p>
    <w:p w14:paraId="7E2575FD" w14:textId="77777777" w:rsidR="00F94B48" w:rsidRPr="00F32542" w:rsidRDefault="00F94B48" w:rsidP="009B6ED0">
      <w:pPr>
        <w:numPr>
          <w:ilvl w:val="0"/>
          <w:numId w:val="29"/>
        </w:numPr>
        <w:spacing w:after="0" w:line="360" w:lineRule="auto"/>
        <w:contextualSpacing/>
        <w:jc w:val="both"/>
        <w:rPr>
          <w:rFonts w:ascii="Arial" w:eastAsia="Calibri" w:hAnsi="Arial" w:cs="Times New Roman"/>
          <w:sz w:val="28"/>
          <w:szCs w:val="28"/>
        </w:rPr>
      </w:pPr>
      <w:r w:rsidRPr="00F32542">
        <w:rPr>
          <w:rFonts w:ascii="Arial" w:eastAsia="Calibri" w:hAnsi="Arial" w:cs="Times New Roman"/>
          <w:sz w:val="28"/>
          <w:szCs w:val="28"/>
        </w:rPr>
        <w:t>Las legislaturas de las entidades federativas, en el ámbito de su competencia, debían realizar las reformas correspondientes en su legislación, para procurar la observancia del principio de paridad de género en los términos del artículo 41 (artículo cuarto transitorio).</w:t>
      </w:r>
    </w:p>
    <w:p w14:paraId="7E2C6C02" w14:textId="77777777" w:rsidR="00F94B48" w:rsidRPr="00F32542" w:rsidRDefault="00F94B48" w:rsidP="00F94B48">
      <w:pPr>
        <w:spacing w:after="0" w:line="360" w:lineRule="auto"/>
        <w:ind w:left="720"/>
        <w:contextualSpacing/>
        <w:jc w:val="both"/>
        <w:rPr>
          <w:rFonts w:ascii="Arial" w:eastAsia="Calibri" w:hAnsi="Arial" w:cs="Times New Roman"/>
          <w:sz w:val="28"/>
          <w:szCs w:val="28"/>
        </w:rPr>
      </w:pPr>
    </w:p>
    <w:p w14:paraId="093887BC"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De manera que, con la aludida reforma, conocida como </w:t>
      </w:r>
      <w:r w:rsidRPr="00F32542">
        <w:rPr>
          <w:rFonts w:ascii="Arial" w:eastAsia="Calibri" w:hAnsi="Arial" w:cs="Times New Roman"/>
          <w:i/>
          <w:sz w:val="28"/>
        </w:rPr>
        <w:t>“Paridad en todo”,</w:t>
      </w:r>
      <w:r w:rsidRPr="00F32542">
        <w:rPr>
          <w:rFonts w:ascii="Arial" w:eastAsia="Calibri" w:hAnsi="Arial" w:cs="Times New Roman"/>
          <w:sz w:val="28"/>
        </w:rPr>
        <w:t xml:space="preserve"> se ha constituido un nuevo paradigma en cuanto al principio de paridad de género, en la medida que constituye el parámetro para integrar los órganos representativos de la voluntad popular, entre ellos, los congresos de las entidades federativas.</w:t>
      </w:r>
    </w:p>
    <w:p w14:paraId="58BBE647" w14:textId="77777777" w:rsidR="00F94B48" w:rsidRPr="00F32542" w:rsidRDefault="00F94B48" w:rsidP="00F94B48">
      <w:pPr>
        <w:suppressAutoHyphens/>
        <w:autoSpaceDN w:val="0"/>
        <w:spacing w:after="0" w:line="360" w:lineRule="auto"/>
        <w:jc w:val="both"/>
        <w:textAlignment w:val="baseline"/>
        <w:rPr>
          <w:rFonts w:ascii="Arial" w:eastAsia="Calibri" w:hAnsi="Arial" w:cs="Arial"/>
          <w:sz w:val="26"/>
          <w:szCs w:val="26"/>
        </w:rPr>
      </w:pPr>
    </w:p>
    <w:p w14:paraId="3B7E075D"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lastRenderedPageBreak/>
        <w:t xml:space="preserve">En ese contexto, en el artículo 27, apartado B, párrafo 2, de la </w:t>
      </w:r>
      <w:r w:rsidRPr="00F32542">
        <w:rPr>
          <w:rFonts w:ascii="Arial" w:eastAsia="Calibri" w:hAnsi="Arial" w:cs="Times New Roman"/>
          <w:i/>
          <w:sz w:val="28"/>
        </w:rPr>
        <w:t>Constitución Local</w:t>
      </w:r>
      <w:r w:rsidRPr="00F32542">
        <w:rPr>
          <w:rFonts w:ascii="Arial" w:eastAsia="Calibri" w:hAnsi="Arial" w:cs="Times New Roman"/>
          <w:sz w:val="28"/>
        </w:rPr>
        <w:t>, se establece el deber de los partidos políticos de adoptar las reglas para garantizar la paridad entre los géneros en candidaturas a diputaciones locales.</w:t>
      </w:r>
    </w:p>
    <w:p w14:paraId="6CED3EE4" w14:textId="77777777" w:rsidR="00F94B48" w:rsidRPr="00F32542" w:rsidRDefault="00F94B48" w:rsidP="00F94B48">
      <w:pPr>
        <w:spacing w:after="0" w:line="360" w:lineRule="auto"/>
        <w:jc w:val="both"/>
        <w:rPr>
          <w:rFonts w:ascii="Arial" w:eastAsia="Calibri" w:hAnsi="Arial" w:cs="Times New Roman"/>
          <w:sz w:val="28"/>
        </w:rPr>
      </w:pPr>
    </w:p>
    <w:p w14:paraId="6492B54D"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Asimismo, el numeral 29, apartado A, párrafo 3, dispone que, en la integración del </w:t>
      </w:r>
      <w:r w:rsidRPr="00F32542">
        <w:rPr>
          <w:rFonts w:ascii="Arial" w:eastAsia="Calibri" w:hAnsi="Arial" w:cs="Times New Roman"/>
          <w:i/>
          <w:sz w:val="28"/>
        </w:rPr>
        <w:t>Congreso</w:t>
      </w:r>
      <w:r w:rsidRPr="00F32542">
        <w:rPr>
          <w:rFonts w:ascii="Arial" w:eastAsia="Calibri" w:hAnsi="Arial" w:cs="Times New Roman"/>
          <w:sz w:val="28"/>
        </w:rPr>
        <w:t>, la ley electoral determinará los mecanismos para cumplir con el principio de paridad de género.</w:t>
      </w:r>
    </w:p>
    <w:p w14:paraId="6B422A34"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 </w:t>
      </w:r>
    </w:p>
    <w:p w14:paraId="645A07EC"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Por su parte, en el artículo 4, apartado C), fracción III, se define a la paridad de género como el principio constitucional que ordena el acceso al mismo trato y oportunidades, para el reconocimiento, goce o ejercicio de los derechos político electorales, siendo que el derecho de igualdad política entre mujeres y hombres, se garantiza con la integración cualitativa y cuantitativa del cincuenta por ciento mujeres y cincuenta por ciento hombres en candidaturas a cargos de elección popular y en nombramientos de cargos por designación, en forma horizontal y vertical.</w:t>
      </w:r>
    </w:p>
    <w:p w14:paraId="6CEECC76" w14:textId="77777777" w:rsidR="00F94B48" w:rsidRPr="00F32542" w:rsidRDefault="00F94B48" w:rsidP="00F94B48">
      <w:pPr>
        <w:spacing w:after="0" w:line="360" w:lineRule="auto"/>
        <w:jc w:val="both"/>
        <w:rPr>
          <w:rFonts w:ascii="Arial" w:eastAsia="Calibri" w:hAnsi="Arial" w:cs="Times New Roman"/>
          <w:sz w:val="28"/>
        </w:rPr>
      </w:pPr>
    </w:p>
    <w:p w14:paraId="2026C201"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Y como reglas específicas para cumplir con la paridad, el aludido </w:t>
      </w:r>
      <w:r w:rsidRPr="00F32542">
        <w:rPr>
          <w:rFonts w:ascii="Arial" w:eastAsia="Calibri" w:hAnsi="Arial" w:cs="Times New Roman"/>
          <w:i/>
          <w:sz w:val="28"/>
        </w:rPr>
        <w:t>Código Electoral</w:t>
      </w:r>
      <w:r w:rsidRPr="00F32542">
        <w:rPr>
          <w:rFonts w:ascii="Arial" w:eastAsia="Calibri" w:hAnsi="Arial" w:cs="Times New Roman"/>
          <w:sz w:val="28"/>
        </w:rPr>
        <w:t xml:space="preserve"> dispone: </w:t>
      </w:r>
    </w:p>
    <w:p w14:paraId="09ED7303" w14:textId="77777777" w:rsidR="00F94B48" w:rsidRPr="00F32542" w:rsidRDefault="00F94B48" w:rsidP="00F94B48">
      <w:pPr>
        <w:spacing w:after="0" w:line="360" w:lineRule="auto"/>
        <w:jc w:val="both"/>
        <w:rPr>
          <w:rFonts w:ascii="Arial" w:eastAsia="Calibri" w:hAnsi="Arial" w:cs="Times New Roman"/>
          <w:sz w:val="28"/>
        </w:rPr>
      </w:pPr>
    </w:p>
    <w:p w14:paraId="7561FAFA" w14:textId="77777777" w:rsidR="00F94B48" w:rsidRPr="00F32542" w:rsidRDefault="00F94B48" w:rsidP="009B6ED0">
      <w:pPr>
        <w:numPr>
          <w:ilvl w:val="0"/>
          <w:numId w:val="29"/>
        </w:numPr>
        <w:spacing w:after="0" w:line="360" w:lineRule="auto"/>
        <w:contextualSpacing/>
        <w:jc w:val="both"/>
        <w:rPr>
          <w:rFonts w:ascii="Arial" w:eastAsia="Calibri" w:hAnsi="Arial" w:cs="Times New Roman"/>
          <w:sz w:val="28"/>
        </w:rPr>
      </w:pPr>
      <w:r w:rsidRPr="00F32542">
        <w:rPr>
          <w:rFonts w:ascii="Arial" w:eastAsia="Calibri" w:hAnsi="Arial" w:cs="Times New Roman"/>
          <w:sz w:val="28"/>
        </w:rPr>
        <w:t>Las candidaturas integradas por persona propietaria y persona suplente, deben ser del mismo género (artículo 23).</w:t>
      </w:r>
    </w:p>
    <w:p w14:paraId="4AE62E33" w14:textId="77777777" w:rsidR="00F94B48" w:rsidRPr="00F32542" w:rsidRDefault="00F94B48" w:rsidP="00F94B48">
      <w:pPr>
        <w:spacing w:after="0" w:line="360" w:lineRule="auto"/>
        <w:ind w:left="360"/>
        <w:jc w:val="both"/>
        <w:rPr>
          <w:rFonts w:ascii="Arial" w:eastAsia="Calibri" w:hAnsi="Arial" w:cs="Times New Roman"/>
          <w:sz w:val="28"/>
        </w:rPr>
      </w:pPr>
    </w:p>
    <w:p w14:paraId="7B872B39" w14:textId="77777777" w:rsidR="00F94B48" w:rsidRPr="00F32542" w:rsidRDefault="00F94B48" w:rsidP="009B6ED0">
      <w:pPr>
        <w:numPr>
          <w:ilvl w:val="0"/>
          <w:numId w:val="29"/>
        </w:numPr>
        <w:spacing w:after="0" w:line="360" w:lineRule="auto"/>
        <w:contextualSpacing/>
        <w:jc w:val="both"/>
        <w:rPr>
          <w:rFonts w:ascii="Arial" w:eastAsia="Calibri" w:hAnsi="Arial" w:cs="Times New Roman"/>
          <w:sz w:val="28"/>
        </w:rPr>
      </w:pPr>
      <w:r w:rsidRPr="00F32542">
        <w:rPr>
          <w:rFonts w:ascii="Arial" w:eastAsia="Calibri" w:hAnsi="Arial" w:cs="Times New Roman"/>
          <w:sz w:val="28"/>
        </w:rPr>
        <w:t>Las candidaturas a diputaciones de mayoría relativa, titulares de alcaldías y concejalías en ningún caso pueden ser de más del cincuenta por ciento del mismo género (artículo 23).</w:t>
      </w:r>
    </w:p>
    <w:p w14:paraId="0B921B9A" w14:textId="77777777" w:rsidR="00F94B48" w:rsidRPr="00F32542" w:rsidRDefault="00F94B48" w:rsidP="00F94B48">
      <w:pPr>
        <w:spacing w:after="0" w:line="360" w:lineRule="auto"/>
        <w:jc w:val="both"/>
        <w:rPr>
          <w:rFonts w:ascii="Arial" w:eastAsia="Calibri" w:hAnsi="Arial" w:cs="Times New Roman"/>
          <w:sz w:val="28"/>
        </w:rPr>
      </w:pPr>
    </w:p>
    <w:p w14:paraId="7F399A04" w14:textId="77777777" w:rsidR="00F94B48" w:rsidRPr="00F32542" w:rsidRDefault="00F94B48" w:rsidP="009B6ED0">
      <w:pPr>
        <w:numPr>
          <w:ilvl w:val="0"/>
          <w:numId w:val="29"/>
        </w:numPr>
        <w:spacing w:after="0" w:line="360" w:lineRule="auto"/>
        <w:contextualSpacing/>
        <w:jc w:val="both"/>
        <w:rPr>
          <w:rFonts w:ascii="Arial" w:eastAsia="Calibri" w:hAnsi="Arial" w:cs="Times New Roman"/>
          <w:sz w:val="28"/>
        </w:rPr>
      </w:pPr>
      <w:r w:rsidRPr="00F32542">
        <w:rPr>
          <w:rFonts w:ascii="Arial" w:eastAsia="Calibri" w:hAnsi="Arial" w:cs="Times New Roman"/>
          <w:sz w:val="28"/>
        </w:rPr>
        <w:lastRenderedPageBreak/>
        <w:t>Cada una de las listas de representación proporcional que presenten los partidos y coaliciones para la elección de diputaciones, deben estar alternadas por género y las fórmulas integradas por personas del mismo género (artículo 23).</w:t>
      </w:r>
    </w:p>
    <w:p w14:paraId="5FD678B2" w14:textId="77777777" w:rsidR="00F94B48" w:rsidRPr="00F32542" w:rsidRDefault="00F94B48" w:rsidP="00F94B48">
      <w:pPr>
        <w:spacing w:after="0" w:line="360" w:lineRule="auto"/>
        <w:jc w:val="both"/>
        <w:rPr>
          <w:rFonts w:ascii="Arial" w:eastAsia="Calibri" w:hAnsi="Arial" w:cs="Times New Roman"/>
          <w:sz w:val="28"/>
        </w:rPr>
      </w:pPr>
    </w:p>
    <w:p w14:paraId="41E13E93" w14:textId="77777777" w:rsidR="00F94B48" w:rsidRPr="00F32542" w:rsidRDefault="00F94B48" w:rsidP="009B6ED0">
      <w:pPr>
        <w:numPr>
          <w:ilvl w:val="0"/>
          <w:numId w:val="29"/>
        </w:numPr>
        <w:spacing w:after="0" w:line="360" w:lineRule="auto"/>
        <w:contextualSpacing/>
        <w:jc w:val="both"/>
        <w:rPr>
          <w:rFonts w:ascii="Arial" w:eastAsia="Calibri" w:hAnsi="Arial" w:cs="Times New Roman"/>
          <w:sz w:val="28"/>
        </w:rPr>
      </w:pPr>
      <w:r w:rsidRPr="00F32542">
        <w:rPr>
          <w:rFonts w:ascii="Arial" w:eastAsia="Calibri" w:hAnsi="Arial" w:cs="Times New Roman"/>
          <w:sz w:val="28"/>
        </w:rPr>
        <w:t xml:space="preserve">Una vez realizada la asignación de representación proporcional se verificará que la </w:t>
      </w:r>
      <w:r w:rsidRPr="00F32542">
        <w:rPr>
          <w:rFonts w:ascii="Arial" w:eastAsia="Calibri" w:hAnsi="Arial" w:cs="Times New Roman"/>
          <w:b/>
          <w:sz w:val="28"/>
          <w:u w:val="single"/>
        </w:rPr>
        <w:t>integración del Congreso</w:t>
      </w:r>
      <w:r w:rsidRPr="00F32542">
        <w:rPr>
          <w:rFonts w:ascii="Arial" w:eastAsia="Calibri" w:hAnsi="Arial" w:cs="Times New Roman"/>
          <w:sz w:val="28"/>
        </w:rPr>
        <w:t xml:space="preserve"> cumpla con el principio de paridad, de no ser así, se hará el ajuste correspondiente hasta llegar a la </w:t>
      </w:r>
      <w:r w:rsidRPr="00F32542">
        <w:rPr>
          <w:rFonts w:ascii="Arial" w:eastAsia="Calibri" w:hAnsi="Arial" w:cs="Times New Roman"/>
          <w:i/>
          <w:sz w:val="28"/>
        </w:rPr>
        <w:t>paridad igualitaria</w:t>
      </w:r>
      <w:r w:rsidRPr="00F32542">
        <w:rPr>
          <w:rFonts w:ascii="Arial" w:eastAsia="Calibri" w:hAnsi="Arial" w:cs="Times New Roman"/>
          <w:sz w:val="28"/>
        </w:rPr>
        <w:t xml:space="preserve"> (artículo 27).  </w:t>
      </w:r>
    </w:p>
    <w:p w14:paraId="792A552E" w14:textId="77777777" w:rsidR="00F94B48" w:rsidRPr="00F32542" w:rsidRDefault="00F94B48" w:rsidP="00F94B48">
      <w:pPr>
        <w:spacing w:after="0" w:line="360" w:lineRule="auto"/>
        <w:ind w:left="360"/>
        <w:jc w:val="both"/>
        <w:rPr>
          <w:rFonts w:ascii="Arial" w:eastAsia="Calibri" w:hAnsi="Arial" w:cs="Times New Roman"/>
          <w:sz w:val="28"/>
        </w:rPr>
      </w:pPr>
    </w:p>
    <w:p w14:paraId="6812C65C" w14:textId="77777777" w:rsidR="00F94B48" w:rsidRPr="00F32542" w:rsidRDefault="00F94B48" w:rsidP="009B6ED0">
      <w:pPr>
        <w:numPr>
          <w:ilvl w:val="0"/>
          <w:numId w:val="29"/>
        </w:numPr>
        <w:spacing w:after="0" w:line="360" w:lineRule="auto"/>
        <w:contextualSpacing/>
        <w:jc w:val="both"/>
        <w:rPr>
          <w:rFonts w:ascii="Arial" w:eastAsia="Calibri" w:hAnsi="Arial" w:cs="Times New Roman"/>
          <w:sz w:val="28"/>
        </w:rPr>
      </w:pPr>
      <w:r w:rsidRPr="00F32542">
        <w:rPr>
          <w:rFonts w:ascii="Arial" w:eastAsia="Calibri" w:hAnsi="Arial" w:cs="Times New Roman"/>
          <w:sz w:val="28"/>
        </w:rPr>
        <w:t>Las planillas de candidaturas de concejalías de representación proporcional respetarán el principio de paridad (artículo 28).</w:t>
      </w:r>
    </w:p>
    <w:p w14:paraId="3350B2FB" w14:textId="77777777" w:rsidR="00F94B48" w:rsidRPr="00F32542" w:rsidRDefault="00F94B48" w:rsidP="00F94B48">
      <w:pPr>
        <w:spacing w:after="0" w:line="360" w:lineRule="auto"/>
        <w:jc w:val="both"/>
        <w:rPr>
          <w:rFonts w:ascii="Arial" w:eastAsia="Calibri" w:hAnsi="Arial" w:cs="Times New Roman"/>
          <w:sz w:val="28"/>
        </w:rPr>
      </w:pPr>
    </w:p>
    <w:p w14:paraId="39EF0ED1" w14:textId="77777777" w:rsidR="00F94B48" w:rsidRPr="00F32542" w:rsidRDefault="00F94B48" w:rsidP="009B6ED0">
      <w:pPr>
        <w:numPr>
          <w:ilvl w:val="0"/>
          <w:numId w:val="29"/>
        </w:numPr>
        <w:spacing w:after="0" w:line="360" w:lineRule="auto"/>
        <w:contextualSpacing/>
        <w:jc w:val="both"/>
        <w:rPr>
          <w:rFonts w:ascii="Arial" w:eastAsia="Calibri" w:hAnsi="Arial" w:cs="Times New Roman"/>
          <w:sz w:val="28"/>
        </w:rPr>
      </w:pPr>
      <w:r w:rsidRPr="00F32542">
        <w:rPr>
          <w:rFonts w:ascii="Arial" w:eastAsia="Calibri" w:hAnsi="Arial" w:cs="Times New Roman"/>
          <w:sz w:val="28"/>
        </w:rPr>
        <w:t xml:space="preserve">Asignadas las concejalías de representación proporcional, se verificará que se logre una integración paritaria, de no ser así se ajustará la asignación (artículo 29). </w:t>
      </w:r>
    </w:p>
    <w:p w14:paraId="23183448" w14:textId="77777777" w:rsidR="00F94B48" w:rsidRPr="00F32542" w:rsidRDefault="00F94B48" w:rsidP="00F94B48">
      <w:pPr>
        <w:spacing w:after="0" w:line="360" w:lineRule="auto"/>
        <w:jc w:val="both"/>
        <w:rPr>
          <w:rFonts w:ascii="Arial" w:eastAsia="Calibri" w:hAnsi="Arial" w:cs="Times New Roman"/>
          <w:sz w:val="28"/>
        </w:rPr>
      </w:pPr>
    </w:p>
    <w:p w14:paraId="729A6527"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De conformidad con lo expuesto, el principio de paridad, establecido en la </w:t>
      </w:r>
      <w:r w:rsidRPr="00F32542">
        <w:rPr>
          <w:rFonts w:ascii="Arial" w:eastAsia="Calibri" w:hAnsi="Arial" w:cs="Times New Roman"/>
          <w:i/>
          <w:sz w:val="28"/>
        </w:rPr>
        <w:t>Constitución Federal</w:t>
      </w:r>
      <w:r w:rsidRPr="00F32542">
        <w:rPr>
          <w:rFonts w:ascii="Arial" w:eastAsia="Calibri" w:hAnsi="Arial" w:cs="Times New Roman"/>
          <w:sz w:val="28"/>
        </w:rPr>
        <w:t xml:space="preserve"> y replicado por la </w:t>
      </w:r>
      <w:r w:rsidRPr="00F32542">
        <w:rPr>
          <w:rFonts w:ascii="Arial" w:eastAsia="Calibri" w:hAnsi="Arial" w:cs="Times New Roman"/>
          <w:i/>
          <w:sz w:val="28"/>
        </w:rPr>
        <w:t>Constitución Local</w:t>
      </w:r>
      <w:r w:rsidRPr="00F32542">
        <w:rPr>
          <w:rFonts w:ascii="Arial" w:eastAsia="Calibri" w:hAnsi="Arial" w:cs="Times New Roman"/>
          <w:sz w:val="28"/>
        </w:rPr>
        <w:t xml:space="preserve"> y </w:t>
      </w:r>
      <w:r w:rsidRPr="00F32542">
        <w:rPr>
          <w:rFonts w:ascii="Arial" w:eastAsia="Calibri" w:hAnsi="Arial" w:cs="Times New Roman"/>
          <w:i/>
          <w:sz w:val="28"/>
        </w:rPr>
        <w:t>Código Electoral</w:t>
      </w:r>
      <w:r w:rsidRPr="00F32542">
        <w:rPr>
          <w:rFonts w:ascii="Arial" w:eastAsia="Calibri" w:hAnsi="Arial" w:cs="Times New Roman"/>
          <w:sz w:val="28"/>
        </w:rPr>
        <w:t xml:space="preserve"> permea la </w:t>
      </w:r>
      <w:r w:rsidRPr="00F32542">
        <w:rPr>
          <w:rFonts w:ascii="Arial" w:eastAsia="Calibri" w:hAnsi="Arial" w:cs="Times New Roman"/>
          <w:b/>
          <w:sz w:val="28"/>
        </w:rPr>
        <w:t>postulación</w:t>
      </w:r>
      <w:r w:rsidRPr="00F32542">
        <w:rPr>
          <w:rFonts w:ascii="Arial" w:eastAsia="Calibri" w:hAnsi="Arial" w:cs="Times New Roman"/>
          <w:sz w:val="28"/>
        </w:rPr>
        <w:t xml:space="preserve"> de candidaturas a cargos de elección popular y la </w:t>
      </w:r>
      <w:r w:rsidRPr="00F32542">
        <w:rPr>
          <w:rFonts w:ascii="Arial" w:eastAsia="Calibri" w:hAnsi="Arial" w:cs="Times New Roman"/>
          <w:b/>
          <w:sz w:val="28"/>
        </w:rPr>
        <w:t>integración</w:t>
      </w:r>
      <w:r w:rsidRPr="00F32542">
        <w:rPr>
          <w:rFonts w:ascii="Arial" w:eastAsia="Calibri" w:hAnsi="Arial" w:cs="Times New Roman"/>
          <w:sz w:val="28"/>
        </w:rPr>
        <w:t xml:space="preserve"> de órganos representativos de la voluntad popular, entre ellos, los congresos de las entidades federativas.</w:t>
      </w:r>
    </w:p>
    <w:p w14:paraId="28276F72" w14:textId="77777777" w:rsidR="00F94B48" w:rsidRPr="00F32542" w:rsidRDefault="00F94B48" w:rsidP="00F94B48">
      <w:pPr>
        <w:spacing w:after="0" w:line="360" w:lineRule="auto"/>
        <w:jc w:val="both"/>
        <w:rPr>
          <w:rFonts w:ascii="Arial" w:eastAsia="Calibri" w:hAnsi="Arial" w:cs="Times New Roman"/>
          <w:sz w:val="28"/>
        </w:rPr>
      </w:pPr>
    </w:p>
    <w:p w14:paraId="0BEB4002"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Al respecto, en el caso, se cumplió con la paridad en la postulación de candidaturas, en razón de que los partidos políticos </w:t>
      </w:r>
      <w:r w:rsidRPr="00F32542">
        <w:rPr>
          <w:rFonts w:ascii="Arial" w:eastAsia="Calibri" w:hAnsi="Arial" w:cs="Times New Roman"/>
          <w:sz w:val="28"/>
        </w:rPr>
        <w:lastRenderedPageBreak/>
        <w:t>participantes cumplieron con la exigencia de presentar candidaturas en forma alternada por género.</w:t>
      </w:r>
    </w:p>
    <w:p w14:paraId="5B034D2A" w14:textId="77777777" w:rsidR="00F94B48" w:rsidRPr="00F32542" w:rsidRDefault="00F94B48" w:rsidP="00F94B48">
      <w:pPr>
        <w:spacing w:after="0" w:line="360" w:lineRule="auto"/>
        <w:jc w:val="both"/>
        <w:rPr>
          <w:rFonts w:ascii="Arial" w:eastAsia="Calibri" w:hAnsi="Arial" w:cs="Times New Roman"/>
          <w:sz w:val="28"/>
        </w:rPr>
      </w:pPr>
    </w:p>
    <w:p w14:paraId="28B42631"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Lo cual, a su vez, permitió que, al desarrollarse la fórmula de asignación –con los ajustes realizados por este </w:t>
      </w:r>
      <w:r w:rsidRPr="00F32542">
        <w:rPr>
          <w:rFonts w:ascii="Arial" w:eastAsia="Calibri" w:hAnsi="Arial" w:cs="Times New Roman"/>
          <w:i/>
          <w:sz w:val="28"/>
        </w:rPr>
        <w:t>Tribunal Electoral</w:t>
      </w:r>
      <w:r w:rsidRPr="00F32542">
        <w:rPr>
          <w:rFonts w:ascii="Arial" w:eastAsia="Calibri" w:hAnsi="Arial" w:cs="Times New Roman"/>
          <w:sz w:val="28"/>
        </w:rPr>
        <w:t xml:space="preserve">– se concluyera con una integración paritaria del </w:t>
      </w:r>
      <w:r w:rsidRPr="00F32542">
        <w:rPr>
          <w:rFonts w:ascii="Arial" w:eastAsia="Calibri" w:hAnsi="Arial" w:cs="Times New Roman"/>
          <w:i/>
          <w:sz w:val="28"/>
        </w:rPr>
        <w:t>Congreso</w:t>
      </w:r>
      <w:r w:rsidRPr="00F32542">
        <w:rPr>
          <w:rFonts w:ascii="Arial" w:eastAsia="Calibri" w:hAnsi="Arial" w:cs="Times New Roman"/>
          <w:sz w:val="28"/>
        </w:rPr>
        <w:t xml:space="preserve">, con treinta y tres mujeres y treinta y tres hombres. </w:t>
      </w:r>
    </w:p>
    <w:p w14:paraId="2229E8CA" w14:textId="77777777" w:rsidR="00F94B48" w:rsidRPr="00F32542" w:rsidRDefault="00F94B48" w:rsidP="00F94B48">
      <w:pPr>
        <w:spacing w:after="0" w:line="360" w:lineRule="auto"/>
        <w:jc w:val="both"/>
        <w:rPr>
          <w:rFonts w:ascii="Arial" w:eastAsia="Calibri" w:hAnsi="Arial" w:cs="Times New Roman"/>
          <w:sz w:val="28"/>
        </w:rPr>
      </w:pPr>
    </w:p>
    <w:p w14:paraId="3CD44FB2"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En efecto, si bien, previamente este </w:t>
      </w:r>
      <w:r w:rsidRPr="00F32542">
        <w:rPr>
          <w:rFonts w:ascii="Arial" w:eastAsia="Calibri" w:hAnsi="Arial" w:cs="Times New Roman"/>
          <w:i/>
          <w:sz w:val="28"/>
        </w:rPr>
        <w:t>Tribunal Electoral</w:t>
      </w:r>
      <w:r w:rsidRPr="00F32542">
        <w:rPr>
          <w:rFonts w:ascii="Arial" w:eastAsia="Calibri" w:hAnsi="Arial" w:cs="Times New Roman"/>
          <w:sz w:val="28"/>
        </w:rPr>
        <w:t xml:space="preserve"> efectuó ajustes a la integración de la lista B de </w:t>
      </w:r>
      <w:r w:rsidRPr="00F32542">
        <w:rPr>
          <w:rFonts w:ascii="Arial" w:eastAsia="Calibri" w:hAnsi="Arial" w:cs="Times New Roman"/>
          <w:i/>
          <w:sz w:val="28"/>
        </w:rPr>
        <w:t>Morena</w:t>
      </w:r>
      <w:r w:rsidRPr="00F32542">
        <w:rPr>
          <w:rFonts w:ascii="Arial" w:eastAsia="Calibri" w:hAnsi="Arial" w:cs="Times New Roman"/>
          <w:sz w:val="28"/>
        </w:rPr>
        <w:t>, ello fue en atención a una armonización entre</w:t>
      </w:r>
      <w:r w:rsidRPr="00F32542">
        <w:rPr>
          <w:rFonts w:ascii="Arial" w:eastAsia="Calibri" w:hAnsi="Arial" w:cs="Arial"/>
          <w:sz w:val="28"/>
        </w:rPr>
        <w:t xml:space="preserve"> los principios democrático, de autodeterminación, paridad y alternancia</w:t>
      </w:r>
      <w:r w:rsidRPr="00F32542">
        <w:rPr>
          <w:rFonts w:ascii="Arial" w:eastAsia="Calibri" w:hAnsi="Arial" w:cs="Times New Roman"/>
          <w:sz w:val="28"/>
        </w:rPr>
        <w:t xml:space="preserve"> previstos en el artículo 24, fracciones III, IV y V, del </w:t>
      </w:r>
      <w:r w:rsidRPr="00F32542">
        <w:rPr>
          <w:rFonts w:ascii="Arial" w:eastAsia="Calibri" w:hAnsi="Arial" w:cs="Times New Roman"/>
          <w:i/>
          <w:sz w:val="28"/>
        </w:rPr>
        <w:t>Código Electoral</w:t>
      </w:r>
      <w:r w:rsidRPr="00F32542">
        <w:rPr>
          <w:rFonts w:ascii="Arial" w:eastAsia="Calibri" w:hAnsi="Arial" w:cs="Times New Roman"/>
          <w:sz w:val="28"/>
        </w:rPr>
        <w:t xml:space="preserve"> y 4, inciso c), de los </w:t>
      </w:r>
      <w:r w:rsidRPr="00F32542">
        <w:rPr>
          <w:rFonts w:ascii="Arial" w:eastAsia="Calibri" w:hAnsi="Arial" w:cs="Times New Roman"/>
          <w:i/>
          <w:sz w:val="28"/>
        </w:rPr>
        <w:t>Lineamientos para la asignación</w:t>
      </w:r>
      <w:r w:rsidRPr="00F32542">
        <w:rPr>
          <w:rFonts w:ascii="Arial" w:eastAsia="Calibri" w:hAnsi="Arial" w:cs="Times New Roman"/>
          <w:sz w:val="28"/>
        </w:rPr>
        <w:t>, que rigen en la conformación de las listas A y B de candidaturas, que son el origen que la lista definitiva del ente político.</w:t>
      </w:r>
    </w:p>
    <w:p w14:paraId="38022FFD" w14:textId="77777777" w:rsidR="00F94B48" w:rsidRPr="00F32542" w:rsidRDefault="00F94B48" w:rsidP="00F94B48">
      <w:pPr>
        <w:spacing w:after="0" w:line="360" w:lineRule="auto"/>
        <w:jc w:val="both"/>
        <w:rPr>
          <w:rFonts w:ascii="Arial" w:eastAsia="Calibri" w:hAnsi="Arial" w:cs="Times New Roman"/>
          <w:sz w:val="28"/>
        </w:rPr>
      </w:pPr>
    </w:p>
    <w:p w14:paraId="46F7CBF6"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En ese sentido, acorde con las circunstancias particulares que acontecieron en ese caso, este </w:t>
      </w:r>
      <w:r w:rsidRPr="00F32542">
        <w:rPr>
          <w:rFonts w:ascii="Arial" w:eastAsia="Calibri" w:hAnsi="Arial" w:cs="Times New Roman"/>
          <w:i/>
          <w:sz w:val="28"/>
        </w:rPr>
        <w:t>Órgano Jurisdiccional</w:t>
      </w:r>
      <w:r w:rsidRPr="00F32542">
        <w:rPr>
          <w:rFonts w:ascii="Arial" w:eastAsia="Calibri" w:hAnsi="Arial" w:cs="Times New Roman"/>
          <w:sz w:val="28"/>
        </w:rPr>
        <w:t xml:space="preserve"> consideró procedente realizar una modificación que lograra un equilibrio entre los mencionados principios. </w:t>
      </w:r>
    </w:p>
    <w:p w14:paraId="2B58680C" w14:textId="77777777" w:rsidR="00F94B48" w:rsidRPr="00F32542" w:rsidRDefault="00F94B48" w:rsidP="00F94B48">
      <w:pPr>
        <w:spacing w:after="0" w:line="360" w:lineRule="auto"/>
        <w:jc w:val="both"/>
        <w:rPr>
          <w:rFonts w:ascii="Arial" w:eastAsia="Calibri" w:hAnsi="Arial" w:cs="Times New Roman"/>
          <w:sz w:val="28"/>
        </w:rPr>
      </w:pPr>
    </w:p>
    <w:p w14:paraId="799C595D"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Situación específica que es ajena a la posibilidad de realizar ajustes por paridad, cuando exista sobre o subrepresentación por género </w:t>
      </w:r>
      <w:r w:rsidRPr="00F32542">
        <w:rPr>
          <w:rFonts w:ascii="Arial" w:eastAsia="Calibri" w:hAnsi="Arial" w:cs="Times New Roman"/>
          <w:b/>
          <w:sz w:val="28"/>
        </w:rPr>
        <w:t xml:space="preserve">en la conformación del </w:t>
      </w:r>
      <w:r w:rsidRPr="00F32542">
        <w:rPr>
          <w:rFonts w:ascii="Arial" w:eastAsia="Calibri" w:hAnsi="Arial" w:cs="Times New Roman"/>
          <w:b/>
          <w:i/>
          <w:sz w:val="28"/>
        </w:rPr>
        <w:t>Congreso</w:t>
      </w:r>
      <w:r w:rsidRPr="00F32542">
        <w:rPr>
          <w:rFonts w:ascii="Arial" w:eastAsia="Calibri" w:hAnsi="Arial" w:cs="Times New Roman"/>
          <w:sz w:val="28"/>
        </w:rPr>
        <w:t xml:space="preserve">, caso en el cual el artículo 27 del Código Electoral prevé el mecanismo para hacer los ajustes respectivos para alcanzar la paridad. </w:t>
      </w:r>
    </w:p>
    <w:p w14:paraId="7E1D5026" w14:textId="77777777" w:rsidR="00F94B48" w:rsidRPr="00F32542" w:rsidRDefault="00F94B48" w:rsidP="00F94B48">
      <w:pPr>
        <w:spacing w:after="0" w:line="360" w:lineRule="auto"/>
        <w:jc w:val="both"/>
        <w:rPr>
          <w:rFonts w:ascii="Arial" w:eastAsia="Calibri" w:hAnsi="Arial" w:cs="Times New Roman"/>
          <w:sz w:val="28"/>
        </w:rPr>
      </w:pPr>
    </w:p>
    <w:p w14:paraId="4598BC50"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lastRenderedPageBreak/>
        <w:t xml:space="preserve">Siendo así que, en el caso, una vez analizada la integración del órgano legislativo local es claro que cumple con el principio constitucional de paridad, en términos de las normas aplicables. </w:t>
      </w:r>
    </w:p>
    <w:p w14:paraId="0F7D224E" w14:textId="77777777" w:rsidR="00F94B48" w:rsidRPr="00F32542" w:rsidRDefault="00F94B48" w:rsidP="00F94B48">
      <w:pPr>
        <w:spacing w:after="0" w:line="360" w:lineRule="auto"/>
        <w:jc w:val="both"/>
        <w:rPr>
          <w:rFonts w:ascii="Arial" w:eastAsia="Calibri" w:hAnsi="Arial" w:cs="Times New Roman"/>
          <w:sz w:val="28"/>
        </w:rPr>
      </w:pPr>
    </w:p>
    <w:p w14:paraId="4E99CAA0"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Mientras que no es procedente realizar los ajustes que pretenden las </w:t>
      </w:r>
      <w:r w:rsidRPr="00F32542">
        <w:rPr>
          <w:rFonts w:ascii="Arial" w:eastAsia="Calibri" w:hAnsi="Arial" w:cs="Times New Roman"/>
          <w:i/>
          <w:sz w:val="28"/>
        </w:rPr>
        <w:t xml:space="preserve">partes actoras </w:t>
      </w:r>
      <w:r w:rsidRPr="00F32542">
        <w:rPr>
          <w:rFonts w:ascii="Arial" w:eastAsia="Calibri" w:hAnsi="Arial" w:cs="Times New Roman"/>
          <w:sz w:val="28"/>
        </w:rPr>
        <w:t xml:space="preserve">en la conformación de la lista de asignaciones de representación proporcional o a las fracciones parlamentarias, dado que ambos aspectos escapan del ámbito de aplicación del principio de paridad que rige en la conformación del Congreso. </w:t>
      </w:r>
    </w:p>
    <w:p w14:paraId="7CFF301E" w14:textId="77777777" w:rsidR="00F94B48" w:rsidRPr="00F32542" w:rsidRDefault="00F94B48" w:rsidP="00F94B48">
      <w:pPr>
        <w:spacing w:after="0" w:line="360" w:lineRule="auto"/>
        <w:jc w:val="both"/>
        <w:rPr>
          <w:rFonts w:ascii="Arial" w:eastAsia="Calibri" w:hAnsi="Arial" w:cs="Times New Roman"/>
          <w:sz w:val="28"/>
        </w:rPr>
      </w:pPr>
    </w:p>
    <w:p w14:paraId="64E5E07D"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Por tanto, al no existir una previsión constitucional o legal que obligue a la paridad en asignación de diputaciones de representación proporcional o en las fracciones parlamentarias, es improcedente realizar la verificación respectiva y, sobre todo, realizar ajuste alguno en dicho aspecto.</w:t>
      </w:r>
    </w:p>
    <w:p w14:paraId="61E20355" w14:textId="77777777" w:rsidR="00F94B48" w:rsidRPr="00F32542" w:rsidRDefault="00F94B48" w:rsidP="00F94B48">
      <w:pPr>
        <w:spacing w:after="0" w:line="360" w:lineRule="auto"/>
        <w:jc w:val="both"/>
        <w:rPr>
          <w:rFonts w:ascii="Arial" w:eastAsia="Calibri" w:hAnsi="Arial" w:cs="Times New Roman"/>
          <w:sz w:val="28"/>
        </w:rPr>
      </w:pPr>
    </w:p>
    <w:p w14:paraId="36A6D19C"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Lo anterior, dado que si bien, es procedente la implementación de medidas o reglas que instrumenten la paridad de género, incluyendo previsiones de ajuste en la asignación de cargos de representación proporcional, tales medidas deben estar justificadas y ser adoptadas necesariamente en la etapa de preparación de la elección o antes; ya que requieren ser armonizadas con los principios rectores de la materia, tales como el de certeza, y auto organización de los partidos políticos, dependiendo de cada caso concreto y atendiendo a la normativa local aplicable.</w:t>
      </w:r>
    </w:p>
    <w:p w14:paraId="38C41F92" w14:textId="77777777" w:rsidR="00F94B48" w:rsidRPr="00F32542" w:rsidRDefault="00F94B48" w:rsidP="00F94B48">
      <w:pPr>
        <w:spacing w:after="0" w:line="360" w:lineRule="auto"/>
        <w:jc w:val="both"/>
        <w:rPr>
          <w:rFonts w:ascii="Arial" w:eastAsia="Calibri" w:hAnsi="Arial" w:cs="Times New Roman"/>
          <w:sz w:val="28"/>
        </w:rPr>
      </w:pPr>
    </w:p>
    <w:p w14:paraId="56FBEBF8"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En consecuencia, si bien, como lo sostuvo la </w:t>
      </w:r>
      <w:r w:rsidRPr="00F32542">
        <w:rPr>
          <w:rFonts w:ascii="Arial" w:eastAsia="Calibri" w:hAnsi="Arial" w:cs="Times New Roman"/>
          <w:i/>
          <w:sz w:val="28"/>
        </w:rPr>
        <w:t>Sala Regional</w:t>
      </w:r>
      <w:r w:rsidRPr="00F32542">
        <w:rPr>
          <w:rFonts w:ascii="Arial" w:eastAsia="Calibri" w:hAnsi="Arial" w:cs="Times New Roman"/>
          <w:sz w:val="28"/>
        </w:rPr>
        <w:t xml:space="preserve"> al resolver el expediente </w:t>
      </w:r>
      <w:r w:rsidRPr="00F32542">
        <w:rPr>
          <w:rFonts w:ascii="Arial" w:eastAsia="Calibri" w:hAnsi="Arial" w:cs="Times New Roman"/>
          <w:b/>
          <w:bCs/>
          <w:sz w:val="28"/>
        </w:rPr>
        <w:t>SUP-JRC-169/2018 y acumulados</w:t>
      </w:r>
      <w:r w:rsidRPr="00F32542">
        <w:rPr>
          <w:rFonts w:ascii="Arial" w:eastAsia="Calibri" w:hAnsi="Arial" w:cs="Times New Roman"/>
          <w:sz w:val="28"/>
        </w:rPr>
        <w:t xml:space="preserve">, el ideal de una integración estrictamente paritaria sería la conformación de un órgano que en todas sus células observara una conformación </w:t>
      </w:r>
      <w:r w:rsidRPr="00F32542">
        <w:rPr>
          <w:rFonts w:ascii="Arial" w:eastAsia="Calibri" w:hAnsi="Arial" w:cs="Times New Roman"/>
          <w:sz w:val="28"/>
        </w:rPr>
        <w:lastRenderedPageBreak/>
        <w:t xml:space="preserve">paritaria </w:t>
      </w:r>
      <w:r w:rsidR="00A310C4" w:rsidRPr="00F32542">
        <w:rPr>
          <w:rFonts w:ascii="Arial" w:eastAsia="Calibri" w:hAnsi="Arial" w:cs="Times New Roman"/>
          <w:sz w:val="28"/>
        </w:rPr>
        <w:t>—</w:t>
      </w:r>
      <w:r w:rsidRPr="00F32542">
        <w:rPr>
          <w:rFonts w:ascii="Arial" w:eastAsia="Calibri" w:hAnsi="Arial" w:cs="Times New Roman"/>
          <w:sz w:val="28"/>
        </w:rPr>
        <w:t>como comisiones, fracciones parlamentarias u órganos de gobierno</w:t>
      </w:r>
      <w:r w:rsidR="00A310C4" w:rsidRPr="00F32542">
        <w:rPr>
          <w:rFonts w:ascii="Arial" w:eastAsia="Calibri" w:hAnsi="Arial" w:cs="Times New Roman"/>
          <w:sz w:val="28"/>
        </w:rPr>
        <w:t>—</w:t>
      </w:r>
      <w:r w:rsidRPr="00F32542">
        <w:rPr>
          <w:rFonts w:ascii="Arial" w:eastAsia="Calibri" w:hAnsi="Arial" w:cs="Times New Roman"/>
          <w:sz w:val="28"/>
        </w:rPr>
        <w:t xml:space="preserve">, actualmente no es un valor protegido por las reglas de paridad existentes en nuestro sistema jurídico, que enfocan sus esfuerzos en conseguir, en principio, la integración paritaria del </w:t>
      </w:r>
      <w:r w:rsidR="00A310C4" w:rsidRPr="00F32542">
        <w:rPr>
          <w:rFonts w:ascii="Arial" w:eastAsia="Calibri" w:hAnsi="Arial" w:cs="Times New Roman"/>
          <w:sz w:val="28"/>
        </w:rPr>
        <w:t>c</w:t>
      </w:r>
      <w:r w:rsidRPr="00F32542">
        <w:rPr>
          <w:rFonts w:ascii="Arial" w:eastAsia="Calibri" w:hAnsi="Arial" w:cs="Times New Roman"/>
          <w:sz w:val="28"/>
        </w:rPr>
        <w:t xml:space="preserve">ongreso en su conjunto. </w:t>
      </w:r>
    </w:p>
    <w:p w14:paraId="19987152" w14:textId="77777777" w:rsidR="00F94B48" w:rsidRPr="00F32542" w:rsidRDefault="00F94B48" w:rsidP="00F94B48">
      <w:pPr>
        <w:spacing w:after="0" w:line="360" w:lineRule="auto"/>
        <w:jc w:val="both"/>
        <w:rPr>
          <w:rFonts w:ascii="Arial" w:eastAsia="Calibri" w:hAnsi="Arial" w:cs="Times New Roman"/>
          <w:sz w:val="28"/>
        </w:rPr>
      </w:pPr>
    </w:p>
    <w:p w14:paraId="084023AB"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Acorde con lo expuesto, no es aplicable la jurisprudencia </w:t>
      </w:r>
      <w:r w:rsidRPr="00F32542">
        <w:rPr>
          <w:rFonts w:ascii="Arial" w:eastAsia="Calibri" w:hAnsi="Arial" w:cs="Times New Roman"/>
          <w:b/>
          <w:sz w:val="28"/>
        </w:rPr>
        <w:t xml:space="preserve">36/2015 </w:t>
      </w:r>
      <w:r w:rsidRPr="00F32542">
        <w:rPr>
          <w:rFonts w:ascii="Arial" w:eastAsia="Calibri" w:hAnsi="Arial" w:cs="Times New Roman"/>
          <w:sz w:val="28"/>
        </w:rPr>
        <w:t xml:space="preserve">de la </w:t>
      </w:r>
      <w:r w:rsidRPr="00F32542">
        <w:rPr>
          <w:rFonts w:ascii="Arial" w:eastAsia="Calibri" w:hAnsi="Arial" w:cs="Times New Roman"/>
          <w:i/>
          <w:sz w:val="28"/>
        </w:rPr>
        <w:t>Sala Superior</w:t>
      </w:r>
      <w:r w:rsidRPr="00F32542">
        <w:rPr>
          <w:rFonts w:ascii="Arial" w:eastAsia="Calibri" w:hAnsi="Arial" w:cs="Times New Roman"/>
          <w:sz w:val="28"/>
        </w:rPr>
        <w:t xml:space="preserve"> con el rubro: “</w:t>
      </w:r>
      <w:r w:rsidRPr="00F32542">
        <w:rPr>
          <w:rFonts w:ascii="Arial" w:eastAsia="Calibri" w:hAnsi="Arial" w:cs="Times New Roman"/>
          <w:b/>
          <w:sz w:val="28"/>
        </w:rPr>
        <w:t xml:space="preserve">REPRESENTACIÓN PROPORCIONAL. PARIDAD DE GÉNERO COMO SUPUESTO DE MODIFICACIÓN DEL ORDEN DE PRELACIÓN DE LA LISTA DE CANDIDATURAS REGISTRADA” </w:t>
      </w:r>
      <w:r w:rsidRPr="00F32542">
        <w:rPr>
          <w:rFonts w:ascii="Arial" w:eastAsia="Calibri" w:hAnsi="Arial" w:cs="Times New Roman"/>
          <w:sz w:val="28"/>
        </w:rPr>
        <w:t xml:space="preserve">que invoca la </w:t>
      </w:r>
      <w:r w:rsidRPr="00F32542">
        <w:rPr>
          <w:rFonts w:ascii="Arial" w:eastAsia="Calibri" w:hAnsi="Arial" w:cs="Times New Roman"/>
          <w:i/>
          <w:sz w:val="28"/>
        </w:rPr>
        <w:t xml:space="preserve">actora </w:t>
      </w:r>
      <w:r w:rsidRPr="00F32542">
        <w:rPr>
          <w:rFonts w:ascii="Arial" w:eastAsia="Calibri" w:hAnsi="Arial" w:cs="Times New Roman"/>
          <w:sz w:val="28"/>
        </w:rPr>
        <w:t xml:space="preserve">del TECDMX-JLDC-93/2021, ya que ese criterio se vincula con el caso en el que la integración de un órgano colegiado de elección popular, como es un congreso, no será paritaria, lo que amerita aplicar medidas tendentes a alcanzar la paridad. </w:t>
      </w:r>
    </w:p>
    <w:p w14:paraId="1FA51889" w14:textId="77777777" w:rsidR="00F94B48" w:rsidRPr="00F32542" w:rsidRDefault="00F94B48" w:rsidP="00F94B48">
      <w:pPr>
        <w:spacing w:after="0" w:line="360" w:lineRule="auto"/>
        <w:jc w:val="both"/>
        <w:rPr>
          <w:rFonts w:ascii="Arial" w:eastAsia="Calibri" w:hAnsi="Arial" w:cs="Times New Roman"/>
          <w:sz w:val="28"/>
        </w:rPr>
      </w:pPr>
    </w:p>
    <w:p w14:paraId="1BAB0934" w14:textId="77777777" w:rsidR="00F94B48" w:rsidRPr="00F32542" w:rsidRDefault="00F94B48" w:rsidP="00F94B48">
      <w:pPr>
        <w:spacing w:after="0" w:line="360" w:lineRule="auto"/>
        <w:jc w:val="both"/>
        <w:rPr>
          <w:rFonts w:ascii="Arial" w:eastAsia="Calibri" w:hAnsi="Arial" w:cs="Times New Roman"/>
          <w:sz w:val="28"/>
        </w:rPr>
      </w:pPr>
      <w:r w:rsidRPr="00F32542">
        <w:rPr>
          <w:rFonts w:ascii="Arial" w:eastAsia="Calibri" w:hAnsi="Arial" w:cs="Times New Roman"/>
          <w:sz w:val="28"/>
        </w:rPr>
        <w:t xml:space="preserve">Mientras que, en el caso, como se vio, la integración del </w:t>
      </w:r>
      <w:r w:rsidRPr="00F32542">
        <w:rPr>
          <w:rFonts w:ascii="Arial" w:eastAsia="Calibri" w:hAnsi="Arial" w:cs="Times New Roman"/>
          <w:i/>
          <w:sz w:val="28"/>
        </w:rPr>
        <w:t>Congreso</w:t>
      </w:r>
      <w:r w:rsidRPr="00F32542">
        <w:rPr>
          <w:rFonts w:ascii="Arial" w:eastAsia="Calibri" w:hAnsi="Arial" w:cs="Times New Roman"/>
          <w:sz w:val="28"/>
        </w:rPr>
        <w:t xml:space="preserve"> es paritaria, lo que hace innecesario realizar ajuste alguno por motivo de género. </w:t>
      </w:r>
    </w:p>
    <w:p w14:paraId="0B8CC3AB" w14:textId="77777777" w:rsidR="00F94B48" w:rsidRPr="00F32542" w:rsidRDefault="00F94B48" w:rsidP="00F94B48">
      <w:pPr>
        <w:spacing w:after="0" w:line="360" w:lineRule="auto"/>
        <w:jc w:val="both"/>
        <w:rPr>
          <w:rFonts w:ascii="Arial" w:eastAsia="Calibri" w:hAnsi="Arial" w:cs="Times New Roman"/>
          <w:sz w:val="28"/>
        </w:rPr>
      </w:pPr>
    </w:p>
    <w:p w14:paraId="323B3E4E"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Times New Roman"/>
          <w:sz w:val="28"/>
        </w:rPr>
        <w:t xml:space="preserve">Adicionalmente, cabe destacar que la </w:t>
      </w:r>
      <w:r w:rsidRPr="00F32542">
        <w:rPr>
          <w:rFonts w:ascii="Arial" w:eastAsia="Calibri" w:hAnsi="Arial" w:cs="Times New Roman"/>
          <w:i/>
          <w:sz w:val="28"/>
        </w:rPr>
        <w:t xml:space="preserve">actora </w:t>
      </w:r>
      <w:r w:rsidRPr="00F32542">
        <w:rPr>
          <w:rFonts w:ascii="Arial" w:eastAsia="Calibri" w:hAnsi="Arial" w:cs="Times New Roman"/>
          <w:sz w:val="28"/>
        </w:rPr>
        <w:t>pretende que se modifique el género de la única asignación del partido político que la postuló, a fin de que ella sea beneficiada, siendo que, al respecto, como se analizó en apartados precedentes,</w:t>
      </w:r>
      <w:r w:rsidR="00A310C4" w:rsidRPr="00F32542">
        <w:rPr>
          <w:rFonts w:ascii="Arial" w:eastAsia="Calibri" w:hAnsi="Arial" w:cs="Times New Roman"/>
          <w:sz w:val="28"/>
        </w:rPr>
        <w:t xml:space="preserve"> </w:t>
      </w:r>
      <w:proofErr w:type="spellStart"/>
      <w:r w:rsidR="00A310C4" w:rsidRPr="00F32542">
        <w:rPr>
          <w:rFonts w:ascii="Arial" w:eastAsia="Calibri" w:hAnsi="Arial" w:cs="Times New Roman"/>
          <w:sz w:val="28"/>
        </w:rPr>
        <w:t>aún</w:t>
      </w:r>
      <w:proofErr w:type="spellEnd"/>
      <w:r w:rsidR="00A310C4" w:rsidRPr="00F32542">
        <w:rPr>
          <w:rFonts w:ascii="Arial" w:eastAsia="Calibri" w:hAnsi="Arial" w:cs="Times New Roman"/>
          <w:sz w:val="28"/>
        </w:rPr>
        <w:t xml:space="preserve"> cuando fuera deseable</w:t>
      </w:r>
      <w:r w:rsidR="007D6ADF" w:rsidRPr="00F32542">
        <w:rPr>
          <w:rFonts w:ascii="Arial" w:eastAsia="Calibri" w:hAnsi="Arial" w:cs="Times New Roman"/>
          <w:sz w:val="28"/>
        </w:rPr>
        <w:t>,</w:t>
      </w:r>
      <w:r w:rsidRPr="00F32542">
        <w:rPr>
          <w:rFonts w:ascii="Arial" w:eastAsia="Calibri" w:hAnsi="Arial" w:cs="Times New Roman"/>
          <w:sz w:val="28"/>
        </w:rPr>
        <w:t xml:space="preserve"> la fórmula beneficiada con la asignación es la que encabezó la lista definitiva de</w:t>
      </w:r>
      <w:r w:rsidR="007D6ADF" w:rsidRPr="00F32542">
        <w:rPr>
          <w:rFonts w:ascii="Arial" w:eastAsia="Calibri" w:hAnsi="Arial" w:cs="Times New Roman"/>
          <w:sz w:val="28"/>
        </w:rPr>
        <w:t xml:space="preserve"> Movimiento Ciu</w:t>
      </w:r>
      <w:r w:rsidR="00581D8F" w:rsidRPr="00F32542">
        <w:rPr>
          <w:rFonts w:ascii="Arial" w:eastAsia="Calibri" w:hAnsi="Arial" w:cs="Times New Roman"/>
          <w:sz w:val="28"/>
        </w:rPr>
        <w:t>d</w:t>
      </w:r>
      <w:r w:rsidR="007D6ADF" w:rsidRPr="00F32542">
        <w:rPr>
          <w:rFonts w:ascii="Arial" w:eastAsia="Calibri" w:hAnsi="Arial" w:cs="Times New Roman"/>
          <w:sz w:val="28"/>
        </w:rPr>
        <w:t>adano</w:t>
      </w:r>
      <w:r w:rsidRPr="00F32542">
        <w:rPr>
          <w:rFonts w:ascii="Arial" w:eastAsia="Calibri" w:hAnsi="Arial" w:cs="Times New Roman"/>
          <w:i/>
          <w:sz w:val="28"/>
        </w:rPr>
        <w:t xml:space="preserve">, </w:t>
      </w:r>
      <w:r w:rsidRPr="00F32542">
        <w:rPr>
          <w:rFonts w:ascii="Arial" w:eastAsia="Calibri" w:hAnsi="Arial" w:cs="Times New Roman"/>
          <w:sz w:val="28"/>
        </w:rPr>
        <w:t xml:space="preserve">que a su vez, corresponde a la primera fórmula de candidaturas de la lista A, la cual es expresión del derecho de autodeterminación del partido político por lo que la decisión de designar a fórmulas masculinas </w:t>
      </w:r>
      <w:r w:rsidRPr="00F32542">
        <w:rPr>
          <w:rFonts w:ascii="Arial" w:eastAsia="Calibri" w:hAnsi="Arial" w:cs="Times New Roman"/>
          <w:sz w:val="28"/>
        </w:rPr>
        <w:lastRenderedPageBreak/>
        <w:t>para encabezarla, incumbe a su ámbito exclusivo de decisión, en el cual la autoridad electoral no puede intervenir.</w:t>
      </w:r>
    </w:p>
    <w:p w14:paraId="25D1FF3E" w14:textId="77777777" w:rsidR="00F94B48" w:rsidRPr="00F32542" w:rsidRDefault="00F94B48" w:rsidP="00F94B48">
      <w:pPr>
        <w:spacing w:after="0" w:line="360" w:lineRule="auto"/>
        <w:jc w:val="both"/>
        <w:rPr>
          <w:rFonts w:ascii="Arial" w:eastAsia="Calibri" w:hAnsi="Arial" w:cs="Arial"/>
          <w:sz w:val="28"/>
          <w:szCs w:val="28"/>
        </w:rPr>
      </w:pPr>
    </w:p>
    <w:p w14:paraId="0439BD40" w14:textId="77777777" w:rsidR="00F94B48" w:rsidRPr="00F32542" w:rsidRDefault="00F94B48" w:rsidP="00F94B48">
      <w:pPr>
        <w:spacing w:after="0" w:line="360" w:lineRule="auto"/>
        <w:jc w:val="both"/>
        <w:rPr>
          <w:rFonts w:ascii="Arial" w:eastAsia="Calibri" w:hAnsi="Arial" w:cs="Arial"/>
          <w:b/>
          <w:sz w:val="28"/>
          <w:szCs w:val="28"/>
        </w:rPr>
      </w:pPr>
      <w:r w:rsidRPr="00F32542">
        <w:rPr>
          <w:rFonts w:ascii="Arial" w:eastAsia="Calibri" w:hAnsi="Arial" w:cs="Arial"/>
          <w:b/>
          <w:sz w:val="28"/>
          <w:szCs w:val="28"/>
        </w:rPr>
        <w:t>XV</w:t>
      </w:r>
      <w:r w:rsidR="00E84D46" w:rsidRPr="00F32542">
        <w:rPr>
          <w:rFonts w:ascii="Arial" w:eastAsia="Calibri" w:hAnsi="Arial" w:cs="Arial"/>
          <w:b/>
          <w:sz w:val="28"/>
          <w:szCs w:val="28"/>
        </w:rPr>
        <w:t>III</w:t>
      </w:r>
      <w:r w:rsidRPr="00F32542">
        <w:rPr>
          <w:rFonts w:ascii="Arial" w:eastAsia="Calibri" w:hAnsi="Arial" w:cs="Arial"/>
          <w:b/>
          <w:sz w:val="28"/>
          <w:szCs w:val="28"/>
        </w:rPr>
        <w:t>. Violencia política y violencia política</w:t>
      </w:r>
      <w:r w:rsidR="00E84D46" w:rsidRPr="00F32542">
        <w:rPr>
          <w:rFonts w:ascii="Arial" w:eastAsia="Calibri" w:hAnsi="Arial" w:cs="Arial"/>
          <w:b/>
          <w:sz w:val="28"/>
          <w:szCs w:val="28"/>
        </w:rPr>
        <w:t xml:space="preserve"> contra las mujeres en razón</w:t>
      </w:r>
      <w:r w:rsidRPr="00F32542">
        <w:rPr>
          <w:rFonts w:ascii="Arial" w:eastAsia="Calibri" w:hAnsi="Arial" w:cs="Arial"/>
          <w:b/>
          <w:sz w:val="28"/>
          <w:szCs w:val="28"/>
        </w:rPr>
        <w:t xml:space="preserve"> de género</w:t>
      </w:r>
    </w:p>
    <w:p w14:paraId="361DFDEB" w14:textId="77777777" w:rsidR="00F94B48" w:rsidRPr="00F32542" w:rsidRDefault="00F94B48" w:rsidP="00F94B48">
      <w:pPr>
        <w:spacing w:after="0" w:line="360" w:lineRule="auto"/>
        <w:jc w:val="both"/>
        <w:rPr>
          <w:rFonts w:ascii="Arial" w:eastAsia="Calibri" w:hAnsi="Arial" w:cs="Arial"/>
          <w:b/>
          <w:sz w:val="28"/>
          <w:szCs w:val="28"/>
        </w:rPr>
      </w:pPr>
    </w:p>
    <w:p w14:paraId="37A2E6A8" w14:textId="77777777" w:rsidR="007D6ADF" w:rsidRPr="00F32542" w:rsidRDefault="00F94B48" w:rsidP="00F94B48">
      <w:pPr>
        <w:spacing w:after="0" w:line="360" w:lineRule="auto"/>
        <w:jc w:val="both"/>
        <w:rPr>
          <w:rFonts w:ascii="Arial" w:eastAsia="Calibri" w:hAnsi="Arial" w:cs="Times New Roman"/>
          <w:b/>
          <w:sz w:val="28"/>
          <w:szCs w:val="28"/>
        </w:rPr>
      </w:pPr>
      <w:r w:rsidRPr="00F32542">
        <w:rPr>
          <w:rFonts w:ascii="Arial" w:eastAsia="Calibri" w:hAnsi="Arial" w:cs="Times New Roman"/>
          <w:b/>
          <w:sz w:val="28"/>
          <w:szCs w:val="28"/>
        </w:rPr>
        <w:t>TECDMX-JLDC-92</w:t>
      </w:r>
      <w:r w:rsidR="00BE4877" w:rsidRPr="00F32542">
        <w:rPr>
          <w:rFonts w:ascii="Arial" w:eastAsia="Calibri" w:hAnsi="Arial" w:cs="Times New Roman"/>
          <w:b/>
          <w:sz w:val="28"/>
          <w:szCs w:val="28"/>
        </w:rPr>
        <w:t>/2021</w:t>
      </w:r>
      <w:r w:rsidRPr="00F32542">
        <w:rPr>
          <w:rFonts w:ascii="Arial" w:eastAsia="Calibri" w:hAnsi="Arial" w:cs="Times New Roman"/>
          <w:b/>
          <w:sz w:val="28"/>
          <w:szCs w:val="28"/>
        </w:rPr>
        <w:t xml:space="preserve"> (Elizabeth Mateos Hernández) </w:t>
      </w:r>
    </w:p>
    <w:p w14:paraId="7F777D0A" w14:textId="77777777" w:rsidR="007D6ADF" w:rsidRPr="00F32542" w:rsidRDefault="00F94B48" w:rsidP="00F94B48">
      <w:pPr>
        <w:spacing w:after="0" w:line="360" w:lineRule="auto"/>
        <w:jc w:val="both"/>
        <w:rPr>
          <w:rFonts w:ascii="Arial" w:eastAsia="Calibri" w:hAnsi="Arial" w:cs="Times New Roman"/>
          <w:b/>
          <w:sz w:val="28"/>
          <w:szCs w:val="28"/>
        </w:rPr>
      </w:pPr>
      <w:r w:rsidRPr="00F32542">
        <w:rPr>
          <w:rFonts w:ascii="Arial" w:eastAsia="Calibri" w:hAnsi="Arial" w:cs="Times New Roman"/>
          <w:b/>
          <w:sz w:val="28"/>
          <w:szCs w:val="28"/>
        </w:rPr>
        <w:t>TECDMX-JLDC-93/2021 (Lucía Alejandra Puente García)</w:t>
      </w:r>
    </w:p>
    <w:p w14:paraId="2604E9D0" w14:textId="77777777" w:rsidR="007D6ADF" w:rsidRPr="00F32542" w:rsidRDefault="00F94B48" w:rsidP="00F94B48">
      <w:pPr>
        <w:spacing w:after="0" w:line="360" w:lineRule="auto"/>
        <w:jc w:val="both"/>
        <w:rPr>
          <w:rFonts w:ascii="Arial" w:eastAsia="Calibri" w:hAnsi="Arial" w:cs="Times New Roman"/>
          <w:b/>
          <w:sz w:val="28"/>
          <w:szCs w:val="28"/>
        </w:rPr>
      </w:pPr>
      <w:r w:rsidRPr="00F32542">
        <w:rPr>
          <w:rFonts w:ascii="Arial" w:eastAsia="Calibri" w:hAnsi="Arial" w:cs="Times New Roman"/>
          <w:b/>
          <w:sz w:val="28"/>
          <w:szCs w:val="28"/>
        </w:rPr>
        <w:t>TECDMX-JLDC-95/2021 (Montserrat Adriana Bosque Sánchez)</w:t>
      </w:r>
    </w:p>
    <w:p w14:paraId="258A89BC" w14:textId="77777777" w:rsidR="007D6ADF" w:rsidRPr="00F32542" w:rsidRDefault="00F94B48" w:rsidP="00F94B48">
      <w:pPr>
        <w:spacing w:after="0" w:line="360" w:lineRule="auto"/>
        <w:jc w:val="both"/>
        <w:rPr>
          <w:rFonts w:ascii="Arial" w:eastAsia="Calibri" w:hAnsi="Arial" w:cs="Times New Roman"/>
          <w:b/>
          <w:sz w:val="28"/>
          <w:szCs w:val="28"/>
        </w:rPr>
      </w:pPr>
      <w:r w:rsidRPr="00F32542">
        <w:rPr>
          <w:rFonts w:ascii="Arial" w:eastAsia="Calibri" w:hAnsi="Arial" w:cs="Times New Roman"/>
          <w:b/>
          <w:sz w:val="28"/>
          <w:szCs w:val="28"/>
        </w:rPr>
        <w:t>TECDMX-96/2021 (</w:t>
      </w:r>
      <w:proofErr w:type="spellStart"/>
      <w:r w:rsidRPr="00F32542">
        <w:rPr>
          <w:rFonts w:ascii="Arial" w:eastAsia="Calibri" w:hAnsi="Arial" w:cs="Times New Roman"/>
          <w:b/>
          <w:sz w:val="28"/>
          <w:szCs w:val="28"/>
        </w:rPr>
        <w:t>Anthea</w:t>
      </w:r>
      <w:proofErr w:type="spellEnd"/>
      <w:r w:rsidRPr="00F32542">
        <w:rPr>
          <w:rFonts w:ascii="Arial" w:eastAsia="Calibri" w:hAnsi="Arial" w:cs="Times New Roman"/>
          <w:b/>
          <w:sz w:val="28"/>
          <w:szCs w:val="28"/>
        </w:rPr>
        <w:t xml:space="preserve"> Terina Sansores Olvera)</w:t>
      </w:r>
    </w:p>
    <w:p w14:paraId="4ED2BB7A" w14:textId="77777777" w:rsidR="00F94B48" w:rsidRPr="00F32542" w:rsidRDefault="00F94B48" w:rsidP="00F94B48">
      <w:pPr>
        <w:spacing w:after="0" w:line="360" w:lineRule="auto"/>
        <w:jc w:val="both"/>
        <w:rPr>
          <w:rFonts w:ascii="Arial" w:eastAsia="Calibri" w:hAnsi="Arial" w:cs="Times New Roman"/>
          <w:b/>
          <w:sz w:val="28"/>
          <w:szCs w:val="28"/>
        </w:rPr>
      </w:pPr>
      <w:r w:rsidRPr="00F32542">
        <w:rPr>
          <w:rFonts w:ascii="Arial" w:eastAsia="Calibri" w:hAnsi="Arial" w:cs="Times New Roman"/>
          <w:b/>
          <w:sz w:val="28"/>
          <w:szCs w:val="28"/>
        </w:rPr>
        <w:t>TECDMX-JLDC-103/2021 (Mónica Jessica Menocal del Moral)</w:t>
      </w:r>
    </w:p>
    <w:p w14:paraId="056F0A6B" w14:textId="77777777" w:rsidR="00F94B48" w:rsidRPr="00F32542" w:rsidRDefault="00F94B48" w:rsidP="00F94B48">
      <w:pPr>
        <w:spacing w:after="0" w:line="360" w:lineRule="auto"/>
        <w:jc w:val="both"/>
        <w:rPr>
          <w:rFonts w:ascii="Arial" w:eastAsia="Calibri" w:hAnsi="Arial" w:cs="Times New Roman"/>
          <w:sz w:val="28"/>
          <w:szCs w:val="28"/>
        </w:rPr>
      </w:pPr>
    </w:p>
    <w:p w14:paraId="0FEF6F35"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De manera general, las </w:t>
      </w:r>
      <w:r w:rsidRPr="00F32542">
        <w:rPr>
          <w:rFonts w:ascii="Arial" w:eastAsia="Calibri" w:hAnsi="Arial" w:cs="Times New Roman"/>
          <w:i/>
          <w:sz w:val="28"/>
          <w:szCs w:val="28"/>
        </w:rPr>
        <w:t>partes demandantes</w:t>
      </w:r>
      <w:r w:rsidRPr="00F32542">
        <w:rPr>
          <w:rFonts w:ascii="Arial" w:eastAsia="Calibri" w:hAnsi="Arial" w:cs="Times New Roman"/>
          <w:sz w:val="28"/>
          <w:szCs w:val="28"/>
        </w:rPr>
        <w:t xml:space="preserve"> manifiestan que se configura violencia política y violencia política de género, dado que, sustancialmente, con motivo de la integración de listas de candidaturas quedaron excluidas de la asignación de diputaciones por el principio de representación proporcional, siendo que, en atención al principio de paridad de género, debió corresponderles un lugar. </w:t>
      </w:r>
    </w:p>
    <w:p w14:paraId="6F8A10E7" w14:textId="77777777" w:rsidR="00F94B48" w:rsidRPr="00F32542" w:rsidRDefault="00F94B48" w:rsidP="00F94B48">
      <w:pPr>
        <w:spacing w:after="0" w:line="360" w:lineRule="auto"/>
        <w:jc w:val="both"/>
        <w:rPr>
          <w:rFonts w:ascii="Arial" w:eastAsia="Calibri" w:hAnsi="Arial" w:cs="Times New Roman"/>
          <w:sz w:val="28"/>
          <w:szCs w:val="28"/>
        </w:rPr>
      </w:pPr>
    </w:p>
    <w:p w14:paraId="1EB76728" w14:textId="77777777" w:rsidR="00F94B48" w:rsidRPr="00F32542" w:rsidRDefault="00F94B48" w:rsidP="00F94B48">
      <w:pPr>
        <w:spacing w:after="0" w:line="360" w:lineRule="auto"/>
        <w:contextualSpacing/>
        <w:jc w:val="both"/>
        <w:rPr>
          <w:rFonts w:ascii="Arial" w:eastAsia="Calibri" w:hAnsi="Arial" w:cs="Arial"/>
          <w:sz w:val="28"/>
          <w:szCs w:val="28"/>
        </w:rPr>
      </w:pPr>
      <w:r w:rsidRPr="00F32542">
        <w:rPr>
          <w:rFonts w:ascii="Arial" w:eastAsia="Calibri" w:hAnsi="Arial" w:cs="Arial"/>
          <w:sz w:val="28"/>
          <w:szCs w:val="28"/>
        </w:rPr>
        <w:t xml:space="preserve">En específico, las </w:t>
      </w:r>
      <w:r w:rsidRPr="00F32542">
        <w:rPr>
          <w:rFonts w:ascii="Arial" w:eastAsia="Calibri" w:hAnsi="Arial" w:cs="Arial"/>
          <w:i/>
          <w:sz w:val="28"/>
          <w:szCs w:val="28"/>
        </w:rPr>
        <w:t xml:space="preserve">partes actoras </w:t>
      </w:r>
      <w:r w:rsidRPr="00F32542">
        <w:rPr>
          <w:rFonts w:ascii="Arial" w:eastAsia="Calibri" w:hAnsi="Arial" w:cs="Arial"/>
          <w:sz w:val="28"/>
          <w:szCs w:val="28"/>
        </w:rPr>
        <w:t>sostienen lo siguiente:</w:t>
      </w:r>
    </w:p>
    <w:p w14:paraId="7CFD191B" w14:textId="77777777" w:rsidR="00F94B48" w:rsidRPr="00F32542" w:rsidRDefault="00F94B48" w:rsidP="00F94B48">
      <w:pPr>
        <w:spacing w:after="0" w:line="360" w:lineRule="auto"/>
        <w:ind w:left="720"/>
        <w:contextualSpacing/>
        <w:jc w:val="both"/>
        <w:rPr>
          <w:rFonts w:ascii="Arial" w:eastAsia="Calibri" w:hAnsi="Arial" w:cs="Arial"/>
          <w:sz w:val="28"/>
          <w:szCs w:val="28"/>
        </w:rPr>
      </w:pPr>
    </w:p>
    <w:p w14:paraId="14B92E20" w14:textId="77777777" w:rsidR="00F94B48" w:rsidRPr="00F32542" w:rsidRDefault="00F94B48" w:rsidP="009B6ED0">
      <w:pPr>
        <w:numPr>
          <w:ilvl w:val="0"/>
          <w:numId w:val="30"/>
        </w:numPr>
        <w:spacing w:after="0" w:line="360" w:lineRule="auto"/>
        <w:contextualSpacing/>
        <w:jc w:val="both"/>
        <w:rPr>
          <w:rFonts w:ascii="Arial" w:eastAsia="Calibri" w:hAnsi="Arial" w:cs="Times New Roman"/>
          <w:sz w:val="28"/>
          <w:szCs w:val="28"/>
        </w:rPr>
      </w:pPr>
      <w:r w:rsidRPr="00F32542">
        <w:rPr>
          <w:rFonts w:ascii="Arial" w:eastAsia="Calibri" w:hAnsi="Arial" w:cs="Times New Roman"/>
          <w:sz w:val="28"/>
          <w:szCs w:val="28"/>
        </w:rPr>
        <w:t xml:space="preserve">Aconteció una acción dolosa realizada por el candidato Jesús Sesma Suárez (candidato a una diputación de mayoría relativa, así como de representación proporcional, ubicado en el primer lugar de la lista A del PVEM), en complicidad con Javier Ramos Franco y Manuel </w:t>
      </w:r>
      <w:proofErr w:type="spellStart"/>
      <w:r w:rsidRPr="00F32542">
        <w:rPr>
          <w:rFonts w:ascii="Arial" w:eastAsia="Calibri" w:hAnsi="Arial" w:cs="Times New Roman"/>
          <w:sz w:val="28"/>
          <w:szCs w:val="28"/>
        </w:rPr>
        <w:t>Talayero</w:t>
      </w:r>
      <w:proofErr w:type="spellEnd"/>
      <w:r w:rsidRPr="00F32542">
        <w:rPr>
          <w:rFonts w:ascii="Arial" w:eastAsia="Calibri" w:hAnsi="Arial" w:cs="Times New Roman"/>
          <w:sz w:val="28"/>
          <w:szCs w:val="28"/>
        </w:rPr>
        <w:t xml:space="preserve"> (candidatos suplentes de dicha persona, el primero por mayoría relativa y el segundo por representación proporcional) que imposibilitó a la </w:t>
      </w:r>
      <w:r w:rsidRPr="00F32542">
        <w:rPr>
          <w:rFonts w:ascii="Arial" w:eastAsia="Calibri" w:hAnsi="Arial" w:cs="Times New Roman"/>
          <w:i/>
          <w:sz w:val="28"/>
          <w:szCs w:val="28"/>
        </w:rPr>
        <w:t xml:space="preserve">parte actora </w:t>
      </w:r>
      <w:r w:rsidRPr="00F32542">
        <w:rPr>
          <w:rFonts w:ascii="Arial" w:eastAsia="Calibri" w:hAnsi="Arial" w:cs="Times New Roman"/>
          <w:sz w:val="28"/>
          <w:szCs w:val="28"/>
        </w:rPr>
        <w:t xml:space="preserve">el acceso a la integración de órganos </w:t>
      </w:r>
      <w:r w:rsidRPr="00F32542">
        <w:rPr>
          <w:rFonts w:ascii="Arial" w:eastAsia="Calibri" w:hAnsi="Arial" w:cs="Times New Roman"/>
          <w:sz w:val="28"/>
          <w:szCs w:val="28"/>
        </w:rPr>
        <w:lastRenderedPageBreak/>
        <w:t xml:space="preserve">políticos y toma de decisiones, porque a sabiendas de que registraron fórmulas con suplentes distintos, omitieron manifestar ese actuar y el </w:t>
      </w:r>
      <w:r w:rsidRPr="00F32542">
        <w:rPr>
          <w:rFonts w:ascii="Arial" w:eastAsia="Calibri" w:hAnsi="Arial" w:cs="Times New Roman"/>
          <w:i/>
          <w:sz w:val="28"/>
          <w:szCs w:val="28"/>
        </w:rPr>
        <w:t>Instituto Electoral</w:t>
      </w:r>
      <w:r w:rsidRPr="00F32542">
        <w:rPr>
          <w:rFonts w:ascii="Arial" w:eastAsia="Calibri" w:hAnsi="Arial" w:cs="Times New Roman"/>
          <w:sz w:val="28"/>
          <w:szCs w:val="28"/>
        </w:rPr>
        <w:t xml:space="preserve"> fue omiso en su función revisora y administrativa electoral </w:t>
      </w:r>
      <w:r w:rsidRPr="00F32542">
        <w:rPr>
          <w:rFonts w:ascii="Arial" w:eastAsia="Calibri" w:hAnsi="Arial" w:cs="Times New Roman"/>
          <w:b/>
          <w:sz w:val="28"/>
          <w:szCs w:val="28"/>
        </w:rPr>
        <w:t>(TECDMX-JLDC-92/2021)</w:t>
      </w:r>
    </w:p>
    <w:p w14:paraId="1F2B4B48" w14:textId="77777777" w:rsidR="00F94B48" w:rsidRPr="00F32542" w:rsidRDefault="00F94B48" w:rsidP="00F94B48">
      <w:pPr>
        <w:spacing w:after="0" w:line="360" w:lineRule="auto"/>
        <w:ind w:left="720"/>
        <w:contextualSpacing/>
        <w:jc w:val="both"/>
        <w:rPr>
          <w:rFonts w:ascii="Arial" w:eastAsia="Calibri" w:hAnsi="Arial" w:cs="Times New Roman"/>
          <w:sz w:val="28"/>
          <w:szCs w:val="28"/>
        </w:rPr>
      </w:pPr>
    </w:p>
    <w:p w14:paraId="5AF3D1D6" w14:textId="77777777" w:rsidR="00F94B48" w:rsidRPr="00F32542" w:rsidRDefault="00F94B48" w:rsidP="009B6ED0">
      <w:pPr>
        <w:numPr>
          <w:ilvl w:val="0"/>
          <w:numId w:val="30"/>
        </w:numPr>
        <w:spacing w:after="0" w:line="360" w:lineRule="auto"/>
        <w:contextualSpacing/>
        <w:jc w:val="both"/>
        <w:rPr>
          <w:rFonts w:ascii="Arial" w:eastAsia="Calibri" w:hAnsi="Arial" w:cs="Times New Roman"/>
          <w:sz w:val="28"/>
          <w:szCs w:val="28"/>
        </w:rPr>
      </w:pPr>
      <w:r w:rsidRPr="00F32542">
        <w:rPr>
          <w:rFonts w:ascii="Arial" w:eastAsia="Calibri" w:hAnsi="Arial" w:cs="Arial"/>
          <w:sz w:val="28"/>
          <w:szCs w:val="28"/>
        </w:rPr>
        <w:t xml:space="preserve">La postulación de un hombre en el primer lugar de la lista A debe ser considerada como violencia de género; además, solicita la aplicación del </w:t>
      </w:r>
      <w:r w:rsidRPr="00F32542">
        <w:rPr>
          <w:rFonts w:ascii="Arial" w:eastAsia="Times New Roman" w:hAnsi="Arial" w:cs="Arial"/>
          <w:i/>
          <w:sz w:val="28"/>
          <w:szCs w:val="28"/>
          <w:lang w:val="es-ES" w:eastAsia="es-ES"/>
        </w:rPr>
        <w:t>Protocolo para Atender la Violencia Política Contra las Mujeres</w:t>
      </w:r>
      <w:r w:rsidRPr="00F32542">
        <w:rPr>
          <w:rFonts w:ascii="Arial" w:eastAsia="Calibri" w:hAnsi="Arial" w:cs="Times New Roman"/>
          <w:b/>
          <w:sz w:val="28"/>
          <w:szCs w:val="28"/>
        </w:rPr>
        <w:t xml:space="preserve"> (TECDMX-JLDC-93/2021).</w:t>
      </w:r>
    </w:p>
    <w:p w14:paraId="56C5DFEC" w14:textId="77777777" w:rsidR="00F94B48" w:rsidRPr="00F32542" w:rsidRDefault="00F94B48" w:rsidP="00F94B48">
      <w:pPr>
        <w:spacing w:after="0" w:line="360" w:lineRule="auto"/>
        <w:ind w:left="720"/>
        <w:contextualSpacing/>
        <w:jc w:val="both"/>
        <w:rPr>
          <w:rFonts w:ascii="Arial" w:eastAsia="Calibri" w:hAnsi="Arial" w:cs="Times New Roman"/>
          <w:sz w:val="28"/>
          <w:szCs w:val="28"/>
        </w:rPr>
      </w:pPr>
    </w:p>
    <w:p w14:paraId="002C5122" w14:textId="77777777" w:rsidR="007D6ADF" w:rsidRPr="00F32542" w:rsidRDefault="00F94B48" w:rsidP="009B6ED0">
      <w:pPr>
        <w:numPr>
          <w:ilvl w:val="0"/>
          <w:numId w:val="30"/>
        </w:numPr>
        <w:spacing w:after="0" w:line="360" w:lineRule="auto"/>
        <w:contextualSpacing/>
        <w:jc w:val="both"/>
        <w:rPr>
          <w:rFonts w:ascii="Arial" w:eastAsia="Calibri" w:hAnsi="Arial" w:cs="Times New Roman"/>
          <w:sz w:val="28"/>
          <w:szCs w:val="28"/>
        </w:rPr>
      </w:pPr>
      <w:r w:rsidRPr="00F32542">
        <w:rPr>
          <w:rFonts w:ascii="Arial" w:eastAsia="Calibri" w:hAnsi="Arial" w:cs="Times New Roman"/>
          <w:sz w:val="28"/>
          <w:szCs w:val="28"/>
        </w:rPr>
        <w:t xml:space="preserve">Derivado de la interpretación que realizó la responsable respecto del artículo 24, fracción IV, del </w:t>
      </w:r>
      <w:r w:rsidRPr="00F32542">
        <w:rPr>
          <w:rFonts w:ascii="Arial" w:eastAsia="Calibri" w:hAnsi="Arial" w:cs="Times New Roman"/>
          <w:i/>
          <w:sz w:val="28"/>
          <w:szCs w:val="28"/>
        </w:rPr>
        <w:t>Código Electoral</w:t>
      </w:r>
      <w:r w:rsidRPr="00F32542">
        <w:rPr>
          <w:rFonts w:ascii="Arial" w:eastAsia="Calibri" w:hAnsi="Arial" w:cs="Times New Roman"/>
          <w:sz w:val="28"/>
          <w:szCs w:val="28"/>
        </w:rPr>
        <w:t xml:space="preserve">, en cuanto a los porcentajes de votación utilizados para integrar la lista B, se configura violencia política en razón de género, pues aplicó la interpretación más desfavorecedora para la integración del </w:t>
      </w:r>
      <w:r w:rsidRPr="00F32542">
        <w:rPr>
          <w:rFonts w:ascii="Arial" w:eastAsia="Calibri" w:hAnsi="Arial" w:cs="Times New Roman"/>
          <w:i/>
          <w:sz w:val="28"/>
          <w:szCs w:val="28"/>
        </w:rPr>
        <w:t>Congreso</w:t>
      </w:r>
      <w:r w:rsidRPr="00F32542">
        <w:rPr>
          <w:rFonts w:ascii="Arial" w:eastAsia="Calibri" w:hAnsi="Arial" w:cs="Times New Roman"/>
          <w:sz w:val="28"/>
          <w:szCs w:val="28"/>
        </w:rPr>
        <w:t xml:space="preserve">, con lo que obstaculiza a las </w:t>
      </w:r>
      <w:r w:rsidRPr="00F32542">
        <w:rPr>
          <w:rFonts w:ascii="Arial" w:eastAsia="Calibri" w:hAnsi="Arial" w:cs="Times New Roman"/>
          <w:i/>
          <w:sz w:val="28"/>
          <w:szCs w:val="28"/>
        </w:rPr>
        <w:t>partes actoras</w:t>
      </w:r>
      <w:r w:rsidRPr="00F32542">
        <w:rPr>
          <w:rFonts w:ascii="Arial" w:eastAsia="Calibri" w:hAnsi="Arial" w:cs="Times New Roman"/>
          <w:sz w:val="28"/>
          <w:szCs w:val="28"/>
        </w:rPr>
        <w:t xml:space="preserve"> el acceso a un cargo de elección popular por el hecho de ser mujeres</w:t>
      </w:r>
      <w:r w:rsidRPr="00F32542">
        <w:rPr>
          <w:rFonts w:ascii="Arial" w:eastAsia="Calibri" w:hAnsi="Arial" w:cs="Times New Roman"/>
          <w:b/>
          <w:sz w:val="28"/>
          <w:szCs w:val="28"/>
        </w:rPr>
        <w:t xml:space="preserve"> (TECDMX-JLDC-95/2021 y TECDMX-JLDC-96/2021).</w:t>
      </w:r>
    </w:p>
    <w:p w14:paraId="3F312426" w14:textId="77777777" w:rsidR="007D6ADF" w:rsidRPr="00F32542" w:rsidRDefault="007D6ADF" w:rsidP="007D6ADF">
      <w:pPr>
        <w:pStyle w:val="Prrafodelista"/>
        <w:rPr>
          <w:rFonts w:ascii="Arial" w:eastAsia="Calibri" w:hAnsi="Arial"/>
          <w:szCs w:val="28"/>
          <w:lang w:val="es-ES"/>
        </w:rPr>
      </w:pPr>
    </w:p>
    <w:p w14:paraId="5B449262" w14:textId="77777777" w:rsidR="007D6ADF" w:rsidRPr="00F32542" w:rsidRDefault="00F94B48" w:rsidP="009B6ED0">
      <w:pPr>
        <w:numPr>
          <w:ilvl w:val="0"/>
          <w:numId w:val="30"/>
        </w:numPr>
        <w:spacing w:after="0" w:line="360" w:lineRule="auto"/>
        <w:contextualSpacing/>
        <w:jc w:val="both"/>
        <w:rPr>
          <w:rFonts w:ascii="Arial" w:eastAsia="Calibri" w:hAnsi="Arial" w:cs="Times New Roman"/>
          <w:sz w:val="28"/>
          <w:szCs w:val="28"/>
        </w:rPr>
      </w:pPr>
      <w:r w:rsidRPr="00F32542">
        <w:rPr>
          <w:rFonts w:ascii="Arial" w:eastAsia="Calibri" w:hAnsi="Arial" w:cs="Times New Roman"/>
          <w:sz w:val="28"/>
          <w:szCs w:val="28"/>
          <w:lang w:val="es-ES"/>
        </w:rPr>
        <w:t>La integración de la candidatura migrante a la lista A prima y no a la lista A, así como la integración de la lista B del PAN implicó violencia política y violencia política por razones de género, ya que el principio democrático es el que debería prevalecer para integrar esa lista</w:t>
      </w:r>
      <w:r w:rsidR="007D6ADF" w:rsidRPr="00F32542">
        <w:rPr>
          <w:rFonts w:ascii="Arial" w:eastAsia="Calibri" w:hAnsi="Arial" w:cs="Times New Roman"/>
          <w:sz w:val="28"/>
          <w:szCs w:val="28"/>
          <w:lang w:val="es-ES"/>
        </w:rPr>
        <w:t xml:space="preserve"> y debió sustituirse la posición número nueve (9) de la lista definitiva del PAN a favor de la actora.</w:t>
      </w:r>
    </w:p>
    <w:p w14:paraId="70B093E3" w14:textId="77777777" w:rsidR="007D6ADF" w:rsidRPr="00F32542" w:rsidRDefault="007D6ADF" w:rsidP="007D6ADF">
      <w:pPr>
        <w:pStyle w:val="Prrafodelista"/>
        <w:rPr>
          <w:rFonts w:ascii="Arial" w:eastAsia="Calibri" w:hAnsi="Arial" w:cs="Arial"/>
          <w:bCs/>
          <w:szCs w:val="28"/>
          <w:lang w:eastAsia="es-MX"/>
        </w:rPr>
      </w:pPr>
    </w:p>
    <w:p w14:paraId="412666F2" w14:textId="77777777" w:rsidR="00F94B48" w:rsidRPr="00F32542" w:rsidRDefault="007D6ADF" w:rsidP="007D6ADF">
      <w:pPr>
        <w:spacing w:after="0" w:line="360" w:lineRule="auto"/>
        <w:ind w:left="720"/>
        <w:contextualSpacing/>
        <w:jc w:val="both"/>
        <w:rPr>
          <w:rFonts w:ascii="Arial" w:eastAsia="Calibri" w:hAnsi="Arial" w:cs="Times New Roman"/>
          <w:sz w:val="28"/>
          <w:szCs w:val="28"/>
        </w:rPr>
      </w:pPr>
      <w:r w:rsidRPr="00F32542">
        <w:rPr>
          <w:rFonts w:ascii="Arial" w:eastAsia="Calibri" w:hAnsi="Arial" w:cs="Arial"/>
          <w:bCs/>
          <w:sz w:val="28"/>
          <w:szCs w:val="28"/>
          <w:lang w:eastAsia="es-MX"/>
        </w:rPr>
        <w:lastRenderedPageBreak/>
        <w:t xml:space="preserve">La </w:t>
      </w:r>
      <w:r w:rsidRPr="00F32542">
        <w:rPr>
          <w:rFonts w:ascii="Arial" w:eastAsia="Calibri" w:hAnsi="Arial" w:cs="Arial"/>
          <w:bCs/>
          <w:i/>
          <w:iCs/>
          <w:sz w:val="28"/>
          <w:szCs w:val="28"/>
          <w:lang w:eastAsia="es-MX"/>
        </w:rPr>
        <w:t>actora</w:t>
      </w:r>
      <w:r w:rsidRPr="00F32542">
        <w:rPr>
          <w:rFonts w:ascii="Arial" w:eastAsia="Calibri" w:hAnsi="Arial" w:cs="Arial"/>
          <w:bCs/>
          <w:sz w:val="28"/>
          <w:szCs w:val="28"/>
          <w:lang w:eastAsia="es-MX"/>
        </w:rPr>
        <w:t xml:space="preserve"> manifiesta también, que se actualizó violencia política en su contra debido a acciones cometidas por MORENA, además de que no recibió recursos por parte de los partidos que la postularon. Incluso, afirma que se ejercieron acciones de violencia política de género en su contra, </w:t>
      </w:r>
      <w:r w:rsidRPr="00F32542">
        <w:rPr>
          <w:rFonts w:ascii="Arial" w:eastAsia="Calibri" w:hAnsi="Arial" w:cs="Arial"/>
          <w:bCs/>
          <w:sz w:val="28"/>
          <w:szCs w:val="28"/>
          <w:lang w:val="es-ES" w:eastAsia="es-MX"/>
        </w:rPr>
        <w:t>pues en los sistemas de seguimientos de campaña le fueron</w:t>
      </w:r>
      <w:r w:rsidR="00581D8F" w:rsidRPr="00F32542">
        <w:rPr>
          <w:rFonts w:ascii="Arial" w:eastAsia="Calibri" w:hAnsi="Arial" w:cs="Arial"/>
          <w:bCs/>
          <w:sz w:val="28"/>
          <w:szCs w:val="28"/>
          <w:lang w:val="es-ES" w:eastAsia="es-MX"/>
        </w:rPr>
        <w:t xml:space="preserve"> </w:t>
      </w:r>
      <w:r w:rsidRPr="00F32542">
        <w:rPr>
          <w:rFonts w:ascii="Arial" w:eastAsia="Calibri" w:hAnsi="Arial" w:cs="Arial"/>
          <w:bCs/>
          <w:sz w:val="28"/>
          <w:szCs w:val="28"/>
          <w:lang w:val="es-ES" w:eastAsia="es-MX"/>
        </w:rPr>
        <w:t xml:space="preserve">cuantificados </w:t>
      </w:r>
      <w:r w:rsidRPr="00F32542">
        <w:rPr>
          <w:rFonts w:ascii="Arial" w:eastAsia="Calibri" w:hAnsi="Arial" w:cs="Arial"/>
          <w:bCs/>
          <w:sz w:val="28"/>
          <w:szCs w:val="28"/>
          <w:lang w:eastAsia="es-MX"/>
        </w:rPr>
        <w:t xml:space="preserve">espectaculares con su imagen </w:t>
      </w:r>
      <w:r w:rsidR="00F94B48" w:rsidRPr="00F32542">
        <w:rPr>
          <w:rFonts w:ascii="Arial" w:eastAsia="Calibri" w:hAnsi="Arial" w:cs="Times New Roman"/>
          <w:b/>
          <w:sz w:val="28"/>
          <w:szCs w:val="28"/>
          <w:lang w:val="es-ES"/>
        </w:rPr>
        <w:t>(</w:t>
      </w:r>
      <w:r w:rsidR="00F94B48" w:rsidRPr="00F32542">
        <w:rPr>
          <w:rFonts w:ascii="Arial" w:eastAsia="Calibri" w:hAnsi="Arial" w:cs="Times New Roman"/>
          <w:b/>
          <w:sz w:val="28"/>
          <w:szCs w:val="28"/>
        </w:rPr>
        <w:t>TECDMX-JLDC-103/2021).</w:t>
      </w:r>
    </w:p>
    <w:p w14:paraId="794838F0" w14:textId="77777777" w:rsidR="00F94B48" w:rsidRPr="00F32542" w:rsidRDefault="00F94B48" w:rsidP="007D6ADF">
      <w:pPr>
        <w:spacing w:after="0" w:line="360" w:lineRule="auto"/>
        <w:contextualSpacing/>
        <w:jc w:val="both"/>
        <w:rPr>
          <w:rFonts w:ascii="Arial" w:eastAsia="Calibri" w:hAnsi="Arial" w:cs="Times New Roman"/>
          <w:sz w:val="28"/>
          <w:szCs w:val="28"/>
          <w:lang w:val="es-ES"/>
        </w:rPr>
      </w:pPr>
    </w:p>
    <w:p w14:paraId="62BD4606"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Times New Roman"/>
          <w:sz w:val="28"/>
          <w:szCs w:val="28"/>
        </w:rPr>
        <w:t xml:space="preserve">Ahora bien, para dar respuesta a los planteamientos aludidos, es preciso tener presente </w:t>
      </w:r>
      <w:r w:rsidRPr="00F32542">
        <w:rPr>
          <w:rFonts w:ascii="Arial" w:eastAsia="Calibri" w:hAnsi="Arial" w:cs="Arial"/>
          <w:sz w:val="28"/>
          <w:szCs w:val="28"/>
        </w:rPr>
        <w:t xml:space="preserve">que la </w:t>
      </w:r>
      <w:r w:rsidRPr="00F32542">
        <w:rPr>
          <w:rFonts w:ascii="Arial" w:eastAsia="Calibri" w:hAnsi="Arial" w:cs="Arial"/>
          <w:i/>
          <w:sz w:val="28"/>
          <w:szCs w:val="28"/>
        </w:rPr>
        <w:t>Sala Superior</w:t>
      </w:r>
      <w:r w:rsidRPr="00F32542">
        <w:rPr>
          <w:rFonts w:ascii="Arial" w:eastAsia="Calibri" w:hAnsi="Arial" w:cs="Arial"/>
          <w:sz w:val="28"/>
          <w:szCs w:val="28"/>
        </w:rPr>
        <w:t xml:space="preserve"> ha explicado que la violencia política contra las mujeres comprende todas aquellas acciones u omisiones de personas, servidoras o servidores públicos que se dirigen a una mujer por ser mujer, tienen un impacto diferenciado en ellas o les afectan desproporcionadamente, con el objeto o resultado de menoscabar o anular sus derechos político-electorales, incluyendo el ejercicio del cargo.</w:t>
      </w:r>
    </w:p>
    <w:p w14:paraId="12343152" w14:textId="77777777" w:rsidR="00F94B48" w:rsidRPr="00F32542" w:rsidRDefault="00F94B48" w:rsidP="00F94B48">
      <w:pPr>
        <w:spacing w:after="0" w:line="360" w:lineRule="auto"/>
        <w:jc w:val="both"/>
        <w:rPr>
          <w:rFonts w:ascii="Arial" w:eastAsia="Calibri" w:hAnsi="Arial" w:cs="Arial"/>
          <w:sz w:val="28"/>
          <w:szCs w:val="28"/>
        </w:rPr>
      </w:pPr>
    </w:p>
    <w:p w14:paraId="7754C1CB" w14:textId="77777777" w:rsidR="00F94B48" w:rsidRPr="00F32542" w:rsidRDefault="00F94B48" w:rsidP="00F94B48">
      <w:pPr>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t xml:space="preserve">Lo anterior, en términos de la jurisprudencia </w:t>
      </w:r>
      <w:r w:rsidRPr="00F32542">
        <w:rPr>
          <w:rFonts w:ascii="Arial" w:eastAsia="Times New Roman" w:hAnsi="Arial" w:cs="Arial"/>
          <w:b/>
          <w:sz w:val="28"/>
          <w:szCs w:val="28"/>
          <w:lang w:val="es-ES" w:eastAsia="es-ES"/>
        </w:rPr>
        <w:t>48/2016</w:t>
      </w:r>
      <w:r w:rsidRPr="00F32542">
        <w:rPr>
          <w:rFonts w:ascii="Arial" w:eastAsia="Times New Roman" w:hAnsi="Arial" w:cs="Arial"/>
          <w:sz w:val="28"/>
          <w:szCs w:val="28"/>
          <w:vertAlign w:val="superscript"/>
          <w:lang w:val="es-ES" w:eastAsia="es-ES"/>
        </w:rPr>
        <w:footnoteReference w:id="61"/>
      </w:r>
      <w:r w:rsidRPr="00F32542">
        <w:rPr>
          <w:rFonts w:ascii="Arial" w:eastAsia="Times New Roman" w:hAnsi="Arial" w:cs="Arial"/>
          <w:sz w:val="28"/>
          <w:szCs w:val="28"/>
          <w:lang w:val="es-ES" w:eastAsia="es-ES"/>
        </w:rPr>
        <w:t xml:space="preserve"> la </w:t>
      </w:r>
      <w:r w:rsidRPr="00F32542">
        <w:rPr>
          <w:rFonts w:ascii="Arial" w:eastAsia="Times New Roman" w:hAnsi="Arial" w:cs="Arial"/>
          <w:i/>
          <w:sz w:val="28"/>
          <w:szCs w:val="28"/>
          <w:lang w:val="es-ES" w:eastAsia="es-ES"/>
        </w:rPr>
        <w:t>Sala Superior</w:t>
      </w:r>
      <w:r w:rsidRPr="00F32542">
        <w:rPr>
          <w:rFonts w:ascii="Arial" w:eastAsia="Times New Roman" w:hAnsi="Arial" w:cs="Arial"/>
          <w:sz w:val="28"/>
          <w:szCs w:val="28"/>
          <w:lang w:val="es-ES" w:eastAsia="es-ES"/>
        </w:rPr>
        <w:t xml:space="preserve"> sostuvo lo siguiente:</w:t>
      </w:r>
    </w:p>
    <w:p w14:paraId="099B92FE" w14:textId="77777777" w:rsidR="00F94B48" w:rsidRPr="00F32542" w:rsidRDefault="00F94B48" w:rsidP="00F94B48">
      <w:pPr>
        <w:spacing w:after="0" w:line="360" w:lineRule="auto"/>
        <w:jc w:val="both"/>
        <w:rPr>
          <w:rFonts w:ascii="Arial" w:eastAsia="Times New Roman" w:hAnsi="Arial" w:cs="Arial"/>
          <w:sz w:val="28"/>
          <w:szCs w:val="28"/>
          <w:lang w:val="es-ES" w:eastAsia="es-ES"/>
        </w:rPr>
      </w:pPr>
    </w:p>
    <w:p w14:paraId="3062D2B2" w14:textId="77777777" w:rsidR="00F94B48" w:rsidRPr="00F32542" w:rsidRDefault="00F94B48" w:rsidP="00F94B48">
      <w:pPr>
        <w:spacing w:after="0" w:line="240" w:lineRule="auto"/>
        <w:ind w:left="567" w:right="567"/>
        <w:jc w:val="both"/>
        <w:rPr>
          <w:rFonts w:ascii="Arial" w:eastAsia="Times New Roman" w:hAnsi="Arial" w:cs="Arial"/>
          <w:sz w:val="24"/>
          <w:szCs w:val="24"/>
          <w:lang w:val="es-ES" w:eastAsia="es-ES"/>
        </w:rPr>
      </w:pPr>
      <w:r w:rsidRPr="00F32542">
        <w:rPr>
          <w:rFonts w:ascii="Arial" w:eastAsia="Times New Roman" w:hAnsi="Arial" w:cs="Arial"/>
          <w:b/>
          <w:sz w:val="24"/>
          <w:szCs w:val="24"/>
          <w:lang w:val="es-ES" w:eastAsia="es-ES"/>
        </w:rPr>
        <w:t>VIOLENCIA POLÍTICA POR RAZONES DE GÉNERO. LAS AUTORIDADES ELECTORALES ESTÁN OBLIGADAS A EVITAR LA AFECTACIÓN DE DERECHOS POLÍTICOS ELECTORALES.-</w:t>
      </w:r>
      <w:r w:rsidRPr="00F32542">
        <w:rPr>
          <w:rFonts w:ascii="Arial" w:eastAsia="Times New Roman" w:hAnsi="Arial" w:cs="Arial"/>
          <w:sz w:val="24"/>
          <w:szCs w:val="24"/>
          <w:lang w:val="es-ES" w:eastAsia="es-ES"/>
        </w:rPr>
        <w:t xml:space="preserve"> De lo dispuesto en los artículos 1°, 4°, 35 y 41, de la Constitución Política de los Estados Unidos Mexicanos; 4, inciso j), de la Convención Interamericana para Prevenir, Sancionar y Erradicar la Violencia contra la Mujer; II y III de la Convención de los Derechos Políticos de la Mujer; y 7, inciso a), de la Convención sobre la Eliminación de Todas las Formas de Discriminación contra la Mujer; así como lo establecido en el Protocolo para Atender la Violencia Política Contra las Mujeres, se concluye que la violencia política </w:t>
      </w:r>
      <w:r w:rsidRPr="00F32542">
        <w:rPr>
          <w:rFonts w:ascii="Arial" w:eastAsia="Times New Roman" w:hAnsi="Arial" w:cs="Arial"/>
          <w:sz w:val="24"/>
          <w:szCs w:val="24"/>
          <w:lang w:val="es-ES" w:eastAsia="es-ES"/>
        </w:rPr>
        <w:lastRenderedPageBreak/>
        <w:t xml:space="preserve">contra las mujeres comprende todas aquellas acciones u omisiones de personas, servidoras o servidores públicos que se dirigen a una mujer por ser mujer, tienen un impacto diferenciado en ellas o les afectan desproporcionadamente, con el objeto o resultado de menoscabar o anular sus derechos político-electorales, incluyendo el ejercicio del cargo. El derecho de las mujeres a una vida libre de discriminación y de violencia, se traduce en la obligación de toda autoridad de actuar con la debida diligencia y de manera conjunta para prevenir, investigar, sancionar y reparar una posible afectación a sus derechos. En consecuencia, cuando se alegue violencia política por razones de género, problema de orden público, las autoridades electorales deben realizar un análisis de todos los hechos y agravios expuestos, a fin de hacer efectivo el acceso a la justicia y el debido proceso. Debido a la complejidad que implican los casos de violencia política de género, así como a la </w:t>
      </w:r>
      <w:proofErr w:type="spellStart"/>
      <w:r w:rsidRPr="00F32542">
        <w:rPr>
          <w:rFonts w:ascii="Arial" w:eastAsia="Times New Roman" w:hAnsi="Arial" w:cs="Arial"/>
          <w:sz w:val="24"/>
          <w:szCs w:val="24"/>
          <w:lang w:val="es-ES" w:eastAsia="es-ES"/>
        </w:rPr>
        <w:t>invisibilización</w:t>
      </w:r>
      <w:proofErr w:type="spellEnd"/>
      <w:r w:rsidRPr="00F32542">
        <w:rPr>
          <w:rFonts w:ascii="Arial" w:eastAsia="Times New Roman" w:hAnsi="Arial" w:cs="Arial"/>
          <w:sz w:val="24"/>
          <w:szCs w:val="24"/>
          <w:lang w:val="es-ES" w:eastAsia="es-ES"/>
        </w:rPr>
        <w:t xml:space="preserve"> y normalización en la que se encuentran este tipo de situaciones, es necesario que cada caso se analice de forma particular para definir si se trata o no de violencia de género y, en su caso, delinear las acciones que se tomarán para no dejar impunes los hechos y reparar el daño a las víctimas.</w:t>
      </w:r>
    </w:p>
    <w:p w14:paraId="5A39C7E3" w14:textId="77777777" w:rsidR="00F94B48" w:rsidRPr="00F32542" w:rsidRDefault="00F94B48" w:rsidP="00F94B48">
      <w:pPr>
        <w:spacing w:after="0" w:line="360" w:lineRule="auto"/>
        <w:jc w:val="both"/>
        <w:rPr>
          <w:rFonts w:ascii="Arial" w:eastAsia="Times New Roman" w:hAnsi="Arial" w:cs="Arial"/>
          <w:sz w:val="26"/>
          <w:szCs w:val="26"/>
          <w:lang w:val="es-ES" w:eastAsia="es-ES"/>
        </w:rPr>
      </w:pPr>
    </w:p>
    <w:p w14:paraId="75B62568" w14:textId="77777777" w:rsidR="00F94B48" w:rsidRPr="00F32542" w:rsidRDefault="00F94B48" w:rsidP="00F94B48">
      <w:pPr>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t xml:space="preserve">Ahora bien, la Sala Regional, al resolver diversos juicios, </w:t>
      </w:r>
      <w:r w:rsidRPr="00F32542">
        <w:rPr>
          <w:rFonts w:ascii="Arial" w:eastAsia="Times New Roman" w:hAnsi="Arial" w:cs="Arial"/>
          <w:b/>
          <w:bCs/>
          <w:sz w:val="28"/>
          <w:szCs w:val="28"/>
          <w:lang w:val="es-ES" w:eastAsia="es-ES"/>
        </w:rPr>
        <w:t>SCM-JDC-58/2020</w:t>
      </w:r>
      <w:r w:rsidR="007D6ADF" w:rsidRPr="00F32542">
        <w:rPr>
          <w:rFonts w:ascii="Arial" w:eastAsia="Times New Roman" w:hAnsi="Arial" w:cs="Arial"/>
          <w:b/>
          <w:bCs/>
          <w:sz w:val="28"/>
          <w:szCs w:val="28"/>
          <w:lang w:val="es-ES" w:eastAsia="es-ES"/>
        </w:rPr>
        <w:t xml:space="preserve">, </w:t>
      </w:r>
      <w:r w:rsidRPr="00F32542">
        <w:rPr>
          <w:rFonts w:ascii="Arial" w:eastAsia="Times New Roman" w:hAnsi="Arial" w:cs="Arial"/>
          <w:b/>
          <w:bCs/>
          <w:sz w:val="28"/>
          <w:szCs w:val="28"/>
          <w:lang w:val="es-ES" w:eastAsia="es-ES"/>
        </w:rPr>
        <w:t>SCM-JDC-1420/2021 y SCM-JDC-1423/2021</w:t>
      </w:r>
      <w:r w:rsidRPr="00F32542">
        <w:rPr>
          <w:rFonts w:ascii="Arial" w:eastAsia="Times New Roman" w:hAnsi="Arial" w:cs="Arial"/>
          <w:sz w:val="28"/>
          <w:szCs w:val="28"/>
          <w:lang w:val="es-ES" w:eastAsia="es-ES"/>
        </w:rPr>
        <w:t xml:space="preserve"> acumulado, partiendo de los elementos previstos en el </w:t>
      </w:r>
      <w:r w:rsidRPr="00F32542">
        <w:rPr>
          <w:rFonts w:ascii="Arial" w:eastAsia="Times New Roman" w:hAnsi="Arial" w:cs="Arial"/>
          <w:i/>
          <w:sz w:val="28"/>
          <w:szCs w:val="28"/>
          <w:lang w:val="es-ES" w:eastAsia="es-ES"/>
        </w:rPr>
        <w:t>Protocolo para Atender la Violencia Política Contra las Mujeres</w:t>
      </w:r>
      <w:r w:rsidRPr="00F32542">
        <w:rPr>
          <w:rFonts w:ascii="Arial" w:eastAsia="Times New Roman" w:hAnsi="Arial" w:cs="Arial"/>
          <w:sz w:val="28"/>
          <w:szCs w:val="28"/>
          <w:lang w:val="es-ES" w:eastAsia="es-ES"/>
        </w:rPr>
        <w:t>, ha delineado que los elementos que deben analizarse ante la presunta comisión de actos de violencia política de género son los siguientes:</w:t>
      </w:r>
    </w:p>
    <w:p w14:paraId="67C5EDBB" w14:textId="77777777" w:rsidR="00F94B48" w:rsidRPr="00F32542" w:rsidRDefault="00F94B48" w:rsidP="00F94B48">
      <w:pPr>
        <w:spacing w:after="0" w:line="360" w:lineRule="auto"/>
        <w:jc w:val="both"/>
        <w:rPr>
          <w:rFonts w:ascii="Arial" w:eastAsia="Times New Roman" w:hAnsi="Arial" w:cs="Arial"/>
          <w:sz w:val="26"/>
          <w:szCs w:val="26"/>
          <w:lang w:val="es-ES" w:eastAsia="es-ES"/>
        </w:rPr>
      </w:pPr>
    </w:p>
    <w:p w14:paraId="2F3E0EF4" w14:textId="77777777" w:rsidR="00F94B48" w:rsidRPr="00F32542" w:rsidRDefault="00F94B48" w:rsidP="00F94B48">
      <w:pPr>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b/>
          <w:sz w:val="26"/>
          <w:szCs w:val="26"/>
          <w:lang w:val="es-ES" w:eastAsia="es-ES"/>
        </w:rPr>
        <w:t>1.</w:t>
      </w:r>
      <w:r w:rsidRPr="00F32542">
        <w:rPr>
          <w:rFonts w:ascii="Arial" w:eastAsia="Times New Roman" w:hAnsi="Arial" w:cs="Arial"/>
          <w:sz w:val="26"/>
          <w:szCs w:val="26"/>
          <w:lang w:val="es-ES" w:eastAsia="es-ES"/>
        </w:rPr>
        <w:t xml:space="preserve"> El </w:t>
      </w:r>
      <w:r w:rsidRPr="00F32542">
        <w:rPr>
          <w:rFonts w:ascii="Arial" w:eastAsia="Times New Roman" w:hAnsi="Arial" w:cs="Arial"/>
          <w:sz w:val="28"/>
          <w:szCs w:val="28"/>
          <w:lang w:val="es-ES" w:eastAsia="es-ES"/>
        </w:rPr>
        <w:t xml:space="preserve">acto u omisión se base en elementos de género, es decir, i. se dirija a una mujer por ser mujer, </w:t>
      </w:r>
      <w:proofErr w:type="spellStart"/>
      <w:r w:rsidRPr="00F32542">
        <w:rPr>
          <w:rFonts w:ascii="Arial" w:eastAsia="Times New Roman" w:hAnsi="Arial" w:cs="Arial"/>
          <w:sz w:val="28"/>
          <w:szCs w:val="28"/>
          <w:lang w:val="es-ES" w:eastAsia="es-ES"/>
        </w:rPr>
        <w:t>ii</w:t>
      </w:r>
      <w:proofErr w:type="spellEnd"/>
      <w:r w:rsidRPr="00F32542">
        <w:rPr>
          <w:rFonts w:ascii="Arial" w:eastAsia="Times New Roman" w:hAnsi="Arial" w:cs="Arial"/>
          <w:sz w:val="28"/>
          <w:szCs w:val="28"/>
          <w:lang w:val="es-ES" w:eastAsia="es-ES"/>
        </w:rPr>
        <w:t xml:space="preserve">. Tenga un impacto diferenciado y desventajoso en las mujeres; y/o </w:t>
      </w:r>
      <w:proofErr w:type="spellStart"/>
      <w:r w:rsidRPr="00F32542">
        <w:rPr>
          <w:rFonts w:ascii="Arial" w:eastAsia="Times New Roman" w:hAnsi="Arial" w:cs="Arial"/>
          <w:sz w:val="28"/>
          <w:szCs w:val="28"/>
          <w:lang w:val="es-ES" w:eastAsia="es-ES"/>
        </w:rPr>
        <w:t>iii</w:t>
      </w:r>
      <w:proofErr w:type="spellEnd"/>
      <w:r w:rsidRPr="00F32542">
        <w:rPr>
          <w:rFonts w:ascii="Arial" w:eastAsia="Times New Roman" w:hAnsi="Arial" w:cs="Arial"/>
          <w:sz w:val="28"/>
          <w:szCs w:val="28"/>
          <w:lang w:val="es-ES" w:eastAsia="es-ES"/>
        </w:rPr>
        <w:t>. las afecte desproporcionadamente.</w:t>
      </w:r>
    </w:p>
    <w:p w14:paraId="7AD06F51" w14:textId="77777777" w:rsidR="00F94B48" w:rsidRPr="00F32542" w:rsidRDefault="00F94B48" w:rsidP="00F94B48">
      <w:pPr>
        <w:spacing w:after="0" w:line="360" w:lineRule="auto"/>
        <w:jc w:val="both"/>
        <w:rPr>
          <w:rFonts w:ascii="Arial" w:eastAsia="Times New Roman" w:hAnsi="Arial" w:cs="Arial"/>
          <w:sz w:val="28"/>
          <w:szCs w:val="28"/>
          <w:lang w:val="es-ES" w:eastAsia="es-ES"/>
        </w:rPr>
      </w:pPr>
    </w:p>
    <w:p w14:paraId="294B7DF9" w14:textId="77777777" w:rsidR="00F94B48" w:rsidRPr="00F32542" w:rsidRDefault="00F94B48" w:rsidP="00F94B48">
      <w:pPr>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b/>
          <w:sz w:val="28"/>
          <w:szCs w:val="28"/>
          <w:lang w:val="es-ES" w:eastAsia="es-ES"/>
        </w:rPr>
        <w:t>2.</w:t>
      </w:r>
      <w:r w:rsidRPr="00F32542">
        <w:rPr>
          <w:rFonts w:ascii="Arial" w:eastAsia="Times New Roman" w:hAnsi="Arial" w:cs="Arial"/>
          <w:sz w:val="28"/>
          <w:szCs w:val="28"/>
          <w:lang w:val="es-ES" w:eastAsia="es-ES"/>
        </w:rPr>
        <w:t xml:space="preserve"> Tenga por objeto o resultado menoscabar o anular el reconocimiento, goce y/o ejercicio de los derechos político-electorales de las mujeres.</w:t>
      </w:r>
    </w:p>
    <w:p w14:paraId="502C838F" w14:textId="77777777" w:rsidR="00F94B48" w:rsidRPr="00F32542" w:rsidRDefault="00F94B48" w:rsidP="00F94B48">
      <w:pPr>
        <w:spacing w:after="0" w:line="360" w:lineRule="auto"/>
        <w:jc w:val="both"/>
        <w:rPr>
          <w:rFonts w:ascii="Arial" w:eastAsia="Times New Roman" w:hAnsi="Arial" w:cs="Arial"/>
          <w:sz w:val="28"/>
          <w:szCs w:val="28"/>
          <w:lang w:val="es-ES" w:eastAsia="es-ES"/>
        </w:rPr>
      </w:pPr>
    </w:p>
    <w:p w14:paraId="56BFF770" w14:textId="77777777" w:rsidR="00F94B48" w:rsidRPr="00F32542" w:rsidRDefault="00F94B48" w:rsidP="00F94B48">
      <w:pPr>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b/>
          <w:sz w:val="28"/>
          <w:szCs w:val="28"/>
          <w:lang w:val="es-ES" w:eastAsia="es-ES"/>
        </w:rPr>
        <w:t xml:space="preserve">3. </w:t>
      </w:r>
      <w:r w:rsidRPr="00F32542">
        <w:rPr>
          <w:rFonts w:ascii="Arial" w:eastAsia="Times New Roman" w:hAnsi="Arial" w:cs="Arial"/>
          <w:sz w:val="28"/>
          <w:szCs w:val="28"/>
          <w:lang w:val="es-ES" w:eastAsia="es-ES"/>
        </w:rPr>
        <w:t xml:space="preserve">Se dé en el marco del ejercicio de derechos político-electorales o bien en el ejercicio de un cargo público, (sin importar el hecho de </w:t>
      </w:r>
      <w:r w:rsidRPr="00F32542">
        <w:rPr>
          <w:rFonts w:ascii="Arial" w:eastAsia="Times New Roman" w:hAnsi="Arial" w:cs="Arial"/>
          <w:sz w:val="28"/>
          <w:szCs w:val="28"/>
          <w:lang w:val="es-ES" w:eastAsia="es-ES"/>
        </w:rPr>
        <w:lastRenderedPageBreak/>
        <w:t>que se manifieste en el ámbito público o privado, en la esfera política, económica, social, cultural, civil, etcétera; tenga lugar dentro de la familia o unidad doméstica o en cualquier relación interpersonal, en la comunidad, en un partido o institución política).</w:t>
      </w:r>
    </w:p>
    <w:p w14:paraId="1D847282" w14:textId="77777777" w:rsidR="00F94B48" w:rsidRPr="00F32542" w:rsidRDefault="00F94B48" w:rsidP="00F94B48">
      <w:pPr>
        <w:spacing w:after="0" w:line="360" w:lineRule="auto"/>
        <w:jc w:val="both"/>
        <w:rPr>
          <w:rFonts w:ascii="Arial" w:eastAsia="Times New Roman" w:hAnsi="Arial" w:cs="Arial"/>
          <w:sz w:val="28"/>
          <w:szCs w:val="28"/>
          <w:lang w:val="es-ES" w:eastAsia="es-ES"/>
        </w:rPr>
      </w:pPr>
    </w:p>
    <w:p w14:paraId="7D29B180" w14:textId="77777777" w:rsidR="00F94B48" w:rsidRPr="00F32542" w:rsidRDefault="00F94B48" w:rsidP="00F94B48">
      <w:pPr>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b/>
          <w:sz w:val="28"/>
          <w:szCs w:val="28"/>
          <w:lang w:val="es-ES" w:eastAsia="es-ES"/>
        </w:rPr>
        <w:t>4.</w:t>
      </w:r>
      <w:r w:rsidRPr="00F32542">
        <w:rPr>
          <w:rFonts w:ascii="Arial" w:eastAsia="Times New Roman" w:hAnsi="Arial" w:cs="Arial"/>
          <w:sz w:val="28"/>
          <w:szCs w:val="28"/>
          <w:lang w:val="es-ES" w:eastAsia="es-ES"/>
        </w:rPr>
        <w:t xml:space="preserve"> Sea simbólico, verbal, patrimonial, económico, físico, sexual y/o psicológico. </w:t>
      </w:r>
    </w:p>
    <w:p w14:paraId="438B7841" w14:textId="77777777" w:rsidR="00F94B48" w:rsidRPr="00F32542" w:rsidRDefault="00F94B48" w:rsidP="00F94B48">
      <w:pPr>
        <w:spacing w:after="0" w:line="360" w:lineRule="auto"/>
        <w:jc w:val="both"/>
        <w:rPr>
          <w:rFonts w:ascii="Arial" w:eastAsia="Times New Roman" w:hAnsi="Arial" w:cs="Arial"/>
          <w:sz w:val="28"/>
          <w:szCs w:val="28"/>
          <w:lang w:val="es-ES" w:eastAsia="es-ES"/>
        </w:rPr>
      </w:pPr>
    </w:p>
    <w:p w14:paraId="58914016" w14:textId="77777777" w:rsidR="00F94B48" w:rsidRPr="00F32542" w:rsidRDefault="00F94B48" w:rsidP="00F94B48">
      <w:pPr>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b/>
          <w:sz w:val="28"/>
          <w:szCs w:val="28"/>
          <w:lang w:val="es-ES" w:eastAsia="es-ES"/>
        </w:rPr>
        <w:t>5.</w:t>
      </w:r>
      <w:r w:rsidRPr="00F32542">
        <w:rPr>
          <w:rFonts w:ascii="Arial" w:eastAsia="Times New Roman" w:hAnsi="Arial" w:cs="Arial"/>
          <w:sz w:val="28"/>
          <w:szCs w:val="28"/>
          <w:lang w:val="es-ES" w:eastAsia="es-ES"/>
        </w:rPr>
        <w:t xml:space="preserve"> Sea perpetrado por cualquier persona o grupo de personas -hombres o mujeres-, en particular: integrantes de partidos políticos, aspirantes, precandidatos(as), candidatos(as) a cargos de elección popular o de dirigencia partidista; servidores(as) públicos(as), autoridades gubernamentales, funcionarios(as) o autoridades de instituciones electorales; representantes de medios de comunicación; el Estado o sus agentes. </w:t>
      </w:r>
    </w:p>
    <w:p w14:paraId="57546A1A" w14:textId="77777777" w:rsidR="00F94B48" w:rsidRPr="00F32542" w:rsidRDefault="00F94B48" w:rsidP="00F94B48">
      <w:pPr>
        <w:spacing w:after="0" w:line="360" w:lineRule="auto"/>
        <w:jc w:val="both"/>
        <w:rPr>
          <w:rFonts w:ascii="Arial" w:eastAsia="Times New Roman" w:hAnsi="Arial" w:cs="Arial"/>
          <w:sz w:val="28"/>
          <w:szCs w:val="28"/>
          <w:lang w:val="es-ES" w:eastAsia="es-ES"/>
        </w:rPr>
      </w:pPr>
    </w:p>
    <w:p w14:paraId="5C7746AE" w14:textId="77777777" w:rsidR="00F94B48" w:rsidRPr="00F32542" w:rsidRDefault="00F94B48" w:rsidP="00F94B48">
      <w:pPr>
        <w:spacing w:after="0" w:line="360" w:lineRule="auto"/>
        <w:jc w:val="both"/>
        <w:rPr>
          <w:rFonts w:ascii="Arial" w:eastAsia="Times New Roman" w:hAnsi="Arial" w:cs="Arial"/>
          <w:sz w:val="28"/>
          <w:szCs w:val="28"/>
          <w:lang w:val="es-ES" w:eastAsia="es-ES"/>
        </w:rPr>
      </w:pPr>
      <w:r w:rsidRPr="00F32542">
        <w:rPr>
          <w:rFonts w:ascii="Arial" w:eastAsia="Times New Roman" w:hAnsi="Arial" w:cs="Arial"/>
          <w:sz w:val="28"/>
          <w:szCs w:val="28"/>
          <w:lang w:val="es-ES" w:eastAsia="es-ES"/>
        </w:rPr>
        <w:t xml:space="preserve">En ese sentido, la </w:t>
      </w:r>
      <w:r w:rsidRPr="00F32542">
        <w:rPr>
          <w:rFonts w:ascii="Arial" w:eastAsia="Times New Roman" w:hAnsi="Arial" w:cs="Arial"/>
          <w:i/>
          <w:sz w:val="28"/>
          <w:szCs w:val="28"/>
          <w:lang w:val="es-ES" w:eastAsia="es-ES"/>
        </w:rPr>
        <w:t>Sala Regional</w:t>
      </w:r>
      <w:r w:rsidRPr="00F32542">
        <w:rPr>
          <w:rFonts w:ascii="Arial" w:eastAsia="Times New Roman" w:hAnsi="Arial" w:cs="Arial"/>
          <w:sz w:val="28"/>
          <w:szCs w:val="28"/>
          <w:lang w:val="es-ES" w:eastAsia="es-ES"/>
        </w:rPr>
        <w:t xml:space="preserve"> destacó que el imperativo actual ha impuesto una particular línea de interpretación que implica el deber de valorar si en cada caso concreto se ponen en peligro, o bien, se trastocan o no los elementos esenciales que se estiman indispensables para configurar una conducta y que pueden resumirse en lo siguiente:</w:t>
      </w:r>
    </w:p>
    <w:p w14:paraId="66DF55E1" w14:textId="77777777" w:rsidR="00F94B48" w:rsidRPr="00F32542" w:rsidRDefault="00F94B48" w:rsidP="00F94B48">
      <w:pPr>
        <w:spacing w:after="0" w:line="360" w:lineRule="auto"/>
        <w:jc w:val="both"/>
        <w:rPr>
          <w:rFonts w:ascii="Arial" w:eastAsia="Calibri" w:hAnsi="Arial" w:cs="Arial"/>
          <w:sz w:val="28"/>
          <w:szCs w:val="28"/>
          <w:lang w:val="es-ES" w:eastAsia="es-ES"/>
        </w:rPr>
      </w:pPr>
    </w:p>
    <w:p w14:paraId="20EE7C52" w14:textId="77777777" w:rsidR="00F94B48" w:rsidRPr="00F32542" w:rsidRDefault="00F94B48" w:rsidP="009B6ED0">
      <w:pPr>
        <w:numPr>
          <w:ilvl w:val="0"/>
          <w:numId w:val="31"/>
        </w:numPr>
        <w:suppressAutoHyphens/>
        <w:autoSpaceDN w:val="0"/>
        <w:spacing w:after="0" w:line="360" w:lineRule="auto"/>
        <w:jc w:val="both"/>
        <w:textAlignment w:val="baseline"/>
        <w:rPr>
          <w:rFonts w:ascii="Arial" w:eastAsia="Times New Roman" w:hAnsi="Arial" w:cs="Arial"/>
          <w:color w:val="000000"/>
          <w:sz w:val="28"/>
          <w:szCs w:val="28"/>
          <w:lang w:val="es-ES" w:eastAsia="es-ES"/>
        </w:rPr>
      </w:pPr>
      <w:r w:rsidRPr="00F32542">
        <w:rPr>
          <w:rFonts w:ascii="Arial" w:eastAsia="Times New Roman" w:hAnsi="Arial" w:cs="Arial"/>
          <w:color w:val="000000"/>
          <w:sz w:val="28"/>
          <w:szCs w:val="28"/>
          <w:lang w:val="es-ES" w:eastAsia="es-MX"/>
        </w:rPr>
        <w:t>Actos u omisiones </w:t>
      </w:r>
      <w:r w:rsidRPr="00F32542">
        <w:rPr>
          <w:rFonts w:ascii="Arial" w:eastAsia="Times New Roman" w:hAnsi="Arial" w:cs="Arial"/>
          <w:bCs/>
          <w:color w:val="000000"/>
          <w:sz w:val="28"/>
          <w:szCs w:val="28"/>
          <w:lang w:val="es-ES" w:eastAsia="es-MX"/>
        </w:rPr>
        <w:t>de</w:t>
      </w:r>
      <w:r w:rsidRPr="00F32542">
        <w:rPr>
          <w:rFonts w:ascii="Arial" w:eastAsia="Times New Roman" w:hAnsi="Arial" w:cs="Arial"/>
          <w:color w:val="000000"/>
          <w:sz w:val="28"/>
          <w:szCs w:val="28"/>
          <w:lang w:val="es-ES" w:eastAsia="es-MX"/>
        </w:rPr>
        <w:t> personas, servidoras o servidores públicos que se dirigen a una mujer por ser mujer;</w:t>
      </w:r>
    </w:p>
    <w:p w14:paraId="7824189F" w14:textId="77777777" w:rsidR="00F94B48" w:rsidRPr="00F32542" w:rsidRDefault="00F94B48" w:rsidP="00F94B48">
      <w:pPr>
        <w:suppressAutoHyphens/>
        <w:autoSpaceDN w:val="0"/>
        <w:spacing w:after="0" w:line="360" w:lineRule="auto"/>
        <w:jc w:val="both"/>
        <w:textAlignment w:val="baseline"/>
        <w:rPr>
          <w:rFonts w:ascii="Arial" w:eastAsia="Times New Roman" w:hAnsi="Arial" w:cs="Arial"/>
          <w:color w:val="000000"/>
          <w:sz w:val="28"/>
          <w:szCs w:val="28"/>
          <w:lang w:val="es-ES" w:eastAsia="es-ES"/>
        </w:rPr>
      </w:pPr>
    </w:p>
    <w:p w14:paraId="1BD18CDE" w14:textId="77777777" w:rsidR="00F94B48" w:rsidRPr="00F32542" w:rsidRDefault="00F94B48" w:rsidP="009B6ED0">
      <w:pPr>
        <w:numPr>
          <w:ilvl w:val="0"/>
          <w:numId w:val="31"/>
        </w:numPr>
        <w:suppressAutoHyphens/>
        <w:autoSpaceDN w:val="0"/>
        <w:spacing w:after="0" w:line="360" w:lineRule="auto"/>
        <w:jc w:val="both"/>
        <w:textAlignment w:val="baseline"/>
        <w:rPr>
          <w:rFonts w:ascii="Arial" w:eastAsia="Times New Roman" w:hAnsi="Arial" w:cs="Arial"/>
          <w:color w:val="000000"/>
          <w:sz w:val="28"/>
          <w:szCs w:val="28"/>
          <w:lang w:val="es-ES" w:eastAsia="es-ES"/>
        </w:rPr>
      </w:pPr>
      <w:r w:rsidRPr="00F32542">
        <w:rPr>
          <w:rFonts w:ascii="Arial" w:eastAsia="Times New Roman" w:hAnsi="Arial" w:cs="Arial"/>
          <w:color w:val="000000"/>
          <w:sz w:val="28"/>
          <w:szCs w:val="28"/>
          <w:lang w:val="es-ES" w:eastAsia="es-MX"/>
        </w:rPr>
        <w:t>Tienen un impacto diferenciado en ellas o les afectan </w:t>
      </w:r>
      <w:r w:rsidRPr="00F32542">
        <w:rPr>
          <w:rFonts w:ascii="Arial" w:eastAsia="Times New Roman" w:hAnsi="Arial" w:cs="Arial"/>
          <w:bCs/>
          <w:color w:val="000000"/>
          <w:sz w:val="28"/>
          <w:szCs w:val="28"/>
          <w:lang w:val="es-ES" w:eastAsia="es-MX"/>
        </w:rPr>
        <w:t>de</w:t>
      </w:r>
      <w:r w:rsidRPr="00F32542">
        <w:rPr>
          <w:rFonts w:ascii="Arial" w:eastAsia="Times New Roman" w:hAnsi="Arial" w:cs="Arial"/>
          <w:color w:val="000000"/>
          <w:sz w:val="28"/>
          <w:szCs w:val="28"/>
          <w:lang w:val="es-ES" w:eastAsia="es-MX"/>
        </w:rPr>
        <w:t>sproporcionadamente; y,</w:t>
      </w:r>
    </w:p>
    <w:p w14:paraId="5115D2ED" w14:textId="77777777" w:rsidR="00F94B48" w:rsidRPr="00F32542" w:rsidRDefault="00F94B48" w:rsidP="00F94B48">
      <w:pPr>
        <w:suppressAutoHyphens/>
        <w:autoSpaceDN w:val="0"/>
        <w:spacing w:after="0" w:line="360" w:lineRule="auto"/>
        <w:jc w:val="both"/>
        <w:textAlignment w:val="baseline"/>
        <w:rPr>
          <w:rFonts w:ascii="Arial" w:eastAsia="Times New Roman" w:hAnsi="Arial" w:cs="Arial"/>
          <w:color w:val="000000"/>
          <w:sz w:val="28"/>
          <w:szCs w:val="28"/>
          <w:lang w:val="es-ES" w:eastAsia="es-ES"/>
        </w:rPr>
      </w:pPr>
    </w:p>
    <w:p w14:paraId="4D49A35E" w14:textId="77777777" w:rsidR="00F94B48" w:rsidRPr="00F32542" w:rsidRDefault="00F94B48" w:rsidP="009B6ED0">
      <w:pPr>
        <w:numPr>
          <w:ilvl w:val="0"/>
          <w:numId w:val="31"/>
        </w:numPr>
        <w:suppressAutoHyphens/>
        <w:autoSpaceDN w:val="0"/>
        <w:spacing w:after="0" w:line="360" w:lineRule="auto"/>
        <w:jc w:val="both"/>
        <w:textAlignment w:val="baseline"/>
        <w:rPr>
          <w:rFonts w:ascii="Arial" w:eastAsia="Times New Roman" w:hAnsi="Arial" w:cs="Arial"/>
          <w:color w:val="000000"/>
          <w:sz w:val="28"/>
          <w:szCs w:val="28"/>
          <w:lang w:val="es-ES" w:eastAsia="es-ES"/>
        </w:rPr>
      </w:pPr>
      <w:r w:rsidRPr="00F32542">
        <w:rPr>
          <w:rFonts w:ascii="Arial" w:eastAsia="Times New Roman" w:hAnsi="Arial" w:cs="Arial"/>
          <w:color w:val="000000"/>
          <w:sz w:val="28"/>
          <w:szCs w:val="28"/>
          <w:lang w:val="es-ES" w:eastAsia="es-MX"/>
        </w:rPr>
        <w:lastRenderedPageBreak/>
        <w:t>con el objeto o resultado </w:t>
      </w:r>
      <w:r w:rsidRPr="00F32542">
        <w:rPr>
          <w:rFonts w:ascii="Arial" w:eastAsia="Times New Roman" w:hAnsi="Arial" w:cs="Arial"/>
          <w:bCs/>
          <w:color w:val="000000"/>
          <w:sz w:val="28"/>
          <w:szCs w:val="28"/>
          <w:lang w:val="es-ES" w:eastAsia="es-MX"/>
        </w:rPr>
        <w:t>de</w:t>
      </w:r>
      <w:r w:rsidRPr="00F32542">
        <w:rPr>
          <w:rFonts w:ascii="Arial" w:eastAsia="Times New Roman" w:hAnsi="Arial" w:cs="Arial"/>
          <w:color w:val="000000"/>
          <w:sz w:val="28"/>
          <w:szCs w:val="28"/>
          <w:lang w:val="es-ES" w:eastAsia="es-MX"/>
        </w:rPr>
        <w:t> menoscabar o anular sus </w:t>
      </w:r>
      <w:r w:rsidRPr="00F32542">
        <w:rPr>
          <w:rFonts w:ascii="Arial" w:eastAsia="Times New Roman" w:hAnsi="Arial" w:cs="Arial"/>
          <w:bCs/>
          <w:color w:val="000000"/>
          <w:sz w:val="28"/>
          <w:szCs w:val="28"/>
          <w:lang w:val="es-ES" w:eastAsia="es-MX"/>
        </w:rPr>
        <w:t>de</w:t>
      </w:r>
      <w:r w:rsidRPr="00F32542">
        <w:rPr>
          <w:rFonts w:ascii="Arial" w:eastAsia="Times New Roman" w:hAnsi="Arial" w:cs="Arial"/>
          <w:color w:val="000000"/>
          <w:sz w:val="28"/>
          <w:szCs w:val="28"/>
          <w:lang w:val="es-ES" w:eastAsia="es-MX"/>
        </w:rPr>
        <w:t>rechos político-electorales, incluyendo el ejercicio </w:t>
      </w:r>
      <w:r w:rsidRPr="00F32542">
        <w:rPr>
          <w:rFonts w:ascii="Arial" w:eastAsia="Times New Roman" w:hAnsi="Arial" w:cs="Arial"/>
          <w:bCs/>
          <w:color w:val="000000"/>
          <w:sz w:val="28"/>
          <w:szCs w:val="28"/>
          <w:lang w:val="es-ES" w:eastAsia="es-MX"/>
        </w:rPr>
        <w:t>de</w:t>
      </w:r>
      <w:r w:rsidRPr="00F32542">
        <w:rPr>
          <w:rFonts w:ascii="Arial" w:eastAsia="Times New Roman" w:hAnsi="Arial" w:cs="Arial"/>
          <w:color w:val="000000"/>
          <w:sz w:val="28"/>
          <w:szCs w:val="28"/>
          <w:lang w:val="es-ES" w:eastAsia="es-MX"/>
        </w:rPr>
        <w:t>l cargo.</w:t>
      </w:r>
    </w:p>
    <w:p w14:paraId="1D0D1BC0" w14:textId="77777777" w:rsidR="00F94B48" w:rsidRPr="00F32542" w:rsidRDefault="00F94B48" w:rsidP="00F94B48">
      <w:pPr>
        <w:suppressAutoHyphens/>
        <w:autoSpaceDN w:val="0"/>
        <w:spacing w:after="0" w:line="360" w:lineRule="auto"/>
        <w:textAlignment w:val="baseline"/>
        <w:rPr>
          <w:rFonts w:ascii="Arial" w:eastAsia="Calibri" w:hAnsi="Arial" w:cs="Arial"/>
          <w:sz w:val="28"/>
          <w:szCs w:val="28"/>
        </w:rPr>
      </w:pPr>
    </w:p>
    <w:p w14:paraId="1AEE5CFC" w14:textId="77777777" w:rsidR="00F94B48" w:rsidRPr="00F32542" w:rsidRDefault="00F94B48" w:rsidP="00F94B48">
      <w:pPr>
        <w:suppressAutoHyphens/>
        <w:autoSpaceDN w:val="0"/>
        <w:spacing w:after="0" w:line="360" w:lineRule="auto"/>
        <w:jc w:val="both"/>
        <w:textAlignment w:val="baseline"/>
        <w:rPr>
          <w:rFonts w:ascii="Arial" w:eastAsia="Calibri" w:hAnsi="Arial" w:cs="Arial"/>
          <w:sz w:val="28"/>
          <w:szCs w:val="28"/>
        </w:rPr>
      </w:pPr>
      <w:r w:rsidRPr="00F32542">
        <w:rPr>
          <w:rFonts w:ascii="Arial" w:eastAsia="Calibri" w:hAnsi="Arial" w:cs="Arial"/>
          <w:sz w:val="28"/>
          <w:szCs w:val="28"/>
        </w:rPr>
        <w:t>Los anteriores elementos revelan que</w:t>
      </w:r>
      <w:r w:rsidR="007F44AF" w:rsidRPr="00F32542">
        <w:rPr>
          <w:rFonts w:ascii="Arial" w:eastAsia="Calibri" w:hAnsi="Arial" w:cs="Arial"/>
          <w:sz w:val="28"/>
          <w:szCs w:val="28"/>
        </w:rPr>
        <w:t>,</w:t>
      </w:r>
      <w:r w:rsidRPr="00F32542">
        <w:rPr>
          <w:rFonts w:ascii="Arial" w:eastAsia="Calibri" w:hAnsi="Arial" w:cs="Arial"/>
          <w:sz w:val="28"/>
          <w:szCs w:val="28"/>
        </w:rPr>
        <w:t xml:space="preserve"> para la actualización de la </w:t>
      </w:r>
      <w:r w:rsidR="007F44AF" w:rsidRPr="00F32542">
        <w:rPr>
          <w:rFonts w:ascii="Arial" w:eastAsia="Calibri" w:hAnsi="Arial" w:cs="Arial"/>
          <w:sz w:val="28"/>
          <w:szCs w:val="28"/>
        </w:rPr>
        <w:t>violencia política de género,</w:t>
      </w:r>
      <w:r w:rsidRPr="00F32542">
        <w:rPr>
          <w:rFonts w:ascii="Arial" w:eastAsia="Calibri" w:hAnsi="Arial" w:cs="Arial"/>
          <w:sz w:val="28"/>
          <w:szCs w:val="28"/>
        </w:rPr>
        <w:t xml:space="preserve"> es fundamental que se actualicen elementos de carácter objetivo, subjetivo y material y no solamente componentes de carácter normativo, por lo que, la valoración debe atender a las circunstancias particulares del caso, y concretamente debe significar un escrutinio de los elementos que lo conforman.</w:t>
      </w:r>
    </w:p>
    <w:p w14:paraId="4571E6EB" w14:textId="77777777" w:rsidR="00F94B48" w:rsidRPr="00F32542" w:rsidRDefault="00F94B48" w:rsidP="00F94B48">
      <w:pPr>
        <w:suppressAutoHyphens/>
        <w:autoSpaceDN w:val="0"/>
        <w:spacing w:after="0" w:line="360" w:lineRule="auto"/>
        <w:jc w:val="both"/>
        <w:textAlignment w:val="baseline"/>
        <w:rPr>
          <w:rFonts w:ascii="Arial" w:eastAsia="Calibri" w:hAnsi="Arial" w:cs="Arial"/>
          <w:sz w:val="28"/>
          <w:szCs w:val="28"/>
        </w:rPr>
      </w:pPr>
    </w:p>
    <w:p w14:paraId="3DB4A821"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Times New Roman" w:hAnsi="Arial" w:cs="Arial"/>
          <w:sz w:val="28"/>
          <w:szCs w:val="28"/>
          <w:lang w:val="es-ES" w:eastAsia="es-ES"/>
        </w:rPr>
        <w:t>Por otra parte, dichos elementos han sido retomados para la Ciudad de México desde el ámbito legislativo en términos d</w:t>
      </w:r>
      <w:r w:rsidRPr="00F32542">
        <w:rPr>
          <w:rFonts w:ascii="Arial" w:eastAsia="Calibri" w:hAnsi="Arial" w:cs="Times New Roman"/>
          <w:sz w:val="28"/>
          <w:szCs w:val="28"/>
        </w:rPr>
        <w:t xml:space="preserve">el </w:t>
      </w:r>
      <w:r w:rsidRPr="00F32542">
        <w:rPr>
          <w:rFonts w:ascii="Arial" w:eastAsia="Calibri" w:hAnsi="Arial" w:cs="Times New Roman"/>
          <w:i/>
          <w:sz w:val="28"/>
          <w:szCs w:val="28"/>
        </w:rPr>
        <w:t xml:space="preserve">Código Electoral, </w:t>
      </w:r>
      <w:r w:rsidRPr="00F32542">
        <w:rPr>
          <w:rFonts w:ascii="Arial" w:eastAsia="Calibri" w:hAnsi="Arial" w:cs="Times New Roman"/>
          <w:sz w:val="28"/>
          <w:szCs w:val="28"/>
        </w:rPr>
        <w:t xml:space="preserve">que establece en el artículo 4, apartado C, </w:t>
      </w:r>
      <w:r w:rsidR="00BE4877" w:rsidRPr="00F32542">
        <w:rPr>
          <w:rFonts w:ascii="Arial" w:eastAsia="Calibri" w:hAnsi="Arial" w:cs="Times New Roman"/>
          <w:sz w:val="28"/>
          <w:szCs w:val="28"/>
        </w:rPr>
        <w:t>fracción</w:t>
      </w:r>
      <w:r w:rsidRPr="00F32542">
        <w:rPr>
          <w:rFonts w:ascii="Arial" w:eastAsia="Calibri" w:hAnsi="Arial" w:cs="Times New Roman"/>
          <w:sz w:val="28"/>
          <w:szCs w:val="28"/>
        </w:rPr>
        <w:t xml:space="preserve"> VII, las definiciones siguientes:</w:t>
      </w:r>
    </w:p>
    <w:p w14:paraId="56A2BCE6" w14:textId="77777777" w:rsidR="00F94B48" w:rsidRPr="00F32542" w:rsidRDefault="00F94B48" w:rsidP="00F94B48">
      <w:pPr>
        <w:spacing w:after="0" w:line="360" w:lineRule="auto"/>
        <w:jc w:val="both"/>
        <w:rPr>
          <w:rFonts w:ascii="Arial" w:eastAsia="Calibri" w:hAnsi="Arial" w:cs="Times New Roman"/>
          <w:sz w:val="28"/>
          <w:szCs w:val="28"/>
        </w:rPr>
      </w:pPr>
    </w:p>
    <w:p w14:paraId="3C35A543" w14:textId="77777777" w:rsidR="00F94B48" w:rsidRPr="00F32542" w:rsidRDefault="00F94B48" w:rsidP="00F94B48">
      <w:pPr>
        <w:spacing w:after="0" w:line="240" w:lineRule="auto"/>
        <w:ind w:left="567" w:right="567"/>
        <w:contextualSpacing/>
        <w:jc w:val="both"/>
        <w:rPr>
          <w:rFonts w:ascii="Arial" w:eastAsia="Calibri" w:hAnsi="Arial" w:cs="Arial"/>
          <w:sz w:val="24"/>
          <w:szCs w:val="24"/>
        </w:rPr>
      </w:pPr>
      <w:r w:rsidRPr="00F32542">
        <w:rPr>
          <w:rFonts w:ascii="Arial" w:eastAsia="Calibri" w:hAnsi="Arial" w:cs="Arial"/>
          <w:sz w:val="24"/>
          <w:szCs w:val="24"/>
        </w:rPr>
        <w:t>“</w:t>
      </w:r>
      <w:r w:rsidRPr="00F32542">
        <w:rPr>
          <w:rFonts w:ascii="Arial" w:eastAsia="Calibri" w:hAnsi="Arial" w:cs="Arial"/>
          <w:b/>
          <w:sz w:val="24"/>
          <w:szCs w:val="24"/>
        </w:rPr>
        <w:t>Artículo 4.</w:t>
      </w:r>
      <w:r w:rsidRPr="00F32542">
        <w:rPr>
          <w:rFonts w:ascii="Arial" w:eastAsia="Calibri" w:hAnsi="Arial" w:cs="Arial"/>
          <w:sz w:val="24"/>
          <w:szCs w:val="24"/>
        </w:rPr>
        <w:t xml:space="preserve"> Para efectos de este Código se entenderá: […]</w:t>
      </w:r>
    </w:p>
    <w:p w14:paraId="7111CFC8" w14:textId="77777777" w:rsidR="00F94B48" w:rsidRPr="00F32542" w:rsidRDefault="00F94B48" w:rsidP="00F94B48">
      <w:pPr>
        <w:spacing w:after="0" w:line="240" w:lineRule="auto"/>
        <w:ind w:left="567" w:right="567"/>
        <w:contextualSpacing/>
        <w:jc w:val="both"/>
        <w:rPr>
          <w:rFonts w:ascii="Arial" w:eastAsia="Calibri" w:hAnsi="Arial" w:cs="Arial"/>
          <w:sz w:val="24"/>
          <w:szCs w:val="24"/>
        </w:rPr>
      </w:pPr>
    </w:p>
    <w:p w14:paraId="535D20B2" w14:textId="77777777" w:rsidR="00F94B48" w:rsidRPr="00F32542" w:rsidRDefault="00F94B48" w:rsidP="00F94B48">
      <w:pPr>
        <w:spacing w:after="0" w:line="240" w:lineRule="auto"/>
        <w:ind w:left="567" w:right="567"/>
        <w:contextualSpacing/>
        <w:jc w:val="both"/>
        <w:rPr>
          <w:rFonts w:ascii="Arial" w:eastAsia="Calibri" w:hAnsi="Arial" w:cs="Arial"/>
          <w:sz w:val="24"/>
          <w:szCs w:val="24"/>
        </w:rPr>
      </w:pPr>
      <w:r w:rsidRPr="00F32542">
        <w:rPr>
          <w:rFonts w:ascii="Arial" w:eastAsia="Calibri" w:hAnsi="Arial" w:cs="Arial"/>
          <w:sz w:val="24"/>
          <w:szCs w:val="24"/>
        </w:rPr>
        <w:t>C) En lo que se refiere al marco conceptual: […]</w:t>
      </w:r>
    </w:p>
    <w:p w14:paraId="36BC1C04" w14:textId="77777777" w:rsidR="00F94B48" w:rsidRPr="00F32542" w:rsidRDefault="00F94B48" w:rsidP="00F94B48">
      <w:pPr>
        <w:spacing w:after="0" w:line="240" w:lineRule="auto"/>
        <w:ind w:left="567" w:right="567"/>
        <w:contextualSpacing/>
        <w:jc w:val="both"/>
        <w:rPr>
          <w:rFonts w:ascii="Arial" w:eastAsia="Calibri" w:hAnsi="Arial" w:cs="Arial"/>
          <w:sz w:val="24"/>
          <w:szCs w:val="24"/>
        </w:rPr>
      </w:pPr>
    </w:p>
    <w:p w14:paraId="698B86A3" w14:textId="77777777" w:rsidR="00F94B48" w:rsidRPr="00F32542" w:rsidRDefault="00F94B48" w:rsidP="00F94B48">
      <w:pPr>
        <w:spacing w:after="0" w:line="240" w:lineRule="auto"/>
        <w:ind w:left="567" w:right="567"/>
        <w:contextualSpacing/>
        <w:jc w:val="both"/>
        <w:rPr>
          <w:rFonts w:ascii="Arial" w:eastAsia="Calibri" w:hAnsi="Arial" w:cs="Arial"/>
          <w:color w:val="000000"/>
          <w:sz w:val="24"/>
          <w:szCs w:val="24"/>
        </w:rPr>
      </w:pPr>
      <w:r w:rsidRPr="00F32542">
        <w:rPr>
          <w:rFonts w:ascii="Arial" w:eastAsia="Calibri" w:hAnsi="Arial" w:cs="Arial"/>
          <w:b/>
          <w:color w:val="000000"/>
          <w:sz w:val="24"/>
          <w:szCs w:val="24"/>
        </w:rPr>
        <w:t>VII. La violencia política contra las mujeres en razón de género:</w:t>
      </w:r>
      <w:r w:rsidRPr="00F32542">
        <w:rPr>
          <w:rFonts w:ascii="Arial" w:eastAsia="Calibri" w:hAnsi="Arial" w:cs="Arial"/>
          <w:color w:val="000000"/>
          <w:sz w:val="24"/>
          <w:szCs w:val="24"/>
        </w:rPr>
        <w:t xml:space="preserve"> es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p>
    <w:p w14:paraId="28B91C78" w14:textId="77777777" w:rsidR="00F94B48" w:rsidRPr="00F32542" w:rsidRDefault="00F94B48" w:rsidP="00F94B48">
      <w:pPr>
        <w:spacing w:after="0" w:line="240" w:lineRule="auto"/>
        <w:ind w:left="567" w:right="567"/>
        <w:contextualSpacing/>
        <w:jc w:val="both"/>
        <w:rPr>
          <w:rFonts w:ascii="Arial" w:eastAsia="Calibri" w:hAnsi="Arial" w:cs="Arial"/>
          <w:color w:val="000000"/>
          <w:sz w:val="24"/>
          <w:szCs w:val="24"/>
        </w:rPr>
      </w:pPr>
    </w:p>
    <w:p w14:paraId="6085E7BB" w14:textId="77777777" w:rsidR="00F94B48" w:rsidRPr="00F32542" w:rsidRDefault="00F94B48" w:rsidP="00F94B48">
      <w:pPr>
        <w:spacing w:after="0" w:line="240" w:lineRule="auto"/>
        <w:ind w:left="567" w:right="567"/>
        <w:contextualSpacing/>
        <w:jc w:val="both"/>
        <w:rPr>
          <w:rFonts w:ascii="Arial" w:eastAsia="Calibri" w:hAnsi="Arial" w:cs="Arial"/>
          <w:color w:val="000000"/>
          <w:sz w:val="24"/>
          <w:szCs w:val="24"/>
        </w:rPr>
      </w:pPr>
      <w:r w:rsidRPr="00F32542">
        <w:rPr>
          <w:rFonts w:ascii="Arial" w:eastAsia="Calibri" w:hAnsi="Arial" w:cs="Arial"/>
          <w:color w:val="000000"/>
          <w:sz w:val="24"/>
          <w:szCs w:val="24"/>
        </w:rPr>
        <w:t>Se entenderá que las acciones u omisiones se basan en elementos de género, cuando se dirijan a una mujer por ser mujer; le afecten desproporcionadamente o tengan un impacto diferenciado en ella.</w:t>
      </w:r>
    </w:p>
    <w:p w14:paraId="0C17DD5C" w14:textId="77777777" w:rsidR="00F94B48" w:rsidRPr="00F32542" w:rsidRDefault="00F94B48" w:rsidP="00F94B48">
      <w:pPr>
        <w:spacing w:after="0" w:line="240" w:lineRule="auto"/>
        <w:ind w:left="567" w:right="567"/>
        <w:contextualSpacing/>
        <w:jc w:val="both"/>
        <w:rPr>
          <w:rFonts w:ascii="Arial" w:eastAsia="Calibri" w:hAnsi="Arial" w:cs="Arial"/>
          <w:color w:val="000000"/>
          <w:sz w:val="24"/>
          <w:szCs w:val="24"/>
        </w:rPr>
      </w:pPr>
    </w:p>
    <w:p w14:paraId="0A93BF88" w14:textId="77777777" w:rsidR="00F94B48" w:rsidRPr="00F32542" w:rsidRDefault="00F94B48" w:rsidP="00F94B48">
      <w:pPr>
        <w:spacing w:after="0" w:line="240" w:lineRule="auto"/>
        <w:ind w:left="567" w:right="567"/>
        <w:contextualSpacing/>
        <w:jc w:val="both"/>
        <w:rPr>
          <w:rFonts w:ascii="Arial" w:eastAsia="Calibri" w:hAnsi="Arial" w:cs="Arial"/>
          <w:sz w:val="24"/>
          <w:szCs w:val="24"/>
        </w:rPr>
      </w:pPr>
      <w:r w:rsidRPr="00F32542">
        <w:rPr>
          <w:rFonts w:ascii="Arial" w:eastAsia="Calibri" w:hAnsi="Arial" w:cs="Arial"/>
          <w:color w:val="000000"/>
          <w:sz w:val="24"/>
          <w:szCs w:val="24"/>
        </w:rPr>
        <w:t xml:space="preserve">Puede manifestarse en cualquiera de los tipos de violencia reconocidos en la Ley General de Acceso de las Mujeres a una Vida Libre de Violencia y la Ley De Acceso de las Mujeres a una Vida Libre de Violencia de la Ciudad de México y puede ser perpetrada </w:t>
      </w:r>
      <w:r w:rsidRPr="00F32542">
        <w:rPr>
          <w:rFonts w:ascii="Arial" w:eastAsia="Calibri" w:hAnsi="Arial" w:cs="Arial"/>
          <w:color w:val="000000"/>
          <w:sz w:val="24"/>
          <w:szCs w:val="24"/>
        </w:rPr>
        <w:lastRenderedPageBreak/>
        <w:t xml:space="preserve">indistintamente por agentes estatales, por superiores jerárquicos, colegas de trabajo, personas dirigentes de partidos políticos, militantes, simpatizantes, precandidatas, precandidatos, candidatas o candidatos postulados por los partidos políticos o representantes de los mismos; medios de comunicación y sus integrantes, por un particular o por un grupo de personas particulares. </w:t>
      </w:r>
      <w:r w:rsidRPr="00F32542">
        <w:rPr>
          <w:rFonts w:ascii="Arial" w:eastAsia="Calibri" w:hAnsi="Arial" w:cs="Arial"/>
          <w:sz w:val="24"/>
          <w:szCs w:val="24"/>
        </w:rPr>
        <w:t>[…]”</w:t>
      </w:r>
    </w:p>
    <w:p w14:paraId="61278538" w14:textId="77777777" w:rsidR="00F94B48" w:rsidRPr="00F32542" w:rsidRDefault="00F94B48" w:rsidP="00F94B48">
      <w:pPr>
        <w:spacing w:after="0" w:line="360" w:lineRule="auto"/>
        <w:jc w:val="both"/>
        <w:rPr>
          <w:rFonts w:ascii="Arial" w:eastAsia="Calibri" w:hAnsi="Arial" w:cs="Times New Roman"/>
          <w:sz w:val="28"/>
          <w:szCs w:val="28"/>
        </w:rPr>
      </w:pPr>
    </w:p>
    <w:p w14:paraId="442E93C1"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De lo anterior, se advierte que los planteamientos de las </w:t>
      </w:r>
      <w:r w:rsidRPr="00F32542">
        <w:rPr>
          <w:rFonts w:ascii="Arial" w:eastAsia="Calibri" w:hAnsi="Arial" w:cs="Times New Roman"/>
          <w:i/>
          <w:sz w:val="28"/>
          <w:szCs w:val="28"/>
        </w:rPr>
        <w:t>partes</w:t>
      </w:r>
      <w:r w:rsidRPr="00F32542">
        <w:rPr>
          <w:rFonts w:ascii="Arial" w:eastAsia="Calibri" w:hAnsi="Arial" w:cs="Times New Roman"/>
          <w:sz w:val="28"/>
          <w:szCs w:val="28"/>
        </w:rPr>
        <w:t xml:space="preserve"> </w:t>
      </w:r>
      <w:r w:rsidRPr="00F32542">
        <w:rPr>
          <w:rFonts w:ascii="Arial" w:eastAsia="Calibri" w:hAnsi="Arial" w:cs="Times New Roman"/>
          <w:i/>
          <w:sz w:val="28"/>
          <w:szCs w:val="28"/>
        </w:rPr>
        <w:t>actoras</w:t>
      </w:r>
      <w:r w:rsidR="003943A0" w:rsidRPr="00F32542">
        <w:rPr>
          <w:rFonts w:ascii="Arial" w:eastAsia="Calibri" w:hAnsi="Arial" w:cs="Times New Roman"/>
          <w:sz w:val="28"/>
          <w:szCs w:val="28"/>
        </w:rPr>
        <w:t xml:space="preserve">, si bien refieren que actualizan violencia política o violencia política de género, </w:t>
      </w:r>
      <w:r w:rsidRPr="00F32542">
        <w:rPr>
          <w:rFonts w:ascii="Arial" w:eastAsia="Calibri" w:hAnsi="Arial" w:cs="Times New Roman"/>
          <w:sz w:val="28"/>
          <w:szCs w:val="28"/>
        </w:rPr>
        <w:t>sustancialmente se identifican con la presunta comisión de violencia política contra mujeres por razón de género</w:t>
      </w:r>
      <w:r w:rsidR="00F11D68" w:rsidRPr="00F32542">
        <w:rPr>
          <w:rFonts w:ascii="Arial" w:eastAsia="Calibri" w:hAnsi="Arial" w:cs="Times New Roman"/>
          <w:sz w:val="28"/>
          <w:szCs w:val="28"/>
        </w:rPr>
        <w:t xml:space="preserve">, puesto que refieren la presunta comisión de hechos tendentes a menoscabar el efectivo ejercicio de su derecho político a ser votadas, por </w:t>
      </w:r>
      <w:r w:rsidR="009803C8" w:rsidRPr="00F32542">
        <w:rPr>
          <w:rFonts w:ascii="Arial" w:eastAsia="Calibri" w:hAnsi="Arial" w:cs="Times New Roman"/>
          <w:sz w:val="28"/>
          <w:szCs w:val="28"/>
        </w:rPr>
        <w:t>su condición de mujeres</w:t>
      </w:r>
      <w:r w:rsidRPr="00F32542">
        <w:rPr>
          <w:rFonts w:ascii="Arial" w:eastAsia="Calibri" w:hAnsi="Arial" w:cs="Times New Roman"/>
          <w:sz w:val="28"/>
          <w:szCs w:val="28"/>
        </w:rPr>
        <w:t xml:space="preserve">. </w:t>
      </w:r>
    </w:p>
    <w:p w14:paraId="49E727DB" w14:textId="77777777" w:rsidR="00F94B48" w:rsidRPr="00F32542" w:rsidRDefault="00F94B48" w:rsidP="00F94B48">
      <w:pPr>
        <w:spacing w:after="0" w:line="360" w:lineRule="auto"/>
        <w:jc w:val="both"/>
        <w:rPr>
          <w:rFonts w:ascii="Arial" w:eastAsia="Calibri" w:hAnsi="Arial" w:cs="Times New Roman"/>
          <w:sz w:val="28"/>
          <w:szCs w:val="28"/>
        </w:rPr>
      </w:pPr>
    </w:p>
    <w:p w14:paraId="43F0E71B"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En ese contexto, los argumentos formulados son </w:t>
      </w:r>
      <w:r w:rsidRPr="00F32542">
        <w:rPr>
          <w:rFonts w:ascii="Arial" w:eastAsia="Calibri" w:hAnsi="Arial" w:cs="Arial"/>
          <w:b/>
          <w:sz w:val="28"/>
          <w:szCs w:val="28"/>
        </w:rPr>
        <w:t>infundados</w:t>
      </w:r>
      <w:r w:rsidRPr="00F32542">
        <w:rPr>
          <w:rFonts w:ascii="Arial" w:eastAsia="Calibri" w:hAnsi="Arial" w:cs="Arial"/>
          <w:sz w:val="28"/>
          <w:szCs w:val="28"/>
        </w:rPr>
        <w:t>, dado que los hacen depender de la interpretación y aplicación de las normas que rigen el procedimiento para la asignación de curules de diputaciones por el principio de representación proporcional y no de una situación de violencia.</w:t>
      </w:r>
    </w:p>
    <w:p w14:paraId="0BDEDBE4" w14:textId="77777777" w:rsidR="00F94B48" w:rsidRPr="00F32542" w:rsidRDefault="00F94B48" w:rsidP="00F94B48">
      <w:pPr>
        <w:spacing w:after="0" w:line="360" w:lineRule="auto"/>
        <w:jc w:val="both"/>
        <w:rPr>
          <w:rFonts w:ascii="Arial" w:eastAsia="Calibri" w:hAnsi="Arial" w:cs="Times New Roman"/>
          <w:sz w:val="28"/>
          <w:szCs w:val="28"/>
        </w:rPr>
      </w:pPr>
    </w:p>
    <w:p w14:paraId="7FA66E93"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Esto es, las </w:t>
      </w:r>
      <w:r w:rsidRPr="00F32542">
        <w:rPr>
          <w:rFonts w:ascii="Arial" w:eastAsia="Calibri" w:hAnsi="Arial" w:cs="Times New Roman"/>
          <w:i/>
          <w:sz w:val="28"/>
          <w:szCs w:val="28"/>
        </w:rPr>
        <w:t xml:space="preserve">partes actoras </w:t>
      </w:r>
      <w:r w:rsidRPr="00F32542">
        <w:rPr>
          <w:rFonts w:ascii="Arial" w:eastAsia="Calibri" w:hAnsi="Arial" w:cs="Times New Roman"/>
          <w:sz w:val="28"/>
          <w:szCs w:val="28"/>
        </w:rPr>
        <w:t>señalan la comisión de violencia política</w:t>
      </w:r>
      <w:r w:rsidR="008820D2" w:rsidRPr="00F32542">
        <w:rPr>
          <w:rFonts w:ascii="Arial" w:eastAsia="Calibri" w:hAnsi="Arial" w:cs="Times New Roman"/>
          <w:sz w:val="28"/>
          <w:szCs w:val="28"/>
        </w:rPr>
        <w:t xml:space="preserve"> en contra de las mujeres por razón de género</w:t>
      </w:r>
      <w:r w:rsidRPr="00F32542">
        <w:rPr>
          <w:rFonts w:ascii="Arial" w:eastAsia="Calibri" w:hAnsi="Arial" w:cs="Times New Roman"/>
          <w:sz w:val="28"/>
          <w:szCs w:val="28"/>
        </w:rPr>
        <w:t xml:space="preserve"> en su perjuicio</w:t>
      </w:r>
      <w:r w:rsidR="00D738FB" w:rsidRPr="00F32542">
        <w:rPr>
          <w:rFonts w:ascii="Arial" w:eastAsia="Calibri" w:hAnsi="Arial" w:cs="Times New Roman"/>
          <w:sz w:val="28"/>
          <w:szCs w:val="28"/>
        </w:rPr>
        <w:t>, por su condición de género</w:t>
      </w:r>
      <w:r w:rsidRPr="00F32542">
        <w:rPr>
          <w:rFonts w:ascii="Arial" w:eastAsia="Calibri" w:hAnsi="Arial" w:cs="Times New Roman"/>
          <w:sz w:val="28"/>
          <w:szCs w:val="28"/>
        </w:rPr>
        <w:t>, sin embargo, ello lo hacen depender de la interpretación y consecuente aplicación de las normas que integran el sistema de asignación de curules por el principio de representación proporcional, y no de la emisión de actos que tengan por finalidad restringir o hacer nugatorio alguno de sus derechos en función del género al que pertenecen.</w:t>
      </w:r>
    </w:p>
    <w:p w14:paraId="2EECF8D0" w14:textId="77777777" w:rsidR="00F94B48" w:rsidRPr="00F32542" w:rsidRDefault="00F94B48" w:rsidP="00F94B48">
      <w:pPr>
        <w:spacing w:after="0" w:line="360" w:lineRule="auto"/>
        <w:jc w:val="both"/>
        <w:rPr>
          <w:rFonts w:ascii="Arial" w:eastAsia="Calibri" w:hAnsi="Arial" w:cs="Times New Roman"/>
          <w:b/>
          <w:sz w:val="28"/>
          <w:szCs w:val="28"/>
        </w:rPr>
      </w:pPr>
    </w:p>
    <w:p w14:paraId="5411FD55" w14:textId="77777777" w:rsidR="00F94B48" w:rsidRPr="00F32542" w:rsidRDefault="00F94B48" w:rsidP="00F94B48">
      <w:pPr>
        <w:spacing w:after="0" w:line="360" w:lineRule="auto"/>
        <w:jc w:val="both"/>
        <w:rPr>
          <w:rFonts w:ascii="Arial" w:eastAsia="Calibri" w:hAnsi="Arial" w:cs="Times New Roman"/>
          <w:sz w:val="28"/>
          <w:szCs w:val="28"/>
        </w:rPr>
      </w:pPr>
      <w:r w:rsidRPr="00F32542">
        <w:rPr>
          <w:rFonts w:ascii="Arial" w:eastAsia="Calibri" w:hAnsi="Arial" w:cs="Times New Roman"/>
          <w:sz w:val="28"/>
          <w:szCs w:val="28"/>
        </w:rPr>
        <w:t xml:space="preserve">En efecto, en la presente sentencia se ha visto que no asistió razón a las actoras en cuanto a sus pretensiones de obtener una </w:t>
      </w:r>
      <w:r w:rsidRPr="00F32542">
        <w:rPr>
          <w:rFonts w:ascii="Arial" w:eastAsia="Calibri" w:hAnsi="Arial" w:cs="Times New Roman"/>
          <w:sz w:val="28"/>
          <w:szCs w:val="28"/>
        </w:rPr>
        <w:lastRenderedPageBreak/>
        <w:t xml:space="preserve">diputación de representación proporcional, toda vez que la conformación de las listas B y definitiva de cada uno de los partidos políticos que las postuló se ajusta a la normativa electoral. </w:t>
      </w:r>
    </w:p>
    <w:p w14:paraId="51308171" w14:textId="77777777" w:rsidR="00F94B48" w:rsidRPr="00F32542" w:rsidRDefault="00F94B48" w:rsidP="00F94B48">
      <w:pPr>
        <w:spacing w:after="0" w:line="360" w:lineRule="auto"/>
        <w:jc w:val="both"/>
        <w:rPr>
          <w:rFonts w:ascii="Arial" w:eastAsia="Calibri" w:hAnsi="Arial" w:cs="Times New Roman"/>
          <w:sz w:val="28"/>
          <w:szCs w:val="28"/>
        </w:rPr>
      </w:pPr>
    </w:p>
    <w:p w14:paraId="4CE2A48A" w14:textId="77777777" w:rsidR="00F94B48" w:rsidRPr="00F32542" w:rsidRDefault="00F94B48" w:rsidP="00F94B48">
      <w:pPr>
        <w:spacing w:after="0" w:line="360" w:lineRule="auto"/>
        <w:jc w:val="both"/>
        <w:rPr>
          <w:rFonts w:ascii="Arial" w:eastAsia="Calibri" w:hAnsi="Arial" w:cs="Arial"/>
          <w:color w:val="000000"/>
          <w:sz w:val="28"/>
          <w:szCs w:val="28"/>
        </w:rPr>
      </w:pPr>
      <w:r w:rsidRPr="00F32542">
        <w:rPr>
          <w:rFonts w:ascii="Arial" w:eastAsia="Calibri" w:hAnsi="Arial" w:cs="Times New Roman"/>
          <w:sz w:val="28"/>
          <w:szCs w:val="28"/>
        </w:rPr>
        <w:t xml:space="preserve">En ese sentido, la exclusión de la asignación de diputaciones no atendió a una situación particular consistente en una acción u omisión que hubiese tenido por objeto anular o menoscabar </w:t>
      </w:r>
      <w:r w:rsidRPr="00F32542">
        <w:rPr>
          <w:rFonts w:ascii="Arial" w:eastAsia="Calibri" w:hAnsi="Arial" w:cs="Arial"/>
          <w:color w:val="000000"/>
          <w:sz w:val="28"/>
          <w:szCs w:val="28"/>
        </w:rPr>
        <w:t xml:space="preserve">el ejercicio efectivo de los derechos políticos y electorales de las actoras, por ser mujeres, sino que, en términos de la normativa electoral aplicable, fue aplicada la fórmula de asignación de diputaciones de representación proporcional, sin que les asistiera jurídicamente el derecho a obtener una curul. </w:t>
      </w:r>
    </w:p>
    <w:p w14:paraId="2DCF2FD4" w14:textId="77777777" w:rsidR="00F94B48" w:rsidRPr="00F32542" w:rsidRDefault="00F94B48" w:rsidP="00F94B48">
      <w:pPr>
        <w:spacing w:after="0" w:line="360" w:lineRule="auto"/>
        <w:jc w:val="both"/>
        <w:rPr>
          <w:rFonts w:ascii="Arial" w:eastAsia="Calibri" w:hAnsi="Arial" w:cs="Arial"/>
          <w:color w:val="000000"/>
          <w:sz w:val="28"/>
          <w:szCs w:val="28"/>
        </w:rPr>
      </w:pPr>
    </w:p>
    <w:p w14:paraId="006AAEDD" w14:textId="77777777" w:rsidR="00F94B48" w:rsidRPr="00F32542" w:rsidRDefault="00F94B48" w:rsidP="00F94B48">
      <w:pPr>
        <w:spacing w:after="0" w:line="360" w:lineRule="auto"/>
        <w:jc w:val="both"/>
        <w:rPr>
          <w:rFonts w:ascii="Arial" w:eastAsia="Calibri" w:hAnsi="Arial" w:cs="Arial"/>
          <w:bCs/>
          <w:sz w:val="28"/>
          <w:szCs w:val="28"/>
          <w:lang w:eastAsia="es-MX"/>
        </w:rPr>
      </w:pPr>
      <w:r w:rsidRPr="00F32542">
        <w:rPr>
          <w:rFonts w:ascii="Arial" w:eastAsia="Calibri" w:hAnsi="Arial" w:cs="Arial"/>
          <w:color w:val="000000"/>
          <w:sz w:val="28"/>
          <w:szCs w:val="28"/>
        </w:rPr>
        <w:t xml:space="preserve">En específico, en el caso de la </w:t>
      </w:r>
      <w:r w:rsidRPr="00F32542">
        <w:rPr>
          <w:rFonts w:ascii="Arial" w:eastAsia="Calibri" w:hAnsi="Arial" w:cs="Arial"/>
          <w:i/>
          <w:color w:val="000000"/>
          <w:sz w:val="28"/>
          <w:szCs w:val="28"/>
        </w:rPr>
        <w:t>actora</w:t>
      </w:r>
      <w:r w:rsidRPr="00F32542">
        <w:rPr>
          <w:rFonts w:ascii="Arial" w:eastAsia="Calibri" w:hAnsi="Arial" w:cs="Arial"/>
          <w:color w:val="000000"/>
          <w:sz w:val="28"/>
          <w:szCs w:val="28"/>
        </w:rPr>
        <w:t xml:space="preserve"> Elizabeth Mateos Hernández (</w:t>
      </w:r>
      <w:r w:rsidRPr="00F32542">
        <w:rPr>
          <w:rFonts w:ascii="Arial" w:eastAsia="Calibri" w:hAnsi="Arial" w:cs="Arial"/>
          <w:b/>
          <w:color w:val="000000"/>
          <w:sz w:val="28"/>
          <w:szCs w:val="28"/>
        </w:rPr>
        <w:t>TECDMX-JLDC-92/2021</w:t>
      </w:r>
      <w:r w:rsidRPr="00F32542">
        <w:rPr>
          <w:rFonts w:ascii="Arial" w:eastAsia="Calibri" w:hAnsi="Arial" w:cs="Arial"/>
          <w:color w:val="000000"/>
          <w:sz w:val="28"/>
          <w:szCs w:val="28"/>
        </w:rPr>
        <w:t>), la situación que plantea no conlleva violencia polític</w:t>
      </w:r>
      <w:r w:rsidR="000400F4" w:rsidRPr="00F32542">
        <w:rPr>
          <w:rFonts w:ascii="Arial" w:eastAsia="Calibri" w:hAnsi="Arial" w:cs="Arial"/>
          <w:color w:val="000000"/>
          <w:sz w:val="28"/>
          <w:szCs w:val="28"/>
        </w:rPr>
        <w:t>a,</w:t>
      </w:r>
      <w:r w:rsidR="00FC3428" w:rsidRPr="00F32542">
        <w:rPr>
          <w:rFonts w:ascii="Arial" w:eastAsia="Calibri" w:hAnsi="Arial" w:cs="Times New Roman"/>
          <w:sz w:val="28"/>
          <w:szCs w:val="28"/>
        </w:rPr>
        <w:t xml:space="preserve"> en contra de las mujeres por razón de género</w:t>
      </w:r>
      <w:r w:rsidRPr="00F32542">
        <w:rPr>
          <w:rFonts w:ascii="Arial" w:eastAsia="Calibri" w:hAnsi="Arial" w:cs="Arial"/>
          <w:color w:val="000000"/>
          <w:sz w:val="28"/>
          <w:szCs w:val="28"/>
        </w:rPr>
        <w:t xml:space="preserve"> dado que, como se analizó en el apartado correspondiente, no constituye una ilegalidad la circunstancia relativa a que el suplente de la fórmula a la cual correspondió la única asignación de su partido (PVEM), ocupe dicho cargo, ya que es una</w:t>
      </w:r>
      <w:r w:rsidRPr="00F32542">
        <w:rPr>
          <w:rFonts w:ascii="Arial" w:eastAsia="Calibri" w:hAnsi="Arial" w:cs="Arial"/>
          <w:bCs/>
          <w:sz w:val="28"/>
          <w:szCs w:val="28"/>
          <w:lang w:eastAsia="es-MX"/>
        </w:rPr>
        <w:t xml:space="preserve"> situación excepcional que la propia norma aplicable permite.</w:t>
      </w:r>
    </w:p>
    <w:p w14:paraId="17C2F568" w14:textId="77777777" w:rsidR="00F94B48" w:rsidRPr="00F32542" w:rsidRDefault="00F94B48" w:rsidP="00F94B48">
      <w:pPr>
        <w:spacing w:after="0" w:line="360" w:lineRule="auto"/>
        <w:jc w:val="both"/>
        <w:rPr>
          <w:rFonts w:ascii="Arial" w:eastAsia="Calibri" w:hAnsi="Arial" w:cs="Arial"/>
          <w:color w:val="000000"/>
          <w:sz w:val="28"/>
          <w:szCs w:val="28"/>
        </w:rPr>
      </w:pPr>
    </w:p>
    <w:p w14:paraId="2D4D5533" w14:textId="77777777" w:rsidR="00F94B48" w:rsidRPr="00F32542" w:rsidRDefault="00F94B48" w:rsidP="00F94B48">
      <w:pPr>
        <w:spacing w:after="0" w:line="360" w:lineRule="auto"/>
        <w:jc w:val="both"/>
        <w:rPr>
          <w:rFonts w:ascii="Arial" w:eastAsia="Calibri" w:hAnsi="Arial" w:cs="Arial"/>
          <w:color w:val="000000"/>
          <w:sz w:val="28"/>
          <w:szCs w:val="28"/>
        </w:rPr>
      </w:pPr>
      <w:r w:rsidRPr="00F32542">
        <w:rPr>
          <w:rFonts w:ascii="Arial" w:eastAsia="Calibri" w:hAnsi="Arial" w:cs="Arial"/>
          <w:color w:val="000000"/>
          <w:sz w:val="28"/>
          <w:szCs w:val="28"/>
        </w:rPr>
        <w:t xml:space="preserve">Por tanto, la circunstancia de que la diputación que correspondió al PVEM se haya otorgado inicialmente al primer lugar de la lista definitiva no constituye una acción deliberada tendente a </w:t>
      </w:r>
      <w:r w:rsidR="00D738FB" w:rsidRPr="00F32542">
        <w:rPr>
          <w:rFonts w:ascii="Arial" w:eastAsia="Calibri" w:hAnsi="Arial" w:cs="Arial"/>
          <w:color w:val="000000"/>
          <w:sz w:val="28"/>
          <w:szCs w:val="28"/>
        </w:rPr>
        <w:t xml:space="preserve">menoscabar su derecho político electoral al </w:t>
      </w:r>
      <w:r w:rsidRPr="00F32542">
        <w:rPr>
          <w:rFonts w:ascii="Arial" w:eastAsia="Calibri" w:hAnsi="Arial" w:cs="Arial"/>
          <w:color w:val="000000"/>
          <w:sz w:val="28"/>
          <w:szCs w:val="28"/>
        </w:rPr>
        <w:t xml:space="preserve">negarle el derecho a la </w:t>
      </w:r>
      <w:r w:rsidRPr="00F32542">
        <w:rPr>
          <w:rFonts w:ascii="Arial" w:eastAsia="Calibri" w:hAnsi="Arial" w:cs="Arial"/>
          <w:i/>
          <w:color w:val="000000"/>
          <w:sz w:val="28"/>
          <w:szCs w:val="28"/>
        </w:rPr>
        <w:t>demandante</w:t>
      </w:r>
      <w:r w:rsidRPr="00F32542">
        <w:rPr>
          <w:rFonts w:ascii="Arial" w:eastAsia="Calibri" w:hAnsi="Arial" w:cs="Arial"/>
          <w:color w:val="000000"/>
          <w:sz w:val="28"/>
          <w:szCs w:val="28"/>
        </w:rPr>
        <w:t xml:space="preserve">, por ser mujer, sino que, en esos términos, originalmente no le correspondió la asignación, siendo que, como consta en apartados precedentes de la presente sentencia, este Tribunal Electoral determinó que a la actora Elizabeth Mateos </w:t>
      </w:r>
      <w:r w:rsidRPr="00F32542">
        <w:rPr>
          <w:rFonts w:ascii="Arial" w:eastAsia="Calibri" w:hAnsi="Arial" w:cs="Arial"/>
          <w:color w:val="000000"/>
          <w:sz w:val="28"/>
          <w:szCs w:val="28"/>
        </w:rPr>
        <w:lastRenderedPageBreak/>
        <w:t xml:space="preserve">Hernández le corresponde la única diputación del </w:t>
      </w:r>
      <w:r w:rsidRPr="00F32542">
        <w:rPr>
          <w:rFonts w:ascii="Arial" w:eastAsia="Calibri" w:hAnsi="Arial" w:cs="Arial"/>
          <w:i/>
          <w:color w:val="000000"/>
          <w:sz w:val="28"/>
          <w:szCs w:val="28"/>
        </w:rPr>
        <w:t>PVEM</w:t>
      </w:r>
      <w:r w:rsidRPr="00F32542">
        <w:rPr>
          <w:rFonts w:ascii="Arial" w:eastAsia="Calibri" w:hAnsi="Arial" w:cs="Arial"/>
          <w:color w:val="000000"/>
          <w:sz w:val="28"/>
          <w:szCs w:val="28"/>
        </w:rPr>
        <w:t xml:space="preserve"> con motivo del ajuste por paridad de género que se realizó a la conformación del Congreso.</w:t>
      </w:r>
    </w:p>
    <w:p w14:paraId="0ACA5046" w14:textId="77777777" w:rsidR="00F94B48" w:rsidRPr="00F32542" w:rsidRDefault="00F94B48" w:rsidP="00F94B48">
      <w:pPr>
        <w:spacing w:after="0" w:line="360" w:lineRule="auto"/>
        <w:jc w:val="both"/>
        <w:rPr>
          <w:rFonts w:ascii="Arial" w:eastAsia="Calibri" w:hAnsi="Arial" w:cs="Arial"/>
          <w:color w:val="000000"/>
          <w:sz w:val="28"/>
          <w:szCs w:val="28"/>
        </w:rPr>
      </w:pPr>
    </w:p>
    <w:p w14:paraId="0E7634E2" w14:textId="77777777" w:rsidR="00F94B48" w:rsidRPr="00F32542" w:rsidRDefault="00F94B48" w:rsidP="00F94B48">
      <w:pPr>
        <w:spacing w:after="0" w:line="360" w:lineRule="auto"/>
        <w:jc w:val="both"/>
        <w:rPr>
          <w:rFonts w:ascii="Arial" w:eastAsia="Calibri" w:hAnsi="Arial" w:cs="Arial"/>
          <w:bCs/>
          <w:sz w:val="28"/>
          <w:szCs w:val="28"/>
        </w:rPr>
      </w:pPr>
      <w:r w:rsidRPr="00F32542">
        <w:rPr>
          <w:rFonts w:ascii="Arial" w:eastAsia="Calibri" w:hAnsi="Arial" w:cs="Arial"/>
          <w:color w:val="000000"/>
          <w:sz w:val="28"/>
          <w:szCs w:val="28"/>
        </w:rPr>
        <w:t xml:space="preserve">De ahí que, a pesar de que la </w:t>
      </w:r>
      <w:r w:rsidRPr="00F32542">
        <w:rPr>
          <w:rFonts w:ascii="Arial" w:eastAsia="Calibri" w:hAnsi="Arial" w:cs="Arial"/>
          <w:i/>
          <w:color w:val="000000"/>
          <w:sz w:val="28"/>
          <w:szCs w:val="28"/>
        </w:rPr>
        <w:t xml:space="preserve">actora </w:t>
      </w:r>
      <w:r w:rsidRPr="00F32542">
        <w:rPr>
          <w:rFonts w:ascii="Arial" w:eastAsia="Calibri" w:hAnsi="Arial" w:cs="Arial"/>
          <w:color w:val="000000"/>
          <w:sz w:val="28"/>
          <w:szCs w:val="28"/>
        </w:rPr>
        <w:t xml:space="preserve">sostiene que se actualizan los cinco elementos para configurar violencia política </w:t>
      </w:r>
      <w:r w:rsidR="00865827" w:rsidRPr="00F32542">
        <w:rPr>
          <w:rFonts w:ascii="Arial" w:eastAsia="Calibri" w:hAnsi="Arial" w:cs="Arial"/>
          <w:color w:val="000000"/>
          <w:sz w:val="28"/>
          <w:szCs w:val="28"/>
        </w:rPr>
        <w:t xml:space="preserve">en contra de las mujeres </w:t>
      </w:r>
      <w:r w:rsidRPr="00F32542">
        <w:rPr>
          <w:rFonts w:ascii="Arial" w:eastAsia="Calibri" w:hAnsi="Arial" w:cs="Arial"/>
          <w:color w:val="000000"/>
          <w:sz w:val="28"/>
          <w:szCs w:val="28"/>
        </w:rPr>
        <w:t xml:space="preserve">en razón de género, lo cierto es que los hace depender de supuestas acciones de discriminación por género e inequidad en la contienda, porque, en su concepto, la lista A debió integrarse con una mujer en el primer lugar, sin embargo, aun cuando fuera deseable, como ya se analizó, la conformación de la lista A atiende </w:t>
      </w:r>
      <w:r w:rsidRPr="00F32542">
        <w:rPr>
          <w:rFonts w:ascii="Arial" w:eastAsia="Calibri" w:hAnsi="Arial" w:cs="Arial"/>
          <w:bCs/>
          <w:sz w:val="28"/>
          <w:szCs w:val="28"/>
        </w:rPr>
        <w:t xml:space="preserve">al ejercicio del derecho de autodeterminación del partido político. </w:t>
      </w:r>
    </w:p>
    <w:p w14:paraId="67D77AB5" w14:textId="77777777" w:rsidR="00F94B48" w:rsidRPr="00F32542" w:rsidRDefault="00F94B48" w:rsidP="00F94B48">
      <w:pPr>
        <w:spacing w:after="0" w:line="360" w:lineRule="auto"/>
        <w:jc w:val="both"/>
        <w:rPr>
          <w:rFonts w:ascii="Arial" w:eastAsia="Calibri" w:hAnsi="Arial" w:cs="Arial"/>
          <w:bCs/>
          <w:sz w:val="28"/>
          <w:szCs w:val="28"/>
        </w:rPr>
      </w:pPr>
    </w:p>
    <w:p w14:paraId="508B6794" w14:textId="77777777" w:rsidR="00F94B48" w:rsidRPr="00F32542" w:rsidRDefault="00F94B48" w:rsidP="00F94B48">
      <w:pPr>
        <w:spacing w:after="0" w:line="360" w:lineRule="auto"/>
        <w:jc w:val="both"/>
        <w:rPr>
          <w:rFonts w:ascii="Arial" w:eastAsia="Calibri" w:hAnsi="Arial" w:cs="Arial"/>
          <w:bCs/>
          <w:sz w:val="28"/>
          <w:szCs w:val="28"/>
        </w:rPr>
      </w:pPr>
      <w:r w:rsidRPr="00F32542">
        <w:rPr>
          <w:rFonts w:ascii="Arial" w:eastAsia="Calibri" w:hAnsi="Arial" w:cs="Arial"/>
          <w:bCs/>
          <w:sz w:val="28"/>
          <w:szCs w:val="28"/>
        </w:rPr>
        <w:t xml:space="preserve">Por otra parte, en el caso de la </w:t>
      </w:r>
      <w:r w:rsidRPr="00F32542">
        <w:rPr>
          <w:rFonts w:ascii="Arial" w:eastAsia="Calibri" w:hAnsi="Arial" w:cs="Arial"/>
          <w:bCs/>
          <w:i/>
          <w:sz w:val="28"/>
          <w:szCs w:val="28"/>
        </w:rPr>
        <w:t>actora</w:t>
      </w:r>
      <w:r w:rsidRPr="00F32542">
        <w:rPr>
          <w:rFonts w:ascii="Arial" w:eastAsia="Calibri" w:hAnsi="Arial" w:cs="Arial"/>
          <w:bCs/>
          <w:sz w:val="28"/>
          <w:szCs w:val="28"/>
        </w:rPr>
        <w:t xml:space="preserve"> Lucía Alejandra Puente García (</w:t>
      </w:r>
      <w:r w:rsidRPr="00F32542">
        <w:rPr>
          <w:rFonts w:ascii="Arial" w:eastAsia="Calibri" w:hAnsi="Arial" w:cs="Arial"/>
          <w:b/>
          <w:bCs/>
          <w:sz w:val="28"/>
          <w:szCs w:val="28"/>
        </w:rPr>
        <w:t>TECDMX-JLDC-093/2021</w:t>
      </w:r>
      <w:r w:rsidRPr="00F32542">
        <w:rPr>
          <w:rFonts w:ascii="Arial" w:eastAsia="Calibri" w:hAnsi="Arial" w:cs="Arial"/>
          <w:bCs/>
          <w:sz w:val="28"/>
          <w:szCs w:val="28"/>
        </w:rPr>
        <w:t xml:space="preserve">) este </w:t>
      </w:r>
      <w:r w:rsidRPr="00F32542">
        <w:rPr>
          <w:rFonts w:ascii="Arial" w:eastAsia="Calibri" w:hAnsi="Arial" w:cs="Arial"/>
          <w:bCs/>
          <w:i/>
          <w:sz w:val="28"/>
          <w:szCs w:val="28"/>
        </w:rPr>
        <w:t>Tribunal Electoral</w:t>
      </w:r>
      <w:r w:rsidRPr="00F32542">
        <w:rPr>
          <w:rFonts w:ascii="Arial" w:eastAsia="Calibri" w:hAnsi="Arial" w:cs="Arial"/>
          <w:bCs/>
          <w:sz w:val="28"/>
          <w:szCs w:val="28"/>
        </w:rPr>
        <w:t xml:space="preserve"> no advierte que el hecho de que </w:t>
      </w:r>
      <w:r w:rsidRPr="00F32542">
        <w:rPr>
          <w:rFonts w:ascii="Arial" w:eastAsia="Calibri" w:hAnsi="Arial" w:cs="Arial"/>
          <w:bCs/>
          <w:i/>
          <w:sz w:val="28"/>
          <w:szCs w:val="28"/>
        </w:rPr>
        <w:t>MC</w:t>
      </w:r>
      <w:r w:rsidRPr="00F32542">
        <w:rPr>
          <w:rFonts w:ascii="Arial" w:eastAsia="Calibri" w:hAnsi="Arial" w:cs="Arial"/>
          <w:bCs/>
          <w:sz w:val="28"/>
          <w:szCs w:val="28"/>
        </w:rPr>
        <w:t xml:space="preserve"> haya postulado a un hombre en el primer lugar de la lista A y, eventualmente en la lista definitiva, constitu</w:t>
      </w:r>
      <w:r w:rsidR="00865827" w:rsidRPr="00F32542">
        <w:rPr>
          <w:rFonts w:ascii="Arial" w:eastAsia="Calibri" w:hAnsi="Arial" w:cs="Arial"/>
          <w:bCs/>
          <w:sz w:val="28"/>
          <w:szCs w:val="28"/>
        </w:rPr>
        <w:t>ya violencia política en contra de las mujeres por razón de género.</w:t>
      </w:r>
    </w:p>
    <w:p w14:paraId="0F1177A1" w14:textId="77777777" w:rsidR="00F94B48" w:rsidRPr="00F32542" w:rsidRDefault="00F94B48" w:rsidP="00F94B48">
      <w:pPr>
        <w:spacing w:after="0" w:line="360" w:lineRule="auto"/>
        <w:jc w:val="both"/>
        <w:rPr>
          <w:rFonts w:ascii="Arial" w:eastAsia="Calibri" w:hAnsi="Arial" w:cs="Arial"/>
          <w:bCs/>
          <w:sz w:val="28"/>
          <w:szCs w:val="28"/>
        </w:rPr>
      </w:pPr>
    </w:p>
    <w:p w14:paraId="2C270D51" w14:textId="77777777" w:rsidR="00F94B48" w:rsidRPr="00F32542" w:rsidRDefault="00F94B48" w:rsidP="00F94B48">
      <w:pPr>
        <w:spacing w:after="0" w:line="360" w:lineRule="auto"/>
        <w:jc w:val="both"/>
        <w:rPr>
          <w:rFonts w:ascii="Arial" w:eastAsia="Calibri" w:hAnsi="Arial" w:cs="Arial"/>
          <w:bCs/>
          <w:sz w:val="28"/>
          <w:szCs w:val="28"/>
        </w:rPr>
      </w:pPr>
      <w:r w:rsidRPr="00F32542">
        <w:rPr>
          <w:rFonts w:ascii="Arial" w:eastAsia="Calibri" w:hAnsi="Arial" w:cs="Arial"/>
          <w:bCs/>
          <w:sz w:val="28"/>
          <w:szCs w:val="28"/>
        </w:rPr>
        <w:t xml:space="preserve">Esto, porque no se observa que esa circunstancia se haya realizado por vulnerar el derecho de las mujeres por el hecho de pertenecer a ese género o menoscabarlas en sus derechos. </w:t>
      </w:r>
    </w:p>
    <w:p w14:paraId="7136AE3F" w14:textId="77777777" w:rsidR="00F94B48" w:rsidRPr="00F32542" w:rsidRDefault="00F94B48" w:rsidP="00F94B48">
      <w:pPr>
        <w:spacing w:after="0" w:line="360" w:lineRule="auto"/>
        <w:jc w:val="both"/>
        <w:rPr>
          <w:rFonts w:ascii="Arial" w:eastAsia="Calibri" w:hAnsi="Arial" w:cs="Arial"/>
          <w:bCs/>
          <w:sz w:val="28"/>
          <w:szCs w:val="28"/>
        </w:rPr>
      </w:pPr>
    </w:p>
    <w:p w14:paraId="59C78E36" w14:textId="77777777" w:rsidR="00F94B48" w:rsidRPr="00F32542" w:rsidRDefault="00F94B48" w:rsidP="00F94B48">
      <w:pPr>
        <w:spacing w:after="0" w:line="360" w:lineRule="auto"/>
        <w:jc w:val="both"/>
        <w:rPr>
          <w:rFonts w:ascii="Arial" w:eastAsia="Calibri" w:hAnsi="Arial" w:cs="Arial"/>
          <w:bCs/>
          <w:sz w:val="28"/>
          <w:szCs w:val="28"/>
        </w:rPr>
      </w:pPr>
      <w:r w:rsidRPr="00F32542">
        <w:rPr>
          <w:rFonts w:ascii="Arial" w:eastAsia="Calibri" w:hAnsi="Arial" w:cs="Arial"/>
          <w:bCs/>
          <w:sz w:val="28"/>
          <w:szCs w:val="28"/>
        </w:rPr>
        <w:t xml:space="preserve">Sino que, como lo explicó la </w:t>
      </w:r>
      <w:r w:rsidRPr="00F32542">
        <w:rPr>
          <w:rFonts w:ascii="Arial" w:eastAsia="Calibri" w:hAnsi="Arial" w:cs="Arial"/>
          <w:bCs/>
          <w:i/>
          <w:sz w:val="28"/>
          <w:szCs w:val="28"/>
        </w:rPr>
        <w:t xml:space="preserve">Sala Superior </w:t>
      </w:r>
      <w:r w:rsidRPr="00F32542">
        <w:rPr>
          <w:rFonts w:ascii="Arial" w:eastAsia="Calibri" w:hAnsi="Arial" w:cs="Arial"/>
          <w:bCs/>
          <w:sz w:val="28"/>
          <w:szCs w:val="28"/>
        </w:rPr>
        <w:t xml:space="preserve">en el asunto </w:t>
      </w:r>
      <w:r w:rsidRPr="00F32542">
        <w:rPr>
          <w:rFonts w:ascii="Arial" w:eastAsia="Calibri" w:hAnsi="Arial" w:cs="Arial"/>
          <w:b/>
          <w:sz w:val="28"/>
          <w:szCs w:val="28"/>
        </w:rPr>
        <w:t>SUP-REC-433/2019</w:t>
      </w:r>
      <w:r w:rsidRPr="00F32542">
        <w:rPr>
          <w:rFonts w:ascii="Arial" w:eastAsia="Calibri" w:hAnsi="Arial" w:cs="Arial"/>
          <w:bCs/>
          <w:sz w:val="28"/>
          <w:szCs w:val="28"/>
        </w:rPr>
        <w:t xml:space="preserve">, tal designación se trata del ejercicio del derecho de autodeterminación del partido político para definir su estrategia política. </w:t>
      </w:r>
    </w:p>
    <w:p w14:paraId="57A79A0A" w14:textId="77777777" w:rsidR="00F94B48" w:rsidRPr="00F32542" w:rsidRDefault="00F94B48" w:rsidP="00F94B48">
      <w:pPr>
        <w:spacing w:after="0" w:line="360" w:lineRule="auto"/>
        <w:jc w:val="both"/>
        <w:rPr>
          <w:rFonts w:ascii="Arial" w:eastAsia="Calibri" w:hAnsi="Arial" w:cs="Arial"/>
          <w:bCs/>
          <w:sz w:val="28"/>
          <w:szCs w:val="28"/>
        </w:rPr>
      </w:pPr>
    </w:p>
    <w:p w14:paraId="53CD451A" w14:textId="77777777" w:rsidR="00F94B48" w:rsidRPr="00F32542" w:rsidRDefault="00F94B48" w:rsidP="00F94B48">
      <w:pPr>
        <w:spacing w:after="0" w:line="360" w:lineRule="auto"/>
        <w:jc w:val="both"/>
        <w:rPr>
          <w:rFonts w:ascii="Arial" w:eastAsia="Calibri" w:hAnsi="Arial" w:cs="Calibri"/>
          <w:sz w:val="28"/>
          <w:szCs w:val="28"/>
        </w:rPr>
      </w:pPr>
      <w:r w:rsidRPr="00F32542">
        <w:rPr>
          <w:rFonts w:ascii="Arial" w:eastAsia="Calibri" w:hAnsi="Arial" w:cs="Calibri"/>
          <w:sz w:val="28"/>
          <w:szCs w:val="28"/>
        </w:rPr>
        <w:lastRenderedPageBreak/>
        <w:t xml:space="preserve">Finalmente, no se advierte alguna circunstancia específica que amerite la implementación de algún mecanismo previsto en el </w:t>
      </w:r>
      <w:r w:rsidRPr="00F32542">
        <w:rPr>
          <w:rFonts w:ascii="Arial" w:eastAsia="Calibri" w:hAnsi="Arial" w:cs="Calibri"/>
          <w:i/>
          <w:sz w:val="28"/>
          <w:szCs w:val="28"/>
        </w:rPr>
        <w:t>Protocolo para atender la violencia política contra las mujeres,</w:t>
      </w:r>
      <w:r w:rsidRPr="00F32542">
        <w:rPr>
          <w:rFonts w:ascii="Arial" w:eastAsia="Calibri" w:hAnsi="Arial" w:cs="Calibri"/>
          <w:sz w:val="28"/>
          <w:szCs w:val="28"/>
        </w:rPr>
        <w:t xml:space="preserve"> puesto que, se insiste, la circunstancia atinente a que, en términos de la normativa aplicable, que atiende cabalmente el principio constitucional de paridad de género, no sea procedente la pretensión de obtener una diputación, no implica una actuación de violencia política </w:t>
      </w:r>
      <w:r w:rsidR="00252CE5" w:rsidRPr="00F32542">
        <w:rPr>
          <w:rFonts w:ascii="Arial" w:eastAsia="Calibri" w:hAnsi="Arial" w:cs="Calibri"/>
          <w:sz w:val="28"/>
          <w:szCs w:val="28"/>
        </w:rPr>
        <w:t>en contra de las mujeres por razón de género, precisamente po</w:t>
      </w:r>
      <w:r w:rsidR="000400F4" w:rsidRPr="00F32542">
        <w:rPr>
          <w:rFonts w:ascii="Arial" w:eastAsia="Calibri" w:hAnsi="Arial" w:cs="Calibri"/>
          <w:sz w:val="28"/>
          <w:szCs w:val="28"/>
        </w:rPr>
        <w:t xml:space="preserve">r, </w:t>
      </w:r>
      <w:r w:rsidRPr="00F32542">
        <w:rPr>
          <w:rFonts w:ascii="Arial" w:eastAsia="Calibri" w:hAnsi="Arial" w:cs="Calibri"/>
          <w:sz w:val="28"/>
          <w:szCs w:val="28"/>
        </w:rPr>
        <w:t xml:space="preserve">por el hecho de ser mujer. </w:t>
      </w:r>
    </w:p>
    <w:p w14:paraId="04E0DDA0" w14:textId="77777777" w:rsidR="00F94B48" w:rsidRPr="00F32542" w:rsidRDefault="00F94B48" w:rsidP="00F94B48">
      <w:pPr>
        <w:spacing w:after="0" w:line="360" w:lineRule="auto"/>
        <w:jc w:val="both"/>
        <w:rPr>
          <w:rFonts w:ascii="Arial" w:eastAsia="Calibri" w:hAnsi="Arial" w:cs="Arial"/>
          <w:bCs/>
          <w:sz w:val="28"/>
          <w:szCs w:val="28"/>
        </w:rPr>
      </w:pPr>
    </w:p>
    <w:p w14:paraId="41A2FB2C"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sz w:val="28"/>
          <w:szCs w:val="28"/>
        </w:rPr>
        <w:t xml:space="preserve">Asimismo, tampoco asiste razón a las </w:t>
      </w:r>
      <w:r w:rsidRPr="00F32542">
        <w:rPr>
          <w:rFonts w:ascii="Arial" w:eastAsia="Calibri" w:hAnsi="Arial" w:cs="Arial"/>
          <w:i/>
          <w:sz w:val="28"/>
          <w:szCs w:val="28"/>
        </w:rPr>
        <w:t>actoras</w:t>
      </w:r>
      <w:r w:rsidRPr="00F32542">
        <w:rPr>
          <w:rFonts w:ascii="Arial" w:eastAsia="Calibri" w:hAnsi="Arial" w:cs="Arial"/>
          <w:sz w:val="28"/>
          <w:szCs w:val="28"/>
        </w:rPr>
        <w:t xml:space="preserve"> </w:t>
      </w:r>
      <w:proofErr w:type="spellStart"/>
      <w:r w:rsidRPr="00F32542">
        <w:rPr>
          <w:rFonts w:ascii="Arial" w:eastAsia="Calibri" w:hAnsi="Arial" w:cs="Arial"/>
          <w:sz w:val="28"/>
          <w:szCs w:val="28"/>
        </w:rPr>
        <w:t>Anthea</w:t>
      </w:r>
      <w:proofErr w:type="spellEnd"/>
      <w:r w:rsidRPr="00F32542">
        <w:rPr>
          <w:rFonts w:ascii="Arial" w:eastAsia="Calibri" w:hAnsi="Arial" w:cs="Arial"/>
          <w:sz w:val="28"/>
          <w:szCs w:val="28"/>
        </w:rPr>
        <w:t xml:space="preserve"> Terina Sansores Olvera y Monserrat Adriana Bosque Sánchez (</w:t>
      </w:r>
      <w:r w:rsidRPr="00F32542">
        <w:rPr>
          <w:rFonts w:ascii="Arial" w:eastAsia="Calibri" w:hAnsi="Arial" w:cs="Arial"/>
          <w:b/>
          <w:sz w:val="28"/>
          <w:szCs w:val="28"/>
        </w:rPr>
        <w:t xml:space="preserve">TECDMX-JLDC-095/2021 </w:t>
      </w:r>
      <w:r w:rsidRPr="00F32542">
        <w:rPr>
          <w:rFonts w:ascii="Arial" w:eastAsia="Calibri" w:hAnsi="Arial" w:cs="Arial"/>
          <w:sz w:val="28"/>
          <w:szCs w:val="28"/>
        </w:rPr>
        <w:t>y</w:t>
      </w:r>
      <w:r w:rsidRPr="00F32542">
        <w:rPr>
          <w:rFonts w:ascii="Arial" w:eastAsia="Calibri" w:hAnsi="Arial" w:cs="Arial"/>
          <w:b/>
          <w:sz w:val="28"/>
          <w:szCs w:val="28"/>
        </w:rPr>
        <w:t xml:space="preserve"> TECDMX-JLDC-096/2021</w:t>
      </w:r>
      <w:r w:rsidRPr="00F32542">
        <w:rPr>
          <w:rFonts w:ascii="Arial" w:eastAsia="Calibri" w:hAnsi="Arial" w:cs="Arial"/>
          <w:sz w:val="28"/>
          <w:szCs w:val="28"/>
        </w:rPr>
        <w:t xml:space="preserve">) respecto a que el cálculo de los porcentajes de votación para la lista B constituya violencia política </w:t>
      </w:r>
      <w:r w:rsidR="00252CE5" w:rsidRPr="00F32542">
        <w:rPr>
          <w:rFonts w:ascii="Arial" w:eastAsia="Calibri" w:hAnsi="Arial" w:cs="Arial"/>
          <w:sz w:val="28"/>
          <w:szCs w:val="28"/>
        </w:rPr>
        <w:t xml:space="preserve">en contra de las mujeres por razón </w:t>
      </w:r>
      <w:r w:rsidRPr="00F32542">
        <w:rPr>
          <w:rFonts w:ascii="Arial" w:eastAsia="Calibri" w:hAnsi="Arial" w:cs="Arial"/>
          <w:sz w:val="28"/>
          <w:szCs w:val="28"/>
        </w:rPr>
        <w:t>de género.</w:t>
      </w:r>
    </w:p>
    <w:p w14:paraId="248A9BBB" w14:textId="77777777" w:rsidR="00F94B48" w:rsidRPr="00F32542" w:rsidRDefault="00F94B48" w:rsidP="00F94B48">
      <w:pPr>
        <w:spacing w:after="0" w:line="360" w:lineRule="auto"/>
        <w:jc w:val="both"/>
        <w:rPr>
          <w:rFonts w:ascii="Arial" w:eastAsia="Calibri" w:hAnsi="Arial" w:cs="Arial"/>
          <w:sz w:val="28"/>
          <w:szCs w:val="28"/>
        </w:rPr>
      </w:pPr>
    </w:p>
    <w:p w14:paraId="7485191E" w14:textId="77777777" w:rsidR="00F94B48" w:rsidRPr="00F32542" w:rsidRDefault="00F94B48" w:rsidP="00F94B48">
      <w:pPr>
        <w:spacing w:after="0" w:line="360" w:lineRule="auto"/>
        <w:jc w:val="both"/>
        <w:rPr>
          <w:rFonts w:ascii="Arial" w:eastAsia="Calibri" w:hAnsi="Arial" w:cs="Arial"/>
          <w:bCs/>
          <w:sz w:val="28"/>
          <w:szCs w:val="28"/>
        </w:rPr>
      </w:pPr>
      <w:r w:rsidRPr="00F32542">
        <w:rPr>
          <w:rFonts w:ascii="Arial" w:eastAsia="Calibri" w:hAnsi="Arial" w:cs="Arial"/>
          <w:sz w:val="28"/>
          <w:szCs w:val="28"/>
        </w:rPr>
        <w:t>Esto, porque, como se dijo, para que exista violencia política</w:t>
      </w:r>
      <w:r w:rsidR="004B0882" w:rsidRPr="00F32542">
        <w:rPr>
          <w:rFonts w:ascii="Arial" w:eastAsia="Calibri" w:hAnsi="Arial" w:cs="Arial"/>
          <w:sz w:val="28"/>
          <w:szCs w:val="28"/>
        </w:rPr>
        <w:t xml:space="preserve"> en contra de las mujeres en razón</w:t>
      </w:r>
      <w:r w:rsidRPr="00F32542">
        <w:rPr>
          <w:rFonts w:ascii="Arial" w:eastAsia="Calibri" w:hAnsi="Arial" w:cs="Arial"/>
          <w:sz w:val="28"/>
          <w:szCs w:val="28"/>
        </w:rPr>
        <w:t xml:space="preserve"> de género es necesario existan</w:t>
      </w:r>
      <w:r w:rsidRPr="00F32542">
        <w:rPr>
          <w:rFonts w:ascii="Arial" w:eastAsia="Calibri" w:hAnsi="Arial" w:cs="Arial"/>
          <w:bCs/>
          <w:sz w:val="28"/>
          <w:szCs w:val="28"/>
        </w:rPr>
        <w:t xml:space="preserve"> acciones u omisiones de personas, servidoras o servidores públicos que se dirigen a una mujer por ser mujer, tienen un impacto diferenciado en ellas o les afectan desproporcionadamente, con el objeto o resultado de menoscabar o anular sus derechos político-electorales, incluyendo el ejercicio del cargo.</w:t>
      </w:r>
    </w:p>
    <w:p w14:paraId="312178FA" w14:textId="77777777" w:rsidR="00F94B48" w:rsidRPr="00F32542" w:rsidRDefault="00F94B48" w:rsidP="00F94B48">
      <w:pPr>
        <w:spacing w:after="0" w:line="360" w:lineRule="auto"/>
        <w:jc w:val="both"/>
        <w:rPr>
          <w:rFonts w:ascii="Arial" w:eastAsia="Calibri" w:hAnsi="Arial" w:cs="Arial"/>
          <w:bCs/>
          <w:sz w:val="28"/>
          <w:szCs w:val="28"/>
        </w:rPr>
      </w:pPr>
    </w:p>
    <w:p w14:paraId="6C2AEA01" w14:textId="77777777" w:rsidR="00F94B48" w:rsidRPr="00F32542" w:rsidRDefault="00F94B48" w:rsidP="00F94B48">
      <w:pPr>
        <w:spacing w:after="0" w:line="360" w:lineRule="auto"/>
        <w:jc w:val="both"/>
        <w:rPr>
          <w:rFonts w:ascii="Arial" w:eastAsia="Calibri" w:hAnsi="Arial" w:cs="Arial"/>
          <w:bCs/>
          <w:sz w:val="28"/>
          <w:szCs w:val="28"/>
        </w:rPr>
      </w:pPr>
      <w:r w:rsidRPr="00F32542">
        <w:rPr>
          <w:rFonts w:ascii="Arial" w:eastAsia="Calibri" w:hAnsi="Arial" w:cs="Arial"/>
          <w:bCs/>
          <w:sz w:val="28"/>
          <w:szCs w:val="28"/>
        </w:rPr>
        <w:t>Sin embargo, en este caso, no se advierte que la integración de la lista B se hiciera con el objeto de menoscabar los derechos de las mujeres, ni la existencia de un impacto diferenciado para ellas, sino que se trató de un cálculo a partir de la votación de los partidos en cada distrito, es decir, a partir de elementos objetivos.</w:t>
      </w:r>
    </w:p>
    <w:p w14:paraId="45602ABD" w14:textId="77777777" w:rsidR="00F94B48" w:rsidRPr="00F32542" w:rsidRDefault="00F94B48" w:rsidP="00F94B48">
      <w:pPr>
        <w:spacing w:after="0" w:line="360" w:lineRule="auto"/>
        <w:jc w:val="both"/>
        <w:rPr>
          <w:rFonts w:ascii="Arial" w:eastAsia="Calibri" w:hAnsi="Arial" w:cs="Arial"/>
          <w:bCs/>
          <w:sz w:val="28"/>
          <w:szCs w:val="28"/>
        </w:rPr>
      </w:pPr>
    </w:p>
    <w:p w14:paraId="1554709A" w14:textId="77777777" w:rsidR="00F94B48" w:rsidRPr="00F32542" w:rsidRDefault="00F94B48" w:rsidP="00F94B48">
      <w:pPr>
        <w:spacing w:after="0" w:line="360" w:lineRule="auto"/>
        <w:jc w:val="both"/>
        <w:rPr>
          <w:rFonts w:ascii="Arial" w:eastAsia="Calibri" w:hAnsi="Arial" w:cs="Arial"/>
          <w:sz w:val="28"/>
          <w:szCs w:val="28"/>
        </w:rPr>
      </w:pPr>
      <w:r w:rsidRPr="00F32542">
        <w:rPr>
          <w:rFonts w:ascii="Arial" w:eastAsia="Calibri" w:hAnsi="Arial" w:cs="Arial"/>
          <w:bCs/>
          <w:sz w:val="28"/>
          <w:szCs w:val="28"/>
        </w:rPr>
        <w:t xml:space="preserve">Por otra parte, en el caso de </w:t>
      </w:r>
      <w:r w:rsidRPr="00F32542">
        <w:rPr>
          <w:rFonts w:ascii="Arial" w:eastAsia="Calibri" w:hAnsi="Arial" w:cs="Arial"/>
          <w:sz w:val="28"/>
          <w:szCs w:val="28"/>
        </w:rPr>
        <w:t>Mónica Jessica Menocal del Moral (</w:t>
      </w:r>
      <w:r w:rsidRPr="00F32542">
        <w:rPr>
          <w:rFonts w:ascii="Arial" w:eastAsia="Calibri" w:hAnsi="Arial" w:cs="Arial"/>
          <w:b/>
          <w:sz w:val="28"/>
          <w:szCs w:val="28"/>
        </w:rPr>
        <w:t>TECDMX-103/2021</w:t>
      </w:r>
      <w:r w:rsidRPr="00F32542">
        <w:rPr>
          <w:rFonts w:ascii="Arial" w:eastAsia="Calibri" w:hAnsi="Arial" w:cs="Arial"/>
          <w:sz w:val="28"/>
          <w:szCs w:val="28"/>
        </w:rPr>
        <w:t xml:space="preserve">) el hecho de que se encuentre en la posición 10 de la lista definitiva no constituye un acto en contra de los derechos de las mujeres o las afecte desproporcionadamente, sino que se trata del lugar que le correspondió al integrar la citada lista a partir de las listas A y B, además de que su lugar en la lista B provino del porcentaje de votación que obtuvo su fórmula de acuerdo al distrito en el que participó. </w:t>
      </w:r>
    </w:p>
    <w:p w14:paraId="6370728D" w14:textId="77777777" w:rsidR="007F44AF" w:rsidRPr="00F32542" w:rsidRDefault="007F44AF" w:rsidP="00F94B48">
      <w:pPr>
        <w:spacing w:after="0" w:line="360" w:lineRule="auto"/>
        <w:jc w:val="both"/>
        <w:rPr>
          <w:rFonts w:ascii="Arial" w:eastAsia="Calibri" w:hAnsi="Arial" w:cs="Arial"/>
          <w:sz w:val="28"/>
          <w:szCs w:val="28"/>
        </w:rPr>
      </w:pPr>
    </w:p>
    <w:p w14:paraId="6BE7644F" w14:textId="77777777" w:rsidR="007F44AF" w:rsidRPr="00F32542" w:rsidRDefault="007F44AF" w:rsidP="007F44AF">
      <w:pPr>
        <w:spacing w:after="0" w:line="360" w:lineRule="auto"/>
        <w:jc w:val="both"/>
        <w:rPr>
          <w:rFonts w:ascii="Arial" w:eastAsia="Calibri" w:hAnsi="Arial" w:cs="Arial"/>
          <w:color w:val="000000"/>
          <w:sz w:val="28"/>
          <w:szCs w:val="28"/>
        </w:rPr>
      </w:pPr>
      <w:r w:rsidRPr="00F32542">
        <w:rPr>
          <w:rFonts w:ascii="Arial" w:eastAsia="Calibri" w:hAnsi="Arial" w:cs="Arial"/>
          <w:bCs/>
          <w:sz w:val="28"/>
          <w:szCs w:val="28"/>
          <w:lang w:eastAsia="es-MX"/>
        </w:rPr>
        <w:t xml:space="preserve">De igual manera, lo planteado por esta </w:t>
      </w:r>
      <w:r w:rsidRPr="00F32542">
        <w:rPr>
          <w:rFonts w:ascii="Arial" w:eastAsia="Calibri" w:hAnsi="Arial" w:cs="Arial"/>
          <w:bCs/>
          <w:i/>
          <w:iCs/>
          <w:sz w:val="28"/>
          <w:szCs w:val="28"/>
          <w:lang w:eastAsia="es-MX"/>
        </w:rPr>
        <w:t>demandante</w:t>
      </w:r>
      <w:r w:rsidRPr="00F32542">
        <w:rPr>
          <w:rFonts w:ascii="Arial" w:eastAsia="Calibri" w:hAnsi="Arial" w:cs="Arial"/>
          <w:bCs/>
          <w:sz w:val="28"/>
          <w:szCs w:val="28"/>
          <w:lang w:eastAsia="es-MX"/>
        </w:rPr>
        <w:t xml:space="preserve"> en cuanto a actos por parte de MORENA en su contra, durante la campaña; la omisión de ministrarle recursos de campaña y la cuantificación de propaganda en su perjuicio —se entiende que para efectos de fiscalización— se considera  </w:t>
      </w:r>
      <w:r w:rsidRPr="00F32542">
        <w:rPr>
          <w:rFonts w:ascii="Arial" w:eastAsia="Calibri" w:hAnsi="Arial" w:cs="Arial"/>
          <w:b/>
          <w:sz w:val="28"/>
          <w:szCs w:val="28"/>
          <w:lang w:eastAsia="es-MX"/>
        </w:rPr>
        <w:t>inoperante</w:t>
      </w:r>
      <w:r w:rsidRPr="00F32542">
        <w:rPr>
          <w:rFonts w:ascii="Arial" w:eastAsia="Calibri" w:hAnsi="Arial" w:cs="Arial"/>
          <w:bCs/>
          <w:sz w:val="28"/>
          <w:szCs w:val="28"/>
          <w:lang w:eastAsia="es-MX"/>
        </w:rPr>
        <w:t xml:space="preserve">; ello, pues se basa en </w:t>
      </w:r>
      <w:r w:rsidRPr="00F32542">
        <w:rPr>
          <w:rFonts w:ascii="Arial" w:eastAsia="Calibri" w:hAnsi="Arial" w:cs="Arial"/>
          <w:color w:val="000000"/>
          <w:sz w:val="28"/>
          <w:szCs w:val="28"/>
        </w:rPr>
        <w:t>manifestaciones aisladas que no establecen circunstancias de tiempo, modo y lugar, aunado a que no está acompañado de elementos probatorios que hicieren posible su análisis y verificación, y hagan razonar a este órgano jurisdiccional algo diferente.</w:t>
      </w:r>
    </w:p>
    <w:p w14:paraId="270029C8" w14:textId="77777777" w:rsidR="007F44AF" w:rsidRPr="00F32542" w:rsidRDefault="007F44AF" w:rsidP="007F44AF">
      <w:pPr>
        <w:spacing w:after="0" w:line="360" w:lineRule="auto"/>
        <w:jc w:val="both"/>
        <w:rPr>
          <w:rFonts w:ascii="Arial" w:eastAsia="Calibri" w:hAnsi="Arial" w:cs="Arial"/>
          <w:color w:val="000000"/>
          <w:sz w:val="28"/>
          <w:szCs w:val="28"/>
        </w:rPr>
      </w:pPr>
    </w:p>
    <w:p w14:paraId="4C4F9387" w14:textId="77777777" w:rsidR="007F44AF" w:rsidRPr="00F32542" w:rsidRDefault="007F44AF" w:rsidP="007F44AF">
      <w:pPr>
        <w:spacing w:after="0" w:line="360" w:lineRule="auto"/>
        <w:jc w:val="both"/>
        <w:rPr>
          <w:rFonts w:ascii="Arial" w:eastAsia="Calibri" w:hAnsi="Arial" w:cs="Arial"/>
          <w:color w:val="000000"/>
          <w:sz w:val="28"/>
          <w:szCs w:val="28"/>
        </w:rPr>
      </w:pPr>
      <w:r w:rsidRPr="00F32542">
        <w:rPr>
          <w:rFonts w:ascii="Arial" w:eastAsia="Calibri" w:hAnsi="Arial" w:cs="Arial"/>
          <w:color w:val="000000"/>
          <w:sz w:val="28"/>
          <w:szCs w:val="28"/>
        </w:rPr>
        <w:t xml:space="preserve">Por ende, toda vez que la </w:t>
      </w:r>
      <w:r w:rsidRPr="00F32542">
        <w:rPr>
          <w:rFonts w:ascii="Arial" w:eastAsia="Calibri" w:hAnsi="Arial" w:cs="Arial"/>
          <w:i/>
          <w:iCs/>
          <w:color w:val="000000"/>
          <w:sz w:val="28"/>
          <w:szCs w:val="28"/>
        </w:rPr>
        <w:t>inconforme</w:t>
      </w:r>
      <w:r w:rsidRPr="00F32542">
        <w:rPr>
          <w:rFonts w:ascii="Arial" w:eastAsia="Calibri" w:hAnsi="Arial" w:cs="Arial"/>
          <w:color w:val="000000"/>
          <w:sz w:val="28"/>
          <w:szCs w:val="28"/>
        </w:rPr>
        <w:t xml:space="preserve"> no sustenta su dicho con algún medio probatorio, ni dirige tales planteamientos a reclamar el </w:t>
      </w:r>
      <w:r w:rsidRPr="00F32542">
        <w:rPr>
          <w:rFonts w:ascii="Arial" w:eastAsia="Calibri" w:hAnsi="Arial" w:cs="Arial"/>
          <w:i/>
          <w:iCs/>
          <w:color w:val="000000"/>
          <w:sz w:val="28"/>
          <w:szCs w:val="28"/>
        </w:rPr>
        <w:t>acuerdo impugnado</w:t>
      </w:r>
      <w:r w:rsidRPr="00F32542">
        <w:rPr>
          <w:rFonts w:ascii="Arial" w:eastAsia="Calibri" w:hAnsi="Arial" w:cs="Arial"/>
          <w:color w:val="000000"/>
          <w:sz w:val="28"/>
          <w:szCs w:val="28"/>
        </w:rPr>
        <w:t xml:space="preserve">, resulta </w:t>
      </w:r>
      <w:r w:rsidRPr="00F32542">
        <w:rPr>
          <w:rFonts w:ascii="Arial" w:eastAsia="Calibri" w:hAnsi="Arial" w:cs="Arial"/>
          <w:b/>
          <w:bCs/>
          <w:color w:val="000000"/>
          <w:sz w:val="28"/>
          <w:szCs w:val="28"/>
        </w:rPr>
        <w:t>inoperante</w:t>
      </w:r>
      <w:r w:rsidRPr="00F32542">
        <w:rPr>
          <w:rFonts w:ascii="Arial" w:eastAsia="Calibri" w:hAnsi="Arial" w:cs="Arial"/>
          <w:color w:val="000000"/>
          <w:sz w:val="28"/>
          <w:szCs w:val="28"/>
        </w:rPr>
        <w:t xml:space="preserve"> su motivo de disenso.</w:t>
      </w:r>
    </w:p>
    <w:p w14:paraId="23DB92E3" w14:textId="77777777" w:rsidR="007F44AF" w:rsidRPr="00F32542" w:rsidRDefault="007F44AF" w:rsidP="007F44AF">
      <w:pPr>
        <w:spacing w:after="0" w:line="360" w:lineRule="auto"/>
        <w:jc w:val="both"/>
        <w:rPr>
          <w:rFonts w:ascii="Arial" w:eastAsia="Calibri" w:hAnsi="Arial" w:cs="Arial"/>
          <w:color w:val="000000"/>
          <w:sz w:val="28"/>
          <w:szCs w:val="28"/>
        </w:rPr>
      </w:pPr>
    </w:p>
    <w:p w14:paraId="399ED712" w14:textId="77777777" w:rsidR="007F44AF" w:rsidRPr="00F32542" w:rsidRDefault="007F44AF" w:rsidP="007F44AF">
      <w:pPr>
        <w:spacing w:after="0" w:line="360" w:lineRule="auto"/>
        <w:jc w:val="both"/>
        <w:rPr>
          <w:rFonts w:ascii="Arial" w:eastAsia="Calibri" w:hAnsi="Arial" w:cs="Arial"/>
          <w:sz w:val="28"/>
          <w:szCs w:val="28"/>
          <w:lang w:eastAsia="es-MX"/>
        </w:rPr>
      </w:pPr>
      <w:r w:rsidRPr="00F32542">
        <w:rPr>
          <w:rFonts w:ascii="Arial" w:eastAsia="Calibri" w:hAnsi="Arial" w:cs="Arial"/>
          <w:sz w:val="28"/>
          <w:szCs w:val="28"/>
          <w:lang w:eastAsia="es-MX"/>
        </w:rPr>
        <w:t>Sin perjuicio de lo anterior, en atención a que este órgano jurisdiccional advierte que l</w:t>
      </w:r>
      <w:r w:rsidR="00950A0E" w:rsidRPr="00F32542">
        <w:rPr>
          <w:rFonts w:ascii="Arial" w:eastAsia="Calibri" w:hAnsi="Arial" w:cs="Arial"/>
          <w:sz w:val="28"/>
          <w:szCs w:val="28"/>
          <w:lang w:eastAsia="es-MX"/>
        </w:rPr>
        <w:t>os alegatos hechos valer por la parte actora</w:t>
      </w:r>
      <w:r w:rsidRPr="00F32542">
        <w:rPr>
          <w:rFonts w:ascii="Arial" w:eastAsia="Calibri" w:hAnsi="Arial" w:cs="Arial"/>
          <w:sz w:val="28"/>
          <w:szCs w:val="28"/>
          <w:lang w:eastAsia="es-MX"/>
        </w:rPr>
        <w:t xml:space="preserve"> están relacionadas con posibles actos de violencia política de género, </w:t>
      </w:r>
      <w:r w:rsidR="00950A0E" w:rsidRPr="00F32542">
        <w:rPr>
          <w:rFonts w:ascii="Arial" w:eastAsia="Calibri" w:hAnsi="Arial" w:cs="Arial"/>
          <w:sz w:val="28"/>
          <w:szCs w:val="28"/>
          <w:lang w:eastAsia="es-MX"/>
        </w:rPr>
        <w:t xml:space="preserve">así como a situaciones en materia de fiscalización de recursos de campaña, quedan a salvo sus derechos para que </w:t>
      </w:r>
      <w:r w:rsidR="00950A0E" w:rsidRPr="00F32542">
        <w:rPr>
          <w:rFonts w:ascii="Arial" w:eastAsia="Calibri" w:hAnsi="Arial" w:cs="Arial"/>
          <w:sz w:val="28"/>
          <w:szCs w:val="28"/>
          <w:lang w:eastAsia="es-MX"/>
        </w:rPr>
        <w:lastRenderedPageBreak/>
        <w:t xml:space="preserve">acuda ante el </w:t>
      </w:r>
      <w:r w:rsidR="00950A0E" w:rsidRPr="00F32542">
        <w:rPr>
          <w:rFonts w:ascii="Arial" w:eastAsia="Calibri" w:hAnsi="Arial" w:cs="Arial"/>
          <w:i/>
          <w:iCs/>
          <w:sz w:val="28"/>
          <w:szCs w:val="28"/>
          <w:lang w:eastAsia="es-MX"/>
        </w:rPr>
        <w:t>IECM</w:t>
      </w:r>
      <w:r w:rsidR="00950A0E" w:rsidRPr="00F32542">
        <w:rPr>
          <w:rFonts w:ascii="Arial" w:eastAsia="Calibri" w:hAnsi="Arial" w:cs="Arial"/>
          <w:sz w:val="28"/>
          <w:szCs w:val="28"/>
          <w:lang w:eastAsia="es-MX"/>
        </w:rPr>
        <w:t xml:space="preserve"> o el Instituto Nacional Electoral a presentar las denuncias atinentes.</w:t>
      </w:r>
    </w:p>
    <w:p w14:paraId="1DADA7C1" w14:textId="77777777" w:rsidR="00F94B48" w:rsidRPr="00F32542" w:rsidRDefault="00F94B48" w:rsidP="00F94B48">
      <w:pPr>
        <w:spacing w:after="0" w:line="360" w:lineRule="auto"/>
        <w:jc w:val="both"/>
        <w:rPr>
          <w:rFonts w:ascii="Arial" w:eastAsia="Calibri" w:hAnsi="Arial" w:cs="Arial"/>
          <w:color w:val="000000"/>
          <w:sz w:val="28"/>
          <w:szCs w:val="28"/>
        </w:rPr>
      </w:pPr>
    </w:p>
    <w:p w14:paraId="2A096544" w14:textId="77777777" w:rsidR="00B01E6A" w:rsidRPr="00F32542" w:rsidRDefault="00B01E6A" w:rsidP="00F94B48">
      <w:pPr>
        <w:spacing w:after="0" w:line="360" w:lineRule="auto"/>
        <w:jc w:val="both"/>
        <w:rPr>
          <w:rFonts w:ascii="Arial" w:eastAsia="Calibri" w:hAnsi="Arial" w:cs="Calibri"/>
          <w:b/>
          <w:bCs/>
          <w:sz w:val="28"/>
          <w:szCs w:val="28"/>
        </w:rPr>
      </w:pPr>
      <w:r w:rsidRPr="00F32542">
        <w:rPr>
          <w:rFonts w:ascii="Arial" w:eastAsia="Calibri" w:hAnsi="Arial" w:cs="Calibri"/>
          <w:b/>
          <w:bCs/>
          <w:sz w:val="28"/>
          <w:szCs w:val="28"/>
        </w:rPr>
        <w:t>Conclusión.</w:t>
      </w:r>
    </w:p>
    <w:p w14:paraId="457EA67D" w14:textId="77777777" w:rsidR="00B01E6A" w:rsidRPr="00F32542" w:rsidRDefault="00B01E6A" w:rsidP="00F94B48">
      <w:pPr>
        <w:spacing w:after="0" w:line="360" w:lineRule="auto"/>
        <w:jc w:val="both"/>
        <w:rPr>
          <w:rFonts w:ascii="Arial" w:eastAsia="Calibri" w:hAnsi="Arial" w:cs="Calibri"/>
          <w:sz w:val="28"/>
          <w:szCs w:val="28"/>
        </w:rPr>
      </w:pPr>
    </w:p>
    <w:p w14:paraId="26C5D983" w14:textId="77777777" w:rsidR="00F94B48" w:rsidRPr="00F32542" w:rsidRDefault="00F94B48" w:rsidP="00F94B48">
      <w:pPr>
        <w:spacing w:after="0" w:line="360" w:lineRule="auto"/>
        <w:jc w:val="both"/>
        <w:rPr>
          <w:rFonts w:ascii="Arial" w:eastAsia="Calibri" w:hAnsi="Arial" w:cs="Calibri"/>
          <w:sz w:val="28"/>
          <w:szCs w:val="28"/>
        </w:rPr>
      </w:pPr>
      <w:r w:rsidRPr="00F32542">
        <w:rPr>
          <w:rFonts w:ascii="Arial" w:eastAsia="Calibri" w:hAnsi="Arial" w:cs="Calibri"/>
          <w:sz w:val="28"/>
          <w:szCs w:val="28"/>
        </w:rPr>
        <w:t>Por tanto, al no quedar en evidencia una situación de violencia política contra las mujeres actoras en razón de género que hubiese tenido como consecuencia la vulneración de sus derechos político</w:t>
      </w:r>
      <w:r w:rsidR="00B01E6A" w:rsidRPr="00F32542">
        <w:rPr>
          <w:rFonts w:ascii="Arial" w:eastAsia="Calibri" w:hAnsi="Arial" w:cs="Calibri"/>
          <w:sz w:val="28"/>
          <w:szCs w:val="28"/>
        </w:rPr>
        <w:t>-</w:t>
      </w:r>
      <w:r w:rsidRPr="00F32542">
        <w:rPr>
          <w:rFonts w:ascii="Arial" w:eastAsia="Calibri" w:hAnsi="Arial" w:cs="Calibri"/>
          <w:sz w:val="28"/>
          <w:szCs w:val="28"/>
        </w:rPr>
        <w:t xml:space="preserve"> electorales, no es procedente ordenar la implementación de alguna acción de restitución.</w:t>
      </w:r>
    </w:p>
    <w:p w14:paraId="0F3630BD" w14:textId="77777777" w:rsidR="00F94B48" w:rsidRPr="00F32542" w:rsidRDefault="00F94B48" w:rsidP="00F94B48">
      <w:pPr>
        <w:spacing w:after="0" w:line="360" w:lineRule="auto"/>
        <w:jc w:val="both"/>
        <w:rPr>
          <w:rFonts w:ascii="Arial" w:eastAsia="Calibri" w:hAnsi="Arial" w:cs="Calibri"/>
          <w:sz w:val="28"/>
          <w:szCs w:val="28"/>
        </w:rPr>
      </w:pPr>
    </w:p>
    <w:p w14:paraId="2CF87457" w14:textId="77777777" w:rsidR="00F94B48" w:rsidRPr="00F32542" w:rsidRDefault="00F94B48" w:rsidP="00F94B48">
      <w:pPr>
        <w:spacing w:after="0" w:line="360" w:lineRule="auto"/>
        <w:jc w:val="both"/>
        <w:rPr>
          <w:rFonts w:ascii="Arial" w:eastAsia="Calibri" w:hAnsi="Arial" w:cs="Calibri"/>
          <w:sz w:val="28"/>
          <w:szCs w:val="28"/>
        </w:rPr>
      </w:pPr>
      <w:r w:rsidRPr="00F32542">
        <w:rPr>
          <w:rFonts w:ascii="Arial" w:eastAsia="Calibri" w:hAnsi="Arial" w:cs="Calibri"/>
          <w:sz w:val="28"/>
          <w:szCs w:val="28"/>
        </w:rPr>
        <w:t xml:space="preserve">En efecto, en conclusión, el solo hecho de que las </w:t>
      </w:r>
      <w:r w:rsidRPr="00F32542">
        <w:rPr>
          <w:rFonts w:ascii="Arial" w:eastAsia="Calibri" w:hAnsi="Arial" w:cs="Calibri"/>
          <w:i/>
          <w:sz w:val="28"/>
          <w:szCs w:val="28"/>
        </w:rPr>
        <w:t xml:space="preserve">partes actoras </w:t>
      </w:r>
      <w:r w:rsidRPr="00F32542">
        <w:rPr>
          <w:rFonts w:ascii="Arial" w:eastAsia="Calibri" w:hAnsi="Arial" w:cs="Calibri"/>
          <w:sz w:val="28"/>
          <w:szCs w:val="28"/>
        </w:rPr>
        <w:t>no hayan obtenido una diputación de representación proporcional no implica que se configura violencia política de género, no obstante, se dejan a salvo sus derechos para hacerlos valer en los términos y en la vía que consideren conveniente a sus derechos.</w:t>
      </w:r>
    </w:p>
    <w:p w14:paraId="5293F17D"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b/>
          <w:sz w:val="28"/>
          <w:szCs w:val="28"/>
        </w:rPr>
        <w:t>X</w:t>
      </w:r>
      <w:r w:rsidR="00E84D46" w:rsidRPr="00F32542">
        <w:rPr>
          <w:rFonts w:ascii="Arial" w:eastAsia="Calibri" w:hAnsi="Arial" w:cs="Arial"/>
          <w:b/>
          <w:sz w:val="28"/>
          <w:szCs w:val="28"/>
        </w:rPr>
        <w:t>IX</w:t>
      </w:r>
      <w:r w:rsidRPr="00F32542">
        <w:rPr>
          <w:rFonts w:ascii="Arial" w:eastAsia="Calibri" w:hAnsi="Arial" w:cs="Arial"/>
          <w:b/>
          <w:sz w:val="28"/>
          <w:szCs w:val="28"/>
        </w:rPr>
        <w:t xml:space="preserve">. Omisión legislativa </w:t>
      </w:r>
    </w:p>
    <w:p w14:paraId="10A437FB"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En este apartado se analizará el siguiente planteamiento:</w:t>
      </w:r>
    </w:p>
    <w:p w14:paraId="07045D6C"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sz w:val="28"/>
          <w:szCs w:val="28"/>
        </w:rPr>
        <w:t xml:space="preserve"> </w:t>
      </w:r>
      <w:r w:rsidRPr="00F32542">
        <w:rPr>
          <w:rFonts w:ascii="Arial" w:eastAsia="Calibri" w:hAnsi="Arial" w:cs="Arial"/>
          <w:b/>
          <w:bCs/>
          <w:sz w:val="28"/>
          <w:szCs w:val="28"/>
        </w:rPr>
        <w:t>TECDMX-JLDC-093/2021 (Lucía Alejandra Puente García)</w:t>
      </w:r>
    </w:p>
    <w:p w14:paraId="4D80A56A"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Aduce la parte actora que existe una omisión legislativa por parte del Congreso local, por no establecer la alternancia en la postulación de la primera fórmula de la lista A, con un género distinto por proceso electoral. </w:t>
      </w:r>
    </w:p>
    <w:p w14:paraId="5B56C1A7"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Por esa razón, la legislatura local no cumplió con lo establecido en los transitorios segundo, tercero y cuarto del “Decreto de reforma constitucional en materia de paridad total”, ni previó sanciones para </w:t>
      </w:r>
      <w:r w:rsidRPr="00F32542">
        <w:rPr>
          <w:rFonts w:ascii="Arial" w:eastAsia="Calibri" w:hAnsi="Arial" w:cs="Arial"/>
          <w:sz w:val="28"/>
          <w:szCs w:val="28"/>
        </w:rPr>
        <w:lastRenderedPageBreak/>
        <w:t xml:space="preserve">los partido políticos que incumplan el mandato de registrar alternadamente hombres y mujeres cada periodo electivo. </w:t>
      </w:r>
    </w:p>
    <w:p w14:paraId="2A4FFDF5" w14:textId="77777777" w:rsidR="00F94B48" w:rsidRPr="00F32542" w:rsidRDefault="00F94B48" w:rsidP="00F94B48">
      <w:pPr>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b/>
          <w:bCs/>
          <w:sz w:val="28"/>
          <w:szCs w:val="28"/>
        </w:rPr>
        <w:t>Análisis del planteamiento.</w:t>
      </w:r>
    </w:p>
    <w:p w14:paraId="59CE751F" w14:textId="77777777" w:rsidR="00F94B48" w:rsidRPr="00F32542" w:rsidRDefault="00B01E6A"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b/>
          <w:sz w:val="28"/>
          <w:szCs w:val="28"/>
        </w:rPr>
        <w:t xml:space="preserve">1. </w:t>
      </w:r>
      <w:r w:rsidR="00F94B48" w:rsidRPr="00F32542">
        <w:rPr>
          <w:rFonts w:ascii="Arial" w:eastAsia="Calibri" w:hAnsi="Arial" w:cs="Arial"/>
          <w:b/>
          <w:sz w:val="28"/>
          <w:szCs w:val="28"/>
        </w:rPr>
        <w:t>Control de las omisiones legislativas</w:t>
      </w:r>
    </w:p>
    <w:p w14:paraId="60700D49"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La Sala Superior ha establecido</w:t>
      </w:r>
      <w:bookmarkStart w:id="55" w:name="_ftnref23"/>
      <w:bookmarkEnd w:id="55"/>
      <w:r w:rsidRPr="00F32542">
        <w:rPr>
          <w:rFonts w:ascii="Arial" w:eastAsia="Calibri" w:hAnsi="Arial" w:cs="Arial"/>
          <w:sz w:val="28"/>
          <w:szCs w:val="28"/>
          <w:vertAlign w:val="superscript"/>
        </w:rPr>
        <w:t xml:space="preserve"> </w:t>
      </w:r>
      <w:r w:rsidRPr="00F32542">
        <w:rPr>
          <w:rFonts w:ascii="Arial" w:eastAsia="Calibri" w:hAnsi="Arial" w:cs="Arial"/>
          <w:sz w:val="28"/>
          <w:szCs w:val="28"/>
        </w:rPr>
        <w:t xml:space="preserve">que las omisiones legislativas de carácter concreto se configuran </w:t>
      </w:r>
      <w:r w:rsidRPr="00F32542">
        <w:rPr>
          <w:rFonts w:ascii="Arial" w:eastAsia="Calibri" w:hAnsi="Arial" w:cs="Arial"/>
          <w:b/>
          <w:sz w:val="28"/>
          <w:szCs w:val="28"/>
        </w:rPr>
        <w:t>cuando el poder legislativo no cumple, en un tiempo razonable o dentro del plazo determinado en la Constitución federal, un mandato concreto de legislar</w:t>
      </w:r>
      <w:r w:rsidRPr="00F32542">
        <w:rPr>
          <w:rFonts w:ascii="Arial" w:eastAsia="Calibri" w:hAnsi="Arial" w:cs="Arial"/>
          <w:sz w:val="28"/>
          <w:szCs w:val="28"/>
        </w:rPr>
        <w:t>, impuesto expresa o implícitamente por la misma Ley Suprema.</w:t>
      </w:r>
    </w:p>
    <w:p w14:paraId="45BAA05B"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En ese sentido, ha razonado que esta circunstancia es violatoria del principio de supremacía constitucional, teniendo en cuenta que la Constitución no puede ser tomada como una mera declaración política.</w:t>
      </w:r>
    </w:p>
    <w:p w14:paraId="23A6A00C"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Sino que ésta constituye la norma fundamental y suprema de todo el ordenamiento jurídico, por lo que sus mandatos resultan primordiales para el adecuado funcionamiento del Estado.</w:t>
      </w:r>
    </w:p>
    <w:p w14:paraId="4A56AFCB"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Máxime cuando se involucra la inobservancia de los principios constitucionales que deben regir toda elección, como el de certeza, o una conculcación a derechos político-electorales de los ciudadanos.</w:t>
      </w:r>
    </w:p>
    <w:p w14:paraId="7AA2EADD"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sz w:val="28"/>
          <w:szCs w:val="28"/>
        </w:rPr>
        <w:t xml:space="preserve">Lo anterior, se sustenta en la </w:t>
      </w:r>
      <w:r w:rsidRPr="00F32542">
        <w:rPr>
          <w:rFonts w:ascii="Arial" w:eastAsia="Calibri" w:hAnsi="Arial" w:cs="Arial"/>
          <w:b/>
          <w:sz w:val="28"/>
          <w:szCs w:val="28"/>
        </w:rPr>
        <w:t>tesis XXIX/2013</w:t>
      </w:r>
      <w:r w:rsidRPr="00F32542">
        <w:rPr>
          <w:rFonts w:ascii="Arial" w:eastAsia="Calibri" w:hAnsi="Arial" w:cs="Arial"/>
          <w:sz w:val="28"/>
          <w:szCs w:val="28"/>
        </w:rPr>
        <w:t xml:space="preserve">, de rubro </w:t>
      </w:r>
      <w:r w:rsidRPr="00F32542">
        <w:rPr>
          <w:rFonts w:ascii="Arial" w:eastAsia="Calibri" w:hAnsi="Arial" w:cs="Arial"/>
          <w:b/>
          <w:sz w:val="28"/>
          <w:szCs w:val="28"/>
        </w:rPr>
        <w:t>“</w:t>
      </w:r>
      <w:r w:rsidRPr="00F32542">
        <w:rPr>
          <w:rFonts w:ascii="Arial" w:eastAsia="Calibri" w:hAnsi="Arial" w:cs="Arial"/>
          <w:b/>
          <w:bCs/>
          <w:sz w:val="28"/>
          <w:szCs w:val="28"/>
        </w:rPr>
        <w:t>OMISIÓN LEGISLATIVA EN MATERIA ELECTORAL. EN SU CARÁCTER ABSOLUTO Y CONCRETO ES VIOLATORIA DEL PRINCIPIO DE SUPREMACÍA CONSTITUCIONAL”.</w:t>
      </w:r>
    </w:p>
    <w:p w14:paraId="5719249C"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lastRenderedPageBreak/>
        <w:t xml:space="preserve">En la sentencia del juicio </w:t>
      </w:r>
      <w:r w:rsidRPr="00F32542">
        <w:rPr>
          <w:rFonts w:ascii="Arial" w:eastAsia="Calibri" w:hAnsi="Arial" w:cs="Arial"/>
          <w:b/>
          <w:bCs/>
          <w:sz w:val="28"/>
          <w:szCs w:val="28"/>
        </w:rPr>
        <w:t>SUP-JRC-14/2020</w:t>
      </w:r>
      <w:r w:rsidRPr="00F32542">
        <w:rPr>
          <w:rFonts w:ascii="Arial" w:eastAsia="Calibri" w:hAnsi="Arial" w:cs="Arial"/>
          <w:sz w:val="28"/>
          <w:szCs w:val="28"/>
        </w:rPr>
        <w:t xml:space="preserve">, la </w:t>
      </w:r>
      <w:r w:rsidRPr="00F32542">
        <w:rPr>
          <w:rFonts w:ascii="Arial" w:eastAsia="Calibri" w:hAnsi="Arial" w:cs="Arial"/>
          <w:i/>
          <w:sz w:val="28"/>
          <w:szCs w:val="28"/>
        </w:rPr>
        <w:t xml:space="preserve">Sala Superior </w:t>
      </w:r>
      <w:r w:rsidRPr="00F32542">
        <w:rPr>
          <w:rFonts w:ascii="Arial" w:eastAsia="Calibri" w:hAnsi="Arial" w:cs="Arial"/>
          <w:sz w:val="28"/>
          <w:szCs w:val="28"/>
        </w:rPr>
        <w:t>también ha señalado que la omisión del poder legislativo ordinario se presenta cuando está obligado a desarrollar en una ley un mandato constitucional y no lo hace.</w:t>
      </w:r>
    </w:p>
    <w:p w14:paraId="7A9E461E"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También puede ocurrir cuando el poder legislativo no emite una ley o parte de ésta, que debería expedir para hacer real y efectivo el mandato constitucional. Ello, se torna más grave cuando las omisiones pueden afectar derechos fundamentales.</w:t>
      </w:r>
    </w:p>
    <w:p w14:paraId="24F4D7C0"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Ello se sustentó en la controversia constitucional </w:t>
      </w:r>
      <w:r w:rsidRPr="00F32542">
        <w:rPr>
          <w:rFonts w:ascii="Arial" w:eastAsia="Calibri" w:hAnsi="Arial" w:cs="Arial"/>
          <w:b/>
          <w:sz w:val="28"/>
          <w:szCs w:val="28"/>
        </w:rPr>
        <w:t>14/2005</w:t>
      </w:r>
      <w:r w:rsidRPr="00F32542">
        <w:rPr>
          <w:rFonts w:ascii="Arial" w:eastAsia="Calibri" w:hAnsi="Arial" w:cs="Arial"/>
          <w:sz w:val="28"/>
          <w:szCs w:val="28"/>
        </w:rPr>
        <w:t xml:space="preserve"> de la </w:t>
      </w:r>
      <w:r w:rsidRPr="00F32542">
        <w:rPr>
          <w:rFonts w:ascii="Arial" w:eastAsia="Calibri" w:hAnsi="Arial" w:cs="Arial"/>
          <w:i/>
          <w:sz w:val="28"/>
          <w:szCs w:val="28"/>
        </w:rPr>
        <w:t xml:space="preserve">Suprema Corte, </w:t>
      </w:r>
      <w:r w:rsidRPr="00F32542">
        <w:rPr>
          <w:rFonts w:ascii="Arial" w:eastAsia="Calibri" w:hAnsi="Arial" w:cs="Arial"/>
          <w:sz w:val="28"/>
          <w:szCs w:val="28"/>
        </w:rPr>
        <w:t xml:space="preserve">en la cual, además se </w:t>
      </w:r>
      <w:bookmarkStart w:id="56" w:name="_ftnref25"/>
      <w:r w:rsidRPr="00F32542">
        <w:rPr>
          <w:rFonts w:ascii="Arial" w:eastAsia="Calibri" w:hAnsi="Arial" w:cs="Arial"/>
          <w:sz w:val="28"/>
          <w:szCs w:val="28"/>
        </w:rPr>
        <w:t>analizó la existencia de facultades de ejercicio obligatorio.</w:t>
      </w:r>
    </w:p>
    <w:p w14:paraId="60059520"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Cabe señalar que esas facultades son las que el orden jurídico prevé como mandato expreso, esto es, que existe un vínculo jurídico concreto de hacer; de manera que, si no se ejercen, es claro que se genera un incumplimiento constitucional.</w:t>
      </w:r>
    </w:p>
    <w:p w14:paraId="5136C531"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Asimismo, que el deber de ejercer la facultad legislativa se puede encontrar expresa o implícitamente en el texto de las propias normas constitucionales o en el de sus disposiciones transitorias</w:t>
      </w:r>
      <w:bookmarkStart w:id="57" w:name="_ftnref19"/>
      <w:bookmarkStart w:id="58" w:name="_ftnref26"/>
      <w:bookmarkEnd w:id="57"/>
      <w:bookmarkEnd w:id="58"/>
      <w:r w:rsidRPr="00F32542">
        <w:rPr>
          <w:rFonts w:ascii="Arial" w:eastAsia="Calibri" w:hAnsi="Arial" w:cs="Arial"/>
          <w:sz w:val="28"/>
          <w:szCs w:val="28"/>
        </w:rPr>
        <w:t>.</w:t>
      </w:r>
    </w:p>
    <w:p w14:paraId="3D37B71A"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sz w:val="28"/>
          <w:szCs w:val="28"/>
        </w:rPr>
        <w:t xml:space="preserve">Lo anterior, también tiene sustento en la </w:t>
      </w:r>
      <w:r w:rsidRPr="00F32542">
        <w:rPr>
          <w:rFonts w:ascii="Arial" w:eastAsia="Calibri" w:hAnsi="Arial" w:cs="Arial"/>
          <w:b/>
          <w:sz w:val="28"/>
          <w:szCs w:val="28"/>
        </w:rPr>
        <w:t>jurisprudencia P./J. 10/2006</w:t>
      </w:r>
      <w:r w:rsidRPr="00F32542">
        <w:rPr>
          <w:rFonts w:ascii="Arial" w:eastAsia="Calibri" w:hAnsi="Arial" w:cs="Arial"/>
          <w:sz w:val="28"/>
          <w:szCs w:val="28"/>
        </w:rPr>
        <w:t xml:space="preserve">, de rubro </w:t>
      </w:r>
      <w:r w:rsidRPr="00F32542">
        <w:rPr>
          <w:rFonts w:ascii="Arial" w:eastAsia="Calibri" w:hAnsi="Arial" w:cs="Arial"/>
          <w:b/>
          <w:sz w:val="28"/>
          <w:szCs w:val="28"/>
        </w:rPr>
        <w:t>“ÓRGANOS LEGISLATIVOS. TIPOS DE FACULTADES O COMPETENCIAS DERIVADAS DEL PRINCIPIO DE DIVISIÓN FUNCIONAL DE PODERES”.</w:t>
      </w:r>
    </w:p>
    <w:p w14:paraId="1D78332B"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Ahora bien, en atención al principio de división funcional de poderes, los órganos legislativos del Estado cuentan con facultades o competencias de ejercicio potestativo y de ejercicio obligatorio y en su desarrollo pueden incurrir en diversos tipos de omisiones.</w:t>
      </w:r>
    </w:p>
    <w:p w14:paraId="274FC07B"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lastRenderedPageBreak/>
        <w:t xml:space="preserve">Por un lado, puede darse una </w:t>
      </w:r>
      <w:r w:rsidRPr="00F32542">
        <w:rPr>
          <w:rFonts w:ascii="Arial" w:eastAsia="Calibri" w:hAnsi="Arial" w:cs="Arial"/>
          <w:b/>
          <w:sz w:val="28"/>
          <w:szCs w:val="28"/>
        </w:rPr>
        <w:t>omisión absoluta</w:t>
      </w:r>
      <w:r w:rsidRPr="00F32542">
        <w:rPr>
          <w:rFonts w:ascii="Arial" w:eastAsia="Calibri" w:hAnsi="Arial" w:cs="Arial"/>
          <w:sz w:val="28"/>
          <w:szCs w:val="28"/>
        </w:rPr>
        <w:t xml:space="preserve"> cuando simplemente no han ejercido su competencia de crear leyes, ni han externado normativamente voluntad alguna para hacerlo.</w:t>
      </w:r>
    </w:p>
    <w:p w14:paraId="3997E994"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Por otro lado, puede presentarse una </w:t>
      </w:r>
      <w:r w:rsidRPr="00F32542">
        <w:rPr>
          <w:rFonts w:ascii="Arial" w:eastAsia="Calibri" w:hAnsi="Arial" w:cs="Arial"/>
          <w:b/>
          <w:sz w:val="28"/>
          <w:szCs w:val="28"/>
        </w:rPr>
        <w:t>omisión relativa</w:t>
      </w:r>
      <w:r w:rsidRPr="00F32542">
        <w:rPr>
          <w:rFonts w:ascii="Arial" w:eastAsia="Calibri" w:hAnsi="Arial" w:cs="Arial"/>
          <w:sz w:val="28"/>
          <w:szCs w:val="28"/>
        </w:rPr>
        <w:t xml:space="preserve"> cuando al haber ejercido su competencia, lo hacen de manera parcial o simplemente no la realizan integralmente, impidiendo el correcto desarrollo y eficacia de su función creadora de leyes.</w:t>
      </w:r>
    </w:p>
    <w:p w14:paraId="13E8A3C4"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A partir de la combinación de ambos tipos de competencias —de ejercicio obligatorio y de ejercicio potestativo— y las omisiones para ejercerlas, pueden presentarse las siguientes omisiones legislativas</w:t>
      </w:r>
      <w:bookmarkStart w:id="59" w:name="_ftnref20"/>
      <w:bookmarkStart w:id="60" w:name="_ftnref27"/>
      <w:bookmarkEnd w:id="59"/>
      <w:bookmarkEnd w:id="60"/>
      <w:r w:rsidRPr="00F32542">
        <w:rPr>
          <w:rFonts w:ascii="Arial" w:eastAsia="Calibri" w:hAnsi="Arial" w:cs="Arial"/>
          <w:sz w:val="28"/>
          <w:szCs w:val="28"/>
        </w:rPr>
        <w:t>:</w:t>
      </w:r>
    </w:p>
    <w:p w14:paraId="5EDF573D"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b/>
          <w:bCs/>
          <w:sz w:val="28"/>
          <w:szCs w:val="28"/>
        </w:rPr>
        <w:t>-</w:t>
      </w:r>
      <w:r w:rsidRPr="00F32542">
        <w:rPr>
          <w:rFonts w:ascii="Arial" w:eastAsia="Calibri" w:hAnsi="Arial" w:cs="Arial"/>
          <w:sz w:val="28"/>
          <w:szCs w:val="28"/>
        </w:rPr>
        <w:t>        </w:t>
      </w:r>
      <w:r w:rsidRPr="00F32542">
        <w:rPr>
          <w:rFonts w:ascii="Arial" w:eastAsia="Calibri" w:hAnsi="Arial" w:cs="Arial"/>
          <w:b/>
          <w:bCs/>
          <w:sz w:val="28"/>
          <w:szCs w:val="28"/>
        </w:rPr>
        <w:t>Absolutas. </w:t>
      </w:r>
      <w:r w:rsidRPr="00F32542">
        <w:rPr>
          <w:rFonts w:ascii="Arial" w:eastAsia="Calibri" w:hAnsi="Arial" w:cs="Arial"/>
          <w:sz w:val="28"/>
          <w:szCs w:val="28"/>
        </w:rPr>
        <w:t>Aquellas que, en competencia de ejercicio obligatorio, el órgano legislativo tiene la obligación o mandato de expedir una determinada ley y no lo ha hecho.</w:t>
      </w:r>
    </w:p>
    <w:p w14:paraId="3922B27A"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b/>
          <w:bCs/>
          <w:sz w:val="28"/>
          <w:szCs w:val="28"/>
        </w:rPr>
        <w:t>-</w:t>
      </w:r>
      <w:r w:rsidRPr="00F32542">
        <w:rPr>
          <w:rFonts w:ascii="Arial" w:eastAsia="Calibri" w:hAnsi="Arial" w:cs="Arial"/>
          <w:sz w:val="28"/>
          <w:szCs w:val="28"/>
        </w:rPr>
        <w:t>        </w:t>
      </w:r>
      <w:r w:rsidRPr="00F32542">
        <w:rPr>
          <w:rFonts w:ascii="Arial" w:eastAsia="Calibri" w:hAnsi="Arial" w:cs="Arial"/>
          <w:b/>
          <w:bCs/>
          <w:sz w:val="28"/>
          <w:szCs w:val="28"/>
        </w:rPr>
        <w:t>Relativas. </w:t>
      </w:r>
      <w:bookmarkStart w:id="61" w:name="_Hlk46961944"/>
      <w:r w:rsidRPr="00F32542">
        <w:rPr>
          <w:rFonts w:ascii="Arial" w:eastAsia="Calibri" w:hAnsi="Arial" w:cs="Arial"/>
          <w:sz w:val="28"/>
          <w:szCs w:val="28"/>
        </w:rPr>
        <w:t>Aquellas que, en competencia de ejercicio obligatorio, el órgano legislativo omite una ley teniendo el deber o mandato para hacerlo, pero lo realiza de manera incompleta o deficiente.</w:t>
      </w:r>
      <w:bookmarkEnd w:id="61"/>
    </w:p>
    <w:p w14:paraId="0325BAB5"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b/>
          <w:bCs/>
          <w:sz w:val="28"/>
          <w:szCs w:val="28"/>
        </w:rPr>
        <w:t>-</w:t>
      </w:r>
      <w:r w:rsidRPr="00F32542">
        <w:rPr>
          <w:rFonts w:ascii="Arial" w:eastAsia="Calibri" w:hAnsi="Arial" w:cs="Arial"/>
          <w:sz w:val="28"/>
          <w:szCs w:val="28"/>
        </w:rPr>
        <w:t>        </w:t>
      </w:r>
      <w:r w:rsidRPr="00F32542">
        <w:rPr>
          <w:rFonts w:ascii="Arial" w:eastAsia="Calibri" w:hAnsi="Arial" w:cs="Arial"/>
          <w:b/>
          <w:bCs/>
          <w:sz w:val="28"/>
          <w:szCs w:val="28"/>
        </w:rPr>
        <w:t>Absolutas en competencias de ejercicio potestativo. </w:t>
      </w:r>
      <w:r w:rsidRPr="00F32542">
        <w:rPr>
          <w:rFonts w:ascii="Arial" w:eastAsia="Calibri" w:hAnsi="Arial" w:cs="Arial"/>
          <w:sz w:val="28"/>
          <w:szCs w:val="28"/>
        </w:rPr>
        <w:t>En las que le órgano legislativo decide no actuar, debido a que no hay ningún mandato u obligación que así se lo imponga.</w:t>
      </w:r>
    </w:p>
    <w:p w14:paraId="597850B3"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b/>
          <w:bCs/>
          <w:sz w:val="28"/>
          <w:szCs w:val="28"/>
        </w:rPr>
        <w:t>-</w:t>
      </w:r>
      <w:r w:rsidRPr="00F32542">
        <w:rPr>
          <w:rFonts w:ascii="Arial" w:eastAsia="Calibri" w:hAnsi="Arial" w:cs="Arial"/>
          <w:sz w:val="28"/>
          <w:szCs w:val="28"/>
        </w:rPr>
        <w:t>        </w:t>
      </w:r>
      <w:r w:rsidRPr="00F32542">
        <w:rPr>
          <w:rFonts w:ascii="Arial" w:eastAsia="Calibri" w:hAnsi="Arial" w:cs="Arial"/>
          <w:b/>
          <w:bCs/>
          <w:sz w:val="28"/>
          <w:szCs w:val="28"/>
        </w:rPr>
        <w:t>Relativas en competencia del ejercicio potestativo. </w:t>
      </w:r>
      <w:r w:rsidRPr="00F32542">
        <w:rPr>
          <w:rFonts w:ascii="Arial" w:eastAsia="Calibri" w:hAnsi="Arial" w:cs="Arial"/>
          <w:sz w:val="28"/>
          <w:szCs w:val="28"/>
        </w:rPr>
        <w:t>En las que el órgano legislativo decide hacer uso de su competencia potestativa para legislar, pero al emitir la ley lo hace de manera incompleta o deficiente.</w:t>
      </w:r>
    </w:p>
    <w:p w14:paraId="77BCBD8A"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lastRenderedPageBreak/>
        <w:t xml:space="preserve"> Lo anterior, tiene sustento en la tesis de </w:t>
      </w:r>
      <w:r w:rsidRPr="00F32542">
        <w:rPr>
          <w:rFonts w:ascii="Arial" w:eastAsia="Calibri" w:hAnsi="Arial" w:cs="Arial"/>
          <w:b/>
          <w:sz w:val="28"/>
          <w:szCs w:val="28"/>
        </w:rPr>
        <w:t>jurisprudencia P./J. 11/2006</w:t>
      </w:r>
      <w:r w:rsidRPr="00F32542">
        <w:rPr>
          <w:rFonts w:ascii="Arial" w:eastAsia="Calibri" w:hAnsi="Arial" w:cs="Arial"/>
          <w:sz w:val="28"/>
          <w:szCs w:val="28"/>
        </w:rPr>
        <w:t xml:space="preserve">, del Pleno de la </w:t>
      </w:r>
      <w:r w:rsidRPr="00F32542">
        <w:rPr>
          <w:rFonts w:ascii="Arial" w:eastAsia="Calibri" w:hAnsi="Arial" w:cs="Arial"/>
          <w:i/>
          <w:sz w:val="28"/>
          <w:szCs w:val="28"/>
        </w:rPr>
        <w:t>Suprema Corte</w:t>
      </w:r>
      <w:r w:rsidRPr="00F32542">
        <w:rPr>
          <w:rFonts w:ascii="Arial" w:eastAsia="Calibri" w:hAnsi="Arial" w:cs="Arial"/>
          <w:sz w:val="28"/>
          <w:szCs w:val="28"/>
        </w:rPr>
        <w:t>, de rubro: </w:t>
      </w:r>
      <w:r w:rsidRPr="00F32542">
        <w:rPr>
          <w:rFonts w:ascii="Arial" w:eastAsia="Calibri" w:hAnsi="Arial" w:cs="Arial"/>
          <w:b/>
          <w:sz w:val="28"/>
          <w:szCs w:val="28"/>
        </w:rPr>
        <w:t>“OMISIONES LEGISLATIVAS. SUS TIPOS”.</w:t>
      </w:r>
    </w:p>
    <w:p w14:paraId="1EC05829"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Así, la </w:t>
      </w:r>
      <w:r w:rsidRPr="00F32542">
        <w:rPr>
          <w:rFonts w:ascii="Arial" w:eastAsia="Calibri" w:hAnsi="Arial" w:cs="Arial"/>
          <w:i/>
          <w:sz w:val="28"/>
          <w:szCs w:val="28"/>
        </w:rPr>
        <w:t xml:space="preserve">Suprema Corte </w:t>
      </w:r>
      <w:r w:rsidRPr="00F32542">
        <w:rPr>
          <w:rFonts w:ascii="Arial" w:eastAsia="Calibri" w:hAnsi="Arial" w:cs="Arial"/>
          <w:sz w:val="28"/>
          <w:szCs w:val="28"/>
        </w:rPr>
        <w:t xml:space="preserve">ha determinado que la facultad conferida a las legislaturas locales, en artículos transitorios de un decreto de reforma constitucional, es obligatoria. </w:t>
      </w:r>
    </w:p>
    <w:p w14:paraId="5402EEA4"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Esto, si en él se impone el deber jurídico de establecer las medidas legislativas necesarias, con objetivos concretos y determinados por la propia norma constitucional.</w:t>
      </w:r>
    </w:p>
    <w:p w14:paraId="0F89E9F0"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Lo anterior, porque constituye una facultad de ejercicio obligatorio, en tanto que deriva de un mandato expreso del órgano reformador de la Constitución federal y que la omisión en el cumplimiento merma la eficacia plena de la Ley Fundamental.</w:t>
      </w:r>
    </w:p>
    <w:p w14:paraId="38E0664B"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En este orden de ideas, ante esa facultad de ejercicio obligatorio, el órgano legislativo no tiene la opción de decidir si crea o expide una norma general determinada, sino que existe un mandato o una obligación a su cargo de expedirla o crearla</w:t>
      </w:r>
      <w:bookmarkStart w:id="62" w:name="_ftnref28"/>
      <w:bookmarkEnd w:id="62"/>
      <w:r w:rsidRPr="00F32542">
        <w:rPr>
          <w:rFonts w:ascii="Arial" w:eastAsia="Calibri" w:hAnsi="Arial" w:cs="Arial"/>
          <w:sz w:val="28"/>
          <w:szCs w:val="28"/>
        </w:rPr>
        <w:t>.</w:t>
      </w:r>
      <w:bookmarkEnd w:id="56"/>
    </w:p>
    <w:p w14:paraId="13C11760"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Cabe señalar que en la </w:t>
      </w:r>
      <w:r w:rsidRPr="00F32542">
        <w:rPr>
          <w:rFonts w:ascii="Arial" w:eastAsia="Calibri" w:hAnsi="Arial" w:cs="Arial"/>
          <w:bCs/>
          <w:sz w:val="28"/>
          <w:szCs w:val="28"/>
        </w:rPr>
        <w:t xml:space="preserve">tesis </w:t>
      </w:r>
      <w:r w:rsidRPr="00F32542">
        <w:rPr>
          <w:rFonts w:ascii="Arial" w:eastAsia="Calibri" w:hAnsi="Arial" w:cs="Arial"/>
          <w:b/>
          <w:bCs/>
          <w:sz w:val="28"/>
          <w:szCs w:val="28"/>
        </w:rPr>
        <w:t>XXVIII/2013</w:t>
      </w:r>
      <w:r w:rsidRPr="00F32542">
        <w:rPr>
          <w:rFonts w:ascii="Arial" w:eastAsia="Calibri" w:hAnsi="Arial" w:cs="Arial"/>
          <w:bCs/>
          <w:sz w:val="28"/>
          <w:szCs w:val="28"/>
        </w:rPr>
        <w:t xml:space="preserve">, de rubro </w:t>
      </w:r>
      <w:r w:rsidRPr="00F32542">
        <w:rPr>
          <w:rFonts w:ascii="Arial" w:eastAsia="Calibri" w:hAnsi="Arial" w:cs="Arial"/>
          <w:b/>
          <w:bCs/>
          <w:sz w:val="28"/>
          <w:szCs w:val="28"/>
        </w:rPr>
        <w:t xml:space="preserve">“OMISIÓN LEGISLATIVA. EL JUICIO DE REVISIÓN CONSTITUCIONAL ELECTORAL ES PROCEDENTE PARA IMPUGNARLA”, </w:t>
      </w:r>
      <w:r w:rsidRPr="00F32542">
        <w:rPr>
          <w:rFonts w:ascii="Arial" w:eastAsia="Calibri" w:hAnsi="Arial" w:cs="Arial"/>
          <w:bCs/>
          <w:sz w:val="28"/>
          <w:szCs w:val="28"/>
        </w:rPr>
        <w:t xml:space="preserve">se estableció que </w:t>
      </w:r>
      <w:r w:rsidRPr="00F32542">
        <w:rPr>
          <w:rFonts w:ascii="Arial" w:eastAsia="Calibri" w:hAnsi="Arial" w:cs="Arial"/>
          <w:sz w:val="28"/>
          <w:szCs w:val="28"/>
        </w:rPr>
        <w:t>es factible concluir que las omisiones legislativas de facultades de ejercicio obligatorio pueden vulnerar los derechos humanos, así como los principios constitucionales que rigen las elecciones.</w:t>
      </w:r>
    </w:p>
    <w:p w14:paraId="71AA8654" w14:textId="77777777" w:rsidR="00825A19" w:rsidRPr="00F32542" w:rsidRDefault="00825A19" w:rsidP="00F94B48">
      <w:pPr>
        <w:spacing w:before="100" w:beforeAutospacing="1" w:after="100" w:afterAutospacing="1" w:line="360" w:lineRule="auto"/>
        <w:jc w:val="both"/>
        <w:rPr>
          <w:rFonts w:ascii="Arial" w:eastAsia="Calibri" w:hAnsi="Arial" w:cs="Arial"/>
          <w:sz w:val="28"/>
          <w:szCs w:val="28"/>
        </w:rPr>
      </w:pPr>
    </w:p>
    <w:p w14:paraId="35F03728" w14:textId="77777777" w:rsidR="00F94B48" w:rsidRPr="00F32542" w:rsidRDefault="00B01E6A"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b/>
          <w:sz w:val="28"/>
          <w:szCs w:val="28"/>
        </w:rPr>
        <w:lastRenderedPageBreak/>
        <w:t>2</w:t>
      </w:r>
      <w:r w:rsidR="00F94B48" w:rsidRPr="00F32542">
        <w:rPr>
          <w:rFonts w:ascii="Arial" w:eastAsia="Calibri" w:hAnsi="Arial" w:cs="Arial"/>
          <w:b/>
          <w:sz w:val="28"/>
          <w:szCs w:val="28"/>
        </w:rPr>
        <w:t>. Obligaciones constitucionales en materia de paridad respecto a procesos electorales</w:t>
      </w:r>
    </w:p>
    <w:p w14:paraId="5B80D012"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La paridad se incorporó como un vértice dentro del sistema jurídico mexicano a partir de la publicación de la reforma constitucional en materia de “paridad total”, contenida en el</w:t>
      </w:r>
      <w:bookmarkStart w:id="63" w:name="_Hlk13143059"/>
      <w:r w:rsidRPr="00F32542">
        <w:rPr>
          <w:rFonts w:ascii="Arial" w:eastAsia="Calibri" w:hAnsi="Arial" w:cs="Arial"/>
          <w:sz w:val="28"/>
          <w:szCs w:val="28"/>
        </w:rPr>
        <w:t xml:space="preserve"> “Decreto por el que se reformaron los artículos 2, 4, 35, 41, 52, 53, 56, 94 y 115, de la Constitución Política de los Estados Unidos Mexicanos, en materia de Paridad entre Géneros</w:t>
      </w:r>
      <w:bookmarkStart w:id="64" w:name="_ftnref43"/>
      <w:bookmarkEnd w:id="63"/>
      <w:bookmarkEnd w:id="64"/>
      <w:r w:rsidRPr="00F32542">
        <w:rPr>
          <w:rFonts w:ascii="Arial" w:eastAsia="Calibri" w:hAnsi="Arial" w:cs="Arial"/>
          <w:sz w:val="28"/>
          <w:szCs w:val="28"/>
        </w:rPr>
        <w:t>”</w:t>
      </w:r>
      <w:r w:rsidRPr="00F32542">
        <w:rPr>
          <w:rFonts w:ascii="Arial" w:eastAsia="Calibri" w:hAnsi="Arial" w:cs="Arial"/>
          <w:sz w:val="28"/>
          <w:szCs w:val="28"/>
          <w:vertAlign w:val="superscript"/>
        </w:rPr>
        <w:footnoteReference w:id="62"/>
      </w:r>
      <w:r w:rsidRPr="00F32542">
        <w:rPr>
          <w:rFonts w:ascii="Arial" w:eastAsia="Calibri" w:hAnsi="Arial" w:cs="Arial"/>
          <w:sz w:val="28"/>
          <w:szCs w:val="28"/>
        </w:rPr>
        <w:t xml:space="preserve">, en el Diario Oficial de la Federación el seis de junio de dos mil diecinueve. </w:t>
      </w:r>
    </w:p>
    <w:p w14:paraId="77BB3ADF"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Reforma conforme a la cual, de manera integral, se dispuso a la paridad, vertical y horizontal, como eje rector en la integración del poder legislativo federal y local, de los municipios y los órganos autónomos.</w:t>
      </w:r>
    </w:p>
    <w:p w14:paraId="64CE7246"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Asimismo, se regularon acciones afirmativas como el encabezamiento alternado de listas de candidaturas de representación proporcional al Senado de la República y a las diputaciones en general.</w:t>
      </w:r>
    </w:p>
    <w:p w14:paraId="5F02CB9B"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En efecto, las reformas constitucionales en materia de paridad de género referidas son las siguientes:</w:t>
      </w:r>
    </w:p>
    <w:p w14:paraId="0949F3E5"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sz w:val="24"/>
          <w:szCs w:val="24"/>
        </w:rPr>
        <w:t xml:space="preserve"> “</w:t>
      </w:r>
      <w:r w:rsidRPr="00F32542">
        <w:rPr>
          <w:rFonts w:ascii="Arial" w:eastAsia="Calibri" w:hAnsi="Arial" w:cs="Arial"/>
          <w:b/>
          <w:bCs/>
          <w:sz w:val="24"/>
          <w:szCs w:val="24"/>
        </w:rPr>
        <w:t>Artículo 2°. ...</w:t>
      </w:r>
    </w:p>
    <w:p w14:paraId="751E51F5"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w:t>
      </w:r>
    </w:p>
    <w:p w14:paraId="273B25EE"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A. ...</w:t>
      </w:r>
    </w:p>
    <w:p w14:paraId="232AF41A"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I. ...</w:t>
      </w:r>
      <w:r w:rsidRPr="00F32542">
        <w:rPr>
          <w:rFonts w:ascii="Arial" w:eastAsia="Calibri" w:hAnsi="Arial" w:cs="Arial"/>
          <w:sz w:val="24"/>
          <w:szCs w:val="24"/>
        </w:rPr>
        <w:t> a </w:t>
      </w:r>
      <w:r w:rsidRPr="00F32542">
        <w:rPr>
          <w:rFonts w:ascii="Arial" w:eastAsia="Calibri" w:hAnsi="Arial" w:cs="Arial"/>
          <w:b/>
          <w:bCs/>
          <w:sz w:val="24"/>
          <w:szCs w:val="24"/>
        </w:rPr>
        <w:t>VI. ...</w:t>
      </w:r>
    </w:p>
    <w:p w14:paraId="41E35EB7"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lastRenderedPageBreak/>
        <w:t>VII.</w:t>
      </w:r>
      <w:r w:rsidRPr="00F32542">
        <w:rPr>
          <w:rFonts w:ascii="Arial" w:eastAsia="Calibri" w:hAnsi="Arial" w:cs="Arial"/>
          <w:sz w:val="24"/>
          <w:szCs w:val="24"/>
        </w:rPr>
        <w:t> Elegir, en los municipios con población indígena, representantes ante los ayuntamientos, observando el principio de paridad de género conforme a las normas aplicables.</w:t>
      </w:r>
    </w:p>
    <w:p w14:paraId="4AB56114"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B. ...</w:t>
      </w:r>
    </w:p>
    <w:p w14:paraId="2B5A2ADD"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Artículo 4o.-</w:t>
      </w:r>
      <w:r w:rsidRPr="00F32542">
        <w:rPr>
          <w:rFonts w:ascii="Arial" w:eastAsia="Calibri" w:hAnsi="Arial" w:cs="Arial"/>
          <w:sz w:val="24"/>
          <w:szCs w:val="24"/>
        </w:rPr>
        <w:t> La mujer y el hombre son iguales ante la ley. Ésta protegerá la organización y el desarrollo de la familia.</w:t>
      </w:r>
    </w:p>
    <w:p w14:paraId="3D2B17A8"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w:t>
      </w:r>
    </w:p>
    <w:p w14:paraId="39376ACA"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b/>
          <w:bCs/>
          <w:sz w:val="24"/>
          <w:szCs w:val="24"/>
        </w:rPr>
      </w:pPr>
    </w:p>
    <w:p w14:paraId="1E088A4C"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Artículo 35.</w:t>
      </w:r>
      <w:r w:rsidRPr="00F32542">
        <w:rPr>
          <w:rFonts w:ascii="Arial" w:eastAsia="Calibri" w:hAnsi="Arial" w:cs="Arial"/>
          <w:sz w:val="24"/>
          <w:szCs w:val="24"/>
        </w:rPr>
        <w:t> Son derechos de la ciudadanía:</w:t>
      </w:r>
    </w:p>
    <w:p w14:paraId="48AE40F4"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I. ...</w:t>
      </w:r>
    </w:p>
    <w:p w14:paraId="5FFEA515"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sz w:val="24"/>
          <w:szCs w:val="24"/>
        </w:rPr>
        <w:t> </w:t>
      </w:r>
    </w:p>
    <w:p w14:paraId="47100BAB"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II.</w:t>
      </w:r>
      <w:r w:rsidRPr="00F32542">
        <w:rPr>
          <w:rFonts w:ascii="Arial" w:eastAsia="Calibri" w:hAnsi="Arial" w:cs="Arial"/>
          <w:sz w:val="24"/>
          <w:szCs w:val="24"/>
        </w:rPr>
        <w:t> </w:t>
      </w:r>
      <w:r w:rsidRPr="00F32542">
        <w:rPr>
          <w:rFonts w:ascii="Arial" w:eastAsia="Calibri" w:hAnsi="Arial" w:cs="Arial"/>
          <w:b/>
          <w:sz w:val="24"/>
          <w:szCs w:val="24"/>
        </w:rPr>
        <w:t>Poder ser votada en condiciones de paridad</w:t>
      </w:r>
      <w:r w:rsidRPr="00F32542">
        <w:rPr>
          <w:rFonts w:ascii="Arial" w:eastAsia="Calibri" w:hAnsi="Arial" w:cs="Arial"/>
          <w:sz w:val="24"/>
          <w:szCs w:val="24"/>
        </w:rPr>
        <w:t xml:space="preserve"> para todos los cargos de elección popular, teniendo las calidades que establezca la ley. El derecho de solicitar el registro de candidatos y candidatas ante la autoridad electoral corresponde a los partidos políticos, así como a los ciudadanos y las ciudadanas que soliciten su registro de manera independiente y cumplan con los requisitos, condiciones y términos que determine la legislación;</w:t>
      </w:r>
    </w:p>
    <w:p w14:paraId="4D9C6E52"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III. ...</w:t>
      </w:r>
      <w:r w:rsidRPr="00F32542">
        <w:rPr>
          <w:rFonts w:ascii="Arial" w:eastAsia="Calibri" w:hAnsi="Arial" w:cs="Arial"/>
          <w:sz w:val="24"/>
          <w:szCs w:val="24"/>
        </w:rPr>
        <w:t> a </w:t>
      </w:r>
      <w:r w:rsidRPr="00F32542">
        <w:rPr>
          <w:rFonts w:ascii="Arial" w:eastAsia="Calibri" w:hAnsi="Arial" w:cs="Arial"/>
          <w:b/>
          <w:bCs/>
          <w:sz w:val="24"/>
          <w:szCs w:val="24"/>
        </w:rPr>
        <w:t>VIII. ...</w:t>
      </w:r>
    </w:p>
    <w:p w14:paraId="05411968"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Artículo 41. ...</w:t>
      </w:r>
    </w:p>
    <w:p w14:paraId="2D78678D"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sz w:val="24"/>
          <w:szCs w:val="24"/>
        </w:rPr>
        <w:t>La ley determinará las formas y modalidades que correspondan, para observar el principio de paridad de género en los nombramientos de las personas titulares de las secretarías de despacho del Poder Ejecutivo Federal y sus equivalentes en las entidades federativas. En la integración de los organismos autónomos se observará el mismo principio.</w:t>
      </w:r>
    </w:p>
    <w:p w14:paraId="7F294B9C"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w:t>
      </w:r>
    </w:p>
    <w:p w14:paraId="6E469322"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b/>
          <w:sz w:val="24"/>
          <w:szCs w:val="24"/>
        </w:rPr>
      </w:pPr>
      <w:r w:rsidRPr="00F32542">
        <w:rPr>
          <w:rFonts w:ascii="Arial" w:eastAsia="Calibri" w:hAnsi="Arial" w:cs="Arial"/>
          <w:b/>
          <w:bCs/>
          <w:sz w:val="24"/>
          <w:szCs w:val="24"/>
        </w:rPr>
        <w:t>I.</w:t>
      </w:r>
      <w:r w:rsidRPr="00F32542">
        <w:rPr>
          <w:rFonts w:ascii="Arial" w:eastAsia="Calibri" w:hAnsi="Arial" w:cs="Arial"/>
          <w:sz w:val="24"/>
          <w:szCs w:val="24"/>
        </w:rPr>
        <w:t xml:space="preserve"> Los partidos políticos son entidades de interés público; la ley determinará las normas y requisitos para su registro legal, las formas específicas de su intervención en el proceso electoral y los derechos, obligaciones y prerrogativas que les corresponden. </w:t>
      </w:r>
      <w:r w:rsidRPr="00F32542">
        <w:rPr>
          <w:rFonts w:ascii="Arial" w:eastAsia="Calibri" w:hAnsi="Arial" w:cs="Arial"/>
          <w:b/>
          <w:sz w:val="24"/>
          <w:szCs w:val="24"/>
        </w:rPr>
        <w:t>En la postulación de sus candidaturas, se observará el principio de paridad de género.</w:t>
      </w:r>
    </w:p>
    <w:p w14:paraId="24877C1C"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sz w:val="24"/>
          <w:szCs w:val="24"/>
        </w:rPr>
        <w:lastRenderedPageBreak/>
        <w:t>Los partidos políticos tienen como fin promover la participación del pueblo en la vida democrática, fomentar el principio de paridad de género, contribuir a la integración de los órganos de representación política, y como organizaciones ciudadanas, hacer posible su acceso al ejercicio del poder público, de acuerdo con los programas, principios e ideas que postulan y mediante el sufragio universal, libre, secreto y directo, así como con las reglas que marque la ley electoral para garantizar la paridad de género, en las candidaturas a los distintos cargos de elección popular. Sólo los ciudadanos y ciudadanas podrán formar partidos políticos y afiliarse libre e individualmente a ellos; por tanto, quedan prohibidas la intervención de organizaciones gremiales o con objeto social diferente en la creación de partidos y cualquier forma de afiliación corporativa.</w:t>
      </w:r>
    </w:p>
    <w:p w14:paraId="7CB10247"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w:t>
      </w:r>
    </w:p>
    <w:p w14:paraId="2DB16245"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II. ...</w:t>
      </w:r>
      <w:r w:rsidRPr="00F32542">
        <w:rPr>
          <w:rFonts w:ascii="Arial" w:eastAsia="Calibri" w:hAnsi="Arial" w:cs="Arial"/>
          <w:sz w:val="24"/>
          <w:szCs w:val="24"/>
        </w:rPr>
        <w:t> a </w:t>
      </w:r>
      <w:r w:rsidRPr="00F32542">
        <w:rPr>
          <w:rFonts w:ascii="Arial" w:eastAsia="Calibri" w:hAnsi="Arial" w:cs="Arial"/>
          <w:b/>
          <w:bCs/>
          <w:sz w:val="24"/>
          <w:szCs w:val="24"/>
        </w:rPr>
        <w:t>VI. ...</w:t>
      </w:r>
    </w:p>
    <w:p w14:paraId="0913A9F1"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Artículo 52.</w:t>
      </w:r>
      <w:r w:rsidRPr="00F32542">
        <w:rPr>
          <w:rFonts w:ascii="Arial" w:eastAsia="Calibri" w:hAnsi="Arial" w:cs="Arial"/>
          <w:sz w:val="24"/>
          <w:szCs w:val="24"/>
        </w:rPr>
        <w:t> La Cámara de Diputados estará integrada por 300 diputadas y diputados electos según el principio de votación mayoritaria relativa, mediante el sistema de distritos electorales uninominales, así como por 200 diputadas y diputados que serán electos según el principio de representación proporcional, mediante el Sistema de Listas Regionales, votadas en circunscripciones plurinominales.</w:t>
      </w:r>
    </w:p>
    <w:p w14:paraId="526B30DB"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Artículo 53.</w:t>
      </w:r>
      <w:r w:rsidRPr="00F32542">
        <w:rPr>
          <w:rFonts w:ascii="Arial" w:eastAsia="Calibri" w:hAnsi="Arial" w:cs="Arial"/>
          <w:sz w:val="24"/>
          <w:szCs w:val="24"/>
        </w:rPr>
        <w:t> La demarcación territorial de los 300 distritos electorales uninominales será la que resulte de dividir la población total del país entre los distritos señalados. La distribución de los distritos electorales uninominales entre las entidades federativas se hará teniendo en cuenta el último censo general de población, sin que en ningún caso la representación de una entidad federativa pueda ser menor de dos diputados o diputadas de mayoría.</w:t>
      </w:r>
    </w:p>
    <w:p w14:paraId="753E2523"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sz w:val="24"/>
          <w:szCs w:val="24"/>
        </w:rPr>
        <w:t>Para la elección de los 200 diputados y diputadas según el principio de representación proporcional y el Sistema de Listas Regionales, se constituirán cinco circunscripciones electorales plurinominales en el país conformadas de acuerdo con el principio de paridad, y encabezadas alternadamente entre mujeres y hombres cada periodo electivo. La Ley determinará la forma de establecer la demarcación territorial de estas circunscripciones.</w:t>
      </w:r>
    </w:p>
    <w:p w14:paraId="6C2398E9"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Artículo 56.</w:t>
      </w:r>
      <w:r w:rsidRPr="00F32542">
        <w:rPr>
          <w:rFonts w:ascii="Arial" w:eastAsia="Calibri" w:hAnsi="Arial" w:cs="Arial"/>
          <w:sz w:val="24"/>
          <w:szCs w:val="24"/>
        </w:rPr>
        <w:t xml:space="preserve"> La Cámara de Senadores se integrará por ciento veintiocho senadoras y senadores, de los cuales, en cada Estado y en la Ciudad de México, dos serán </w:t>
      </w:r>
      <w:r w:rsidRPr="00F32542">
        <w:rPr>
          <w:rFonts w:ascii="Arial" w:eastAsia="Calibri" w:hAnsi="Arial" w:cs="Arial"/>
          <w:sz w:val="24"/>
          <w:szCs w:val="24"/>
        </w:rPr>
        <w:lastRenderedPageBreak/>
        <w:t>elegidos según el principio de votación mayoritaria relativa y uno será asignado a la primera minoría. Para estos efectos, los partidos políticos deberán registrar una lista con dos fórmulas de candidatos. La senaduría de primera minoría le será asignada a la fórmula de candidaturas que encabece la lista del partido político que, por sí mismo, haya ocupado el segundo lugar en número de votos en la entidad de que se trate.</w:t>
      </w:r>
    </w:p>
    <w:p w14:paraId="2CAE23BF"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sz w:val="24"/>
          <w:szCs w:val="24"/>
        </w:rPr>
        <w:t>Las treinta y dos senadurías restantes serán elegidas según el principio de representación proporcional, mediante el sistema de listas votadas en una sola circunscripción plurinominal nacional, conformadas de acuerdo con el principio de paridad, y encabezadas alternadamente entre mujeres y hombres cada periodo electivo. La ley establecerá las reglas y fórmulas para estos efectos.</w:t>
      </w:r>
    </w:p>
    <w:p w14:paraId="2F9E2F07"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w:t>
      </w:r>
    </w:p>
    <w:p w14:paraId="627EF4CF"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Artículo 94. ...</w:t>
      </w:r>
    </w:p>
    <w:p w14:paraId="3B829E2A"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w:t>
      </w:r>
    </w:p>
    <w:p w14:paraId="1CFA797E"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sz w:val="24"/>
          <w:szCs w:val="24"/>
        </w:rPr>
        <w:t>La Suprema Corte de Justicia de la Nación se compondrá de once integrantes, Ministras y Ministros, y funcionará en Pleno o en Salas.</w:t>
      </w:r>
    </w:p>
    <w:p w14:paraId="50138E25"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w:t>
      </w:r>
    </w:p>
    <w:p w14:paraId="19410433"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sz w:val="24"/>
          <w:szCs w:val="24"/>
        </w:rPr>
        <w:t>La ley establecerá la forma y procedimientos mediante concursos abiertos para la integración de los órganos jurisdiccionales, observando el principio de paridad de género.</w:t>
      </w:r>
    </w:p>
    <w:p w14:paraId="6E4ADB70"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w:t>
      </w:r>
    </w:p>
    <w:p w14:paraId="48D13965"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w:t>
      </w:r>
    </w:p>
    <w:p w14:paraId="1D93AC23"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Artículo 115. ...</w:t>
      </w:r>
    </w:p>
    <w:p w14:paraId="453F8964"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I.</w:t>
      </w:r>
      <w:r w:rsidRPr="00F32542">
        <w:rPr>
          <w:rFonts w:ascii="Arial" w:eastAsia="Calibri" w:hAnsi="Arial" w:cs="Arial"/>
          <w:sz w:val="24"/>
          <w:szCs w:val="24"/>
        </w:rPr>
        <w:t> 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p>
    <w:p w14:paraId="31869087"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sz w:val="24"/>
          <w:szCs w:val="24"/>
        </w:rPr>
        <w:t> </w:t>
      </w:r>
    </w:p>
    <w:p w14:paraId="126364A9"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sz w:val="24"/>
          <w:szCs w:val="24"/>
        </w:rPr>
        <w:lastRenderedPageBreak/>
        <w:t>En lo que interesa, los Transitorios del decreto de referencia dispusieron lo siguiente:</w:t>
      </w:r>
    </w:p>
    <w:p w14:paraId="0A19642A"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sz w:val="24"/>
          <w:szCs w:val="24"/>
        </w:rPr>
        <w:t>“[…]</w:t>
      </w:r>
    </w:p>
    <w:p w14:paraId="0B245EA7"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 </w:t>
      </w:r>
    </w:p>
    <w:p w14:paraId="0D4FD369"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SEGUNDO.-</w:t>
      </w:r>
      <w:r w:rsidRPr="00F32542">
        <w:rPr>
          <w:rFonts w:ascii="Arial" w:eastAsia="Calibri" w:hAnsi="Arial" w:cs="Arial"/>
          <w:sz w:val="24"/>
          <w:szCs w:val="24"/>
        </w:rPr>
        <w:t> El Congreso de la Unión deberá, en un plazo improrrogable de un año a partir de la entrada en vigor del presente Decreto, realizar las adecuaciones normativas correspondientes a efecto de observar el principio de paridad de género establecido en esta Constitución, en los términos del segundo párrafo del artículo 41.</w:t>
      </w:r>
    </w:p>
    <w:p w14:paraId="4A6E1319"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TERCERO.-</w:t>
      </w:r>
      <w:r w:rsidRPr="00F32542">
        <w:rPr>
          <w:rFonts w:ascii="Arial" w:eastAsia="Calibri" w:hAnsi="Arial" w:cs="Arial"/>
          <w:sz w:val="24"/>
          <w:szCs w:val="24"/>
        </w:rPr>
        <w:t> La observancia del principio de paridad de género a que se refiere el artículo 41, será aplicable a quiénes tomen posesión de su encargo, a partir del proceso electoral federal o local siguiente a la entrada en vigor del presente Decreto, según corresponda.</w:t>
      </w:r>
    </w:p>
    <w:p w14:paraId="7BDF8982"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sz w:val="24"/>
          <w:szCs w:val="24"/>
        </w:rPr>
        <w:t>Por lo que hace a las autoridades que no se renuevan mediante procesos electorales, su integración y designación habrá de realizarse de manera progresiva a partir de las nuevas designaciones y nombramientos que correspondan, de conformidad con la ley.</w:t>
      </w:r>
    </w:p>
    <w:p w14:paraId="49AB41DA" w14:textId="77777777" w:rsidR="00F94B48" w:rsidRPr="00F32542" w:rsidRDefault="00F94B48" w:rsidP="00F94B48">
      <w:pPr>
        <w:spacing w:before="100" w:beforeAutospacing="1" w:after="100" w:afterAutospacing="1" w:line="240" w:lineRule="auto"/>
        <w:ind w:left="1134" w:right="1041"/>
        <w:jc w:val="both"/>
        <w:rPr>
          <w:rFonts w:ascii="Arial" w:eastAsia="Calibri" w:hAnsi="Arial" w:cs="Arial"/>
          <w:sz w:val="24"/>
          <w:szCs w:val="24"/>
        </w:rPr>
      </w:pPr>
      <w:r w:rsidRPr="00F32542">
        <w:rPr>
          <w:rFonts w:ascii="Arial" w:eastAsia="Calibri" w:hAnsi="Arial" w:cs="Arial"/>
          <w:b/>
          <w:bCs/>
          <w:sz w:val="24"/>
          <w:szCs w:val="24"/>
        </w:rPr>
        <w:t>CUARTO.-</w:t>
      </w:r>
      <w:r w:rsidRPr="00F32542">
        <w:rPr>
          <w:rFonts w:ascii="Arial" w:eastAsia="Calibri" w:hAnsi="Arial" w:cs="Arial"/>
          <w:sz w:val="24"/>
          <w:szCs w:val="24"/>
        </w:rPr>
        <w:t> </w:t>
      </w:r>
      <w:r w:rsidRPr="00F32542">
        <w:rPr>
          <w:rFonts w:ascii="Arial" w:eastAsia="Calibri" w:hAnsi="Arial" w:cs="Arial"/>
          <w:sz w:val="24"/>
          <w:szCs w:val="24"/>
          <w:u w:val="single"/>
        </w:rPr>
        <w:t>Las legislaturas de las entidades federativas, en el ámbito de su competencia, deberán realizar las reformas correspondientes en su legislación, para procurar la observancia del principio de paridad de género en los términos del artículo 41</w:t>
      </w:r>
      <w:r w:rsidRPr="00F32542">
        <w:rPr>
          <w:rFonts w:ascii="Arial" w:eastAsia="Calibri" w:hAnsi="Arial" w:cs="Arial"/>
          <w:sz w:val="24"/>
          <w:szCs w:val="24"/>
        </w:rPr>
        <w:t>.”</w:t>
      </w:r>
    </w:p>
    <w:p w14:paraId="4A0A2B53"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De lo dispuesto en los Transitorios Segundo y Tercero, en relación con lo previsto en el artículo 41, párrafos segundo y tercero, Base I, se advierte que la paridad de género constitucional presenta dos escenarios:</w:t>
      </w:r>
    </w:p>
    <w:p w14:paraId="032CF4E9"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w:t>
      </w:r>
      <w:r w:rsidRPr="00F32542">
        <w:rPr>
          <w:rFonts w:ascii="Arial" w:eastAsia="Calibri" w:hAnsi="Arial" w:cs="Arial"/>
          <w:sz w:val="28"/>
          <w:szCs w:val="28"/>
        </w:rPr>
        <w:sym w:font="Symbol" w:char="F0B7"/>
      </w:r>
      <w:r w:rsidRPr="00F32542">
        <w:rPr>
          <w:rFonts w:ascii="Arial" w:eastAsia="Calibri" w:hAnsi="Arial" w:cs="Arial"/>
          <w:sz w:val="28"/>
          <w:szCs w:val="28"/>
        </w:rPr>
        <w:t>        Por un lado, en el nombramiento de personas titulares de las secretarías de despacho de los poderes ejecutivo federal y de las entidades federativas; en la integración de los órganos autónomos, así como en la designación y nombramiento de las autoridades que no se renuevan mediante procesos electorales; y</w:t>
      </w:r>
    </w:p>
    <w:p w14:paraId="6EBC3561"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sz w:val="28"/>
          <w:szCs w:val="28"/>
        </w:rPr>
        <w:lastRenderedPageBreak/>
        <w:t> </w:t>
      </w:r>
      <w:r w:rsidRPr="00F32542">
        <w:rPr>
          <w:rFonts w:ascii="Arial" w:eastAsia="Calibri" w:hAnsi="Arial" w:cs="Arial"/>
          <w:sz w:val="28"/>
          <w:szCs w:val="28"/>
        </w:rPr>
        <w:sym w:font="Symbol" w:char="F0B7"/>
      </w:r>
      <w:r w:rsidRPr="00F32542">
        <w:rPr>
          <w:rFonts w:ascii="Arial" w:eastAsia="Calibri" w:hAnsi="Arial" w:cs="Arial"/>
          <w:sz w:val="28"/>
          <w:szCs w:val="28"/>
        </w:rPr>
        <w:t>        </w:t>
      </w:r>
      <w:r w:rsidRPr="00F32542">
        <w:rPr>
          <w:rFonts w:ascii="Arial" w:eastAsia="Calibri" w:hAnsi="Arial" w:cs="Arial"/>
          <w:b/>
          <w:sz w:val="28"/>
          <w:szCs w:val="28"/>
        </w:rPr>
        <w:t>Por otro lado, en la postulación de candidaturas a los distintos cargos de elección popular.</w:t>
      </w:r>
    </w:p>
    <w:p w14:paraId="4558C6EC"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bCs/>
          <w:sz w:val="28"/>
          <w:szCs w:val="28"/>
        </w:rPr>
        <w:t>En este sentido, queda de manifiesto que la paridad, como principio de base constitucional, repercute en la integración de órganos o cuerpos colegiados, la cual puede llevarse a cabo mediante la postulación de candidaturas durante los procesos electorales, federal o locales, bien, mediante una designación o nombramiento de carácter administrativo.</w:t>
      </w:r>
    </w:p>
    <w:p w14:paraId="79D41FE0" w14:textId="77777777" w:rsidR="00F94B48" w:rsidRPr="00F32542" w:rsidRDefault="00F94B48" w:rsidP="00F94B48">
      <w:pPr>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b/>
          <w:sz w:val="28"/>
          <w:szCs w:val="28"/>
        </w:rPr>
        <w:t>Caso concreto</w:t>
      </w:r>
    </w:p>
    <w:p w14:paraId="59D7D3E7"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En el caso, la parte actora sostiene que existe omisión legislativa del Congreso de esta Ciudad, porque contaba con un año para hacer efectiva la paridad horizontal en la integración del propio Congreso local. </w:t>
      </w:r>
    </w:p>
    <w:p w14:paraId="47E924C0"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Esto, para garantizar que las mujeres accedan también por medio de la lista A, a las diputaciones de representación proporcional. </w:t>
      </w:r>
    </w:p>
    <w:p w14:paraId="5633BFCD"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Sostiene que, en cuanto a las legislaturas locales, deben adoptar la norma prevista en el artículo 53 de la </w:t>
      </w:r>
      <w:r w:rsidRPr="00F32542">
        <w:rPr>
          <w:rFonts w:ascii="Arial" w:eastAsia="Calibri" w:hAnsi="Arial" w:cs="Arial"/>
          <w:i/>
          <w:sz w:val="28"/>
          <w:szCs w:val="28"/>
        </w:rPr>
        <w:t xml:space="preserve">Constitución, </w:t>
      </w:r>
      <w:r w:rsidRPr="00F32542">
        <w:rPr>
          <w:rFonts w:ascii="Arial" w:eastAsia="Calibri" w:hAnsi="Arial" w:cs="Arial"/>
          <w:sz w:val="28"/>
          <w:szCs w:val="28"/>
        </w:rPr>
        <w:t xml:space="preserve">en torno a que las listas de representación proporcional se encabezarán alternadamente por cada proceso. </w:t>
      </w:r>
    </w:p>
    <w:p w14:paraId="1A520473"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Como se observa, el planteamiento de omisión legislativa refiere que debe existir alternancia en cada proceso electoral, respecto al género que encabezará la lista A en cada partido político.</w:t>
      </w:r>
    </w:p>
    <w:p w14:paraId="5781759C"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Este Tribunal considera que es inexacto lo planteado por la parte actora.</w:t>
      </w:r>
    </w:p>
    <w:p w14:paraId="1C89C69A"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lastRenderedPageBreak/>
        <w:t xml:space="preserve">En efecto, como se ha explicado, de conformidad con el artículo 24, fracción III, del </w:t>
      </w:r>
      <w:r w:rsidRPr="00F32542">
        <w:rPr>
          <w:rFonts w:ascii="Arial" w:eastAsia="Calibri" w:hAnsi="Arial" w:cs="Arial"/>
          <w:i/>
          <w:sz w:val="28"/>
          <w:szCs w:val="28"/>
        </w:rPr>
        <w:t xml:space="preserve">Código local, </w:t>
      </w:r>
      <w:r w:rsidRPr="00F32542">
        <w:rPr>
          <w:rFonts w:ascii="Arial" w:eastAsia="Calibri" w:hAnsi="Arial" w:cs="Arial"/>
          <w:sz w:val="28"/>
          <w:szCs w:val="28"/>
        </w:rPr>
        <w:t>la lista A es una relación de diecisiete fórmulas de candidaturas a las diputaciones. Cabe señalar que esta lista es postulada de conformidad con la decisión o procesos internos de los partidos políticos, en ejercicio de su autodeterminación.</w:t>
      </w:r>
    </w:p>
    <w:p w14:paraId="6C94CF1E"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Cada fórmula está compuesta de una persona propietaria y otra suplente del mismo género, listados en orden de prelación alternando fórmulas de género distinto de manera sucesiva.</w:t>
      </w:r>
    </w:p>
    <w:p w14:paraId="23DAB58D"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A su vez, el artículo 24, fracción V, del </w:t>
      </w:r>
      <w:r w:rsidRPr="00F32542">
        <w:rPr>
          <w:rFonts w:ascii="Arial" w:eastAsia="Calibri" w:hAnsi="Arial" w:cs="Arial"/>
          <w:i/>
          <w:sz w:val="28"/>
          <w:szCs w:val="28"/>
        </w:rPr>
        <w:t xml:space="preserve">Código local </w:t>
      </w:r>
      <w:r w:rsidRPr="00F32542">
        <w:rPr>
          <w:rFonts w:ascii="Arial" w:eastAsia="Calibri" w:hAnsi="Arial" w:cs="Arial"/>
          <w:sz w:val="28"/>
          <w:szCs w:val="28"/>
        </w:rPr>
        <w:t>prevé que la lista definitiva es el resultado de intercalar las fórmulas de candidatos de las Listas A y B; siempre será encabezada por la primera fórmula de la Lista "A".</w:t>
      </w:r>
    </w:p>
    <w:p w14:paraId="18739B3F" w14:textId="77777777" w:rsidR="00F94B48" w:rsidRPr="00F32542" w:rsidRDefault="00F94B48" w:rsidP="00F94B48">
      <w:pPr>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Así, la asignación de diputaciones de representación proporcional se realiza sobre la lista definitiva de cada partido político. </w:t>
      </w:r>
    </w:p>
    <w:p w14:paraId="26177C22" w14:textId="77777777" w:rsidR="00F94B48" w:rsidRPr="00F32542" w:rsidRDefault="00F94B48" w:rsidP="00F94B48">
      <w:pPr>
        <w:suppressLineNumbers/>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De tal modo, la pretensión de la actora es que se establezca la existencia de la </w:t>
      </w:r>
      <w:proofErr w:type="spellStart"/>
      <w:r w:rsidRPr="00F32542">
        <w:rPr>
          <w:rFonts w:ascii="Arial" w:eastAsia="Calibri" w:hAnsi="Arial" w:cs="Arial"/>
          <w:sz w:val="28"/>
          <w:szCs w:val="28"/>
        </w:rPr>
        <w:t>omisión</w:t>
      </w:r>
      <w:proofErr w:type="spellEnd"/>
      <w:r w:rsidRPr="00F32542">
        <w:rPr>
          <w:rFonts w:ascii="Arial" w:eastAsia="Calibri" w:hAnsi="Arial" w:cs="Arial"/>
          <w:sz w:val="28"/>
          <w:szCs w:val="28"/>
        </w:rPr>
        <w:t xml:space="preserve"> legislativa, porque a su parecer el Congreso de la Ciudad tiene la obligación de establecer que la lista A, y por tanto la definitiva, se haga de manera alternada respecto a cada proceso electoral. Esto, a partir del artículo 53, de la </w:t>
      </w:r>
      <w:r w:rsidRPr="00F32542">
        <w:rPr>
          <w:rFonts w:ascii="Arial" w:eastAsia="Calibri" w:hAnsi="Arial" w:cs="Arial"/>
          <w:i/>
          <w:sz w:val="28"/>
          <w:szCs w:val="28"/>
        </w:rPr>
        <w:t xml:space="preserve">Constitución. </w:t>
      </w:r>
    </w:p>
    <w:p w14:paraId="6E01D953" w14:textId="77777777" w:rsidR="00F94B48" w:rsidRPr="00F32542" w:rsidRDefault="00F94B48" w:rsidP="00F94B48">
      <w:pPr>
        <w:suppressLineNumbers/>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No obstante, este Tribunal considera que no existe omisión legislativa porque el artículo 53 de la </w:t>
      </w:r>
      <w:r w:rsidRPr="00F32542">
        <w:rPr>
          <w:rFonts w:ascii="Arial" w:eastAsia="Calibri" w:hAnsi="Arial" w:cs="Arial"/>
          <w:i/>
          <w:sz w:val="28"/>
          <w:szCs w:val="28"/>
        </w:rPr>
        <w:t xml:space="preserve">Constitución </w:t>
      </w:r>
      <w:r w:rsidRPr="00F32542">
        <w:rPr>
          <w:rFonts w:ascii="Arial" w:eastAsia="Calibri" w:hAnsi="Arial" w:cs="Arial"/>
          <w:sz w:val="28"/>
          <w:szCs w:val="28"/>
        </w:rPr>
        <w:t xml:space="preserve">alude a la elección de la Cámara de Diputados Federal. </w:t>
      </w:r>
    </w:p>
    <w:p w14:paraId="57FB2F1A" w14:textId="77777777" w:rsidR="00F94B48" w:rsidRPr="00F32542" w:rsidRDefault="00F94B48" w:rsidP="00F94B48">
      <w:pPr>
        <w:suppressLineNumbers/>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En efecto, el citado artículo constitucional regula lo siguiente:</w:t>
      </w:r>
    </w:p>
    <w:p w14:paraId="5A4ACC4A" w14:textId="77777777" w:rsidR="00F94B48" w:rsidRPr="00F32542" w:rsidRDefault="00F94B48" w:rsidP="009B6ED0">
      <w:pPr>
        <w:numPr>
          <w:ilvl w:val="0"/>
          <w:numId w:val="17"/>
        </w:numPr>
        <w:suppressLineNumbers/>
        <w:spacing w:before="100" w:beforeAutospacing="1" w:after="100" w:afterAutospacing="1" w:line="360" w:lineRule="auto"/>
        <w:contextualSpacing/>
        <w:jc w:val="both"/>
        <w:rPr>
          <w:rFonts w:ascii="Arial" w:eastAsia="Calibri" w:hAnsi="Arial" w:cs="Arial"/>
          <w:sz w:val="28"/>
          <w:szCs w:val="28"/>
        </w:rPr>
      </w:pPr>
      <w:r w:rsidRPr="00F32542">
        <w:rPr>
          <w:rFonts w:ascii="Arial" w:eastAsia="Calibri" w:hAnsi="Arial" w:cs="Arial"/>
          <w:sz w:val="28"/>
          <w:szCs w:val="28"/>
        </w:rPr>
        <w:lastRenderedPageBreak/>
        <w:t xml:space="preserve">La conformación de 300 distritos electorales uninominales en el país. </w:t>
      </w:r>
    </w:p>
    <w:p w14:paraId="028C168B" w14:textId="77777777" w:rsidR="00F94B48" w:rsidRPr="00F32542" w:rsidRDefault="00F94B48" w:rsidP="009B6ED0">
      <w:pPr>
        <w:numPr>
          <w:ilvl w:val="0"/>
          <w:numId w:val="17"/>
        </w:numPr>
        <w:suppressLineNumbers/>
        <w:spacing w:before="100" w:beforeAutospacing="1" w:after="100" w:afterAutospacing="1" w:line="360" w:lineRule="auto"/>
        <w:contextualSpacing/>
        <w:jc w:val="both"/>
        <w:rPr>
          <w:rFonts w:ascii="Arial" w:eastAsia="Calibri" w:hAnsi="Arial" w:cs="Arial"/>
          <w:sz w:val="28"/>
          <w:szCs w:val="28"/>
        </w:rPr>
      </w:pPr>
      <w:r w:rsidRPr="00F32542">
        <w:rPr>
          <w:rFonts w:ascii="Arial" w:eastAsia="Calibri" w:hAnsi="Arial" w:cs="Arial"/>
          <w:sz w:val="28"/>
          <w:szCs w:val="28"/>
        </w:rPr>
        <w:t xml:space="preserve">La distribución de tales distritos a partir de un censo general de población. </w:t>
      </w:r>
    </w:p>
    <w:p w14:paraId="534975F0" w14:textId="77777777" w:rsidR="00F94B48" w:rsidRPr="00F32542" w:rsidRDefault="00F94B48" w:rsidP="009B6ED0">
      <w:pPr>
        <w:numPr>
          <w:ilvl w:val="0"/>
          <w:numId w:val="17"/>
        </w:numPr>
        <w:suppressLineNumbers/>
        <w:spacing w:before="100" w:beforeAutospacing="1" w:after="100" w:afterAutospacing="1" w:line="360" w:lineRule="auto"/>
        <w:contextualSpacing/>
        <w:jc w:val="both"/>
        <w:rPr>
          <w:rFonts w:ascii="Arial" w:eastAsia="Calibri" w:hAnsi="Arial" w:cs="Arial"/>
          <w:sz w:val="28"/>
          <w:szCs w:val="28"/>
        </w:rPr>
      </w:pPr>
      <w:r w:rsidRPr="00F32542">
        <w:rPr>
          <w:rFonts w:ascii="Arial" w:eastAsia="Calibri" w:hAnsi="Arial" w:cs="Arial"/>
          <w:sz w:val="28"/>
          <w:szCs w:val="28"/>
        </w:rPr>
        <w:t xml:space="preserve">La elección de 200 diputaciones de representación proporcional en cinco circunscripciones electorales plurinominales. </w:t>
      </w:r>
    </w:p>
    <w:p w14:paraId="443E4ECF" w14:textId="77777777" w:rsidR="00F94B48" w:rsidRPr="00F32542" w:rsidRDefault="00F94B48" w:rsidP="009B6ED0">
      <w:pPr>
        <w:numPr>
          <w:ilvl w:val="0"/>
          <w:numId w:val="17"/>
        </w:numPr>
        <w:suppressLineNumbers/>
        <w:spacing w:before="100" w:beforeAutospacing="1" w:after="100" w:afterAutospacing="1" w:line="360" w:lineRule="auto"/>
        <w:contextualSpacing/>
        <w:jc w:val="both"/>
        <w:rPr>
          <w:rFonts w:ascii="Arial" w:eastAsia="Calibri" w:hAnsi="Arial" w:cs="Arial"/>
          <w:sz w:val="28"/>
          <w:szCs w:val="28"/>
        </w:rPr>
      </w:pPr>
      <w:r w:rsidRPr="00F32542">
        <w:rPr>
          <w:rFonts w:ascii="Arial" w:eastAsia="Calibri" w:hAnsi="Arial" w:cs="Arial"/>
          <w:sz w:val="28"/>
          <w:szCs w:val="28"/>
        </w:rPr>
        <w:t xml:space="preserve">Esto, mediante al sistema de Listas Regionales. </w:t>
      </w:r>
    </w:p>
    <w:p w14:paraId="256224C8" w14:textId="77777777" w:rsidR="00F94B48" w:rsidRPr="00F32542" w:rsidRDefault="00F94B48" w:rsidP="009B6ED0">
      <w:pPr>
        <w:numPr>
          <w:ilvl w:val="0"/>
          <w:numId w:val="17"/>
        </w:numPr>
        <w:suppressLineNumbers/>
        <w:spacing w:before="100" w:beforeAutospacing="1" w:after="100" w:afterAutospacing="1" w:line="360" w:lineRule="auto"/>
        <w:contextualSpacing/>
        <w:jc w:val="both"/>
        <w:rPr>
          <w:rFonts w:ascii="Arial" w:eastAsia="Calibri" w:hAnsi="Arial" w:cs="Arial"/>
          <w:sz w:val="28"/>
          <w:szCs w:val="28"/>
        </w:rPr>
      </w:pPr>
      <w:r w:rsidRPr="00F32542">
        <w:rPr>
          <w:rFonts w:ascii="Arial" w:eastAsia="Calibri" w:hAnsi="Arial" w:cs="Arial"/>
          <w:sz w:val="28"/>
          <w:szCs w:val="28"/>
        </w:rPr>
        <w:t xml:space="preserve">La elección de dichas diputaciones de representación proporcional será de acuerdo al principio de paridad, </w:t>
      </w:r>
      <w:r w:rsidRPr="00F32542">
        <w:rPr>
          <w:rFonts w:ascii="Arial" w:eastAsia="Calibri" w:hAnsi="Arial" w:cs="Arial"/>
          <w:b/>
          <w:sz w:val="28"/>
          <w:szCs w:val="28"/>
        </w:rPr>
        <w:t xml:space="preserve">y encabezadas alternadamente entre mujeres y hombres, cada periodo electivo. </w:t>
      </w:r>
    </w:p>
    <w:p w14:paraId="4129CE5E" w14:textId="77777777" w:rsidR="00B01E6A" w:rsidRPr="00F32542" w:rsidRDefault="00B01E6A" w:rsidP="00B01E6A">
      <w:pPr>
        <w:suppressLineNumbers/>
        <w:spacing w:before="100" w:beforeAutospacing="1" w:after="100" w:afterAutospacing="1" w:line="360" w:lineRule="auto"/>
        <w:ind w:left="720"/>
        <w:contextualSpacing/>
        <w:jc w:val="both"/>
        <w:rPr>
          <w:rFonts w:ascii="Arial" w:eastAsia="Calibri" w:hAnsi="Arial" w:cs="Arial"/>
          <w:sz w:val="28"/>
          <w:szCs w:val="28"/>
        </w:rPr>
      </w:pPr>
    </w:p>
    <w:p w14:paraId="7BDED173" w14:textId="77777777" w:rsidR="00F94B48" w:rsidRPr="00F32542" w:rsidRDefault="00F94B48" w:rsidP="00F94B48">
      <w:pPr>
        <w:suppressLineNumbers/>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Como se muestra, tales reglas, de acuerdo a la </w:t>
      </w:r>
      <w:r w:rsidRPr="00F32542">
        <w:rPr>
          <w:rFonts w:ascii="Arial" w:eastAsia="Calibri" w:hAnsi="Arial" w:cs="Arial"/>
          <w:i/>
          <w:sz w:val="28"/>
          <w:szCs w:val="28"/>
        </w:rPr>
        <w:t xml:space="preserve">Constitución, </w:t>
      </w:r>
      <w:r w:rsidRPr="00F32542">
        <w:rPr>
          <w:rFonts w:ascii="Arial" w:eastAsia="Calibri" w:hAnsi="Arial" w:cs="Arial"/>
          <w:sz w:val="28"/>
          <w:szCs w:val="28"/>
        </w:rPr>
        <w:t xml:space="preserve">son aplicables para la conformación de la Cámara de Diputados federal, por lo cual, no podría extraerse una regla obligatoria para el Congreso local. </w:t>
      </w:r>
    </w:p>
    <w:p w14:paraId="2E1618CC" w14:textId="77777777" w:rsidR="00F94B48" w:rsidRPr="00F32542" w:rsidRDefault="00F94B48" w:rsidP="00F94B48">
      <w:pPr>
        <w:suppressLineNumbers/>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Sirve de sustento a lo anterior, lo decidido por la </w:t>
      </w:r>
      <w:r w:rsidRPr="00F32542">
        <w:rPr>
          <w:rFonts w:ascii="Arial" w:eastAsia="Calibri" w:hAnsi="Arial" w:cs="Arial"/>
          <w:i/>
          <w:sz w:val="28"/>
          <w:szCs w:val="28"/>
        </w:rPr>
        <w:t xml:space="preserve">Suprema Corte </w:t>
      </w:r>
      <w:r w:rsidRPr="00F32542">
        <w:rPr>
          <w:rFonts w:ascii="Arial" w:eastAsia="Calibri" w:hAnsi="Arial" w:cs="Arial"/>
          <w:sz w:val="28"/>
          <w:szCs w:val="28"/>
        </w:rPr>
        <w:t xml:space="preserve">en la acción de inconstitucionalidad </w:t>
      </w:r>
      <w:r w:rsidRPr="00F32542">
        <w:rPr>
          <w:rFonts w:ascii="Arial" w:eastAsia="Calibri" w:hAnsi="Arial" w:cs="Arial"/>
          <w:b/>
          <w:bCs/>
          <w:sz w:val="28"/>
          <w:szCs w:val="28"/>
        </w:rPr>
        <w:t>15/2017 y acumuladas</w:t>
      </w:r>
      <w:r w:rsidRPr="00F32542">
        <w:rPr>
          <w:rFonts w:ascii="Arial" w:eastAsia="Calibri" w:hAnsi="Arial" w:cs="Arial"/>
          <w:sz w:val="28"/>
          <w:szCs w:val="28"/>
        </w:rPr>
        <w:t xml:space="preserve"> —en la que se analizaron normas de la Constitución de esta Ciudad.</w:t>
      </w:r>
    </w:p>
    <w:p w14:paraId="20C212DE" w14:textId="77777777" w:rsidR="00F94B48" w:rsidRPr="00F32542" w:rsidRDefault="00F94B48" w:rsidP="00F94B48">
      <w:pPr>
        <w:suppressLineNumbers/>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Esto, porque la </w:t>
      </w:r>
      <w:r w:rsidRPr="00F32542">
        <w:rPr>
          <w:rFonts w:ascii="Arial" w:eastAsia="Calibri" w:hAnsi="Arial" w:cs="Arial"/>
          <w:i/>
          <w:sz w:val="28"/>
          <w:szCs w:val="28"/>
        </w:rPr>
        <w:t xml:space="preserve">Suprema Corte </w:t>
      </w:r>
      <w:r w:rsidRPr="00F32542">
        <w:rPr>
          <w:rFonts w:ascii="Arial" w:eastAsia="Calibri" w:hAnsi="Arial" w:cs="Arial"/>
          <w:sz w:val="28"/>
          <w:szCs w:val="28"/>
        </w:rPr>
        <w:t xml:space="preserve">aclaró que el artículo 52 de la </w:t>
      </w:r>
      <w:r w:rsidRPr="00F32542">
        <w:rPr>
          <w:rFonts w:ascii="Arial" w:eastAsia="Calibri" w:hAnsi="Arial" w:cs="Arial"/>
          <w:i/>
          <w:sz w:val="28"/>
          <w:szCs w:val="28"/>
        </w:rPr>
        <w:t xml:space="preserve">Constitución </w:t>
      </w:r>
      <w:r w:rsidRPr="00F32542">
        <w:rPr>
          <w:rFonts w:ascii="Arial" w:eastAsia="Calibri" w:hAnsi="Arial" w:cs="Arial"/>
          <w:b/>
          <w:sz w:val="28"/>
          <w:szCs w:val="28"/>
        </w:rPr>
        <w:t xml:space="preserve">es aplicable únicamente al ámbito federal, porque refiere expresamente a ese órgano legislativo. </w:t>
      </w:r>
    </w:p>
    <w:p w14:paraId="505A906F" w14:textId="77777777" w:rsidR="00F94B48" w:rsidRPr="00F32542" w:rsidRDefault="00F94B48" w:rsidP="00F94B48">
      <w:pPr>
        <w:suppressLineNumbers/>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Lógica que se impone aplicar, de igual modo, al artículo 53 constitucional, relativo a la forma en que se dividirá el territorio nacional en circunscripciones plurinominales para efectos de la elección de diputaciones federales por el principio de </w:t>
      </w:r>
      <w:r w:rsidRPr="00F32542">
        <w:rPr>
          <w:rFonts w:ascii="Arial" w:eastAsia="Calibri" w:hAnsi="Arial" w:cs="Arial"/>
          <w:bCs/>
          <w:sz w:val="28"/>
          <w:szCs w:val="28"/>
        </w:rPr>
        <w:lastRenderedPageBreak/>
        <w:t>representación proporcional, así como a la manera en que se integrarán las respectivas listas de candidaturas.</w:t>
      </w:r>
    </w:p>
    <w:p w14:paraId="3D63DE99" w14:textId="77777777" w:rsidR="00F94B48" w:rsidRPr="00F32542" w:rsidRDefault="00F94B48" w:rsidP="00F94B48">
      <w:pPr>
        <w:suppressLineNumbers/>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Asimismo, en la misma sentencia se estableció que la facultad de reglamentar los principios de mayoría relativa y de representación proporcional, le corresponde a las legislaturas de los estados. </w:t>
      </w:r>
    </w:p>
    <w:p w14:paraId="3B5F591E" w14:textId="77777777" w:rsidR="00F94B48" w:rsidRPr="00F32542" w:rsidRDefault="00F94B48" w:rsidP="00F94B48">
      <w:pPr>
        <w:suppressLineNumbers/>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De tal modo que, si el artículo 53 constitucional regula la conformación de la Cámara de Diputados federal, no establece una obligación respecto a las legislaturas locales. </w:t>
      </w:r>
    </w:p>
    <w:p w14:paraId="53EA9CF4" w14:textId="77777777" w:rsidR="00F94B48" w:rsidRPr="00F32542" w:rsidRDefault="00F94B48" w:rsidP="00F94B48">
      <w:pPr>
        <w:suppressLineNumbers/>
        <w:spacing w:before="100" w:beforeAutospacing="1" w:after="100" w:afterAutospacing="1" w:line="360" w:lineRule="auto"/>
        <w:jc w:val="both"/>
        <w:rPr>
          <w:rFonts w:ascii="Arial" w:eastAsia="Calibri" w:hAnsi="Arial" w:cs="Arial"/>
          <w:sz w:val="28"/>
          <w:szCs w:val="28"/>
        </w:rPr>
      </w:pPr>
      <w:r w:rsidRPr="00F32542">
        <w:rPr>
          <w:rFonts w:ascii="Arial" w:eastAsia="Calibri" w:hAnsi="Arial" w:cs="Arial"/>
          <w:sz w:val="28"/>
          <w:szCs w:val="28"/>
        </w:rPr>
        <w:t xml:space="preserve">Por esa razón, aun cuando fuera deseable, no existe la obligación del Congreso de la Ciudad de establecer la alternancia por proceso electoral, respecto a la lista A, para la elección de diputaciones de representación proporcional. </w:t>
      </w:r>
    </w:p>
    <w:p w14:paraId="6A941A4C" w14:textId="77777777" w:rsidR="00F94B48" w:rsidRPr="00F32542" w:rsidRDefault="00F94B48" w:rsidP="00F94B48">
      <w:pPr>
        <w:suppressLineNumbers/>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sz w:val="28"/>
          <w:szCs w:val="28"/>
        </w:rPr>
        <w:t>Ahora bien, con independencia de ello, debe recordarse que el principio de paridad</w:t>
      </w:r>
      <w:r w:rsidRPr="00F32542">
        <w:rPr>
          <w:rFonts w:ascii="Arial" w:eastAsia="Calibri" w:hAnsi="Arial" w:cs="Arial"/>
          <w:bCs/>
          <w:sz w:val="28"/>
          <w:szCs w:val="28"/>
        </w:rPr>
        <w:t xml:space="preserve"> debe impactar en la integración de órganos o cuerpos colegiados, cuestión que puede llevarse a cabo mediante la postulación de candidaturas durante los procesos electorales locales.</w:t>
      </w:r>
    </w:p>
    <w:p w14:paraId="4EC1D7C2" w14:textId="77777777" w:rsidR="00F94B48" w:rsidRPr="00F32542" w:rsidRDefault="00F94B48" w:rsidP="00F94B48">
      <w:pPr>
        <w:suppressLineNumbers/>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A juicio de este Tribunal este principio se cumple, en la postulación de la lista A</w:t>
      </w:r>
      <w:r w:rsidR="00B01E6A" w:rsidRPr="00F32542">
        <w:rPr>
          <w:rFonts w:ascii="Arial" w:eastAsia="Calibri" w:hAnsi="Arial" w:cs="Arial"/>
          <w:bCs/>
          <w:sz w:val="28"/>
          <w:szCs w:val="28"/>
        </w:rPr>
        <w:t xml:space="preserve">, </w:t>
      </w:r>
      <w:r w:rsidRPr="00F32542">
        <w:rPr>
          <w:rFonts w:ascii="Arial" w:eastAsia="Calibri" w:hAnsi="Arial" w:cs="Arial"/>
          <w:bCs/>
          <w:sz w:val="28"/>
          <w:szCs w:val="28"/>
        </w:rPr>
        <w:t>cuya regulación es cuestionada por la parte actora</w:t>
      </w:r>
      <w:r w:rsidR="00B01E6A" w:rsidRPr="00F32542">
        <w:rPr>
          <w:rFonts w:ascii="Arial" w:eastAsia="Calibri" w:hAnsi="Arial" w:cs="Arial"/>
          <w:bCs/>
          <w:sz w:val="28"/>
          <w:szCs w:val="28"/>
        </w:rPr>
        <w:t>,</w:t>
      </w:r>
    </w:p>
    <w:p w14:paraId="7D7F1ADE" w14:textId="77777777" w:rsidR="00F94B48" w:rsidRPr="00F32542" w:rsidRDefault="00F94B48" w:rsidP="00F94B48">
      <w:pPr>
        <w:suppressLineNumbers/>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Esto, porque el artículo 24, fracción III, del </w:t>
      </w:r>
      <w:r w:rsidRPr="00F32542">
        <w:rPr>
          <w:rFonts w:ascii="Arial" w:eastAsia="Calibri" w:hAnsi="Arial" w:cs="Arial"/>
          <w:bCs/>
          <w:i/>
          <w:sz w:val="28"/>
          <w:szCs w:val="28"/>
        </w:rPr>
        <w:t xml:space="preserve">Código local </w:t>
      </w:r>
      <w:r w:rsidRPr="00F32542">
        <w:rPr>
          <w:rFonts w:ascii="Arial" w:eastAsia="Calibri" w:hAnsi="Arial" w:cs="Arial"/>
          <w:bCs/>
          <w:sz w:val="28"/>
          <w:szCs w:val="28"/>
        </w:rPr>
        <w:t xml:space="preserve">prevé que la lista A, se constituye alternando las fórmulas de género distinto. Además de que cada fórmula se integra por personas del mismo género. </w:t>
      </w:r>
    </w:p>
    <w:p w14:paraId="1036BE59" w14:textId="77777777" w:rsidR="00F94B48" w:rsidRPr="00F32542" w:rsidRDefault="00F94B48" w:rsidP="00F94B48">
      <w:pPr>
        <w:suppressLineNumbers/>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Incluso, es importante considerar que la legislación de la Ciudad prevé la integración paritaria del Congreso local. </w:t>
      </w:r>
    </w:p>
    <w:p w14:paraId="1F310E03" w14:textId="77777777" w:rsidR="00F94B48" w:rsidRPr="00F32542" w:rsidRDefault="00F94B48" w:rsidP="00F94B48">
      <w:pPr>
        <w:suppressLineNumbers/>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bCs/>
          <w:sz w:val="28"/>
          <w:szCs w:val="28"/>
        </w:rPr>
        <w:lastRenderedPageBreak/>
        <w:t xml:space="preserve">En efecto, el artículo 27, fracción V, inciso g), del </w:t>
      </w:r>
      <w:r w:rsidRPr="00F32542">
        <w:rPr>
          <w:rFonts w:ascii="Arial" w:eastAsia="Calibri" w:hAnsi="Arial" w:cs="Arial"/>
          <w:bCs/>
          <w:i/>
          <w:sz w:val="28"/>
          <w:szCs w:val="28"/>
        </w:rPr>
        <w:t xml:space="preserve">Código local, </w:t>
      </w:r>
      <w:r w:rsidRPr="00F32542">
        <w:rPr>
          <w:rFonts w:ascii="Arial" w:eastAsia="Calibri" w:hAnsi="Arial" w:cs="Arial"/>
          <w:bCs/>
          <w:sz w:val="28"/>
          <w:szCs w:val="28"/>
        </w:rPr>
        <w:t xml:space="preserve">prevé que una vez que se concluyó la asignación total de diputaciones por el principio de representación proporcional, </w:t>
      </w:r>
      <w:r w:rsidRPr="00F32542">
        <w:rPr>
          <w:rFonts w:ascii="Arial" w:eastAsia="Calibri" w:hAnsi="Arial" w:cs="Arial"/>
          <w:b/>
          <w:bCs/>
          <w:sz w:val="28"/>
          <w:szCs w:val="28"/>
        </w:rPr>
        <w:t xml:space="preserve">se verificará si en conjunto el total de diputaciones electas cumple con el principio de paridad. </w:t>
      </w:r>
    </w:p>
    <w:p w14:paraId="37F34CFA" w14:textId="77777777" w:rsidR="00F94B48" w:rsidRPr="00F32542" w:rsidRDefault="00F94B48" w:rsidP="00F94B48">
      <w:pPr>
        <w:suppressLineNumbers/>
        <w:spacing w:before="100" w:beforeAutospacing="1" w:after="100" w:afterAutospacing="1" w:line="360" w:lineRule="auto"/>
        <w:jc w:val="both"/>
        <w:rPr>
          <w:rFonts w:ascii="Arial" w:eastAsia="Calibri" w:hAnsi="Arial" w:cs="Arial"/>
          <w:b/>
          <w:bCs/>
          <w:sz w:val="28"/>
          <w:szCs w:val="28"/>
        </w:rPr>
      </w:pPr>
      <w:r w:rsidRPr="00F32542">
        <w:rPr>
          <w:rFonts w:ascii="Arial" w:eastAsia="Calibri" w:hAnsi="Arial" w:cs="Arial"/>
          <w:bCs/>
          <w:sz w:val="28"/>
          <w:szCs w:val="28"/>
        </w:rPr>
        <w:t>El inciso h), de la misma disposición prevé que, en caso de existir una integración de las diputaciones electas por ambos principios no paritaria, se deducirán tantos diputados como sean necesarios del género sobrerrepresentado, y se sustituirán por las fórmulas del género subrepresentado.</w:t>
      </w:r>
      <w:r w:rsidRPr="00F32542">
        <w:rPr>
          <w:rFonts w:ascii="Arial" w:eastAsia="Calibri" w:hAnsi="Arial" w:cs="Arial"/>
          <w:b/>
          <w:bCs/>
          <w:sz w:val="28"/>
          <w:szCs w:val="28"/>
        </w:rPr>
        <w:t xml:space="preserve"> </w:t>
      </w:r>
    </w:p>
    <w:p w14:paraId="0BDCDC07" w14:textId="77777777" w:rsidR="00F94B48" w:rsidRPr="00F32542" w:rsidRDefault="00F94B48" w:rsidP="00F94B48">
      <w:pPr>
        <w:suppressLineNumbers/>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Por su parte, el inciso i) prevé que, para ese fin se alternará a los partidos políticos que hayan recibido diputaciones por el principio de representación proporcional, empezando por el partido que recibió el menor porcentaje de votación local emitida, y de ser necesario, continuando con el partido que haya recibido el segundo menor porcentaje de la votación local emitida.</w:t>
      </w:r>
    </w:p>
    <w:p w14:paraId="32F1BDC7" w14:textId="77777777" w:rsidR="00F94B48" w:rsidRPr="00F32542" w:rsidRDefault="00F94B48" w:rsidP="00F94B48">
      <w:pPr>
        <w:suppressLineNumbers/>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De tal modo, como se observa, la legislación local establece medidas para que el Congreso de la Ciudad se integre paritariamente. </w:t>
      </w:r>
    </w:p>
    <w:p w14:paraId="7F0A4ED6" w14:textId="77777777" w:rsidR="00F94B48" w:rsidRPr="00F32542" w:rsidRDefault="00F94B48" w:rsidP="00F94B48">
      <w:pPr>
        <w:suppressLineNumbers/>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Esto, porque como se vio, al final de la asignación de diputaciones se verificará el número de integrantes de cada género.  En el caso de que exista un género sub representado, se realizará el ajuste de género con los partidos que hayan obtenido una mejor votación. </w:t>
      </w:r>
    </w:p>
    <w:p w14:paraId="497F55E3" w14:textId="77777777" w:rsidR="00F94B48" w:rsidRPr="00F32542" w:rsidRDefault="00F94B48" w:rsidP="00F94B48">
      <w:pPr>
        <w:suppressLineNumbers/>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A partir de lo expuesto, este Tribunal concluye que no existe la omisión legislativa planteada por la parte actora, respecto a la conformación de la lista A. </w:t>
      </w:r>
    </w:p>
    <w:p w14:paraId="350EBFE7" w14:textId="77777777" w:rsidR="00F94B48" w:rsidRPr="00F32542" w:rsidRDefault="00F94B48" w:rsidP="00F94B48">
      <w:pPr>
        <w:suppressLineNumbers/>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lastRenderedPageBreak/>
        <w:t>Cabe señalar que la actora planteó que, como consecuencia de la supuesta omisión legislativa de establecer que los partidos políticos debían registrar de manera alternada al género que encabece la lista A por proceso electoral, existía, a su vez, la omisión de sancionar a los partidos por incumplir tal obligación y establecer que tal conducta constituye violencia política de género.</w:t>
      </w:r>
    </w:p>
    <w:p w14:paraId="11E4E3FA" w14:textId="77777777" w:rsidR="00F94B48" w:rsidRPr="00F32542" w:rsidRDefault="00F94B48" w:rsidP="00F94B48">
      <w:pPr>
        <w:suppressLineNumbers/>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Se considera que el agravio es </w:t>
      </w:r>
      <w:r w:rsidRPr="00F32542">
        <w:rPr>
          <w:rFonts w:ascii="Arial" w:eastAsia="Calibri" w:hAnsi="Arial" w:cs="Arial"/>
          <w:b/>
          <w:bCs/>
          <w:sz w:val="28"/>
          <w:szCs w:val="28"/>
        </w:rPr>
        <w:t>inoperante,</w:t>
      </w:r>
      <w:r w:rsidRPr="00F32542">
        <w:rPr>
          <w:rFonts w:ascii="Arial" w:eastAsia="Calibri" w:hAnsi="Arial" w:cs="Arial"/>
          <w:bCs/>
          <w:sz w:val="28"/>
          <w:szCs w:val="28"/>
        </w:rPr>
        <w:t xml:space="preserve"> debido a que dependía de la existencia de la </w:t>
      </w:r>
      <w:proofErr w:type="spellStart"/>
      <w:r w:rsidRPr="00F32542">
        <w:rPr>
          <w:rFonts w:ascii="Arial" w:eastAsia="Calibri" w:hAnsi="Arial" w:cs="Arial"/>
          <w:bCs/>
          <w:sz w:val="28"/>
          <w:szCs w:val="28"/>
        </w:rPr>
        <w:t>omisión</w:t>
      </w:r>
      <w:proofErr w:type="spellEnd"/>
      <w:r w:rsidRPr="00F32542">
        <w:rPr>
          <w:rFonts w:ascii="Arial" w:eastAsia="Calibri" w:hAnsi="Arial" w:cs="Arial"/>
          <w:bCs/>
          <w:sz w:val="28"/>
          <w:szCs w:val="28"/>
        </w:rPr>
        <w:t xml:space="preserve"> legislativa reclamada, cuestión que fue declarada infundada.</w:t>
      </w:r>
    </w:p>
    <w:p w14:paraId="150AA63F" w14:textId="77777777" w:rsidR="00950A0E" w:rsidRPr="00F32542" w:rsidRDefault="00950A0E" w:rsidP="00950A0E">
      <w:pPr>
        <w:suppressLineNumbers/>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b/>
          <w:sz w:val="28"/>
          <w:szCs w:val="28"/>
        </w:rPr>
        <w:t xml:space="preserve">No obstante lo anterior, con el fin de potenciar el principio de paridad y a fin de que la petición planteada por las </w:t>
      </w:r>
      <w:r w:rsidRPr="00F32542">
        <w:rPr>
          <w:rFonts w:ascii="Arial" w:eastAsia="Calibri" w:hAnsi="Arial" w:cs="Arial"/>
          <w:b/>
          <w:i/>
          <w:iCs/>
          <w:sz w:val="28"/>
          <w:szCs w:val="28"/>
        </w:rPr>
        <w:t>partes actoras</w:t>
      </w:r>
      <w:r w:rsidRPr="00F32542">
        <w:rPr>
          <w:rFonts w:ascii="Arial" w:eastAsia="Calibri" w:hAnsi="Arial" w:cs="Arial"/>
          <w:b/>
          <w:sz w:val="28"/>
          <w:szCs w:val="28"/>
        </w:rPr>
        <w:t xml:space="preserve">, pueda trascender para futuros procesos electorales, con fundamento en el artículo 1 constitucional, se considera pertinente que el </w:t>
      </w:r>
      <w:r w:rsidRPr="00F32542">
        <w:rPr>
          <w:rFonts w:ascii="Arial" w:eastAsia="Calibri" w:hAnsi="Arial" w:cs="Arial"/>
          <w:b/>
          <w:i/>
          <w:sz w:val="28"/>
          <w:szCs w:val="28"/>
        </w:rPr>
        <w:t>Instituto Electoral</w:t>
      </w:r>
      <w:r w:rsidRPr="00F32542">
        <w:rPr>
          <w:rFonts w:ascii="Arial" w:eastAsia="Calibri" w:hAnsi="Arial" w:cs="Arial"/>
          <w:b/>
          <w:iCs/>
          <w:sz w:val="28"/>
          <w:szCs w:val="28"/>
        </w:rPr>
        <w:t>,</w:t>
      </w:r>
      <w:r w:rsidRPr="00F32542">
        <w:rPr>
          <w:rFonts w:ascii="Arial" w:eastAsia="Calibri" w:hAnsi="Arial" w:cs="Arial"/>
          <w:b/>
          <w:sz w:val="28"/>
          <w:szCs w:val="28"/>
        </w:rPr>
        <w:t xml:space="preserve"> de manera oficiosa, lleve a cabo un análisis sobre la viabilidad de implementar una acción afirmativa para postular como primera fórmula de la lista A, a un género distinto para cada proceso electoral.</w:t>
      </w:r>
    </w:p>
    <w:p w14:paraId="549869BF" w14:textId="77777777" w:rsidR="00A011AC" w:rsidRPr="00F32542" w:rsidRDefault="00950A0E" w:rsidP="00950A0E">
      <w:pPr>
        <w:suppressLineNumbers/>
        <w:spacing w:before="100" w:beforeAutospacing="1" w:after="100" w:afterAutospacing="1" w:line="360" w:lineRule="auto"/>
        <w:jc w:val="both"/>
        <w:rPr>
          <w:rFonts w:ascii="Arial" w:eastAsia="Calibri" w:hAnsi="Arial" w:cs="Arial"/>
          <w:bCs/>
          <w:sz w:val="28"/>
          <w:szCs w:val="28"/>
        </w:rPr>
      </w:pPr>
      <w:r w:rsidRPr="00F32542">
        <w:rPr>
          <w:rFonts w:ascii="Arial" w:eastAsia="Calibri" w:hAnsi="Arial" w:cs="Arial"/>
          <w:bCs/>
          <w:sz w:val="28"/>
          <w:szCs w:val="28"/>
        </w:rPr>
        <w:t xml:space="preserve">Para ello, podrá tomar </w:t>
      </w:r>
      <w:r w:rsidR="00F94B48" w:rsidRPr="00F32542">
        <w:rPr>
          <w:rFonts w:ascii="Arial" w:eastAsia="Calibri" w:hAnsi="Arial" w:cs="Arial"/>
          <w:bCs/>
          <w:sz w:val="28"/>
          <w:szCs w:val="28"/>
        </w:rPr>
        <w:t>como base un estudio</w:t>
      </w:r>
      <w:r w:rsidR="00A011AC" w:rsidRPr="00F32542">
        <w:rPr>
          <w:rFonts w:ascii="Arial" w:eastAsia="Calibri" w:hAnsi="Arial" w:cs="Arial"/>
          <w:bCs/>
          <w:sz w:val="28"/>
          <w:szCs w:val="28"/>
        </w:rPr>
        <w:t>,</w:t>
      </w:r>
      <w:r w:rsidR="00F94B48" w:rsidRPr="00F32542">
        <w:rPr>
          <w:rFonts w:ascii="Arial" w:eastAsia="Calibri" w:hAnsi="Arial" w:cs="Arial"/>
          <w:bCs/>
          <w:sz w:val="28"/>
          <w:szCs w:val="28"/>
        </w:rPr>
        <w:t xml:space="preserve"> por </w:t>
      </w:r>
      <w:r w:rsidR="00BA2B97" w:rsidRPr="00F32542">
        <w:rPr>
          <w:rFonts w:ascii="Arial" w:eastAsia="Calibri" w:hAnsi="Arial" w:cs="Arial"/>
          <w:bCs/>
          <w:sz w:val="28"/>
          <w:szCs w:val="28"/>
        </w:rPr>
        <w:t xml:space="preserve">cada </w:t>
      </w:r>
      <w:r w:rsidR="00F94B48" w:rsidRPr="00F32542">
        <w:rPr>
          <w:rFonts w:ascii="Arial" w:eastAsia="Calibri" w:hAnsi="Arial" w:cs="Arial"/>
          <w:bCs/>
          <w:sz w:val="28"/>
          <w:szCs w:val="28"/>
        </w:rPr>
        <w:t>partido político</w:t>
      </w:r>
      <w:r w:rsidR="00A011AC" w:rsidRPr="00F32542">
        <w:rPr>
          <w:rFonts w:ascii="Arial" w:eastAsia="Calibri" w:hAnsi="Arial" w:cs="Arial"/>
          <w:bCs/>
          <w:sz w:val="28"/>
          <w:szCs w:val="28"/>
        </w:rPr>
        <w:t xml:space="preserve"> con registro vigente a nivel local,</w:t>
      </w:r>
      <w:r w:rsidR="00F94B48" w:rsidRPr="00F32542">
        <w:rPr>
          <w:rFonts w:ascii="Arial" w:eastAsia="Calibri" w:hAnsi="Arial" w:cs="Arial"/>
          <w:bCs/>
          <w:sz w:val="28"/>
          <w:szCs w:val="28"/>
        </w:rPr>
        <w:t xml:space="preserve"> sobre cuántas veces ha postulado a cada género</w:t>
      </w:r>
      <w:r w:rsidR="00B01E6A" w:rsidRPr="00F32542">
        <w:rPr>
          <w:rFonts w:ascii="Arial" w:eastAsia="Calibri" w:hAnsi="Arial" w:cs="Arial"/>
          <w:bCs/>
          <w:sz w:val="28"/>
          <w:szCs w:val="28"/>
        </w:rPr>
        <w:t xml:space="preserve"> </w:t>
      </w:r>
      <w:r w:rsidR="00F94B48" w:rsidRPr="00F32542">
        <w:rPr>
          <w:rFonts w:ascii="Arial" w:eastAsia="Calibri" w:hAnsi="Arial" w:cs="Arial"/>
          <w:bCs/>
          <w:sz w:val="28"/>
          <w:szCs w:val="28"/>
        </w:rPr>
        <w:t>encabeza</w:t>
      </w:r>
      <w:r w:rsidR="00A011AC" w:rsidRPr="00F32542">
        <w:rPr>
          <w:rFonts w:ascii="Arial" w:eastAsia="Calibri" w:hAnsi="Arial" w:cs="Arial"/>
          <w:bCs/>
          <w:sz w:val="28"/>
          <w:szCs w:val="28"/>
        </w:rPr>
        <w:t>n</w:t>
      </w:r>
      <w:r w:rsidR="00F94B48" w:rsidRPr="00F32542">
        <w:rPr>
          <w:rFonts w:ascii="Arial" w:eastAsia="Calibri" w:hAnsi="Arial" w:cs="Arial"/>
          <w:bCs/>
          <w:sz w:val="28"/>
          <w:szCs w:val="28"/>
        </w:rPr>
        <w:t>do la lista A</w:t>
      </w:r>
      <w:r w:rsidR="00B01E6A" w:rsidRPr="00F32542">
        <w:rPr>
          <w:rFonts w:ascii="Arial" w:eastAsia="Calibri" w:hAnsi="Arial" w:cs="Arial"/>
          <w:bCs/>
          <w:sz w:val="28"/>
          <w:szCs w:val="28"/>
        </w:rPr>
        <w:t xml:space="preserve">, </w:t>
      </w:r>
      <w:r w:rsidR="00A011AC" w:rsidRPr="00F32542">
        <w:rPr>
          <w:rFonts w:ascii="Arial" w:eastAsia="Calibri" w:hAnsi="Arial" w:cs="Arial"/>
          <w:bCs/>
          <w:sz w:val="28"/>
          <w:szCs w:val="28"/>
        </w:rPr>
        <w:t xml:space="preserve">desde el proceso electoral celebrado en 2017-2018, </w:t>
      </w:r>
      <w:r w:rsidR="00C76A17" w:rsidRPr="00F32542">
        <w:rPr>
          <w:rFonts w:ascii="Arial" w:eastAsia="Calibri" w:hAnsi="Arial" w:cs="Arial"/>
          <w:bCs/>
          <w:sz w:val="28"/>
          <w:szCs w:val="28"/>
        </w:rPr>
        <w:t xml:space="preserve">porque esa fue la </w:t>
      </w:r>
      <w:r w:rsidR="00A011AC" w:rsidRPr="00F32542">
        <w:rPr>
          <w:rFonts w:ascii="Arial" w:eastAsia="Calibri" w:hAnsi="Arial" w:cs="Arial"/>
          <w:bCs/>
          <w:sz w:val="28"/>
          <w:szCs w:val="28"/>
        </w:rPr>
        <w:t xml:space="preserve">primera ocasión en que se eligió a la legislatura del </w:t>
      </w:r>
      <w:r w:rsidR="00A011AC" w:rsidRPr="00F32542">
        <w:rPr>
          <w:rFonts w:ascii="Arial" w:eastAsia="Calibri" w:hAnsi="Arial" w:cs="Arial"/>
          <w:bCs/>
          <w:i/>
          <w:iCs/>
          <w:sz w:val="28"/>
          <w:szCs w:val="28"/>
        </w:rPr>
        <w:t>Congreso local</w:t>
      </w:r>
      <w:r w:rsidR="00A011AC" w:rsidRPr="00F32542">
        <w:rPr>
          <w:rFonts w:ascii="Arial" w:eastAsia="Calibri" w:hAnsi="Arial" w:cs="Arial"/>
          <w:bCs/>
          <w:sz w:val="28"/>
          <w:szCs w:val="28"/>
        </w:rPr>
        <w:t xml:space="preserve">, </w:t>
      </w:r>
      <w:r w:rsidR="00BA2B97" w:rsidRPr="00F32542">
        <w:rPr>
          <w:rFonts w:ascii="Arial" w:eastAsia="Calibri" w:hAnsi="Arial" w:cs="Arial"/>
          <w:bCs/>
          <w:sz w:val="28"/>
          <w:szCs w:val="28"/>
        </w:rPr>
        <w:t xml:space="preserve">conforme al artículo vigésimo primero </w:t>
      </w:r>
      <w:r w:rsidR="00C76A17" w:rsidRPr="00F32542">
        <w:rPr>
          <w:rFonts w:ascii="Arial" w:eastAsia="Calibri" w:hAnsi="Arial" w:cs="Arial"/>
          <w:bCs/>
          <w:sz w:val="28"/>
          <w:szCs w:val="28"/>
        </w:rPr>
        <w:t xml:space="preserve">transitorio </w:t>
      </w:r>
      <w:r w:rsidR="00BA2B97" w:rsidRPr="00F32542">
        <w:rPr>
          <w:rFonts w:ascii="Arial" w:eastAsia="Calibri" w:hAnsi="Arial" w:cs="Arial"/>
          <w:bCs/>
          <w:sz w:val="28"/>
          <w:szCs w:val="28"/>
        </w:rPr>
        <w:t xml:space="preserve">del decreto por el </w:t>
      </w:r>
      <w:r w:rsidR="00C76A17" w:rsidRPr="00F32542">
        <w:rPr>
          <w:rFonts w:ascii="Arial" w:eastAsia="Calibri" w:hAnsi="Arial" w:cs="Arial"/>
          <w:bCs/>
          <w:sz w:val="28"/>
          <w:szCs w:val="28"/>
        </w:rPr>
        <w:t>cual se expidió la</w:t>
      </w:r>
      <w:r w:rsidR="00BA2B97" w:rsidRPr="00F32542">
        <w:rPr>
          <w:rFonts w:ascii="Arial" w:eastAsia="Calibri" w:hAnsi="Arial" w:cs="Arial"/>
          <w:bCs/>
          <w:sz w:val="28"/>
          <w:szCs w:val="28"/>
        </w:rPr>
        <w:t xml:space="preserve"> </w:t>
      </w:r>
      <w:r w:rsidR="00BA2B97" w:rsidRPr="00F32542">
        <w:rPr>
          <w:rFonts w:ascii="Arial" w:eastAsia="Calibri" w:hAnsi="Arial" w:cs="Arial"/>
          <w:bCs/>
          <w:i/>
          <w:iCs/>
          <w:sz w:val="28"/>
          <w:szCs w:val="28"/>
        </w:rPr>
        <w:t>Constitución local</w:t>
      </w:r>
      <w:r w:rsidR="00C76A17" w:rsidRPr="00F32542">
        <w:rPr>
          <w:rFonts w:ascii="Arial" w:eastAsia="Calibri" w:hAnsi="Arial" w:cs="Arial"/>
          <w:bCs/>
          <w:sz w:val="28"/>
          <w:szCs w:val="28"/>
        </w:rPr>
        <w:t xml:space="preserve">, misma que </w:t>
      </w:r>
      <w:r w:rsidR="00BA2B97" w:rsidRPr="00F32542">
        <w:rPr>
          <w:rFonts w:ascii="Arial" w:eastAsia="Calibri" w:hAnsi="Arial" w:cs="Arial"/>
          <w:bCs/>
          <w:sz w:val="28"/>
          <w:szCs w:val="28"/>
        </w:rPr>
        <w:t xml:space="preserve">en lo </w:t>
      </w:r>
      <w:r w:rsidR="00C76A17" w:rsidRPr="00F32542">
        <w:rPr>
          <w:rFonts w:ascii="Arial" w:eastAsia="Calibri" w:hAnsi="Arial" w:cs="Arial"/>
          <w:bCs/>
          <w:sz w:val="28"/>
          <w:szCs w:val="28"/>
        </w:rPr>
        <w:t>relativo</w:t>
      </w:r>
      <w:r w:rsidR="00BA2B97" w:rsidRPr="00F32542">
        <w:rPr>
          <w:rFonts w:ascii="Arial" w:eastAsia="Calibri" w:hAnsi="Arial" w:cs="Arial"/>
          <w:bCs/>
          <w:sz w:val="28"/>
          <w:szCs w:val="28"/>
        </w:rPr>
        <w:t xml:space="preserve"> a la materia electoral, </w:t>
      </w:r>
      <w:r w:rsidR="00C76A17" w:rsidRPr="00F32542">
        <w:rPr>
          <w:rFonts w:ascii="Arial" w:eastAsia="Calibri" w:hAnsi="Arial" w:cs="Arial"/>
          <w:bCs/>
          <w:sz w:val="28"/>
          <w:szCs w:val="28"/>
        </w:rPr>
        <w:t>entró en vigor el seis de febrero de dos mil diecisiete, de acuerdo al transitorio primero del citado decreto.</w:t>
      </w:r>
    </w:p>
    <w:p w14:paraId="761D9A54" w14:textId="77777777" w:rsidR="00950A0E" w:rsidRPr="00F32542" w:rsidRDefault="00950A0E" w:rsidP="003D047A">
      <w:pPr>
        <w:suppressLineNumbers/>
        <w:spacing w:before="100" w:beforeAutospacing="1" w:after="100" w:afterAutospacing="1" w:line="360" w:lineRule="auto"/>
        <w:jc w:val="both"/>
        <w:rPr>
          <w:rFonts w:ascii="Arial" w:eastAsia="Calibri" w:hAnsi="Arial" w:cs="Arial"/>
          <w:bCs/>
          <w:sz w:val="28"/>
          <w:szCs w:val="28"/>
          <w:u w:val="single"/>
        </w:rPr>
      </w:pPr>
      <w:r w:rsidRPr="00F32542">
        <w:rPr>
          <w:rFonts w:ascii="Arial" w:eastAsia="Calibri" w:hAnsi="Arial" w:cs="Arial"/>
          <w:bCs/>
          <w:sz w:val="28"/>
          <w:szCs w:val="28"/>
          <w:u w:val="single"/>
        </w:rPr>
        <w:lastRenderedPageBreak/>
        <w:t xml:space="preserve">Lo anterior, de preferencia, antes del inicio del siguiente proceso electoral local ordinario, a fin de que, en su caso la medida sea vigente para el mismo, para lo cual, se estima conveniente que el </w:t>
      </w:r>
      <w:r w:rsidRPr="00F32542">
        <w:rPr>
          <w:rFonts w:ascii="Arial" w:eastAsia="Calibri" w:hAnsi="Arial" w:cs="Arial"/>
          <w:bCs/>
          <w:i/>
          <w:iCs/>
          <w:sz w:val="28"/>
          <w:szCs w:val="28"/>
          <w:u w:val="single"/>
        </w:rPr>
        <w:t>IECM</w:t>
      </w:r>
      <w:r w:rsidRPr="00F32542">
        <w:rPr>
          <w:rFonts w:ascii="Arial" w:eastAsia="Calibri" w:hAnsi="Arial" w:cs="Arial"/>
          <w:bCs/>
          <w:sz w:val="28"/>
          <w:szCs w:val="28"/>
          <w:u w:val="single"/>
        </w:rPr>
        <w:t xml:space="preserve">, comparta dicho estudio con el </w:t>
      </w:r>
      <w:r w:rsidRPr="00F32542">
        <w:rPr>
          <w:rFonts w:ascii="Arial" w:eastAsia="Calibri" w:hAnsi="Arial" w:cs="Arial"/>
          <w:bCs/>
          <w:i/>
          <w:iCs/>
          <w:sz w:val="28"/>
          <w:szCs w:val="28"/>
          <w:u w:val="single"/>
        </w:rPr>
        <w:t>Congreso local</w:t>
      </w:r>
      <w:r w:rsidRPr="00F32542">
        <w:rPr>
          <w:rFonts w:ascii="Arial" w:eastAsia="Calibri" w:hAnsi="Arial" w:cs="Arial"/>
          <w:bCs/>
          <w:sz w:val="28"/>
          <w:szCs w:val="28"/>
          <w:u w:val="single"/>
        </w:rPr>
        <w:t xml:space="preserve">. </w:t>
      </w:r>
    </w:p>
    <w:p w14:paraId="68B66F77" w14:textId="77777777" w:rsidR="00B01E6A" w:rsidRPr="00F32542" w:rsidRDefault="00EA6967" w:rsidP="003D047A">
      <w:pPr>
        <w:suppressLineNumbers/>
        <w:spacing w:before="100" w:beforeAutospacing="1" w:after="100" w:afterAutospacing="1" w:line="360" w:lineRule="auto"/>
        <w:jc w:val="both"/>
        <w:rPr>
          <w:rFonts w:ascii="Arial" w:eastAsia="Calibri" w:hAnsi="Arial" w:cs="Arial"/>
          <w:b/>
          <w:sz w:val="28"/>
          <w:szCs w:val="28"/>
        </w:rPr>
      </w:pPr>
      <w:r w:rsidRPr="00F32542">
        <w:rPr>
          <w:rFonts w:ascii="Arial" w:eastAsia="Calibri" w:hAnsi="Arial" w:cs="Arial"/>
          <w:b/>
          <w:sz w:val="28"/>
          <w:szCs w:val="28"/>
        </w:rPr>
        <w:t>Lo expuesto</w:t>
      </w:r>
      <w:r w:rsidR="00F94B48" w:rsidRPr="00F32542">
        <w:rPr>
          <w:rFonts w:ascii="Arial" w:eastAsia="Calibri" w:hAnsi="Arial" w:cs="Arial"/>
          <w:b/>
          <w:sz w:val="28"/>
          <w:szCs w:val="28"/>
        </w:rPr>
        <w:t xml:space="preserve">, debido a que en la sentencia del juicio SUP-JRC-14/2020, entre otras, la </w:t>
      </w:r>
      <w:r w:rsidR="00F94B48" w:rsidRPr="00F32542">
        <w:rPr>
          <w:rFonts w:ascii="Arial" w:eastAsia="Calibri" w:hAnsi="Arial" w:cs="Arial"/>
          <w:b/>
          <w:i/>
          <w:sz w:val="28"/>
          <w:szCs w:val="28"/>
        </w:rPr>
        <w:t xml:space="preserve">Sala Superior </w:t>
      </w:r>
      <w:r w:rsidR="00F94B48" w:rsidRPr="00F32542">
        <w:rPr>
          <w:rFonts w:ascii="Arial" w:eastAsia="Calibri" w:hAnsi="Arial" w:cs="Arial"/>
          <w:b/>
          <w:sz w:val="28"/>
          <w:szCs w:val="28"/>
        </w:rPr>
        <w:t xml:space="preserve">estableció que las autoridades electorales administrativas (INE y OPLES), en el ejercicio de sus atribuciones, válidamente pueden emitir acuerdos, lineamientos o cualquier otra medida que garanticen el ejercicio del derecho humano a la igualdad, mediante el principio de paridad.  </w:t>
      </w:r>
    </w:p>
    <w:p w14:paraId="39DF1840" w14:textId="77777777" w:rsidR="00B01E6A" w:rsidRPr="00F32542" w:rsidRDefault="00B01E6A" w:rsidP="00B01E6A">
      <w:pPr>
        <w:spacing w:after="0" w:line="360" w:lineRule="auto"/>
        <w:jc w:val="both"/>
        <w:rPr>
          <w:rFonts w:ascii="Arial" w:hAnsi="Arial" w:cs="Arial"/>
          <w:spacing w:val="4"/>
          <w:sz w:val="28"/>
          <w:szCs w:val="28"/>
          <w:lang w:val="es-ES_tradnl"/>
        </w:rPr>
      </w:pPr>
      <w:bookmarkStart w:id="65" w:name="_Toc522100787"/>
      <w:r w:rsidRPr="00F32542">
        <w:rPr>
          <w:rFonts w:ascii="Arial" w:eastAsiaTheme="majorEastAsia" w:hAnsi="Arial" w:cs="Arial"/>
          <w:b/>
          <w:spacing w:val="4"/>
          <w:sz w:val="28"/>
          <w:szCs w:val="28"/>
        </w:rPr>
        <w:t>OCTAV</w:t>
      </w:r>
      <w:r w:rsidR="00CF2891" w:rsidRPr="00F32542">
        <w:rPr>
          <w:rFonts w:ascii="Arial" w:eastAsiaTheme="majorEastAsia" w:hAnsi="Arial" w:cs="Arial"/>
          <w:b/>
          <w:spacing w:val="4"/>
          <w:sz w:val="28"/>
          <w:szCs w:val="28"/>
        </w:rPr>
        <w:t>A</w:t>
      </w:r>
      <w:r w:rsidRPr="00F32542">
        <w:rPr>
          <w:rFonts w:ascii="Arial" w:eastAsiaTheme="majorEastAsia" w:hAnsi="Arial" w:cs="Arial"/>
          <w:b/>
          <w:spacing w:val="4"/>
          <w:sz w:val="28"/>
          <w:szCs w:val="28"/>
        </w:rPr>
        <w:t>. Efectos.</w:t>
      </w:r>
      <w:bookmarkEnd w:id="65"/>
      <w:r w:rsidRPr="00F32542">
        <w:rPr>
          <w:rFonts w:ascii="Arial" w:hAnsi="Arial" w:cs="Arial"/>
          <w:spacing w:val="4"/>
          <w:sz w:val="28"/>
          <w:szCs w:val="28"/>
        </w:rPr>
        <w:t xml:space="preserve"> </w:t>
      </w:r>
      <w:r w:rsidRPr="00F32542">
        <w:rPr>
          <w:rFonts w:ascii="Arial" w:hAnsi="Arial" w:cs="Arial"/>
          <w:spacing w:val="4"/>
          <w:sz w:val="28"/>
          <w:szCs w:val="28"/>
          <w:lang w:val="es-ES_tradnl"/>
        </w:rPr>
        <w:t xml:space="preserve">Por las consideraciones expuestas en los considerandos precedentes, este </w:t>
      </w:r>
      <w:r w:rsidRPr="00F32542">
        <w:rPr>
          <w:rFonts w:ascii="Arial" w:hAnsi="Arial" w:cs="Arial"/>
          <w:i/>
          <w:spacing w:val="4"/>
          <w:sz w:val="28"/>
          <w:szCs w:val="28"/>
          <w:lang w:val="es-ES_tradnl"/>
        </w:rPr>
        <w:t>Tribunal Electoral</w:t>
      </w:r>
      <w:r w:rsidRPr="00F32542">
        <w:rPr>
          <w:rFonts w:ascii="Arial" w:hAnsi="Arial" w:cs="Arial"/>
          <w:spacing w:val="4"/>
          <w:sz w:val="28"/>
          <w:szCs w:val="28"/>
          <w:lang w:val="es-ES_tradnl"/>
        </w:rPr>
        <w:t xml:space="preserve"> determina lo siguiente:</w:t>
      </w:r>
    </w:p>
    <w:p w14:paraId="3EB217EE" w14:textId="77777777" w:rsidR="00B01E6A" w:rsidRPr="00F32542" w:rsidRDefault="00B01E6A" w:rsidP="00B01E6A">
      <w:pPr>
        <w:spacing w:after="0" w:line="360" w:lineRule="auto"/>
        <w:jc w:val="both"/>
        <w:rPr>
          <w:rFonts w:ascii="Arial" w:hAnsi="Arial" w:cs="Arial"/>
          <w:spacing w:val="4"/>
          <w:sz w:val="28"/>
          <w:szCs w:val="28"/>
        </w:rPr>
      </w:pPr>
    </w:p>
    <w:p w14:paraId="514CE6A4" w14:textId="77777777" w:rsidR="00B01E6A" w:rsidRPr="00F32542" w:rsidRDefault="00B01E6A" w:rsidP="00B01E6A">
      <w:pPr>
        <w:spacing w:after="0" w:line="360" w:lineRule="auto"/>
        <w:ind w:right="51"/>
        <w:jc w:val="both"/>
        <w:rPr>
          <w:rFonts w:ascii="Arial" w:hAnsi="Arial" w:cs="Arial"/>
          <w:spacing w:val="4"/>
          <w:sz w:val="28"/>
          <w:szCs w:val="28"/>
        </w:rPr>
      </w:pPr>
      <w:r w:rsidRPr="00F32542">
        <w:rPr>
          <w:rFonts w:ascii="Arial" w:hAnsi="Arial" w:cs="Arial"/>
          <w:b/>
          <w:spacing w:val="4"/>
          <w:sz w:val="28"/>
          <w:szCs w:val="28"/>
        </w:rPr>
        <w:t>1.</w:t>
      </w:r>
      <w:r w:rsidRPr="00F32542">
        <w:rPr>
          <w:rFonts w:ascii="Arial" w:hAnsi="Arial" w:cs="Arial"/>
          <w:spacing w:val="4"/>
          <w:sz w:val="28"/>
          <w:szCs w:val="28"/>
        </w:rPr>
        <w:t xml:space="preserve"> </w:t>
      </w:r>
      <w:r w:rsidRPr="00F32542">
        <w:rPr>
          <w:rFonts w:ascii="Arial" w:hAnsi="Arial" w:cs="Arial"/>
          <w:b/>
          <w:spacing w:val="4"/>
          <w:sz w:val="28"/>
          <w:szCs w:val="28"/>
        </w:rPr>
        <w:t>Dejar firme</w:t>
      </w:r>
      <w:r w:rsidRPr="00F32542">
        <w:rPr>
          <w:rFonts w:ascii="Arial" w:hAnsi="Arial" w:cs="Arial"/>
          <w:spacing w:val="4"/>
          <w:sz w:val="28"/>
          <w:szCs w:val="28"/>
        </w:rPr>
        <w:t xml:space="preserve"> la lista A del </w:t>
      </w:r>
      <w:r w:rsidRPr="00F32542">
        <w:rPr>
          <w:rFonts w:ascii="Arial" w:hAnsi="Arial" w:cs="Arial"/>
          <w:i/>
          <w:spacing w:val="4"/>
          <w:sz w:val="28"/>
          <w:szCs w:val="28"/>
        </w:rPr>
        <w:t xml:space="preserve">PAN </w:t>
      </w:r>
      <w:r w:rsidRPr="00F32542">
        <w:rPr>
          <w:rFonts w:ascii="Arial" w:hAnsi="Arial" w:cs="Arial"/>
          <w:spacing w:val="4"/>
          <w:sz w:val="28"/>
          <w:szCs w:val="28"/>
        </w:rPr>
        <w:t xml:space="preserve">que originalmente presentó ante el Instituto Electoral y, en consecuencia, se </w:t>
      </w:r>
      <w:r w:rsidRPr="00F32542">
        <w:rPr>
          <w:rFonts w:ascii="Arial" w:hAnsi="Arial" w:cs="Arial"/>
          <w:b/>
          <w:spacing w:val="4"/>
          <w:sz w:val="28"/>
          <w:szCs w:val="28"/>
        </w:rPr>
        <w:t>modifica la lista definitiva</w:t>
      </w:r>
      <w:r w:rsidRPr="00F32542">
        <w:rPr>
          <w:rFonts w:ascii="Arial" w:hAnsi="Arial" w:cs="Arial"/>
          <w:spacing w:val="4"/>
          <w:sz w:val="28"/>
          <w:szCs w:val="28"/>
        </w:rPr>
        <w:t xml:space="preserve"> de dicho partido, para quedar en los términos siguientes (sólo se cita hasta la posición 9, que corresponde al número de diputaciones obtenidas por ese partido político):</w:t>
      </w:r>
    </w:p>
    <w:p w14:paraId="0E3911F9" w14:textId="77777777" w:rsidR="00B01E6A" w:rsidRPr="00F32542" w:rsidRDefault="00B01E6A" w:rsidP="00B01E6A">
      <w:pPr>
        <w:spacing w:after="0" w:line="360" w:lineRule="auto"/>
        <w:ind w:right="51"/>
        <w:jc w:val="both"/>
        <w:rPr>
          <w:rFonts w:ascii="Arial" w:hAnsi="Arial" w:cs="Arial"/>
          <w:spacing w:val="4"/>
          <w:sz w:val="24"/>
          <w:szCs w:val="24"/>
        </w:rPr>
      </w:pPr>
    </w:p>
    <w:tbl>
      <w:tblPr>
        <w:tblStyle w:val="Tablaconcuadrcula541"/>
        <w:tblW w:w="8859" w:type="dxa"/>
        <w:tblInd w:w="-75" w:type="dxa"/>
        <w:shd w:val="clear" w:color="auto" w:fill="FFFFFF" w:themeFill="background1"/>
        <w:tblLook w:val="04A0" w:firstRow="1" w:lastRow="0" w:firstColumn="1" w:lastColumn="0" w:noHBand="0" w:noVBand="1"/>
      </w:tblPr>
      <w:tblGrid>
        <w:gridCol w:w="1005"/>
        <w:gridCol w:w="695"/>
        <w:gridCol w:w="2765"/>
        <w:gridCol w:w="2835"/>
        <w:gridCol w:w="1559"/>
      </w:tblGrid>
      <w:tr w:rsidR="00B01E6A" w:rsidRPr="00F32542" w14:paraId="66CF73F9" w14:textId="77777777" w:rsidTr="003D047A">
        <w:trPr>
          <w:trHeight w:val="301"/>
          <w:tblHeader/>
        </w:trPr>
        <w:tc>
          <w:tcPr>
            <w:tcW w:w="8859" w:type="dxa"/>
            <w:gridSpan w:val="5"/>
            <w:shd w:val="clear" w:color="auto" w:fill="AEAAAA" w:themeFill="background2" w:themeFillShade="BF"/>
            <w:vAlign w:val="center"/>
          </w:tcPr>
          <w:p w14:paraId="3E73429E" w14:textId="77777777" w:rsidR="00B01E6A" w:rsidRPr="00F32542" w:rsidRDefault="00B01E6A" w:rsidP="00B01E6A">
            <w:pPr>
              <w:spacing w:after="0" w:line="240" w:lineRule="auto"/>
              <w:jc w:val="center"/>
              <w:rPr>
                <w:rFonts w:ascii="Arial" w:eastAsia="Calibri" w:hAnsi="Arial" w:cs="Arial"/>
                <w:b/>
                <w:sz w:val="20"/>
                <w:szCs w:val="20"/>
              </w:rPr>
            </w:pPr>
            <w:r w:rsidRPr="00F32542">
              <w:rPr>
                <w:rFonts w:ascii="Arial" w:eastAsia="Calibri" w:hAnsi="Arial" w:cs="Arial"/>
                <w:b/>
                <w:sz w:val="20"/>
                <w:szCs w:val="20"/>
              </w:rPr>
              <w:t>LISTA DEFINITIVA</w:t>
            </w:r>
          </w:p>
        </w:tc>
      </w:tr>
      <w:tr w:rsidR="00B01E6A" w:rsidRPr="00F32542" w14:paraId="76705BF0" w14:textId="77777777" w:rsidTr="003D047A">
        <w:trPr>
          <w:tblHeader/>
        </w:trPr>
        <w:tc>
          <w:tcPr>
            <w:tcW w:w="1005" w:type="dxa"/>
            <w:shd w:val="clear" w:color="auto" w:fill="FFFFFF" w:themeFill="background1"/>
            <w:vAlign w:val="center"/>
          </w:tcPr>
          <w:p w14:paraId="3FA109B9" w14:textId="77777777" w:rsidR="00B01E6A" w:rsidRPr="00F32542" w:rsidRDefault="00B01E6A" w:rsidP="00B01E6A">
            <w:pPr>
              <w:spacing w:after="0" w:line="240" w:lineRule="auto"/>
              <w:jc w:val="center"/>
              <w:rPr>
                <w:rFonts w:ascii="Arial" w:eastAsia="Calibri" w:hAnsi="Arial" w:cs="Arial"/>
                <w:b/>
                <w:sz w:val="20"/>
                <w:szCs w:val="20"/>
              </w:rPr>
            </w:pPr>
            <w:r w:rsidRPr="00F32542">
              <w:rPr>
                <w:rFonts w:ascii="Arial" w:eastAsia="Calibri" w:hAnsi="Arial" w:cs="Arial"/>
                <w:b/>
                <w:sz w:val="20"/>
                <w:szCs w:val="20"/>
              </w:rPr>
              <w:t>Fórmula</w:t>
            </w:r>
          </w:p>
        </w:tc>
        <w:tc>
          <w:tcPr>
            <w:tcW w:w="695" w:type="dxa"/>
            <w:shd w:val="clear" w:color="auto" w:fill="FFFFFF" w:themeFill="background1"/>
            <w:vAlign w:val="center"/>
          </w:tcPr>
          <w:p w14:paraId="1FFED820" w14:textId="77777777" w:rsidR="00B01E6A" w:rsidRPr="00F32542" w:rsidRDefault="00B01E6A" w:rsidP="00B01E6A">
            <w:pPr>
              <w:spacing w:after="0" w:line="240" w:lineRule="auto"/>
              <w:jc w:val="center"/>
              <w:rPr>
                <w:rFonts w:ascii="Arial" w:eastAsia="Calibri" w:hAnsi="Arial" w:cs="Arial"/>
                <w:b/>
                <w:sz w:val="20"/>
                <w:szCs w:val="20"/>
              </w:rPr>
            </w:pPr>
            <w:r w:rsidRPr="00F32542">
              <w:rPr>
                <w:rFonts w:ascii="Arial" w:eastAsia="Calibri" w:hAnsi="Arial" w:cs="Arial"/>
                <w:b/>
                <w:sz w:val="20"/>
                <w:szCs w:val="20"/>
              </w:rPr>
              <w:t>Sexo</w:t>
            </w:r>
          </w:p>
        </w:tc>
        <w:tc>
          <w:tcPr>
            <w:tcW w:w="2765" w:type="dxa"/>
            <w:shd w:val="clear" w:color="auto" w:fill="FFFFFF" w:themeFill="background1"/>
            <w:vAlign w:val="center"/>
          </w:tcPr>
          <w:p w14:paraId="0EB5F5E8" w14:textId="77777777" w:rsidR="00B01E6A" w:rsidRPr="00F32542" w:rsidRDefault="00B01E6A" w:rsidP="00B01E6A">
            <w:pPr>
              <w:spacing w:after="0" w:line="240" w:lineRule="auto"/>
              <w:jc w:val="center"/>
              <w:rPr>
                <w:rFonts w:ascii="Arial" w:eastAsia="Calibri" w:hAnsi="Arial" w:cs="Arial"/>
                <w:b/>
                <w:sz w:val="20"/>
                <w:szCs w:val="20"/>
              </w:rPr>
            </w:pPr>
            <w:r w:rsidRPr="00F32542">
              <w:rPr>
                <w:rFonts w:ascii="Arial" w:eastAsia="Calibri" w:hAnsi="Arial" w:cs="Arial"/>
                <w:b/>
                <w:sz w:val="20"/>
                <w:szCs w:val="20"/>
              </w:rPr>
              <w:t>Candidatura propietaria</w:t>
            </w:r>
          </w:p>
        </w:tc>
        <w:tc>
          <w:tcPr>
            <w:tcW w:w="2835" w:type="dxa"/>
            <w:shd w:val="clear" w:color="auto" w:fill="FFFFFF" w:themeFill="background1"/>
            <w:vAlign w:val="center"/>
          </w:tcPr>
          <w:p w14:paraId="75A7742F" w14:textId="77777777" w:rsidR="00B01E6A" w:rsidRPr="00F32542" w:rsidRDefault="00B01E6A" w:rsidP="00B01E6A">
            <w:pPr>
              <w:spacing w:after="0" w:line="240" w:lineRule="auto"/>
              <w:jc w:val="center"/>
              <w:rPr>
                <w:rFonts w:ascii="Arial" w:eastAsia="Calibri" w:hAnsi="Arial" w:cs="Arial"/>
                <w:b/>
                <w:sz w:val="20"/>
                <w:szCs w:val="20"/>
              </w:rPr>
            </w:pPr>
            <w:r w:rsidRPr="00F32542">
              <w:rPr>
                <w:rFonts w:ascii="Arial" w:eastAsia="Calibri" w:hAnsi="Arial" w:cs="Arial"/>
                <w:b/>
                <w:sz w:val="20"/>
                <w:szCs w:val="20"/>
              </w:rPr>
              <w:t>Candidatura suplente</w:t>
            </w:r>
          </w:p>
        </w:tc>
        <w:tc>
          <w:tcPr>
            <w:tcW w:w="1559" w:type="dxa"/>
            <w:shd w:val="clear" w:color="auto" w:fill="FFFFFF" w:themeFill="background1"/>
            <w:vAlign w:val="center"/>
          </w:tcPr>
          <w:p w14:paraId="3421240A" w14:textId="77777777" w:rsidR="00B01E6A" w:rsidRPr="00F32542" w:rsidRDefault="00B01E6A" w:rsidP="00B01E6A">
            <w:pPr>
              <w:spacing w:after="0" w:line="240" w:lineRule="auto"/>
              <w:jc w:val="center"/>
              <w:rPr>
                <w:rFonts w:ascii="Arial" w:eastAsia="Calibri" w:hAnsi="Arial" w:cs="Arial"/>
                <w:b/>
                <w:sz w:val="20"/>
                <w:szCs w:val="20"/>
              </w:rPr>
            </w:pPr>
            <w:r w:rsidRPr="00F32542">
              <w:rPr>
                <w:rFonts w:ascii="Arial" w:eastAsia="Calibri" w:hAnsi="Arial" w:cs="Arial"/>
                <w:b/>
                <w:sz w:val="20"/>
                <w:szCs w:val="20"/>
              </w:rPr>
              <w:t>Lugar y lista de origen</w:t>
            </w:r>
          </w:p>
        </w:tc>
      </w:tr>
      <w:tr w:rsidR="00B01E6A" w:rsidRPr="00F32542" w14:paraId="60A564EB" w14:textId="77777777" w:rsidTr="00B65D24">
        <w:tc>
          <w:tcPr>
            <w:tcW w:w="1005" w:type="dxa"/>
            <w:shd w:val="clear" w:color="auto" w:fill="FFFFFF" w:themeFill="background1"/>
            <w:vAlign w:val="center"/>
          </w:tcPr>
          <w:p w14:paraId="4F83EAE4" w14:textId="77777777" w:rsidR="00B01E6A" w:rsidRPr="00F32542" w:rsidRDefault="00B01E6A" w:rsidP="009B6ED0">
            <w:pPr>
              <w:widowControl w:val="0"/>
              <w:numPr>
                <w:ilvl w:val="0"/>
                <w:numId w:val="35"/>
              </w:numPr>
              <w:spacing w:after="0" w:line="240" w:lineRule="auto"/>
              <w:jc w:val="both"/>
              <w:rPr>
                <w:rFonts w:ascii="Arial" w:eastAsia="Calibri" w:hAnsi="Arial" w:cs="Arial"/>
                <w:b/>
                <w:sz w:val="20"/>
                <w:szCs w:val="20"/>
              </w:rPr>
            </w:pPr>
          </w:p>
        </w:tc>
        <w:tc>
          <w:tcPr>
            <w:tcW w:w="695" w:type="dxa"/>
            <w:shd w:val="clear" w:color="auto" w:fill="FFFFFF" w:themeFill="background1"/>
            <w:vAlign w:val="center"/>
          </w:tcPr>
          <w:p w14:paraId="12D70B77" w14:textId="77777777" w:rsidR="00B01E6A" w:rsidRPr="00F32542" w:rsidRDefault="00B01E6A" w:rsidP="00B01E6A">
            <w:pPr>
              <w:spacing w:after="0" w:line="240" w:lineRule="auto"/>
              <w:jc w:val="center"/>
              <w:rPr>
                <w:rFonts w:ascii="Arial" w:eastAsia="Calibri" w:hAnsi="Arial" w:cs="Arial"/>
                <w:b/>
                <w:sz w:val="20"/>
                <w:szCs w:val="20"/>
              </w:rPr>
            </w:pPr>
            <w:r w:rsidRPr="00F32542">
              <w:rPr>
                <w:rFonts w:ascii="Arial" w:eastAsia="Calibri" w:hAnsi="Arial" w:cs="Arial"/>
                <w:b/>
                <w:sz w:val="20"/>
                <w:szCs w:val="20"/>
              </w:rPr>
              <w:t>H</w:t>
            </w:r>
          </w:p>
        </w:tc>
        <w:tc>
          <w:tcPr>
            <w:tcW w:w="2765" w:type="dxa"/>
            <w:shd w:val="clear" w:color="auto" w:fill="FFFFFF" w:themeFill="background1"/>
            <w:vAlign w:val="center"/>
          </w:tcPr>
          <w:p w14:paraId="5EDF9784"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Federico </w:t>
            </w:r>
            <w:proofErr w:type="spellStart"/>
            <w:r w:rsidRPr="00F32542">
              <w:rPr>
                <w:rFonts w:ascii="Arial" w:eastAsia="Calibri" w:hAnsi="Arial" w:cs="Arial"/>
                <w:sz w:val="20"/>
                <w:szCs w:val="20"/>
              </w:rPr>
              <w:t>Döring</w:t>
            </w:r>
            <w:proofErr w:type="spellEnd"/>
            <w:r w:rsidRPr="00F32542">
              <w:rPr>
                <w:rFonts w:ascii="Arial" w:eastAsia="Calibri" w:hAnsi="Arial" w:cs="Arial"/>
                <w:sz w:val="20"/>
                <w:szCs w:val="20"/>
              </w:rPr>
              <w:t xml:space="preserve"> Casar</w:t>
            </w:r>
          </w:p>
        </w:tc>
        <w:tc>
          <w:tcPr>
            <w:tcW w:w="2835" w:type="dxa"/>
            <w:shd w:val="clear" w:color="auto" w:fill="FFFFFF" w:themeFill="background1"/>
            <w:vAlign w:val="center"/>
          </w:tcPr>
          <w:p w14:paraId="42C48123"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Luis Antonio Oviedo Garza</w:t>
            </w:r>
          </w:p>
        </w:tc>
        <w:tc>
          <w:tcPr>
            <w:tcW w:w="1559" w:type="dxa"/>
            <w:shd w:val="clear" w:color="auto" w:fill="FFFFFF" w:themeFill="background1"/>
            <w:vAlign w:val="center"/>
          </w:tcPr>
          <w:p w14:paraId="079B01EC"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1A</w:t>
            </w:r>
          </w:p>
        </w:tc>
      </w:tr>
      <w:tr w:rsidR="00B01E6A" w:rsidRPr="00F32542" w14:paraId="3187985E" w14:textId="77777777" w:rsidTr="00B65D24">
        <w:tc>
          <w:tcPr>
            <w:tcW w:w="1005" w:type="dxa"/>
            <w:shd w:val="clear" w:color="auto" w:fill="FFFFFF" w:themeFill="background1"/>
            <w:vAlign w:val="center"/>
          </w:tcPr>
          <w:p w14:paraId="441D6F53" w14:textId="77777777" w:rsidR="00B01E6A" w:rsidRPr="00F32542" w:rsidRDefault="00B01E6A" w:rsidP="009B6ED0">
            <w:pPr>
              <w:widowControl w:val="0"/>
              <w:numPr>
                <w:ilvl w:val="0"/>
                <w:numId w:val="35"/>
              </w:numPr>
              <w:spacing w:after="0" w:line="240" w:lineRule="auto"/>
              <w:jc w:val="center"/>
              <w:rPr>
                <w:rFonts w:ascii="Arial" w:eastAsia="Calibri" w:hAnsi="Arial" w:cs="Arial"/>
                <w:b/>
                <w:sz w:val="20"/>
                <w:szCs w:val="20"/>
              </w:rPr>
            </w:pPr>
          </w:p>
        </w:tc>
        <w:tc>
          <w:tcPr>
            <w:tcW w:w="695" w:type="dxa"/>
            <w:shd w:val="clear" w:color="auto" w:fill="FFFFFF" w:themeFill="background1"/>
            <w:vAlign w:val="center"/>
          </w:tcPr>
          <w:p w14:paraId="3844A8D5" w14:textId="77777777" w:rsidR="00B01E6A" w:rsidRPr="00F32542" w:rsidRDefault="00B01E6A" w:rsidP="00B01E6A">
            <w:pPr>
              <w:spacing w:after="0" w:line="240" w:lineRule="auto"/>
              <w:jc w:val="center"/>
              <w:rPr>
                <w:rFonts w:ascii="Arial" w:eastAsia="Calibri" w:hAnsi="Arial" w:cs="Arial"/>
                <w:b/>
                <w:sz w:val="20"/>
                <w:szCs w:val="20"/>
              </w:rPr>
            </w:pPr>
            <w:r w:rsidRPr="00F32542">
              <w:rPr>
                <w:rFonts w:ascii="Arial" w:eastAsia="Calibri" w:hAnsi="Arial" w:cs="Arial"/>
                <w:b/>
                <w:sz w:val="20"/>
                <w:szCs w:val="20"/>
              </w:rPr>
              <w:t>M</w:t>
            </w:r>
          </w:p>
        </w:tc>
        <w:tc>
          <w:tcPr>
            <w:tcW w:w="2765" w:type="dxa"/>
            <w:shd w:val="clear" w:color="auto" w:fill="FFFFFF" w:themeFill="background1"/>
            <w:vAlign w:val="center"/>
          </w:tcPr>
          <w:p w14:paraId="3D0DB983"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María Gabriela Salido Magos</w:t>
            </w:r>
          </w:p>
        </w:tc>
        <w:tc>
          <w:tcPr>
            <w:tcW w:w="2835" w:type="dxa"/>
            <w:shd w:val="clear" w:color="auto" w:fill="FFFFFF" w:themeFill="background1"/>
            <w:vAlign w:val="center"/>
          </w:tcPr>
          <w:p w14:paraId="5292B107"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Vania </w:t>
            </w:r>
            <w:proofErr w:type="spellStart"/>
            <w:r w:rsidRPr="00F32542">
              <w:rPr>
                <w:rFonts w:ascii="Arial" w:eastAsia="Calibri" w:hAnsi="Arial" w:cs="Arial"/>
                <w:sz w:val="20"/>
                <w:szCs w:val="20"/>
              </w:rPr>
              <w:t>Yael</w:t>
            </w:r>
            <w:proofErr w:type="spellEnd"/>
            <w:r w:rsidRPr="00F32542">
              <w:rPr>
                <w:rFonts w:ascii="Arial" w:eastAsia="Calibri" w:hAnsi="Arial" w:cs="Arial"/>
                <w:sz w:val="20"/>
                <w:szCs w:val="20"/>
              </w:rPr>
              <w:t xml:space="preserve"> González Veloz</w:t>
            </w:r>
          </w:p>
        </w:tc>
        <w:tc>
          <w:tcPr>
            <w:tcW w:w="1559" w:type="dxa"/>
            <w:shd w:val="clear" w:color="auto" w:fill="FFFFFF" w:themeFill="background1"/>
            <w:vAlign w:val="center"/>
          </w:tcPr>
          <w:p w14:paraId="609E3C99"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1B</w:t>
            </w:r>
          </w:p>
        </w:tc>
      </w:tr>
      <w:tr w:rsidR="00B01E6A" w:rsidRPr="00F32542" w14:paraId="0C4DB7FD" w14:textId="77777777" w:rsidTr="00B65D24">
        <w:tc>
          <w:tcPr>
            <w:tcW w:w="1005" w:type="dxa"/>
            <w:shd w:val="clear" w:color="auto" w:fill="FFFFFF" w:themeFill="background1"/>
            <w:vAlign w:val="center"/>
          </w:tcPr>
          <w:p w14:paraId="39ED1F5F" w14:textId="77777777" w:rsidR="00B01E6A" w:rsidRPr="00F32542" w:rsidRDefault="00B01E6A" w:rsidP="009B6ED0">
            <w:pPr>
              <w:widowControl w:val="0"/>
              <w:numPr>
                <w:ilvl w:val="0"/>
                <w:numId w:val="35"/>
              </w:numPr>
              <w:spacing w:after="0" w:line="240" w:lineRule="auto"/>
              <w:jc w:val="center"/>
              <w:rPr>
                <w:rFonts w:ascii="Arial" w:eastAsia="Calibri" w:hAnsi="Arial" w:cs="Arial"/>
                <w:b/>
                <w:sz w:val="20"/>
                <w:szCs w:val="20"/>
              </w:rPr>
            </w:pPr>
          </w:p>
        </w:tc>
        <w:tc>
          <w:tcPr>
            <w:tcW w:w="695" w:type="dxa"/>
            <w:shd w:val="clear" w:color="auto" w:fill="FFFFFF" w:themeFill="background1"/>
            <w:vAlign w:val="center"/>
          </w:tcPr>
          <w:p w14:paraId="58D95574" w14:textId="77777777" w:rsidR="00B01E6A" w:rsidRPr="00F32542" w:rsidRDefault="00B01E6A" w:rsidP="00B01E6A">
            <w:pPr>
              <w:spacing w:after="0" w:line="240" w:lineRule="auto"/>
              <w:jc w:val="center"/>
              <w:rPr>
                <w:rFonts w:ascii="Arial" w:eastAsia="Calibri" w:hAnsi="Arial" w:cs="Arial"/>
                <w:b/>
                <w:sz w:val="20"/>
                <w:szCs w:val="20"/>
              </w:rPr>
            </w:pPr>
            <w:r w:rsidRPr="00F32542">
              <w:rPr>
                <w:rFonts w:ascii="Arial" w:eastAsia="Calibri" w:hAnsi="Arial" w:cs="Arial"/>
                <w:b/>
                <w:sz w:val="20"/>
                <w:szCs w:val="20"/>
              </w:rPr>
              <w:t>M</w:t>
            </w:r>
          </w:p>
        </w:tc>
        <w:tc>
          <w:tcPr>
            <w:tcW w:w="2765" w:type="dxa"/>
            <w:shd w:val="clear" w:color="auto" w:fill="FFFFFF" w:themeFill="background1"/>
            <w:vAlign w:val="center"/>
          </w:tcPr>
          <w:p w14:paraId="24B02A18"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Luisa Adriana Gutiérrez Ureña</w:t>
            </w:r>
          </w:p>
        </w:tc>
        <w:tc>
          <w:tcPr>
            <w:tcW w:w="2835" w:type="dxa"/>
            <w:shd w:val="clear" w:color="auto" w:fill="FFFFFF" w:themeFill="background1"/>
            <w:vAlign w:val="center"/>
          </w:tcPr>
          <w:p w14:paraId="154BA43A"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Itzel Abigail Arellano Cruces</w:t>
            </w:r>
          </w:p>
        </w:tc>
        <w:tc>
          <w:tcPr>
            <w:tcW w:w="1559" w:type="dxa"/>
            <w:shd w:val="clear" w:color="auto" w:fill="FFFFFF" w:themeFill="background1"/>
            <w:vAlign w:val="center"/>
          </w:tcPr>
          <w:p w14:paraId="11E7FFD1"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2A</w:t>
            </w:r>
          </w:p>
        </w:tc>
      </w:tr>
      <w:tr w:rsidR="00B01E6A" w:rsidRPr="00F32542" w14:paraId="0A9B4A6F" w14:textId="77777777" w:rsidTr="00B65D24">
        <w:tc>
          <w:tcPr>
            <w:tcW w:w="1005" w:type="dxa"/>
            <w:shd w:val="clear" w:color="auto" w:fill="FFFFFF" w:themeFill="background1"/>
            <w:vAlign w:val="center"/>
          </w:tcPr>
          <w:p w14:paraId="1C982E31" w14:textId="77777777" w:rsidR="00B01E6A" w:rsidRPr="00F32542" w:rsidRDefault="00B01E6A" w:rsidP="009B6ED0">
            <w:pPr>
              <w:widowControl w:val="0"/>
              <w:numPr>
                <w:ilvl w:val="0"/>
                <w:numId w:val="35"/>
              </w:numPr>
              <w:spacing w:after="0" w:line="240" w:lineRule="auto"/>
              <w:jc w:val="center"/>
              <w:rPr>
                <w:rFonts w:ascii="Arial" w:eastAsia="Calibri" w:hAnsi="Arial" w:cs="Arial"/>
                <w:b/>
                <w:sz w:val="20"/>
                <w:szCs w:val="20"/>
              </w:rPr>
            </w:pPr>
          </w:p>
        </w:tc>
        <w:tc>
          <w:tcPr>
            <w:tcW w:w="695" w:type="dxa"/>
            <w:shd w:val="clear" w:color="auto" w:fill="FFFFFF" w:themeFill="background1"/>
            <w:vAlign w:val="center"/>
          </w:tcPr>
          <w:p w14:paraId="1530DA01" w14:textId="77777777" w:rsidR="00B01E6A" w:rsidRPr="00F32542" w:rsidRDefault="00B01E6A" w:rsidP="00B01E6A">
            <w:pPr>
              <w:spacing w:after="0" w:line="240" w:lineRule="auto"/>
              <w:jc w:val="center"/>
              <w:rPr>
                <w:rFonts w:ascii="Arial" w:eastAsia="Calibri" w:hAnsi="Arial" w:cs="Arial"/>
                <w:b/>
                <w:sz w:val="20"/>
                <w:szCs w:val="20"/>
              </w:rPr>
            </w:pPr>
            <w:r w:rsidRPr="00F32542">
              <w:rPr>
                <w:rFonts w:ascii="Arial" w:eastAsia="Calibri" w:hAnsi="Arial" w:cs="Arial"/>
                <w:b/>
                <w:sz w:val="20"/>
                <w:szCs w:val="20"/>
              </w:rPr>
              <w:t>H</w:t>
            </w:r>
          </w:p>
        </w:tc>
        <w:tc>
          <w:tcPr>
            <w:tcW w:w="2765" w:type="dxa"/>
            <w:shd w:val="clear" w:color="auto" w:fill="FFFFFF" w:themeFill="background1"/>
            <w:vAlign w:val="center"/>
          </w:tcPr>
          <w:p w14:paraId="0E2827CA"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Luis Alberto Chávez García</w:t>
            </w:r>
          </w:p>
        </w:tc>
        <w:tc>
          <w:tcPr>
            <w:tcW w:w="2835" w:type="dxa"/>
            <w:shd w:val="clear" w:color="auto" w:fill="FFFFFF" w:themeFill="background1"/>
            <w:vAlign w:val="center"/>
          </w:tcPr>
          <w:p w14:paraId="358B388A"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Frida Fernanda Alcántara Cabrera</w:t>
            </w:r>
          </w:p>
        </w:tc>
        <w:tc>
          <w:tcPr>
            <w:tcW w:w="1559" w:type="dxa"/>
            <w:shd w:val="clear" w:color="auto" w:fill="FFFFFF" w:themeFill="background1"/>
            <w:vAlign w:val="center"/>
          </w:tcPr>
          <w:p w14:paraId="3904DCE7"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2B</w:t>
            </w:r>
          </w:p>
        </w:tc>
      </w:tr>
      <w:tr w:rsidR="00B01E6A" w:rsidRPr="00F32542" w14:paraId="1645F19D" w14:textId="77777777" w:rsidTr="00B65D24">
        <w:tc>
          <w:tcPr>
            <w:tcW w:w="1005" w:type="dxa"/>
            <w:shd w:val="clear" w:color="auto" w:fill="FFFFFF" w:themeFill="background1"/>
            <w:vAlign w:val="center"/>
          </w:tcPr>
          <w:p w14:paraId="028346DD" w14:textId="77777777" w:rsidR="00B01E6A" w:rsidRPr="00F32542" w:rsidRDefault="00B01E6A" w:rsidP="009B6ED0">
            <w:pPr>
              <w:widowControl w:val="0"/>
              <w:numPr>
                <w:ilvl w:val="0"/>
                <w:numId w:val="35"/>
              </w:numPr>
              <w:spacing w:after="0" w:line="240" w:lineRule="auto"/>
              <w:jc w:val="center"/>
              <w:rPr>
                <w:rFonts w:ascii="Arial" w:eastAsia="Calibri" w:hAnsi="Arial" w:cs="Arial"/>
                <w:b/>
                <w:sz w:val="20"/>
                <w:szCs w:val="20"/>
              </w:rPr>
            </w:pPr>
          </w:p>
        </w:tc>
        <w:tc>
          <w:tcPr>
            <w:tcW w:w="695" w:type="dxa"/>
            <w:shd w:val="clear" w:color="auto" w:fill="FFFFFF" w:themeFill="background1"/>
            <w:vAlign w:val="center"/>
          </w:tcPr>
          <w:p w14:paraId="01424B27" w14:textId="77777777" w:rsidR="00B01E6A" w:rsidRPr="00F32542" w:rsidRDefault="00B01E6A" w:rsidP="00B01E6A">
            <w:pPr>
              <w:spacing w:after="0" w:line="240" w:lineRule="auto"/>
              <w:jc w:val="center"/>
              <w:rPr>
                <w:rFonts w:ascii="Arial" w:eastAsia="Calibri" w:hAnsi="Arial" w:cs="Arial"/>
                <w:b/>
                <w:sz w:val="20"/>
                <w:szCs w:val="20"/>
              </w:rPr>
            </w:pPr>
            <w:r w:rsidRPr="00F32542">
              <w:rPr>
                <w:rFonts w:ascii="Arial" w:eastAsia="Calibri" w:hAnsi="Arial" w:cs="Arial"/>
                <w:b/>
                <w:sz w:val="20"/>
                <w:szCs w:val="20"/>
              </w:rPr>
              <w:t>H</w:t>
            </w:r>
          </w:p>
        </w:tc>
        <w:tc>
          <w:tcPr>
            <w:tcW w:w="2765" w:type="dxa"/>
            <w:shd w:val="clear" w:color="auto" w:fill="FFFFFF" w:themeFill="background1"/>
            <w:vAlign w:val="center"/>
          </w:tcPr>
          <w:p w14:paraId="6749D9DB" w14:textId="77777777" w:rsidR="00B01E6A" w:rsidRPr="00F32542" w:rsidRDefault="00B01E6A" w:rsidP="00B01E6A">
            <w:pPr>
              <w:spacing w:after="0" w:line="240" w:lineRule="auto"/>
              <w:jc w:val="center"/>
              <w:rPr>
                <w:rFonts w:ascii="Arial" w:eastAsia="Calibri" w:hAnsi="Arial" w:cs="Arial"/>
                <w:sz w:val="20"/>
                <w:szCs w:val="20"/>
              </w:rPr>
            </w:pPr>
            <w:proofErr w:type="spellStart"/>
            <w:r w:rsidRPr="00F32542">
              <w:rPr>
                <w:rFonts w:ascii="Arial" w:eastAsia="Calibri" w:hAnsi="Arial" w:cs="Arial"/>
                <w:sz w:val="20"/>
                <w:szCs w:val="20"/>
              </w:rPr>
              <w:t>Anibal</w:t>
            </w:r>
            <w:proofErr w:type="spellEnd"/>
            <w:r w:rsidRPr="00F32542">
              <w:rPr>
                <w:rFonts w:ascii="Arial" w:eastAsia="Calibri" w:hAnsi="Arial" w:cs="Arial"/>
                <w:sz w:val="20"/>
                <w:szCs w:val="20"/>
              </w:rPr>
              <w:t xml:space="preserve"> Alexandro </w:t>
            </w:r>
            <w:proofErr w:type="spellStart"/>
            <w:r w:rsidRPr="00F32542">
              <w:rPr>
                <w:rFonts w:ascii="Arial" w:eastAsia="Calibri" w:hAnsi="Arial" w:cs="Arial"/>
                <w:sz w:val="20"/>
                <w:szCs w:val="20"/>
              </w:rPr>
              <w:t>Cáñez</w:t>
            </w:r>
            <w:proofErr w:type="spellEnd"/>
            <w:r w:rsidRPr="00F32542">
              <w:rPr>
                <w:rFonts w:ascii="Arial" w:eastAsia="Calibri" w:hAnsi="Arial" w:cs="Arial"/>
                <w:sz w:val="20"/>
                <w:szCs w:val="20"/>
              </w:rPr>
              <w:t xml:space="preserve"> Morales</w:t>
            </w:r>
          </w:p>
        </w:tc>
        <w:tc>
          <w:tcPr>
            <w:tcW w:w="2835" w:type="dxa"/>
            <w:shd w:val="clear" w:color="auto" w:fill="FFFFFF" w:themeFill="background1"/>
            <w:vAlign w:val="center"/>
          </w:tcPr>
          <w:p w14:paraId="17378A5C"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Alain León </w:t>
            </w:r>
            <w:proofErr w:type="spellStart"/>
            <w:r w:rsidRPr="00F32542">
              <w:rPr>
                <w:rFonts w:ascii="Arial" w:eastAsia="Calibri" w:hAnsi="Arial" w:cs="Arial"/>
                <w:sz w:val="20"/>
                <w:szCs w:val="20"/>
              </w:rPr>
              <w:t>Rasetti</w:t>
            </w:r>
            <w:proofErr w:type="spellEnd"/>
          </w:p>
        </w:tc>
        <w:tc>
          <w:tcPr>
            <w:tcW w:w="1559" w:type="dxa"/>
            <w:shd w:val="clear" w:color="auto" w:fill="FFFFFF" w:themeFill="background1"/>
            <w:vAlign w:val="center"/>
          </w:tcPr>
          <w:p w14:paraId="48C3B00E"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3A</w:t>
            </w:r>
          </w:p>
        </w:tc>
      </w:tr>
      <w:tr w:rsidR="00B01E6A" w:rsidRPr="00F32542" w14:paraId="1E0ADFAB" w14:textId="77777777" w:rsidTr="00B65D24">
        <w:tc>
          <w:tcPr>
            <w:tcW w:w="1005" w:type="dxa"/>
            <w:shd w:val="clear" w:color="auto" w:fill="FFFFFF" w:themeFill="background1"/>
            <w:vAlign w:val="center"/>
          </w:tcPr>
          <w:p w14:paraId="1452D66D" w14:textId="77777777" w:rsidR="00B01E6A" w:rsidRPr="00F32542" w:rsidRDefault="00B01E6A" w:rsidP="009B6ED0">
            <w:pPr>
              <w:widowControl w:val="0"/>
              <w:numPr>
                <w:ilvl w:val="0"/>
                <w:numId w:val="35"/>
              </w:numPr>
              <w:spacing w:after="0" w:line="240" w:lineRule="auto"/>
              <w:jc w:val="center"/>
              <w:rPr>
                <w:rFonts w:ascii="Arial" w:eastAsia="Calibri" w:hAnsi="Arial" w:cs="Arial"/>
                <w:b/>
                <w:sz w:val="20"/>
                <w:szCs w:val="20"/>
              </w:rPr>
            </w:pPr>
          </w:p>
        </w:tc>
        <w:tc>
          <w:tcPr>
            <w:tcW w:w="695" w:type="dxa"/>
            <w:shd w:val="clear" w:color="auto" w:fill="FFFFFF" w:themeFill="background1"/>
            <w:vAlign w:val="center"/>
          </w:tcPr>
          <w:p w14:paraId="48F8C487" w14:textId="77777777" w:rsidR="00B01E6A" w:rsidRPr="00F32542" w:rsidRDefault="00B01E6A" w:rsidP="00B01E6A">
            <w:pPr>
              <w:spacing w:after="0" w:line="240" w:lineRule="auto"/>
              <w:jc w:val="center"/>
              <w:rPr>
                <w:rFonts w:ascii="Arial" w:eastAsia="Calibri" w:hAnsi="Arial" w:cs="Arial"/>
                <w:b/>
                <w:sz w:val="20"/>
                <w:szCs w:val="20"/>
              </w:rPr>
            </w:pPr>
            <w:r w:rsidRPr="00F32542">
              <w:rPr>
                <w:rFonts w:ascii="Arial" w:eastAsia="Calibri" w:hAnsi="Arial" w:cs="Arial"/>
                <w:b/>
                <w:sz w:val="20"/>
                <w:szCs w:val="20"/>
              </w:rPr>
              <w:t>M</w:t>
            </w:r>
          </w:p>
        </w:tc>
        <w:tc>
          <w:tcPr>
            <w:tcW w:w="2765" w:type="dxa"/>
            <w:shd w:val="clear" w:color="auto" w:fill="FFFFFF" w:themeFill="background1"/>
            <w:vAlign w:val="center"/>
          </w:tcPr>
          <w:p w14:paraId="0A9839FA"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Andrea </w:t>
            </w:r>
            <w:proofErr w:type="spellStart"/>
            <w:r w:rsidRPr="00F32542">
              <w:rPr>
                <w:rFonts w:ascii="Arial" w:eastAsia="Calibri" w:hAnsi="Arial" w:cs="Arial"/>
                <w:sz w:val="20"/>
                <w:szCs w:val="20"/>
              </w:rPr>
              <w:t>Evelyne</w:t>
            </w:r>
            <w:proofErr w:type="spellEnd"/>
            <w:r w:rsidRPr="00F32542">
              <w:rPr>
                <w:rFonts w:ascii="Arial" w:eastAsia="Calibri" w:hAnsi="Arial" w:cs="Arial"/>
                <w:sz w:val="20"/>
                <w:szCs w:val="20"/>
              </w:rPr>
              <w:t xml:space="preserve"> </w:t>
            </w:r>
            <w:proofErr w:type="spellStart"/>
            <w:r w:rsidRPr="00F32542">
              <w:rPr>
                <w:rFonts w:ascii="Arial" w:eastAsia="Calibri" w:hAnsi="Arial" w:cs="Arial"/>
                <w:sz w:val="20"/>
                <w:szCs w:val="20"/>
              </w:rPr>
              <w:t>Vicenteño</w:t>
            </w:r>
            <w:proofErr w:type="spellEnd"/>
            <w:r w:rsidRPr="00F32542">
              <w:rPr>
                <w:rFonts w:ascii="Arial" w:eastAsia="Calibri" w:hAnsi="Arial" w:cs="Arial"/>
                <w:sz w:val="20"/>
                <w:szCs w:val="20"/>
              </w:rPr>
              <w:t xml:space="preserve"> Barrientos</w:t>
            </w:r>
          </w:p>
        </w:tc>
        <w:tc>
          <w:tcPr>
            <w:tcW w:w="2835" w:type="dxa"/>
            <w:shd w:val="clear" w:color="auto" w:fill="FFFFFF" w:themeFill="background1"/>
            <w:vAlign w:val="center"/>
          </w:tcPr>
          <w:p w14:paraId="0CF4D183"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 xml:space="preserve">Suri </w:t>
            </w:r>
            <w:proofErr w:type="spellStart"/>
            <w:r w:rsidRPr="00F32542">
              <w:rPr>
                <w:rFonts w:ascii="Arial" w:eastAsia="Calibri" w:hAnsi="Arial" w:cs="Arial"/>
                <w:sz w:val="20"/>
                <w:szCs w:val="20"/>
              </w:rPr>
              <w:t>Zaday</w:t>
            </w:r>
            <w:proofErr w:type="spellEnd"/>
            <w:r w:rsidRPr="00F32542">
              <w:rPr>
                <w:rFonts w:ascii="Arial" w:eastAsia="Calibri" w:hAnsi="Arial" w:cs="Arial"/>
                <w:sz w:val="20"/>
                <w:szCs w:val="20"/>
              </w:rPr>
              <w:t xml:space="preserve"> Aquino Cholula</w:t>
            </w:r>
          </w:p>
        </w:tc>
        <w:tc>
          <w:tcPr>
            <w:tcW w:w="1559" w:type="dxa"/>
            <w:shd w:val="clear" w:color="auto" w:fill="FFFFFF" w:themeFill="background1"/>
            <w:vAlign w:val="center"/>
          </w:tcPr>
          <w:p w14:paraId="27165014"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3B</w:t>
            </w:r>
          </w:p>
        </w:tc>
      </w:tr>
      <w:tr w:rsidR="00B01E6A" w:rsidRPr="00F32542" w14:paraId="031A286D" w14:textId="77777777" w:rsidTr="00B65D24">
        <w:tc>
          <w:tcPr>
            <w:tcW w:w="1005" w:type="dxa"/>
            <w:shd w:val="clear" w:color="auto" w:fill="FFFFFF" w:themeFill="background1"/>
            <w:vAlign w:val="center"/>
          </w:tcPr>
          <w:p w14:paraId="223352C7" w14:textId="77777777" w:rsidR="00B01E6A" w:rsidRPr="00F32542" w:rsidRDefault="00B01E6A" w:rsidP="009B6ED0">
            <w:pPr>
              <w:widowControl w:val="0"/>
              <w:numPr>
                <w:ilvl w:val="0"/>
                <w:numId w:val="35"/>
              </w:numPr>
              <w:spacing w:after="0" w:line="240" w:lineRule="auto"/>
              <w:jc w:val="center"/>
              <w:rPr>
                <w:rFonts w:ascii="Arial" w:eastAsia="Calibri" w:hAnsi="Arial" w:cs="Arial"/>
                <w:b/>
                <w:sz w:val="20"/>
                <w:szCs w:val="20"/>
              </w:rPr>
            </w:pPr>
          </w:p>
        </w:tc>
        <w:tc>
          <w:tcPr>
            <w:tcW w:w="695" w:type="dxa"/>
            <w:shd w:val="clear" w:color="auto" w:fill="FFFFFF" w:themeFill="background1"/>
            <w:vAlign w:val="center"/>
          </w:tcPr>
          <w:p w14:paraId="25FB63DA" w14:textId="77777777" w:rsidR="00B01E6A" w:rsidRPr="00F32542" w:rsidRDefault="00B01E6A" w:rsidP="00B01E6A">
            <w:pPr>
              <w:spacing w:after="0" w:line="240" w:lineRule="auto"/>
              <w:jc w:val="center"/>
              <w:rPr>
                <w:rFonts w:ascii="Arial" w:eastAsia="Calibri" w:hAnsi="Arial" w:cs="Arial"/>
                <w:b/>
                <w:sz w:val="20"/>
                <w:szCs w:val="20"/>
              </w:rPr>
            </w:pPr>
            <w:r w:rsidRPr="00F32542">
              <w:rPr>
                <w:rFonts w:ascii="Arial" w:eastAsia="Calibri" w:hAnsi="Arial" w:cs="Arial"/>
                <w:b/>
                <w:sz w:val="20"/>
                <w:szCs w:val="20"/>
              </w:rPr>
              <w:t>M</w:t>
            </w:r>
          </w:p>
        </w:tc>
        <w:tc>
          <w:tcPr>
            <w:tcW w:w="2765" w:type="dxa"/>
            <w:shd w:val="clear" w:color="auto" w:fill="FFFFFF" w:themeFill="background1"/>
            <w:vAlign w:val="center"/>
          </w:tcPr>
          <w:p w14:paraId="38326794"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Ana Jocelyn Villagrán Villasana</w:t>
            </w:r>
          </w:p>
        </w:tc>
        <w:tc>
          <w:tcPr>
            <w:tcW w:w="2835" w:type="dxa"/>
            <w:shd w:val="clear" w:color="auto" w:fill="FFFFFF" w:themeFill="background1"/>
            <w:vAlign w:val="center"/>
          </w:tcPr>
          <w:p w14:paraId="00BC7A40"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Ámbar Reyes Moto</w:t>
            </w:r>
          </w:p>
        </w:tc>
        <w:tc>
          <w:tcPr>
            <w:tcW w:w="1559" w:type="dxa"/>
            <w:shd w:val="clear" w:color="auto" w:fill="FFFFFF" w:themeFill="background1"/>
            <w:vAlign w:val="center"/>
          </w:tcPr>
          <w:p w14:paraId="59AAA8CA"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4A</w:t>
            </w:r>
          </w:p>
        </w:tc>
      </w:tr>
      <w:tr w:rsidR="00B01E6A" w:rsidRPr="00F32542" w14:paraId="70CD3A29" w14:textId="77777777" w:rsidTr="00B65D24">
        <w:tc>
          <w:tcPr>
            <w:tcW w:w="1005" w:type="dxa"/>
            <w:shd w:val="clear" w:color="auto" w:fill="FFFFFF" w:themeFill="background1"/>
            <w:vAlign w:val="center"/>
          </w:tcPr>
          <w:p w14:paraId="1D8D90C7" w14:textId="77777777" w:rsidR="00B01E6A" w:rsidRPr="00F32542" w:rsidRDefault="00B01E6A" w:rsidP="009B6ED0">
            <w:pPr>
              <w:widowControl w:val="0"/>
              <w:numPr>
                <w:ilvl w:val="0"/>
                <w:numId w:val="35"/>
              </w:numPr>
              <w:spacing w:after="0" w:line="240" w:lineRule="auto"/>
              <w:jc w:val="center"/>
              <w:rPr>
                <w:rFonts w:ascii="Arial" w:eastAsia="Calibri" w:hAnsi="Arial" w:cs="Arial"/>
                <w:b/>
                <w:sz w:val="20"/>
                <w:szCs w:val="20"/>
              </w:rPr>
            </w:pPr>
          </w:p>
        </w:tc>
        <w:tc>
          <w:tcPr>
            <w:tcW w:w="695" w:type="dxa"/>
            <w:shd w:val="clear" w:color="auto" w:fill="FFFFFF" w:themeFill="background1"/>
            <w:vAlign w:val="center"/>
          </w:tcPr>
          <w:p w14:paraId="5AF7D818" w14:textId="77777777" w:rsidR="00B01E6A" w:rsidRPr="00F32542" w:rsidRDefault="00B01E6A" w:rsidP="00B01E6A">
            <w:pPr>
              <w:spacing w:after="0" w:line="240" w:lineRule="auto"/>
              <w:jc w:val="center"/>
              <w:rPr>
                <w:rFonts w:ascii="Arial" w:eastAsia="Calibri" w:hAnsi="Arial" w:cs="Arial"/>
                <w:b/>
                <w:sz w:val="20"/>
                <w:szCs w:val="20"/>
              </w:rPr>
            </w:pPr>
            <w:r w:rsidRPr="00F32542">
              <w:rPr>
                <w:rFonts w:ascii="Arial" w:eastAsia="Calibri" w:hAnsi="Arial" w:cs="Arial"/>
                <w:b/>
                <w:sz w:val="20"/>
                <w:szCs w:val="20"/>
              </w:rPr>
              <w:t>H</w:t>
            </w:r>
          </w:p>
        </w:tc>
        <w:tc>
          <w:tcPr>
            <w:tcW w:w="2765" w:type="dxa"/>
            <w:shd w:val="clear" w:color="auto" w:fill="FFFFFF" w:themeFill="background1"/>
            <w:vAlign w:val="center"/>
          </w:tcPr>
          <w:p w14:paraId="7129EB3B"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José Gonzalo Espina Miranda</w:t>
            </w:r>
          </w:p>
        </w:tc>
        <w:tc>
          <w:tcPr>
            <w:tcW w:w="2835" w:type="dxa"/>
            <w:shd w:val="clear" w:color="auto" w:fill="FFFFFF" w:themeFill="background1"/>
            <w:vAlign w:val="center"/>
          </w:tcPr>
          <w:p w14:paraId="70322074"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Mario Raphael De Cárcer</w:t>
            </w:r>
          </w:p>
        </w:tc>
        <w:tc>
          <w:tcPr>
            <w:tcW w:w="1559" w:type="dxa"/>
            <w:shd w:val="clear" w:color="auto" w:fill="FFFFFF" w:themeFill="background1"/>
            <w:vAlign w:val="center"/>
          </w:tcPr>
          <w:p w14:paraId="4E14033E"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4B</w:t>
            </w:r>
          </w:p>
        </w:tc>
      </w:tr>
      <w:tr w:rsidR="00B01E6A" w:rsidRPr="00F32542" w14:paraId="3F62F077" w14:textId="77777777" w:rsidTr="00B65D24">
        <w:tc>
          <w:tcPr>
            <w:tcW w:w="1005" w:type="dxa"/>
            <w:shd w:val="clear" w:color="auto" w:fill="FFFFFF" w:themeFill="background1"/>
            <w:vAlign w:val="center"/>
          </w:tcPr>
          <w:p w14:paraId="0C3D3288" w14:textId="77777777" w:rsidR="00B01E6A" w:rsidRPr="00F32542" w:rsidRDefault="00B01E6A" w:rsidP="009B6ED0">
            <w:pPr>
              <w:widowControl w:val="0"/>
              <w:numPr>
                <w:ilvl w:val="0"/>
                <w:numId w:val="35"/>
              </w:numPr>
              <w:spacing w:after="0" w:line="240" w:lineRule="auto"/>
              <w:jc w:val="center"/>
              <w:rPr>
                <w:rFonts w:ascii="Arial" w:eastAsia="Calibri" w:hAnsi="Arial" w:cs="Arial"/>
                <w:sz w:val="20"/>
                <w:szCs w:val="20"/>
              </w:rPr>
            </w:pPr>
          </w:p>
        </w:tc>
        <w:tc>
          <w:tcPr>
            <w:tcW w:w="695" w:type="dxa"/>
            <w:shd w:val="clear" w:color="auto" w:fill="FFFFFF" w:themeFill="background1"/>
            <w:vAlign w:val="center"/>
          </w:tcPr>
          <w:p w14:paraId="22C833CB"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765" w:type="dxa"/>
            <w:shd w:val="clear" w:color="auto" w:fill="FFFFFF" w:themeFill="background1"/>
            <w:vAlign w:val="center"/>
          </w:tcPr>
          <w:p w14:paraId="7577C8E9"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Rodrigo Miranda Berumen</w:t>
            </w:r>
          </w:p>
        </w:tc>
        <w:tc>
          <w:tcPr>
            <w:tcW w:w="2835" w:type="dxa"/>
            <w:shd w:val="clear" w:color="auto" w:fill="FFFFFF" w:themeFill="background1"/>
            <w:vAlign w:val="center"/>
          </w:tcPr>
          <w:p w14:paraId="0F638E81"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Luis Paris Oviedo Guarneros</w:t>
            </w:r>
          </w:p>
        </w:tc>
        <w:tc>
          <w:tcPr>
            <w:tcW w:w="1559" w:type="dxa"/>
            <w:shd w:val="clear" w:color="auto" w:fill="FFFFFF" w:themeFill="background1"/>
            <w:vAlign w:val="center"/>
          </w:tcPr>
          <w:p w14:paraId="795EA814"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5A</w:t>
            </w:r>
          </w:p>
        </w:tc>
      </w:tr>
    </w:tbl>
    <w:p w14:paraId="51AFDFF8" w14:textId="77777777" w:rsidR="00B01E6A" w:rsidRPr="00F32542" w:rsidRDefault="00B01E6A" w:rsidP="00B01E6A">
      <w:pPr>
        <w:spacing w:after="0" w:line="360" w:lineRule="auto"/>
        <w:ind w:right="51"/>
        <w:jc w:val="both"/>
        <w:rPr>
          <w:rFonts w:ascii="Arial" w:hAnsi="Arial" w:cs="Arial"/>
          <w:spacing w:val="4"/>
          <w:sz w:val="28"/>
          <w:szCs w:val="28"/>
        </w:rPr>
      </w:pPr>
    </w:p>
    <w:p w14:paraId="633005A8" w14:textId="77777777" w:rsidR="00B01E6A" w:rsidRPr="00F32542" w:rsidRDefault="00B01E6A" w:rsidP="00B01E6A">
      <w:pPr>
        <w:spacing w:before="100" w:beforeAutospacing="1" w:after="100" w:afterAutospacing="1" w:line="360" w:lineRule="auto"/>
        <w:jc w:val="both"/>
        <w:rPr>
          <w:rFonts w:ascii="Arial" w:eastAsia="Calibri" w:hAnsi="Arial" w:cs="Arial"/>
          <w:sz w:val="28"/>
          <w:szCs w:val="28"/>
        </w:rPr>
      </w:pPr>
      <w:r w:rsidRPr="00F32542">
        <w:rPr>
          <w:rFonts w:ascii="Arial" w:hAnsi="Arial" w:cs="Arial"/>
          <w:b/>
          <w:spacing w:val="4"/>
          <w:sz w:val="28"/>
          <w:szCs w:val="28"/>
        </w:rPr>
        <w:t>2. Modificar</w:t>
      </w:r>
      <w:r w:rsidRPr="00F32542">
        <w:rPr>
          <w:rFonts w:ascii="Arial" w:hAnsi="Arial" w:cs="Arial"/>
          <w:spacing w:val="4"/>
          <w:sz w:val="28"/>
          <w:szCs w:val="28"/>
        </w:rPr>
        <w:t xml:space="preserve"> la lista definitiva de </w:t>
      </w:r>
      <w:r w:rsidRPr="00F32542">
        <w:rPr>
          <w:rFonts w:ascii="Arial" w:hAnsi="Arial" w:cs="Arial"/>
          <w:i/>
          <w:spacing w:val="4"/>
          <w:sz w:val="28"/>
          <w:szCs w:val="28"/>
        </w:rPr>
        <w:t>Morena</w:t>
      </w:r>
      <w:r w:rsidRPr="00F32542">
        <w:rPr>
          <w:rFonts w:ascii="Arial" w:hAnsi="Arial" w:cs="Arial"/>
          <w:spacing w:val="4"/>
          <w:sz w:val="28"/>
          <w:szCs w:val="28"/>
        </w:rPr>
        <w:t xml:space="preserve"> </w:t>
      </w:r>
      <w:r w:rsidRPr="00F32542">
        <w:rPr>
          <w:rFonts w:ascii="Arial" w:eastAsia="Calibri" w:hAnsi="Arial" w:cs="Arial"/>
          <w:sz w:val="28"/>
          <w:szCs w:val="28"/>
        </w:rPr>
        <w:t>para que su posición catorce (14) quede como a se muestra:</w:t>
      </w:r>
    </w:p>
    <w:tbl>
      <w:tblPr>
        <w:tblStyle w:val="Tablaconcuadrcula251"/>
        <w:tblW w:w="0" w:type="auto"/>
        <w:tblLook w:val="04A0" w:firstRow="1" w:lastRow="0" w:firstColumn="1" w:lastColumn="0" w:noHBand="0" w:noVBand="1"/>
      </w:tblPr>
      <w:tblGrid>
        <w:gridCol w:w="536"/>
        <w:gridCol w:w="2710"/>
        <w:gridCol w:w="754"/>
        <w:gridCol w:w="2432"/>
        <w:gridCol w:w="1830"/>
      </w:tblGrid>
      <w:tr w:rsidR="00B01E6A" w:rsidRPr="00F32542" w14:paraId="42F5E2B3" w14:textId="77777777" w:rsidTr="00B65D24">
        <w:trPr>
          <w:tblHeader/>
        </w:trPr>
        <w:tc>
          <w:tcPr>
            <w:tcW w:w="546" w:type="dxa"/>
            <w:tcBorders>
              <w:bottom w:val="single" w:sz="4" w:space="0" w:color="auto"/>
            </w:tcBorders>
          </w:tcPr>
          <w:p w14:paraId="4455F2B2" w14:textId="77777777" w:rsidR="00B01E6A" w:rsidRPr="00F32542" w:rsidRDefault="00B01E6A" w:rsidP="00B01E6A">
            <w:pPr>
              <w:spacing w:after="0" w:line="240" w:lineRule="auto"/>
              <w:jc w:val="both"/>
              <w:rPr>
                <w:rFonts w:ascii="Arial" w:eastAsia="Calibri" w:hAnsi="Arial" w:cs="Arial"/>
                <w:b/>
                <w:sz w:val="20"/>
                <w:szCs w:val="20"/>
              </w:rPr>
            </w:pPr>
            <w:r w:rsidRPr="00F32542">
              <w:rPr>
                <w:rFonts w:ascii="Arial" w:eastAsia="Calibri" w:hAnsi="Arial" w:cs="Arial"/>
                <w:b/>
                <w:sz w:val="20"/>
                <w:szCs w:val="20"/>
              </w:rPr>
              <w:t>No</w:t>
            </w:r>
          </w:p>
        </w:tc>
        <w:tc>
          <w:tcPr>
            <w:tcW w:w="2939" w:type="dxa"/>
            <w:tcBorders>
              <w:bottom w:val="single" w:sz="4" w:space="0" w:color="auto"/>
            </w:tcBorders>
          </w:tcPr>
          <w:p w14:paraId="304C6963" w14:textId="77777777" w:rsidR="00B01E6A" w:rsidRPr="00F32542" w:rsidRDefault="00B01E6A" w:rsidP="00B01E6A">
            <w:pPr>
              <w:spacing w:after="0" w:line="240" w:lineRule="auto"/>
              <w:jc w:val="center"/>
              <w:rPr>
                <w:rFonts w:ascii="Arial" w:eastAsia="Calibri" w:hAnsi="Arial" w:cs="Arial"/>
                <w:b/>
                <w:sz w:val="20"/>
                <w:szCs w:val="20"/>
              </w:rPr>
            </w:pPr>
            <w:r w:rsidRPr="00F32542">
              <w:rPr>
                <w:rFonts w:ascii="Arial" w:eastAsia="Calibri" w:hAnsi="Arial" w:cs="Arial"/>
                <w:b/>
                <w:sz w:val="20"/>
                <w:szCs w:val="20"/>
              </w:rPr>
              <w:t xml:space="preserve">Nombre </w:t>
            </w:r>
          </w:p>
        </w:tc>
        <w:tc>
          <w:tcPr>
            <w:tcW w:w="763" w:type="dxa"/>
            <w:tcBorders>
              <w:bottom w:val="single" w:sz="4" w:space="0" w:color="auto"/>
            </w:tcBorders>
          </w:tcPr>
          <w:p w14:paraId="7E73C2D1" w14:textId="77777777" w:rsidR="00B01E6A" w:rsidRPr="00F32542" w:rsidRDefault="00B01E6A" w:rsidP="00B01E6A">
            <w:pPr>
              <w:spacing w:after="0" w:line="240" w:lineRule="auto"/>
              <w:jc w:val="center"/>
              <w:rPr>
                <w:rFonts w:ascii="Arial" w:eastAsia="Calibri" w:hAnsi="Arial" w:cs="Arial"/>
                <w:b/>
                <w:sz w:val="20"/>
                <w:szCs w:val="20"/>
              </w:rPr>
            </w:pPr>
            <w:r w:rsidRPr="00F32542">
              <w:rPr>
                <w:rFonts w:ascii="Arial" w:eastAsia="Calibri" w:hAnsi="Arial" w:cs="Arial"/>
                <w:b/>
                <w:sz w:val="20"/>
                <w:szCs w:val="20"/>
              </w:rPr>
              <w:t xml:space="preserve">Sexo </w:t>
            </w:r>
          </w:p>
        </w:tc>
        <w:tc>
          <w:tcPr>
            <w:tcW w:w="2655" w:type="dxa"/>
            <w:tcBorders>
              <w:bottom w:val="single" w:sz="4" w:space="0" w:color="auto"/>
            </w:tcBorders>
          </w:tcPr>
          <w:p w14:paraId="3A05D38C" w14:textId="77777777" w:rsidR="00B01E6A" w:rsidRPr="00F32542" w:rsidRDefault="00B01E6A" w:rsidP="00B01E6A">
            <w:pPr>
              <w:spacing w:after="0" w:line="240" w:lineRule="auto"/>
              <w:jc w:val="center"/>
              <w:rPr>
                <w:rFonts w:ascii="Arial" w:eastAsia="Calibri" w:hAnsi="Arial" w:cs="Arial"/>
                <w:b/>
                <w:sz w:val="20"/>
                <w:szCs w:val="20"/>
              </w:rPr>
            </w:pPr>
            <w:r w:rsidRPr="00F32542">
              <w:rPr>
                <w:rFonts w:ascii="Arial" w:eastAsia="Calibri" w:hAnsi="Arial" w:cs="Arial"/>
                <w:b/>
                <w:sz w:val="20"/>
                <w:szCs w:val="20"/>
              </w:rPr>
              <w:t xml:space="preserve">Lista de la que proviene y lugar en la lista </w:t>
            </w:r>
          </w:p>
        </w:tc>
        <w:tc>
          <w:tcPr>
            <w:tcW w:w="1925" w:type="dxa"/>
            <w:tcBorders>
              <w:bottom w:val="single" w:sz="4" w:space="0" w:color="auto"/>
            </w:tcBorders>
          </w:tcPr>
          <w:p w14:paraId="0C917303" w14:textId="77777777" w:rsidR="00B01E6A" w:rsidRPr="00F32542" w:rsidRDefault="00B01E6A" w:rsidP="00B01E6A">
            <w:pPr>
              <w:spacing w:after="0" w:line="240" w:lineRule="auto"/>
              <w:jc w:val="center"/>
              <w:rPr>
                <w:rFonts w:ascii="Arial" w:eastAsia="Calibri" w:hAnsi="Arial" w:cs="Arial"/>
                <w:b/>
                <w:sz w:val="20"/>
                <w:szCs w:val="20"/>
              </w:rPr>
            </w:pPr>
            <w:r w:rsidRPr="00F32542">
              <w:rPr>
                <w:rFonts w:ascii="Arial" w:eastAsia="Calibri" w:hAnsi="Arial" w:cs="Arial"/>
                <w:b/>
                <w:sz w:val="20"/>
                <w:szCs w:val="20"/>
              </w:rPr>
              <w:t>Porcentaje de votación</w:t>
            </w:r>
          </w:p>
        </w:tc>
      </w:tr>
      <w:tr w:rsidR="00B01E6A" w:rsidRPr="00F32542" w14:paraId="3D7DEFBF" w14:textId="77777777" w:rsidTr="00B65D24">
        <w:trPr>
          <w:trHeight w:val="533"/>
        </w:trPr>
        <w:tc>
          <w:tcPr>
            <w:tcW w:w="546" w:type="dxa"/>
            <w:shd w:val="clear" w:color="auto" w:fill="D0CECE"/>
            <w:vAlign w:val="center"/>
          </w:tcPr>
          <w:p w14:paraId="6E06D819"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14</w:t>
            </w:r>
          </w:p>
        </w:tc>
        <w:tc>
          <w:tcPr>
            <w:tcW w:w="2939" w:type="dxa"/>
            <w:shd w:val="clear" w:color="auto" w:fill="D0CECE"/>
            <w:vAlign w:val="center"/>
          </w:tcPr>
          <w:p w14:paraId="179D2694"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José Luis Rodríguez Díaz de León (propietario)</w:t>
            </w:r>
          </w:p>
          <w:p w14:paraId="02DDBA09" w14:textId="77777777" w:rsidR="00B01E6A" w:rsidRPr="00F32542" w:rsidRDefault="00B01E6A" w:rsidP="00B01E6A">
            <w:pPr>
              <w:spacing w:after="0" w:line="240" w:lineRule="auto"/>
              <w:jc w:val="center"/>
              <w:rPr>
                <w:rFonts w:ascii="Arial" w:eastAsia="Calibri" w:hAnsi="Arial" w:cs="Arial"/>
                <w:sz w:val="20"/>
                <w:szCs w:val="20"/>
              </w:rPr>
            </w:pPr>
          </w:p>
        </w:tc>
        <w:tc>
          <w:tcPr>
            <w:tcW w:w="763" w:type="dxa"/>
            <w:shd w:val="clear" w:color="auto" w:fill="D0CECE"/>
            <w:vAlign w:val="center"/>
          </w:tcPr>
          <w:p w14:paraId="0F369C93"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H</w:t>
            </w:r>
          </w:p>
        </w:tc>
        <w:tc>
          <w:tcPr>
            <w:tcW w:w="2655" w:type="dxa"/>
            <w:shd w:val="clear" w:color="auto" w:fill="D0CECE"/>
            <w:vAlign w:val="center"/>
          </w:tcPr>
          <w:p w14:paraId="3D217AD0"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8B</w:t>
            </w:r>
          </w:p>
        </w:tc>
        <w:tc>
          <w:tcPr>
            <w:tcW w:w="1925" w:type="dxa"/>
            <w:shd w:val="clear" w:color="auto" w:fill="D0CECE"/>
            <w:vAlign w:val="center"/>
          </w:tcPr>
          <w:p w14:paraId="48714C03" w14:textId="77777777" w:rsidR="00B01E6A" w:rsidRPr="00F32542" w:rsidRDefault="00B01E6A" w:rsidP="00B01E6A">
            <w:pPr>
              <w:spacing w:after="0" w:line="240" w:lineRule="auto"/>
              <w:jc w:val="center"/>
              <w:rPr>
                <w:rFonts w:ascii="Arial" w:eastAsia="Calibri" w:hAnsi="Arial" w:cs="Arial"/>
                <w:sz w:val="20"/>
                <w:szCs w:val="20"/>
              </w:rPr>
            </w:pPr>
            <w:r w:rsidRPr="00F32542">
              <w:rPr>
                <w:rFonts w:ascii="Arial" w:eastAsia="Calibri" w:hAnsi="Arial" w:cs="Arial"/>
                <w:sz w:val="20"/>
                <w:szCs w:val="20"/>
              </w:rPr>
              <w:t>35.27</w:t>
            </w:r>
          </w:p>
        </w:tc>
      </w:tr>
    </w:tbl>
    <w:p w14:paraId="2363585E" w14:textId="77777777" w:rsidR="00B01E6A" w:rsidRPr="00F32542" w:rsidRDefault="00B01E6A" w:rsidP="00B01E6A">
      <w:pPr>
        <w:spacing w:after="0" w:line="360" w:lineRule="auto"/>
        <w:ind w:right="51"/>
        <w:jc w:val="both"/>
        <w:rPr>
          <w:rFonts w:ascii="Arial" w:hAnsi="Arial" w:cs="Arial"/>
          <w:spacing w:val="4"/>
          <w:sz w:val="28"/>
          <w:szCs w:val="28"/>
        </w:rPr>
      </w:pPr>
    </w:p>
    <w:p w14:paraId="3541C9CB" w14:textId="77777777" w:rsidR="00B01E6A" w:rsidRPr="00F32542" w:rsidRDefault="00B01E6A" w:rsidP="00B01E6A">
      <w:pPr>
        <w:spacing w:after="0" w:line="360" w:lineRule="auto"/>
        <w:ind w:right="51"/>
        <w:jc w:val="both"/>
        <w:rPr>
          <w:rFonts w:ascii="Arial" w:hAnsi="Arial" w:cs="Arial"/>
          <w:spacing w:val="4"/>
          <w:sz w:val="28"/>
          <w:szCs w:val="28"/>
        </w:rPr>
      </w:pPr>
      <w:r w:rsidRPr="00F32542">
        <w:rPr>
          <w:rFonts w:ascii="Arial" w:hAnsi="Arial" w:cs="Arial"/>
          <w:b/>
          <w:spacing w:val="4"/>
          <w:sz w:val="28"/>
          <w:szCs w:val="28"/>
        </w:rPr>
        <w:t>3. Recomponer el cómputo total</w:t>
      </w:r>
      <w:r w:rsidRPr="00F32542">
        <w:rPr>
          <w:rFonts w:ascii="Arial" w:hAnsi="Arial" w:cs="Arial"/>
          <w:spacing w:val="4"/>
          <w:sz w:val="28"/>
          <w:szCs w:val="28"/>
        </w:rPr>
        <w:t xml:space="preserve"> de la elección de diputaciones por el principio de representación proporcional, en atención a la votación anulada por este </w:t>
      </w:r>
      <w:r w:rsidRPr="00F32542">
        <w:rPr>
          <w:rFonts w:ascii="Arial" w:hAnsi="Arial" w:cs="Arial"/>
          <w:i/>
          <w:spacing w:val="4"/>
          <w:sz w:val="28"/>
          <w:szCs w:val="28"/>
        </w:rPr>
        <w:t>Órgano Jurisdiccional</w:t>
      </w:r>
      <w:r w:rsidRPr="00F32542">
        <w:rPr>
          <w:rFonts w:ascii="Arial" w:hAnsi="Arial" w:cs="Arial"/>
          <w:spacing w:val="4"/>
          <w:sz w:val="28"/>
          <w:szCs w:val="28"/>
        </w:rPr>
        <w:t xml:space="preserve"> respecto de catorce distritos electorales en los juicios electorales relativos a las impugnaciones de diputaciones de mayoría relativa. </w:t>
      </w:r>
    </w:p>
    <w:p w14:paraId="37E73AB3" w14:textId="77777777" w:rsidR="00EA6967" w:rsidRPr="00F32542" w:rsidRDefault="00EA6967" w:rsidP="00EA6967">
      <w:pPr>
        <w:spacing w:after="0" w:line="360" w:lineRule="auto"/>
        <w:ind w:right="51"/>
        <w:jc w:val="both"/>
        <w:rPr>
          <w:rFonts w:ascii="Arial" w:hAnsi="Arial" w:cs="Arial"/>
          <w:spacing w:val="4"/>
          <w:sz w:val="28"/>
          <w:szCs w:val="28"/>
        </w:rPr>
      </w:pPr>
    </w:p>
    <w:tbl>
      <w:tblPr>
        <w:tblStyle w:val="Tablaconcuadrcula2511"/>
        <w:tblW w:w="0" w:type="auto"/>
        <w:jc w:val="center"/>
        <w:tblLook w:val="04A0" w:firstRow="1" w:lastRow="0" w:firstColumn="1" w:lastColumn="0" w:noHBand="0" w:noVBand="1"/>
      </w:tblPr>
      <w:tblGrid>
        <w:gridCol w:w="4248"/>
        <w:gridCol w:w="3685"/>
      </w:tblGrid>
      <w:tr w:rsidR="00EA6967" w:rsidRPr="00F32542" w14:paraId="3E1929D4" w14:textId="77777777" w:rsidTr="00B65D24">
        <w:trPr>
          <w:trHeight w:val="582"/>
          <w:tblHeader/>
          <w:jc w:val="center"/>
        </w:trPr>
        <w:tc>
          <w:tcPr>
            <w:tcW w:w="7933" w:type="dxa"/>
            <w:gridSpan w:val="2"/>
            <w:shd w:val="clear" w:color="auto" w:fill="AEAAAA"/>
            <w:vAlign w:val="center"/>
          </w:tcPr>
          <w:p w14:paraId="3CC3C995" w14:textId="77777777" w:rsidR="00EA6967" w:rsidRPr="00F32542" w:rsidRDefault="00EA6967" w:rsidP="00EA6967">
            <w:pPr>
              <w:spacing w:after="0" w:line="240" w:lineRule="auto"/>
              <w:jc w:val="center"/>
              <w:rPr>
                <w:rFonts w:ascii="Arial" w:eastAsia="Calibri" w:hAnsi="Arial" w:cs="Arial"/>
                <w:b/>
                <w:sz w:val="24"/>
                <w:szCs w:val="24"/>
              </w:rPr>
            </w:pPr>
            <w:r w:rsidRPr="00F32542">
              <w:rPr>
                <w:rFonts w:ascii="Arial" w:eastAsia="Calibri" w:hAnsi="Arial" w:cs="Arial"/>
                <w:b/>
                <w:sz w:val="24"/>
                <w:szCs w:val="24"/>
              </w:rPr>
              <w:t>CÓMPUTO TOTAL RECOMPUESTO DE LA ELECCIÓN DE DIPUTACIONES POR EL PRINCIPIO DE REPRESENTACIÓN PROPORCIONAL</w:t>
            </w:r>
          </w:p>
        </w:tc>
      </w:tr>
      <w:tr w:rsidR="00EA6967" w:rsidRPr="00F32542" w14:paraId="4C86C1B5" w14:textId="77777777" w:rsidTr="00B65D24">
        <w:trPr>
          <w:trHeight w:val="155"/>
          <w:tblHeader/>
          <w:jc w:val="center"/>
        </w:trPr>
        <w:tc>
          <w:tcPr>
            <w:tcW w:w="4248" w:type="dxa"/>
            <w:shd w:val="clear" w:color="auto" w:fill="AEAAAA"/>
            <w:vAlign w:val="center"/>
          </w:tcPr>
          <w:p w14:paraId="6666758B" w14:textId="77777777" w:rsidR="00EA6967" w:rsidRPr="00F32542" w:rsidRDefault="00EA6967" w:rsidP="00EA6967">
            <w:pPr>
              <w:spacing w:after="0" w:line="240" w:lineRule="auto"/>
              <w:jc w:val="center"/>
              <w:rPr>
                <w:rFonts w:ascii="Arial" w:eastAsia="Calibri" w:hAnsi="Arial" w:cs="Arial"/>
                <w:b/>
                <w:sz w:val="24"/>
                <w:szCs w:val="24"/>
              </w:rPr>
            </w:pPr>
            <w:r w:rsidRPr="00F32542">
              <w:rPr>
                <w:rFonts w:ascii="Arial" w:eastAsia="Calibri" w:hAnsi="Arial" w:cs="Arial"/>
                <w:b/>
                <w:sz w:val="24"/>
                <w:szCs w:val="24"/>
              </w:rPr>
              <w:t>OPCIÓN POLÍTICA</w:t>
            </w:r>
          </w:p>
        </w:tc>
        <w:tc>
          <w:tcPr>
            <w:tcW w:w="3685" w:type="dxa"/>
            <w:shd w:val="clear" w:color="auto" w:fill="AEAAAA"/>
            <w:vAlign w:val="center"/>
          </w:tcPr>
          <w:p w14:paraId="03B832F0" w14:textId="77777777" w:rsidR="00EA6967" w:rsidRPr="00F32542" w:rsidRDefault="00EA6967" w:rsidP="00EA6967">
            <w:pPr>
              <w:spacing w:after="0" w:line="240" w:lineRule="auto"/>
              <w:jc w:val="center"/>
              <w:rPr>
                <w:rFonts w:ascii="Arial" w:eastAsia="Calibri" w:hAnsi="Arial" w:cs="Arial"/>
                <w:b/>
                <w:sz w:val="24"/>
                <w:szCs w:val="24"/>
              </w:rPr>
            </w:pPr>
            <w:r w:rsidRPr="00F32542">
              <w:rPr>
                <w:rFonts w:ascii="Arial" w:eastAsia="Calibri" w:hAnsi="Arial" w:cs="Arial"/>
                <w:b/>
                <w:sz w:val="24"/>
                <w:szCs w:val="24"/>
              </w:rPr>
              <w:t xml:space="preserve">VOTACIÓN </w:t>
            </w:r>
          </w:p>
        </w:tc>
      </w:tr>
      <w:tr w:rsidR="00E742D8" w:rsidRPr="00F32542" w14:paraId="28A6EF9F" w14:textId="77777777" w:rsidTr="00B65D24">
        <w:trPr>
          <w:trHeight w:val="173"/>
          <w:jc w:val="center"/>
        </w:trPr>
        <w:tc>
          <w:tcPr>
            <w:tcW w:w="4248" w:type="dxa"/>
            <w:vAlign w:val="center"/>
          </w:tcPr>
          <w:p w14:paraId="68C21026" w14:textId="77777777" w:rsidR="00E742D8" w:rsidRPr="00F32542" w:rsidRDefault="00E742D8" w:rsidP="00E742D8">
            <w:pPr>
              <w:spacing w:after="0" w:line="240" w:lineRule="auto"/>
              <w:jc w:val="center"/>
              <w:rPr>
                <w:rFonts w:ascii="Arial" w:eastAsia="Calibri" w:hAnsi="Arial" w:cs="Arial"/>
                <w:sz w:val="24"/>
                <w:szCs w:val="24"/>
              </w:rPr>
            </w:pPr>
            <w:r w:rsidRPr="00F32542">
              <w:rPr>
                <w:rFonts w:ascii="Arial" w:eastAsia="Calibri" w:hAnsi="Arial" w:cs="Arial"/>
                <w:sz w:val="24"/>
                <w:szCs w:val="24"/>
              </w:rPr>
              <w:t>PAN</w:t>
            </w:r>
          </w:p>
        </w:tc>
        <w:tc>
          <w:tcPr>
            <w:tcW w:w="3685" w:type="dxa"/>
            <w:shd w:val="clear" w:color="auto" w:fill="auto"/>
            <w:vAlign w:val="center"/>
          </w:tcPr>
          <w:p w14:paraId="77F26202" w14:textId="77777777" w:rsidR="00E742D8" w:rsidRPr="00F32542" w:rsidRDefault="00E742D8" w:rsidP="00E742D8">
            <w:pPr>
              <w:spacing w:after="0" w:line="360" w:lineRule="auto"/>
              <w:jc w:val="center"/>
              <w:rPr>
                <w:rFonts w:ascii="Arial" w:eastAsia="Calibri" w:hAnsi="Arial" w:cs="Arial"/>
                <w:color w:val="000000"/>
                <w:sz w:val="24"/>
                <w:szCs w:val="24"/>
              </w:rPr>
            </w:pPr>
            <w:r w:rsidRPr="00F32542">
              <w:rPr>
                <w:rFonts w:ascii="Arial" w:hAnsi="Arial" w:cs="Arial"/>
                <w:sz w:val="24"/>
                <w:szCs w:val="24"/>
              </w:rPr>
              <w:t>1,033,617</w:t>
            </w:r>
          </w:p>
        </w:tc>
      </w:tr>
      <w:tr w:rsidR="00E742D8" w:rsidRPr="00F32542" w14:paraId="70DE6FA8" w14:textId="77777777" w:rsidTr="00B65D24">
        <w:trPr>
          <w:trHeight w:val="161"/>
          <w:jc w:val="center"/>
        </w:trPr>
        <w:tc>
          <w:tcPr>
            <w:tcW w:w="4248" w:type="dxa"/>
            <w:vAlign w:val="center"/>
          </w:tcPr>
          <w:p w14:paraId="27437B35" w14:textId="77777777" w:rsidR="00E742D8" w:rsidRPr="00F32542" w:rsidRDefault="00E742D8" w:rsidP="00E742D8">
            <w:pPr>
              <w:spacing w:after="0" w:line="240" w:lineRule="auto"/>
              <w:jc w:val="center"/>
              <w:rPr>
                <w:rFonts w:ascii="Arial" w:eastAsia="Calibri" w:hAnsi="Arial" w:cs="Arial"/>
                <w:sz w:val="24"/>
                <w:szCs w:val="24"/>
              </w:rPr>
            </w:pPr>
            <w:r w:rsidRPr="00F32542">
              <w:rPr>
                <w:rFonts w:ascii="Arial" w:eastAsia="Calibri" w:hAnsi="Arial" w:cs="Arial"/>
                <w:sz w:val="24"/>
                <w:szCs w:val="24"/>
              </w:rPr>
              <w:t>PRI</w:t>
            </w:r>
          </w:p>
        </w:tc>
        <w:tc>
          <w:tcPr>
            <w:tcW w:w="3685" w:type="dxa"/>
            <w:shd w:val="clear" w:color="auto" w:fill="auto"/>
            <w:vAlign w:val="center"/>
          </w:tcPr>
          <w:p w14:paraId="62DA6EED" w14:textId="77777777" w:rsidR="00E742D8" w:rsidRPr="00F32542" w:rsidRDefault="00E742D8" w:rsidP="00E742D8">
            <w:pPr>
              <w:spacing w:after="0" w:line="360" w:lineRule="auto"/>
              <w:jc w:val="center"/>
              <w:rPr>
                <w:rFonts w:ascii="Arial" w:eastAsia="Calibri" w:hAnsi="Arial" w:cs="Arial"/>
                <w:color w:val="000000"/>
                <w:sz w:val="24"/>
                <w:szCs w:val="24"/>
              </w:rPr>
            </w:pPr>
            <w:r w:rsidRPr="00F32542">
              <w:rPr>
                <w:rFonts w:ascii="Arial" w:hAnsi="Arial" w:cs="Arial"/>
                <w:sz w:val="24"/>
                <w:szCs w:val="24"/>
              </w:rPr>
              <w:t>581,675</w:t>
            </w:r>
          </w:p>
        </w:tc>
      </w:tr>
      <w:tr w:rsidR="00E742D8" w:rsidRPr="00F32542" w14:paraId="6F344A4F" w14:textId="77777777" w:rsidTr="00B65D24">
        <w:trPr>
          <w:trHeight w:val="422"/>
          <w:jc w:val="center"/>
        </w:trPr>
        <w:tc>
          <w:tcPr>
            <w:tcW w:w="4248" w:type="dxa"/>
            <w:vAlign w:val="center"/>
          </w:tcPr>
          <w:p w14:paraId="206E8003" w14:textId="77777777" w:rsidR="00E742D8" w:rsidRPr="00F32542" w:rsidRDefault="00E742D8" w:rsidP="00E742D8">
            <w:pPr>
              <w:spacing w:after="0" w:line="240" w:lineRule="auto"/>
              <w:jc w:val="center"/>
              <w:rPr>
                <w:rFonts w:ascii="Arial" w:eastAsia="Calibri" w:hAnsi="Arial" w:cs="Arial"/>
                <w:sz w:val="24"/>
                <w:szCs w:val="24"/>
              </w:rPr>
            </w:pPr>
            <w:r w:rsidRPr="00F32542">
              <w:rPr>
                <w:rFonts w:ascii="Arial" w:eastAsia="Calibri" w:hAnsi="Arial" w:cs="Arial"/>
                <w:sz w:val="24"/>
                <w:szCs w:val="24"/>
              </w:rPr>
              <w:t>PRD</w:t>
            </w:r>
          </w:p>
        </w:tc>
        <w:tc>
          <w:tcPr>
            <w:tcW w:w="3685" w:type="dxa"/>
            <w:shd w:val="clear" w:color="auto" w:fill="auto"/>
            <w:vAlign w:val="center"/>
          </w:tcPr>
          <w:p w14:paraId="4A31AFDB" w14:textId="77777777" w:rsidR="00E742D8" w:rsidRPr="00F32542" w:rsidRDefault="00E742D8" w:rsidP="00E742D8">
            <w:pPr>
              <w:spacing w:after="0" w:line="360" w:lineRule="auto"/>
              <w:jc w:val="center"/>
              <w:rPr>
                <w:rFonts w:ascii="Arial" w:eastAsia="Calibri" w:hAnsi="Arial" w:cs="Arial"/>
                <w:color w:val="000000"/>
                <w:sz w:val="24"/>
                <w:szCs w:val="24"/>
              </w:rPr>
            </w:pPr>
            <w:r w:rsidRPr="00F32542">
              <w:rPr>
                <w:rFonts w:ascii="Arial" w:hAnsi="Arial" w:cs="Arial"/>
                <w:sz w:val="24"/>
                <w:szCs w:val="24"/>
              </w:rPr>
              <w:t>207,895</w:t>
            </w:r>
          </w:p>
        </w:tc>
      </w:tr>
      <w:tr w:rsidR="00E742D8" w:rsidRPr="00F32542" w14:paraId="156CD3B5" w14:textId="77777777" w:rsidTr="00B65D24">
        <w:trPr>
          <w:trHeight w:val="429"/>
          <w:jc w:val="center"/>
        </w:trPr>
        <w:tc>
          <w:tcPr>
            <w:tcW w:w="4248" w:type="dxa"/>
            <w:vAlign w:val="center"/>
          </w:tcPr>
          <w:p w14:paraId="4413AC2A" w14:textId="77777777" w:rsidR="00E742D8" w:rsidRPr="00F32542" w:rsidRDefault="00E742D8" w:rsidP="00E742D8">
            <w:pPr>
              <w:spacing w:after="0" w:line="240" w:lineRule="auto"/>
              <w:jc w:val="center"/>
              <w:rPr>
                <w:rFonts w:ascii="Arial" w:eastAsia="Calibri" w:hAnsi="Arial" w:cs="Arial"/>
                <w:sz w:val="24"/>
                <w:szCs w:val="24"/>
              </w:rPr>
            </w:pPr>
            <w:r w:rsidRPr="00F32542">
              <w:rPr>
                <w:rFonts w:ascii="Arial" w:eastAsia="Calibri" w:hAnsi="Arial" w:cs="Arial"/>
                <w:sz w:val="24"/>
                <w:szCs w:val="24"/>
              </w:rPr>
              <w:t>PVEM</w:t>
            </w:r>
          </w:p>
        </w:tc>
        <w:tc>
          <w:tcPr>
            <w:tcW w:w="3685" w:type="dxa"/>
            <w:shd w:val="clear" w:color="auto" w:fill="auto"/>
            <w:vAlign w:val="center"/>
          </w:tcPr>
          <w:p w14:paraId="41C09DA6" w14:textId="77777777" w:rsidR="00E742D8" w:rsidRPr="00F32542" w:rsidRDefault="00E742D8" w:rsidP="00E742D8">
            <w:pPr>
              <w:spacing w:after="0" w:line="360" w:lineRule="auto"/>
              <w:jc w:val="center"/>
              <w:rPr>
                <w:rFonts w:ascii="Arial" w:eastAsia="Calibri" w:hAnsi="Arial" w:cs="Arial"/>
                <w:color w:val="000000"/>
                <w:sz w:val="24"/>
                <w:szCs w:val="24"/>
              </w:rPr>
            </w:pPr>
            <w:r w:rsidRPr="00F32542">
              <w:rPr>
                <w:rFonts w:ascii="Arial" w:hAnsi="Arial" w:cs="Arial"/>
                <w:sz w:val="24"/>
                <w:szCs w:val="24"/>
              </w:rPr>
              <w:t>125,296</w:t>
            </w:r>
          </w:p>
        </w:tc>
      </w:tr>
      <w:tr w:rsidR="00E742D8" w:rsidRPr="00F32542" w14:paraId="26223023" w14:textId="77777777" w:rsidTr="00B65D24">
        <w:trPr>
          <w:trHeight w:val="379"/>
          <w:jc w:val="center"/>
        </w:trPr>
        <w:tc>
          <w:tcPr>
            <w:tcW w:w="4248" w:type="dxa"/>
            <w:vAlign w:val="center"/>
          </w:tcPr>
          <w:p w14:paraId="0B027789" w14:textId="77777777" w:rsidR="00E742D8" w:rsidRPr="00F32542" w:rsidRDefault="00E742D8" w:rsidP="00E742D8">
            <w:pPr>
              <w:spacing w:after="0" w:line="240" w:lineRule="auto"/>
              <w:jc w:val="center"/>
              <w:rPr>
                <w:rFonts w:ascii="Arial" w:eastAsia="Calibri" w:hAnsi="Arial" w:cs="Arial"/>
                <w:sz w:val="24"/>
                <w:szCs w:val="24"/>
              </w:rPr>
            </w:pPr>
            <w:r w:rsidRPr="00F32542">
              <w:rPr>
                <w:rFonts w:ascii="Arial" w:eastAsia="Calibri" w:hAnsi="Arial" w:cs="Arial"/>
                <w:sz w:val="24"/>
                <w:szCs w:val="24"/>
              </w:rPr>
              <w:t>PT</w:t>
            </w:r>
          </w:p>
        </w:tc>
        <w:tc>
          <w:tcPr>
            <w:tcW w:w="3685" w:type="dxa"/>
            <w:shd w:val="clear" w:color="auto" w:fill="auto"/>
            <w:vAlign w:val="center"/>
          </w:tcPr>
          <w:p w14:paraId="78B07FC2" w14:textId="77777777" w:rsidR="00E742D8" w:rsidRPr="00F32542" w:rsidRDefault="00E742D8" w:rsidP="00E742D8">
            <w:pPr>
              <w:spacing w:after="0" w:line="360" w:lineRule="auto"/>
              <w:jc w:val="center"/>
              <w:rPr>
                <w:rFonts w:ascii="Arial" w:eastAsia="Calibri" w:hAnsi="Arial" w:cs="Arial"/>
                <w:color w:val="000000"/>
                <w:sz w:val="24"/>
                <w:szCs w:val="24"/>
              </w:rPr>
            </w:pPr>
            <w:r w:rsidRPr="00F32542">
              <w:rPr>
                <w:rFonts w:ascii="Arial" w:hAnsi="Arial" w:cs="Arial"/>
                <w:sz w:val="24"/>
                <w:szCs w:val="24"/>
              </w:rPr>
              <w:t>85,794</w:t>
            </w:r>
          </w:p>
        </w:tc>
      </w:tr>
      <w:tr w:rsidR="00E742D8" w:rsidRPr="00F32542" w14:paraId="2F6972E3" w14:textId="77777777" w:rsidTr="00B65D24">
        <w:trPr>
          <w:trHeight w:val="231"/>
          <w:jc w:val="center"/>
        </w:trPr>
        <w:tc>
          <w:tcPr>
            <w:tcW w:w="4248" w:type="dxa"/>
            <w:vAlign w:val="center"/>
          </w:tcPr>
          <w:p w14:paraId="089D6F88" w14:textId="77777777" w:rsidR="00E742D8" w:rsidRPr="00F32542" w:rsidRDefault="00E742D8" w:rsidP="00E742D8">
            <w:pPr>
              <w:spacing w:after="0" w:line="240" w:lineRule="auto"/>
              <w:jc w:val="center"/>
              <w:rPr>
                <w:rFonts w:ascii="Arial" w:eastAsia="Calibri" w:hAnsi="Arial" w:cs="Arial"/>
                <w:sz w:val="24"/>
                <w:szCs w:val="24"/>
              </w:rPr>
            </w:pPr>
            <w:r w:rsidRPr="00F32542">
              <w:rPr>
                <w:rFonts w:ascii="Arial" w:eastAsia="Calibri" w:hAnsi="Arial" w:cs="Arial"/>
                <w:sz w:val="24"/>
                <w:szCs w:val="24"/>
              </w:rPr>
              <w:t>MC</w:t>
            </w:r>
          </w:p>
        </w:tc>
        <w:tc>
          <w:tcPr>
            <w:tcW w:w="3685" w:type="dxa"/>
            <w:shd w:val="clear" w:color="auto" w:fill="auto"/>
            <w:vAlign w:val="center"/>
          </w:tcPr>
          <w:p w14:paraId="1ACC6C75" w14:textId="77777777" w:rsidR="00E742D8" w:rsidRPr="00F32542" w:rsidRDefault="00E742D8" w:rsidP="00E742D8">
            <w:pPr>
              <w:spacing w:after="0" w:line="360" w:lineRule="auto"/>
              <w:jc w:val="center"/>
              <w:rPr>
                <w:rFonts w:ascii="Arial" w:eastAsia="Calibri" w:hAnsi="Arial" w:cs="Arial"/>
                <w:color w:val="000000"/>
                <w:sz w:val="24"/>
                <w:szCs w:val="24"/>
              </w:rPr>
            </w:pPr>
            <w:r w:rsidRPr="00F32542">
              <w:rPr>
                <w:rFonts w:ascii="Arial" w:hAnsi="Arial" w:cs="Arial"/>
                <w:sz w:val="24"/>
                <w:szCs w:val="24"/>
              </w:rPr>
              <w:t>140,324</w:t>
            </w:r>
          </w:p>
        </w:tc>
      </w:tr>
      <w:tr w:rsidR="00E742D8" w:rsidRPr="00F32542" w14:paraId="70945DC9" w14:textId="77777777" w:rsidTr="00B65D24">
        <w:trPr>
          <w:trHeight w:val="381"/>
          <w:jc w:val="center"/>
        </w:trPr>
        <w:tc>
          <w:tcPr>
            <w:tcW w:w="4248" w:type="dxa"/>
            <w:vAlign w:val="center"/>
          </w:tcPr>
          <w:p w14:paraId="7B6932A5" w14:textId="77777777" w:rsidR="00E742D8" w:rsidRPr="00F32542" w:rsidRDefault="00E742D8" w:rsidP="00E742D8">
            <w:pPr>
              <w:spacing w:after="0" w:line="240" w:lineRule="auto"/>
              <w:jc w:val="center"/>
              <w:rPr>
                <w:rFonts w:ascii="Arial" w:eastAsia="Calibri" w:hAnsi="Arial" w:cs="Arial"/>
                <w:sz w:val="24"/>
                <w:szCs w:val="24"/>
              </w:rPr>
            </w:pPr>
            <w:r w:rsidRPr="00F32542">
              <w:rPr>
                <w:rFonts w:ascii="Arial" w:eastAsia="Calibri" w:hAnsi="Arial" w:cs="Arial"/>
                <w:sz w:val="24"/>
                <w:szCs w:val="24"/>
              </w:rPr>
              <w:t>MORENA</w:t>
            </w:r>
          </w:p>
        </w:tc>
        <w:tc>
          <w:tcPr>
            <w:tcW w:w="3685" w:type="dxa"/>
            <w:shd w:val="clear" w:color="auto" w:fill="auto"/>
            <w:vAlign w:val="center"/>
          </w:tcPr>
          <w:p w14:paraId="0DC8EF63" w14:textId="77777777" w:rsidR="00E742D8" w:rsidRPr="00F32542" w:rsidRDefault="00E742D8" w:rsidP="00E742D8">
            <w:pPr>
              <w:spacing w:after="0" w:line="360" w:lineRule="auto"/>
              <w:jc w:val="center"/>
              <w:rPr>
                <w:rFonts w:ascii="Arial" w:eastAsia="Calibri" w:hAnsi="Arial" w:cs="Arial"/>
                <w:color w:val="000000"/>
                <w:sz w:val="24"/>
                <w:szCs w:val="24"/>
              </w:rPr>
            </w:pPr>
            <w:r w:rsidRPr="00F32542">
              <w:rPr>
                <w:rFonts w:ascii="Arial" w:hAnsi="Arial" w:cs="Arial"/>
                <w:sz w:val="24"/>
                <w:szCs w:val="24"/>
              </w:rPr>
              <w:t>1,513,325</w:t>
            </w:r>
          </w:p>
        </w:tc>
      </w:tr>
      <w:tr w:rsidR="00E742D8" w:rsidRPr="00F32542" w14:paraId="29CBF575" w14:textId="77777777" w:rsidTr="00B65D24">
        <w:trPr>
          <w:trHeight w:val="233"/>
          <w:jc w:val="center"/>
        </w:trPr>
        <w:tc>
          <w:tcPr>
            <w:tcW w:w="4248" w:type="dxa"/>
            <w:vAlign w:val="center"/>
          </w:tcPr>
          <w:p w14:paraId="06DEEA66" w14:textId="77777777" w:rsidR="00E742D8" w:rsidRPr="00F32542" w:rsidRDefault="00E742D8" w:rsidP="00E742D8">
            <w:pPr>
              <w:spacing w:after="0" w:line="240" w:lineRule="auto"/>
              <w:jc w:val="center"/>
              <w:rPr>
                <w:rFonts w:ascii="Arial" w:eastAsia="Calibri" w:hAnsi="Arial" w:cs="Arial"/>
                <w:sz w:val="24"/>
                <w:szCs w:val="24"/>
              </w:rPr>
            </w:pPr>
            <w:r w:rsidRPr="00F32542">
              <w:rPr>
                <w:rFonts w:ascii="Arial" w:eastAsia="Calibri" w:hAnsi="Arial" w:cs="Arial"/>
                <w:sz w:val="24"/>
                <w:szCs w:val="24"/>
              </w:rPr>
              <w:t>ELIGE</w:t>
            </w:r>
          </w:p>
        </w:tc>
        <w:tc>
          <w:tcPr>
            <w:tcW w:w="3685" w:type="dxa"/>
            <w:shd w:val="clear" w:color="auto" w:fill="auto"/>
            <w:vAlign w:val="center"/>
          </w:tcPr>
          <w:p w14:paraId="30D300A1" w14:textId="77777777" w:rsidR="00E742D8" w:rsidRPr="00F32542" w:rsidRDefault="00E742D8" w:rsidP="00E742D8">
            <w:pPr>
              <w:spacing w:after="0" w:line="360" w:lineRule="auto"/>
              <w:jc w:val="center"/>
              <w:rPr>
                <w:rFonts w:ascii="Arial" w:eastAsia="Calibri" w:hAnsi="Arial" w:cs="Arial"/>
                <w:color w:val="000000"/>
                <w:sz w:val="24"/>
                <w:szCs w:val="24"/>
              </w:rPr>
            </w:pPr>
            <w:r w:rsidRPr="00F32542">
              <w:rPr>
                <w:rFonts w:ascii="Arial" w:hAnsi="Arial" w:cs="Arial"/>
                <w:sz w:val="24"/>
                <w:szCs w:val="24"/>
              </w:rPr>
              <w:t>33,543</w:t>
            </w:r>
          </w:p>
        </w:tc>
      </w:tr>
      <w:tr w:rsidR="00E742D8" w:rsidRPr="00F32542" w14:paraId="6F96620F" w14:textId="77777777" w:rsidTr="00B65D24">
        <w:trPr>
          <w:trHeight w:val="369"/>
          <w:jc w:val="center"/>
        </w:trPr>
        <w:tc>
          <w:tcPr>
            <w:tcW w:w="4248" w:type="dxa"/>
            <w:vAlign w:val="center"/>
          </w:tcPr>
          <w:p w14:paraId="10946299" w14:textId="77777777" w:rsidR="00E742D8" w:rsidRPr="00F32542" w:rsidRDefault="00E742D8" w:rsidP="00E742D8">
            <w:pPr>
              <w:spacing w:after="0" w:line="240" w:lineRule="auto"/>
              <w:jc w:val="center"/>
              <w:rPr>
                <w:rFonts w:ascii="Arial" w:eastAsia="Calibri" w:hAnsi="Arial" w:cs="Arial"/>
                <w:sz w:val="24"/>
                <w:szCs w:val="24"/>
              </w:rPr>
            </w:pPr>
            <w:r w:rsidRPr="00F32542">
              <w:rPr>
                <w:rFonts w:ascii="Arial" w:eastAsia="Calibri" w:hAnsi="Arial" w:cs="Arial"/>
                <w:sz w:val="24"/>
                <w:szCs w:val="24"/>
              </w:rPr>
              <w:t>PES</w:t>
            </w:r>
          </w:p>
        </w:tc>
        <w:tc>
          <w:tcPr>
            <w:tcW w:w="3685" w:type="dxa"/>
            <w:shd w:val="clear" w:color="auto" w:fill="auto"/>
            <w:vAlign w:val="center"/>
          </w:tcPr>
          <w:p w14:paraId="279739F0" w14:textId="77777777" w:rsidR="00E742D8" w:rsidRPr="00F32542" w:rsidRDefault="00E742D8" w:rsidP="00E742D8">
            <w:pPr>
              <w:spacing w:after="0" w:line="360" w:lineRule="auto"/>
              <w:jc w:val="center"/>
              <w:rPr>
                <w:rFonts w:ascii="Arial" w:eastAsia="Calibri" w:hAnsi="Arial" w:cs="Arial"/>
                <w:color w:val="000000"/>
                <w:sz w:val="24"/>
                <w:szCs w:val="24"/>
              </w:rPr>
            </w:pPr>
            <w:r w:rsidRPr="00F32542">
              <w:rPr>
                <w:rFonts w:ascii="Arial" w:hAnsi="Arial" w:cs="Arial"/>
                <w:sz w:val="24"/>
                <w:szCs w:val="24"/>
              </w:rPr>
              <w:t>72,606</w:t>
            </w:r>
          </w:p>
        </w:tc>
      </w:tr>
      <w:tr w:rsidR="00E742D8" w:rsidRPr="00F32542" w14:paraId="3987B03A" w14:textId="77777777" w:rsidTr="00B65D24">
        <w:trPr>
          <w:trHeight w:val="221"/>
          <w:jc w:val="center"/>
        </w:trPr>
        <w:tc>
          <w:tcPr>
            <w:tcW w:w="4248" w:type="dxa"/>
            <w:vAlign w:val="center"/>
          </w:tcPr>
          <w:p w14:paraId="773CCA4A" w14:textId="77777777" w:rsidR="00E742D8" w:rsidRPr="00F32542" w:rsidRDefault="00E742D8" w:rsidP="00E742D8">
            <w:pPr>
              <w:spacing w:after="0" w:line="240" w:lineRule="auto"/>
              <w:jc w:val="center"/>
              <w:rPr>
                <w:rFonts w:ascii="Arial" w:eastAsia="Calibri" w:hAnsi="Arial" w:cs="Arial"/>
                <w:sz w:val="24"/>
                <w:szCs w:val="24"/>
              </w:rPr>
            </w:pPr>
            <w:r w:rsidRPr="00F32542">
              <w:rPr>
                <w:rFonts w:ascii="Arial" w:eastAsia="Calibri" w:hAnsi="Arial" w:cs="Arial"/>
                <w:sz w:val="24"/>
                <w:szCs w:val="24"/>
              </w:rPr>
              <w:t>RSP</w:t>
            </w:r>
          </w:p>
        </w:tc>
        <w:tc>
          <w:tcPr>
            <w:tcW w:w="3685" w:type="dxa"/>
            <w:shd w:val="clear" w:color="auto" w:fill="auto"/>
            <w:vAlign w:val="center"/>
          </w:tcPr>
          <w:p w14:paraId="72296800" w14:textId="77777777" w:rsidR="00E742D8" w:rsidRPr="00F32542" w:rsidRDefault="00E742D8" w:rsidP="00E742D8">
            <w:pPr>
              <w:spacing w:after="0" w:line="360" w:lineRule="auto"/>
              <w:jc w:val="center"/>
              <w:rPr>
                <w:rFonts w:ascii="Arial" w:eastAsia="Calibri" w:hAnsi="Arial" w:cs="Arial"/>
                <w:color w:val="000000"/>
                <w:sz w:val="24"/>
                <w:szCs w:val="24"/>
              </w:rPr>
            </w:pPr>
            <w:r w:rsidRPr="00F32542">
              <w:rPr>
                <w:rFonts w:ascii="Arial" w:hAnsi="Arial" w:cs="Arial"/>
                <w:sz w:val="24"/>
                <w:szCs w:val="24"/>
              </w:rPr>
              <w:t>29,536</w:t>
            </w:r>
          </w:p>
        </w:tc>
      </w:tr>
      <w:tr w:rsidR="00E742D8" w:rsidRPr="00F32542" w14:paraId="4BFAED9F" w14:textId="77777777" w:rsidTr="00B65D24">
        <w:trPr>
          <w:trHeight w:val="187"/>
          <w:jc w:val="center"/>
        </w:trPr>
        <w:tc>
          <w:tcPr>
            <w:tcW w:w="4248" w:type="dxa"/>
            <w:vAlign w:val="center"/>
          </w:tcPr>
          <w:p w14:paraId="25806E06" w14:textId="77777777" w:rsidR="00E742D8" w:rsidRPr="00F32542" w:rsidRDefault="00E742D8" w:rsidP="00E742D8">
            <w:pPr>
              <w:spacing w:after="0" w:line="240" w:lineRule="auto"/>
              <w:jc w:val="center"/>
              <w:rPr>
                <w:rFonts w:ascii="Arial" w:eastAsia="Calibri" w:hAnsi="Arial" w:cs="Arial"/>
                <w:sz w:val="24"/>
                <w:szCs w:val="24"/>
              </w:rPr>
            </w:pPr>
            <w:proofErr w:type="spellStart"/>
            <w:r w:rsidRPr="00F32542">
              <w:rPr>
                <w:rFonts w:ascii="Arial" w:eastAsia="Calibri" w:hAnsi="Arial" w:cs="Arial"/>
                <w:sz w:val="24"/>
                <w:szCs w:val="24"/>
              </w:rPr>
              <w:lastRenderedPageBreak/>
              <w:t>FxM</w:t>
            </w:r>
            <w:proofErr w:type="spellEnd"/>
          </w:p>
        </w:tc>
        <w:tc>
          <w:tcPr>
            <w:tcW w:w="3685" w:type="dxa"/>
            <w:shd w:val="clear" w:color="auto" w:fill="auto"/>
            <w:vAlign w:val="center"/>
          </w:tcPr>
          <w:p w14:paraId="4B09A48F" w14:textId="77777777" w:rsidR="00E742D8" w:rsidRPr="00F32542" w:rsidRDefault="00E742D8" w:rsidP="00E742D8">
            <w:pPr>
              <w:spacing w:after="0" w:line="360" w:lineRule="auto"/>
              <w:jc w:val="center"/>
              <w:rPr>
                <w:rFonts w:ascii="Arial" w:eastAsia="Calibri" w:hAnsi="Arial" w:cs="Arial"/>
                <w:color w:val="000000"/>
                <w:sz w:val="24"/>
                <w:szCs w:val="24"/>
              </w:rPr>
            </w:pPr>
            <w:r w:rsidRPr="00F32542">
              <w:rPr>
                <w:rFonts w:ascii="Arial" w:hAnsi="Arial" w:cs="Arial"/>
                <w:sz w:val="24"/>
                <w:szCs w:val="24"/>
              </w:rPr>
              <w:t>79,947</w:t>
            </w:r>
          </w:p>
        </w:tc>
      </w:tr>
      <w:tr w:rsidR="00E742D8" w:rsidRPr="00F32542" w14:paraId="7E39E6E0" w14:textId="77777777" w:rsidTr="00B65D24">
        <w:trPr>
          <w:trHeight w:val="337"/>
          <w:jc w:val="center"/>
        </w:trPr>
        <w:tc>
          <w:tcPr>
            <w:tcW w:w="4248" w:type="dxa"/>
            <w:vAlign w:val="center"/>
          </w:tcPr>
          <w:p w14:paraId="747AC746" w14:textId="77777777" w:rsidR="00E742D8" w:rsidRPr="00F32542" w:rsidRDefault="00E742D8" w:rsidP="00E742D8">
            <w:pPr>
              <w:spacing w:after="0" w:line="240" w:lineRule="auto"/>
              <w:jc w:val="center"/>
              <w:rPr>
                <w:rFonts w:ascii="Arial" w:eastAsia="Calibri" w:hAnsi="Arial" w:cs="Arial"/>
                <w:sz w:val="24"/>
                <w:szCs w:val="24"/>
              </w:rPr>
            </w:pPr>
            <w:r w:rsidRPr="00F32542">
              <w:rPr>
                <w:rFonts w:ascii="Arial" w:eastAsia="Calibri" w:hAnsi="Arial" w:cs="Arial"/>
                <w:sz w:val="24"/>
                <w:szCs w:val="24"/>
              </w:rPr>
              <w:t>Candidaturas sin partido</w:t>
            </w:r>
          </w:p>
        </w:tc>
        <w:tc>
          <w:tcPr>
            <w:tcW w:w="3685" w:type="dxa"/>
            <w:shd w:val="clear" w:color="auto" w:fill="auto"/>
            <w:vAlign w:val="center"/>
          </w:tcPr>
          <w:p w14:paraId="253BB275" w14:textId="77777777" w:rsidR="00E742D8" w:rsidRPr="00F32542" w:rsidRDefault="00E742D8" w:rsidP="00E742D8">
            <w:pPr>
              <w:spacing w:after="0" w:line="360" w:lineRule="auto"/>
              <w:jc w:val="center"/>
              <w:rPr>
                <w:rFonts w:ascii="Arial" w:eastAsia="Calibri" w:hAnsi="Arial" w:cs="Arial"/>
                <w:color w:val="000000"/>
                <w:sz w:val="24"/>
                <w:szCs w:val="24"/>
              </w:rPr>
            </w:pPr>
            <w:r w:rsidRPr="00F32542">
              <w:rPr>
                <w:rFonts w:ascii="Arial" w:hAnsi="Arial" w:cs="Arial"/>
                <w:sz w:val="24"/>
                <w:szCs w:val="24"/>
              </w:rPr>
              <w:t>12,978</w:t>
            </w:r>
          </w:p>
        </w:tc>
      </w:tr>
      <w:tr w:rsidR="00E742D8" w:rsidRPr="00F32542" w14:paraId="027553AE" w14:textId="77777777" w:rsidTr="00B65D24">
        <w:trPr>
          <w:trHeight w:val="471"/>
          <w:jc w:val="center"/>
        </w:trPr>
        <w:tc>
          <w:tcPr>
            <w:tcW w:w="4248" w:type="dxa"/>
            <w:vAlign w:val="center"/>
          </w:tcPr>
          <w:p w14:paraId="0E5B1E4F" w14:textId="77777777" w:rsidR="00E742D8" w:rsidRPr="00F32542" w:rsidRDefault="00E742D8" w:rsidP="00E742D8">
            <w:pPr>
              <w:spacing w:after="0" w:line="240" w:lineRule="auto"/>
              <w:jc w:val="center"/>
              <w:rPr>
                <w:rFonts w:ascii="Arial" w:eastAsia="Calibri" w:hAnsi="Arial" w:cs="Arial"/>
                <w:sz w:val="24"/>
                <w:szCs w:val="24"/>
              </w:rPr>
            </w:pPr>
            <w:r w:rsidRPr="00F32542">
              <w:rPr>
                <w:rFonts w:ascii="Arial" w:eastAsia="Calibri" w:hAnsi="Arial" w:cs="Arial"/>
                <w:sz w:val="24"/>
                <w:szCs w:val="24"/>
              </w:rPr>
              <w:t>Candidaturas no registradas</w:t>
            </w:r>
          </w:p>
        </w:tc>
        <w:tc>
          <w:tcPr>
            <w:tcW w:w="3685" w:type="dxa"/>
            <w:shd w:val="clear" w:color="auto" w:fill="auto"/>
            <w:vAlign w:val="center"/>
          </w:tcPr>
          <w:p w14:paraId="58A664C9" w14:textId="77777777" w:rsidR="00E742D8" w:rsidRPr="00F32542" w:rsidRDefault="00E742D8" w:rsidP="00E742D8">
            <w:pPr>
              <w:spacing w:after="0" w:line="360" w:lineRule="auto"/>
              <w:jc w:val="center"/>
              <w:rPr>
                <w:rFonts w:ascii="Arial" w:eastAsia="Calibri" w:hAnsi="Arial" w:cs="Arial"/>
                <w:color w:val="000000"/>
                <w:sz w:val="24"/>
                <w:szCs w:val="24"/>
              </w:rPr>
            </w:pPr>
            <w:r w:rsidRPr="00F32542">
              <w:rPr>
                <w:rFonts w:ascii="Arial" w:hAnsi="Arial" w:cs="Arial"/>
                <w:sz w:val="24"/>
                <w:szCs w:val="24"/>
              </w:rPr>
              <w:t>5,926</w:t>
            </w:r>
          </w:p>
        </w:tc>
      </w:tr>
      <w:tr w:rsidR="00E742D8" w:rsidRPr="00F32542" w14:paraId="5BF8355A" w14:textId="77777777" w:rsidTr="00B65D24">
        <w:trPr>
          <w:trHeight w:val="195"/>
          <w:jc w:val="center"/>
        </w:trPr>
        <w:tc>
          <w:tcPr>
            <w:tcW w:w="4248" w:type="dxa"/>
            <w:vAlign w:val="center"/>
          </w:tcPr>
          <w:p w14:paraId="6A17F9D3" w14:textId="77777777" w:rsidR="00E742D8" w:rsidRPr="00F32542" w:rsidRDefault="00E742D8" w:rsidP="00E742D8">
            <w:pPr>
              <w:spacing w:after="0" w:line="240" w:lineRule="auto"/>
              <w:jc w:val="center"/>
              <w:rPr>
                <w:rFonts w:ascii="Arial" w:eastAsia="Calibri" w:hAnsi="Arial" w:cs="Arial"/>
                <w:sz w:val="24"/>
                <w:szCs w:val="24"/>
              </w:rPr>
            </w:pPr>
            <w:r w:rsidRPr="00F32542">
              <w:rPr>
                <w:rFonts w:ascii="Arial" w:eastAsia="Calibri" w:hAnsi="Arial" w:cs="Arial"/>
                <w:sz w:val="24"/>
                <w:szCs w:val="24"/>
              </w:rPr>
              <w:t>Votos nulos</w:t>
            </w:r>
          </w:p>
        </w:tc>
        <w:tc>
          <w:tcPr>
            <w:tcW w:w="3685" w:type="dxa"/>
            <w:shd w:val="clear" w:color="auto" w:fill="auto"/>
            <w:vAlign w:val="center"/>
          </w:tcPr>
          <w:p w14:paraId="34D7F5A9" w14:textId="77777777" w:rsidR="00E742D8" w:rsidRPr="00F32542" w:rsidRDefault="00E742D8" w:rsidP="00E742D8">
            <w:pPr>
              <w:spacing w:after="0" w:line="360" w:lineRule="auto"/>
              <w:jc w:val="center"/>
              <w:rPr>
                <w:rFonts w:ascii="Arial" w:eastAsia="Calibri" w:hAnsi="Arial" w:cs="Arial"/>
                <w:color w:val="000000"/>
                <w:sz w:val="24"/>
                <w:szCs w:val="24"/>
              </w:rPr>
            </w:pPr>
            <w:r w:rsidRPr="00F32542">
              <w:rPr>
                <w:rFonts w:ascii="Arial" w:hAnsi="Arial" w:cs="Arial"/>
                <w:sz w:val="24"/>
                <w:szCs w:val="24"/>
              </w:rPr>
              <w:t>124,124</w:t>
            </w:r>
          </w:p>
        </w:tc>
      </w:tr>
      <w:tr w:rsidR="00E742D8" w:rsidRPr="00F32542" w14:paraId="2AEAC609" w14:textId="77777777" w:rsidTr="00B65D24">
        <w:trPr>
          <w:trHeight w:val="498"/>
          <w:jc w:val="center"/>
        </w:trPr>
        <w:tc>
          <w:tcPr>
            <w:tcW w:w="4248" w:type="dxa"/>
            <w:vAlign w:val="center"/>
          </w:tcPr>
          <w:p w14:paraId="5C23992E" w14:textId="77777777" w:rsidR="00E742D8" w:rsidRPr="00F32542" w:rsidRDefault="00E742D8" w:rsidP="00E742D8">
            <w:pPr>
              <w:spacing w:after="0" w:line="240" w:lineRule="auto"/>
              <w:jc w:val="center"/>
              <w:rPr>
                <w:rFonts w:ascii="Arial" w:eastAsia="Calibri" w:hAnsi="Arial" w:cs="Arial"/>
                <w:b/>
                <w:sz w:val="24"/>
                <w:szCs w:val="24"/>
              </w:rPr>
            </w:pPr>
            <w:r w:rsidRPr="00F32542">
              <w:rPr>
                <w:rFonts w:ascii="Arial" w:eastAsia="Calibri" w:hAnsi="Arial" w:cs="Arial"/>
                <w:b/>
                <w:sz w:val="24"/>
                <w:szCs w:val="24"/>
              </w:rPr>
              <w:t>Votación total emitida</w:t>
            </w:r>
          </w:p>
        </w:tc>
        <w:tc>
          <w:tcPr>
            <w:tcW w:w="3685" w:type="dxa"/>
            <w:shd w:val="clear" w:color="auto" w:fill="auto"/>
            <w:vAlign w:val="center"/>
          </w:tcPr>
          <w:p w14:paraId="5CB87198" w14:textId="77777777" w:rsidR="00E742D8" w:rsidRPr="00F32542" w:rsidRDefault="00E742D8" w:rsidP="00E742D8">
            <w:pPr>
              <w:spacing w:after="0" w:line="360" w:lineRule="auto"/>
              <w:jc w:val="center"/>
              <w:rPr>
                <w:rFonts w:ascii="Arial" w:eastAsia="Calibri" w:hAnsi="Arial" w:cs="Arial"/>
                <w:b/>
                <w:color w:val="000000"/>
                <w:sz w:val="24"/>
                <w:szCs w:val="24"/>
              </w:rPr>
            </w:pPr>
            <w:r w:rsidRPr="00F32542">
              <w:rPr>
                <w:rFonts w:ascii="Arial" w:hAnsi="Arial" w:cs="Arial"/>
                <w:sz w:val="24"/>
                <w:szCs w:val="24"/>
              </w:rPr>
              <w:t>4,046,586</w:t>
            </w:r>
          </w:p>
        </w:tc>
      </w:tr>
    </w:tbl>
    <w:p w14:paraId="0BBC1DBE" w14:textId="77777777" w:rsidR="00EA6967" w:rsidRPr="00F32542" w:rsidRDefault="00EA6967" w:rsidP="00EA6967">
      <w:pPr>
        <w:spacing w:after="0" w:line="360" w:lineRule="auto"/>
        <w:ind w:right="51"/>
        <w:jc w:val="both"/>
        <w:rPr>
          <w:rFonts w:ascii="Arial" w:hAnsi="Arial" w:cs="Arial"/>
          <w:spacing w:val="4"/>
          <w:sz w:val="28"/>
          <w:szCs w:val="28"/>
        </w:rPr>
      </w:pPr>
    </w:p>
    <w:p w14:paraId="4ACDA6AA" w14:textId="77777777" w:rsidR="00EA6967" w:rsidRPr="00F32542" w:rsidRDefault="00EA6967" w:rsidP="00B01E6A">
      <w:pPr>
        <w:spacing w:after="0" w:line="360" w:lineRule="auto"/>
        <w:ind w:right="51"/>
        <w:jc w:val="both"/>
        <w:rPr>
          <w:rFonts w:ascii="Arial" w:hAnsi="Arial" w:cs="Arial"/>
          <w:spacing w:val="4"/>
          <w:sz w:val="28"/>
          <w:szCs w:val="28"/>
        </w:rPr>
      </w:pPr>
    </w:p>
    <w:p w14:paraId="4E7F9AC7" w14:textId="77777777" w:rsidR="00B01E6A" w:rsidRPr="00F32542" w:rsidRDefault="00B01E6A" w:rsidP="00B01E6A">
      <w:pPr>
        <w:spacing w:after="0" w:line="360" w:lineRule="auto"/>
        <w:ind w:right="51"/>
        <w:jc w:val="both"/>
        <w:rPr>
          <w:rFonts w:ascii="Arial" w:hAnsi="Arial" w:cs="Arial"/>
          <w:spacing w:val="4"/>
          <w:sz w:val="28"/>
          <w:szCs w:val="28"/>
        </w:rPr>
      </w:pPr>
      <w:r w:rsidRPr="00F32542">
        <w:rPr>
          <w:rFonts w:ascii="Arial" w:hAnsi="Arial" w:cs="Arial"/>
          <w:b/>
          <w:spacing w:val="4"/>
          <w:sz w:val="28"/>
          <w:szCs w:val="28"/>
        </w:rPr>
        <w:t>4. Modificar</w:t>
      </w:r>
      <w:r w:rsidRPr="00F32542">
        <w:rPr>
          <w:rFonts w:ascii="Arial" w:hAnsi="Arial" w:cs="Arial"/>
          <w:spacing w:val="4"/>
          <w:sz w:val="28"/>
          <w:szCs w:val="28"/>
        </w:rPr>
        <w:t xml:space="preserve"> el desarrollo de la fórmula de asignación de diputaciones por el principio de representación proporcional, en atención a la modificación al cómputo de la elección, la cual concluyó con idéntica distribución de las treinta y dos curules en los términos que efectuó el </w:t>
      </w:r>
      <w:r w:rsidRPr="00F32542">
        <w:rPr>
          <w:rFonts w:ascii="Arial" w:hAnsi="Arial" w:cs="Arial"/>
          <w:i/>
          <w:spacing w:val="4"/>
          <w:sz w:val="28"/>
          <w:szCs w:val="28"/>
        </w:rPr>
        <w:t>Consejo General</w:t>
      </w:r>
      <w:r w:rsidRPr="00F32542">
        <w:rPr>
          <w:rFonts w:ascii="Arial" w:hAnsi="Arial" w:cs="Arial"/>
          <w:spacing w:val="4"/>
          <w:sz w:val="28"/>
          <w:szCs w:val="28"/>
        </w:rPr>
        <w:t xml:space="preserve">, que es la siguiente: </w:t>
      </w:r>
    </w:p>
    <w:p w14:paraId="1061A807" w14:textId="77777777" w:rsidR="00B01E6A" w:rsidRPr="00F32542" w:rsidRDefault="00B01E6A" w:rsidP="00B01E6A">
      <w:pPr>
        <w:spacing w:after="0" w:line="360" w:lineRule="auto"/>
        <w:ind w:right="51"/>
        <w:jc w:val="both"/>
        <w:rPr>
          <w:rFonts w:ascii="Arial" w:hAnsi="Arial" w:cs="Arial"/>
          <w:spacing w:val="4"/>
          <w:sz w:val="28"/>
          <w:szCs w:val="28"/>
        </w:rPr>
      </w:pPr>
    </w:p>
    <w:tbl>
      <w:tblPr>
        <w:tblW w:w="7933" w:type="dxa"/>
        <w:jc w:val="center"/>
        <w:tblLayout w:type="fixed"/>
        <w:tblCellMar>
          <w:left w:w="70" w:type="dxa"/>
          <w:right w:w="70" w:type="dxa"/>
        </w:tblCellMar>
        <w:tblLook w:val="04A0" w:firstRow="1" w:lastRow="0" w:firstColumn="1" w:lastColumn="0" w:noHBand="0" w:noVBand="1"/>
      </w:tblPr>
      <w:tblGrid>
        <w:gridCol w:w="1771"/>
        <w:gridCol w:w="2477"/>
        <w:gridCol w:w="1984"/>
        <w:gridCol w:w="1701"/>
      </w:tblGrid>
      <w:tr w:rsidR="00B01E6A" w:rsidRPr="00F32542" w14:paraId="4C342DF4" w14:textId="77777777" w:rsidTr="00B65D24">
        <w:trPr>
          <w:trHeight w:val="1005"/>
          <w:tblHeader/>
          <w:jc w:val="center"/>
        </w:trPr>
        <w:tc>
          <w:tcPr>
            <w:tcW w:w="1771" w:type="dxa"/>
            <w:tcBorders>
              <w:top w:val="single" w:sz="4" w:space="0" w:color="auto"/>
              <w:left w:val="single" w:sz="4" w:space="0" w:color="auto"/>
              <w:bottom w:val="single" w:sz="4" w:space="0" w:color="auto"/>
              <w:right w:val="single" w:sz="4" w:space="0" w:color="auto"/>
            </w:tcBorders>
            <w:shd w:val="clear" w:color="auto" w:fill="AEAAAA"/>
            <w:noWrap/>
            <w:vAlign w:val="center"/>
            <w:hideMark/>
          </w:tcPr>
          <w:p w14:paraId="0D77BEF5" w14:textId="77777777" w:rsidR="00B01E6A" w:rsidRPr="00F32542" w:rsidRDefault="00B01E6A" w:rsidP="00B01E6A">
            <w:pPr>
              <w:spacing w:after="0" w:line="240" w:lineRule="auto"/>
              <w:jc w:val="center"/>
              <w:rPr>
                <w:rFonts w:ascii="Arial" w:eastAsia="Calibri" w:hAnsi="Arial" w:cs="Arial"/>
                <w:b/>
                <w:bCs/>
                <w:lang w:val="es-ES" w:eastAsia="es-MX"/>
              </w:rPr>
            </w:pPr>
            <w:r w:rsidRPr="00F32542">
              <w:rPr>
                <w:rFonts w:ascii="Arial" w:eastAsia="Calibri" w:hAnsi="Arial" w:cs="Arial"/>
                <w:b/>
                <w:bCs/>
                <w:lang w:val="es-ES" w:eastAsia="es-MX"/>
              </w:rPr>
              <w:t>Partido</w:t>
            </w:r>
          </w:p>
          <w:p w14:paraId="45E56923" w14:textId="77777777" w:rsidR="00B01E6A" w:rsidRPr="00F32542" w:rsidRDefault="00B01E6A" w:rsidP="00B01E6A">
            <w:pPr>
              <w:spacing w:after="0" w:line="240" w:lineRule="auto"/>
              <w:jc w:val="center"/>
              <w:rPr>
                <w:rFonts w:ascii="Arial" w:eastAsia="Calibri" w:hAnsi="Arial" w:cs="Arial"/>
                <w:b/>
                <w:bCs/>
                <w:lang w:val="es-ES" w:eastAsia="es-MX"/>
              </w:rPr>
            </w:pPr>
            <w:r w:rsidRPr="00F32542">
              <w:rPr>
                <w:rFonts w:ascii="Arial" w:eastAsia="Calibri" w:hAnsi="Arial" w:cs="Arial"/>
                <w:b/>
                <w:bCs/>
                <w:lang w:val="es-ES" w:eastAsia="es-MX"/>
              </w:rPr>
              <w:t>Político</w:t>
            </w:r>
          </w:p>
        </w:tc>
        <w:tc>
          <w:tcPr>
            <w:tcW w:w="2477" w:type="dxa"/>
            <w:tcBorders>
              <w:top w:val="single" w:sz="4" w:space="0" w:color="auto"/>
              <w:left w:val="nil"/>
              <w:bottom w:val="single" w:sz="4" w:space="0" w:color="auto"/>
              <w:right w:val="single" w:sz="4" w:space="0" w:color="auto"/>
            </w:tcBorders>
            <w:shd w:val="clear" w:color="auto" w:fill="AEAAAA"/>
            <w:vAlign w:val="center"/>
          </w:tcPr>
          <w:p w14:paraId="0CFF3D08" w14:textId="77777777" w:rsidR="00B01E6A" w:rsidRPr="00F32542" w:rsidRDefault="00B01E6A" w:rsidP="00B01E6A">
            <w:pPr>
              <w:spacing w:after="0" w:line="240" w:lineRule="auto"/>
              <w:jc w:val="center"/>
              <w:rPr>
                <w:rFonts w:ascii="Arial" w:eastAsia="Calibri" w:hAnsi="Arial" w:cs="Arial"/>
                <w:b/>
                <w:bCs/>
                <w:lang w:val="es-ES" w:eastAsia="es-MX"/>
              </w:rPr>
            </w:pPr>
            <w:r w:rsidRPr="00F32542">
              <w:rPr>
                <w:rFonts w:ascii="Arial" w:eastAsia="Calibri" w:hAnsi="Arial" w:cs="Arial"/>
                <w:b/>
                <w:bCs/>
                <w:lang w:val="es-ES" w:eastAsia="es-MX"/>
              </w:rPr>
              <w:t>Diputaciones distribuidas mediante cociente electoral</w:t>
            </w:r>
          </w:p>
        </w:tc>
        <w:tc>
          <w:tcPr>
            <w:tcW w:w="1984" w:type="dxa"/>
            <w:tcBorders>
              <w:top w:val="single" w:sz="4" w:space="0" w:color="auto"/>
              <w:left w:val="nil"/>
              <w:bottom w:val="single" w:sz="4" w:space="0" w:color="auto"/>
              <w:right w:val="single" w:sz="4" w:space="0" w:color="auto"/>
            </w:tcBorders>
            <w:shd w:val="clear" w:color="auto" w:fill="AEAAAA"/>
            <w:vAlign w:val="center"/>
          </w:tcPr>
          <w:p w14:paraId="36D5232A" w14:textId="77777777" w:rsidR="00B01E6A" w:rsidRPr="00F32542" w:rsidRDefault="00B01E6A" w:rsidP="00B01E6A">
            <w:pPr>
              <w:spacing w:after="0" w:line="240" w:lineRule="auto"/>
              <w:jc w:val="center"/>
              <w:rPr>
                <w:rFonts w:ascii="Arial" w:eastAsia="Calibri" w:hAnsi="Arial" w:cs="Arial"/>
                <w:b/>
                <w:bCs/>
                <w:lang w:eastAsia="es-MX"/>
              </w:rPr>
            </w:pPr>
            <w:r w:rsidRPr="00F32542">
              <w:rPr>
                <w:rFonts w:ascii="Arial" w:eastAsia="Calibri" w:hAnsi="Arial" w:cs="Arial"/>
                <w:b/>
                <w:bCs/>
                <w:lang w:eastAsia="es-MX"/>
              </w:rPr>
              <w:t>Diputaciones distribuidas mediante resto mayor</w:t>
            </w:r>
          </w:p>
        </w:tc>
        <w:tc>
          <w:tcPr>
            <w:tcW w:w="1701" w:type="dxa"/>
            <w:tcBorders>
              <w:top w:val="single" w:sz="4" w:space="0" w:color="auto"/>
              <w:left w:val="nil"/>
              <w:bottom w:val="single" w:sz="4" w:space="0" w:color="auto"/>
              <w:right w:val="single" w:sz="4" w:space="0" w:color="auto"/>
            </w:tcBorders>
            <w:shd w:val="clear" w:color="auto" w:fill="AEAAAA"/>
            <w:vAlign w:val="center"/>
          </w:tcPr>
          <w:p w14:paraId="29B2D222" w14:textId="77777777" w:rsidR="00B01E6A" w:rsidRPr="00F32542" w:rsidRDefault="00B01E6A" w:rsidP="00B01E6A">
            <w:pPr>
              <w:spacing w:after="0" w:line="240" w:lineRule="auto"/>
              <w:jc w:val="center"/>
              <w:rPr>
                <w:rFonts w:ascii="Arial" w:eastAsia="Calibri" w:hAnsi="Arial" w:cs="Arial"/>
                <w:b/>
                <w:bCs/>
                <w:lang w:val="es-ES" w:eastAsia="es-MX"/>
              </w:rPr>
            </w:pPr>
            <w:r w:rsidRPr="00F32542">
              <w:rPr>
                <w:rFonts w:ascii="Arial" w:eastAsia="Calibri" w:hAnsi="Arial" w:cs="Arial"/>
                <w:b/>
                <w:bCs/>
                <w:lang w:val="es-ES" w:eastAsia="es-MX"/>
              </w:rPr>
              <w:t>Total</w:t>
            </w:r>
          </w:p>
        </w:tc>
      </w:tr>
      <w:tr w:rsidR="00B01E6A" w:rsidRPr="00F32542" w14:paraId="64540224" w14:textId="77777777" w:rsidTr="00B65D24">
        <w:trPr>
          <w:trHeight w:val="284"/>
          <w:jc w:val="center"/>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3CE0C" w14:textId="77777777" w:rsidR="00B01E6A" w:rsidRPr="00F32542" w:rsidRDefault="00B01E6A" w:rsidP="00B01E6A">
            <w:pPr>
              <w:spacing w:after="0" w:line="240" w:lineRule="auto"/>
              <w:jc w:val="center"/>
              <w:rPr>
                <w:rFonts w:ascii="Arial" w:eastAsia="Calibri" w:hAnsi="Arial" w:cs="Arial"/>
                <w:sz w:val="26"/>
                <w:szCs w:val="26"/>
              </w:rPr>
            </w:pPr>
            <w:r w:rsidRPr="00F32542">
              <w:rPr>
                <w:rFonts w:ascii="Arial" w:eastAsia="Calibri" w:hAnsi="Arial" w:cs="Arial"/>
                <w:sz w:val="26"/>
                <w:szCs w:val="26"/>
              </w:rPr>
              <w:t>PAN</w:t>
            </w:r>
          </w:p>
        </w:tc>
        <w:tc>
          <w:tcPr>
            <w:tcW w:w="2477" w:type="dxa"/>
            <w:tcBorders>
              <w:top w:val="single" w:sz="4" w:space="0" w:color="auto"/>
              <w:left w:val="nil"/>
              <w:bottom w:val="single" w:sz="4" w:space="0" w:color="auto"/>
              <w:right w:val="single" w:sz="4" w:space="0" w:color="auto"/>
            </w:tcBorders>
            <w:vAlign w:val="center"/>
          </w:tcPr>
          <w:p w14:paraId="4094651F" w14:textId="77777777" w:rsidR="00B01E6A" w:rsidRPr="00F32542" w:rsidRDefault="00B01E6A" w:rsidP="00B01E6A">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9</w:t>
            </w:r>
          </w:p>
        </w:tc>
        <w:tc>
          <w:tcPr>
            <w:tcW w:w="1984" w:type="dxa"/>
            <w:tcBorders>
              <w:top w:val="single" w:sz="4" w:space="0" w:color="auto"/>
              <w:left w:val="nil"/>
              <w:bottom w:val="single" w:sz="4" w:space="0" w:color="auto"/>
              <w:right w:val="single" w:sz="4" w:space="0" w:color="auto"/>
            </w:tcBorders>
            <w:vAlign w:val="center"/>
          </w:tcPr>
          <w:p w14:paraId="17F82A09" w14:textId="77777777" w:rsidR="00B01E6A" w:rsidRPr="00F32542" w:rsidRDefault="00B01E6A" w:rsidP="00B01E6A">
            <w:pPr>
              <w:spacing w:after="0" w:line="240" w:lineRule="auto"/>
              <w:jc w:val="center"/>
              <w:rPr>
                <w:rFonts w:ascii="Arial" w:eastAsia="Calibri" w:hAnsi="Arial" w:cs="Arial"/>
                <w:color w:val="000000"/>
                <w:lang w:val="es-ES"/>
              </w:rPr>
            </w:pPr>
          </w:p>
        </w:tc>
        <w:tc>
          <w:tcPr>
            <w:tcW w:w="1701" w:type="dxa"/>
            <w:tcBorders>
              <w:top w:val="single" w:sz="4" w:space="0" w:color="auto"/>
              <w:left w:val="nil"/>
              <w:bottom w:val="single" w:sz="4" w:space="0" w:color="auto"/>
              <w:right w:val="single" w:sz="4" w:space="0" w:color="auto"/>
            </w:tcBorders>
            <w:vAlign w:val="center"/>
          </w:tcPr>
          <w:p w14:paraId="26715198" w14:textId="77777777" w:rsidR="00B01E6A" w:rsidRPr="00F32542" w:rsidRDefault="00B01E6A" w:rsidP="00B01E6A">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9</w:t>
            </w:r>
          </w:p>
        </w:tc>
      </w:tr>
      <w:tr w:rsidR="00B01E6A" w:rsidRPr="00F32542" w14:paraId="5F314EA3" w14:textId="77777777" w:rsidTr="00B65D24">
        <w:trPr>
          <w:trHeight w:val="284"/>
          <w:jc w:val="center"/>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31BB0" w14:textId="77777777" w:rsidR="00B01E6A" w:rsidRPr="00F32542" w:rsidRDefault="00B01E6A" w:rsidP="00B01E6A">
            <w:pPr>
              <w:spacing w:after="0" w:line="240" w:lineRule="auto"/>
              <w:jc w:val="center"/>
              <w:rPr>
                <w:rFonts w:ascii="Arial" w:eastAsia="Calibri" w:hAnsi="Arial" w:cs="Arial"/>
                <w:sz w:val="26"/>
                <w:szCs w:val="26"/>
              </w:rPr>
            </w:pPr>
            <w:r w:rsidRPr="00F32542">
              <w:rPr>
                <w:rFonts w:ascii="Arial" w:eastAsia="Calibri" w:hAnsi="Arial" w:cs="Arial"/>
                <w:sz w:val="26"/>
                <w:szCs w:val="26"/>
              </w:rPr>
              <w:t>PRI</w:t>
            </w:r>
          </w:p>
        </w:tc>
        <w:tc>
          <w:tcPr>
            <w:tcW w:w="2477" w:type="dxa"/>
            <w:tcBorders>
              <w:top w:val="single" w:sz="4" w:space="0" w:color="auto"/>
              <w:left w:val="nil"/>
              <w:bottom w:val="single" w:sz="4" w:space="0" w:color="auto"/>
              <w:right w:val="single" w:sz="4" w:space="0" w:color="auto"/>
            </w:tcBorders>
            <w:vAlign w:val="center"/>
          </w:tcPr>
          <w:p w14:paraId="74A9E508" w14:textId="77777777" w:rsidR="00B01E6A" w:rsidRPr="00F32542" w:rsidRDefault="00B01E6A" w:rsidP="00B01E6A">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5</w:t>
            </w:r>
          </w:p>
        </w:tc>
        <w:tc>
          <w:tcPr>
            <w:tcW w:w="1984" w:type="dxa"/>
            <w:tcBorders>
              <w:top w:val="single" w:sz="4" w:space="0" w:color="auto"/>
              <w:left w:val="nil"/>
              <w:bottom w:val="single" w:sz="4" w:space="0" w:color="auto"/>
              <w:right w:val="single" w:sz="4" w:space="0" w:color="auto"/>
            </w:tcBorders>
            <w:vAlign w:val="center"/>
          </w:tcPr>
          <w:p w14:paraId="34C469A7" w14:textId="77777777" w:rsidR="00B01E6A" w:rsidRPr="00F32542" w:rsidRDefault="00B01E6A" w:rsidP="00B01E6A">
            <w:pPr>
              <w:spacing w:after="0" w:line="240" w:lineRule="auto"/>
              <w:jc w:val="center"/>
              <w:rPr>
                <w:rFonts w:ascii="Arial" w:eastAsia="Calibri" w:hAnsi="Arial" w:cs="Arial"/>
                <w:color w:val="000000"/>
                <w:lang w:val="es-ES"/>
              </w:rPr>
            </w:pPr>
          </w:p>
        </w:tc>
        <w:tc>
          <w:tcPr>
            <w:tcW w:w="1701" w:type="dxa"/>
            <w:tcBorders>
              <w:top w:val="single" w:sz="4" w:space="0" w:color="auto"/>
              <w:left w:val="nil"/>
              <w:bottom w:val="single" w:sz="4" w:space="0" w:color="auto"/>
              <w:right w:val="single" w:sz="4" w:space="0" w:color="auto"/>
            </w:tcBorders>
            <w:vAlign w:val="center"/>
          </w:tcPr>
          <w:p w14:paraId="6E160E59" w14:textId="77777777" w:rsidR="00B01E6A" w:rsidRPr="00F32542" w:rsidRDefault="00B01E6A" w:rsidP="00B01E6A">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5</w:t>
            </w:r>
          </w:p>
        </w:tc>
      </w:tr>
      <w:tr w:rsidR="00B01E6A" w:rsidRPr="00F32542" w14:paraId="02459062" w14:textId="77777777" w:rsidTr="00B65D24">
        <w:trPr>
          <w:trHeight w:val="284"/>
          <w:jc w:val="center"/>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2A90C" w14:textId="77777777" w:rsidR="00B01E6A" w:rsidRPr="00F32542" w:rsidRDefault="00B01E6A" w:rsidP="00B01E6A">
            <w:pPr>
              <w:spacing w:after="0" w:line="240" w:lineRule="auto"/>
              <w:jc w:val="center"/>
              <w:rPr>
                <w:rFonts w:ascii="Arial" w:eastAsia="Calibri" w:hAnsi="Arial" w:cs="Arial"/>
                <w:sz w:val="26"/>
                <w:szCs w:val="26"/>
              </w:rPr>
            </w:pPr>
            <w:r w:rsidRPr="00F32542">
              <w:rPr>
                <w:rFonts w:ascii="Arial" w:eastAsia="Calibri" w:hAnsi="Arial" w:cs="Arial"/>
                <w:sz w:val="26"/>
                <w:szCs w:val="26"/>
              </w:rPr>
              <w:t>PRD</w:t>
            </w:r>
          </w:p>
        </w:tc>
        <w:tc>
          <w:tcPr>
            <w:tcW w:w="2477" w:type="dxa"/>
            <w:tcBorders>
              <w:top w:val="single" w:sz="4" w:space="0" w:color="auto"/>
              <w:left w:val="nil"/>
              <w:bottom w:val="single" w:sz="4" w:space="0" w:color="auto"/>
              <w:right w:val="single" w:sz="4" w:space="0" w:color="auto"/>
            </w:tcBorders>
            <w:vAlign w:val="center"/>
          </w:tcPr>
          <w:p w14:paraId="583BDF11" w14:textId="77777777" w:rsidR="00B01E6A" w:rsidRPr="00F32542" w:rsidRDefault="00B01E6A" w:rsidP="00B01E6A">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c>
          <w:tcPr>
            <w:tcW w:w="1984" w:type="dxa"/>
            <w:tcBorders>
              <w:top w:val="single" w:sz="4" w:space="0" w:color="auto"/>
              <w:left w:val="nil"/>
              <w:bottom w:val="single" w:sz="4" w:space="0" w:color="auto"/>
              <w:right w:val="single" w:sz="4" w:space="0" w:color="auto"/>
            </w:tcBorders>
            <w:vAlign w:val="center"/>
          </w:tcPr>
          <w:p w14:paraId="0BE96160" w14:textId="77777777" w:rsidR="00B01E6A" w:rsidRPr="00F32542" w:rsidRDefault="00B01E6A" w:rsidP="00B01E6A">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c>
          <w:tcPr>
            <w:tcW w:w="1701" w:type="dxa"/>
            <w:tcBorders>
              <w:top w:val="single" w:sz="4" w:space="0" w:color="auto"/>
              <w:left w:val="nil"/>
              <w:bottom w:val="single" w:sz="4" w:space="0" w:color="auto"/>
              <w:right w:val="single" w:sz="4" w:space="0" w:color="auto"/>
            </w:tcBorders>
            <w:vAlign w:val="center"/>
          </w:tcPr>
          <w:p w14:paraId="134968C9" w14:textId="77777777" w:rsidR="00B01E6A" w:rsidRPr="00F32542" w:rsidRDefault="00B01E6A" w:rsidP="00B01E6A">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2</w:t>
            </w:r>
          </w:p>
        </w:tc>
      </w:tr>
      <w:tr w:rsidR="00B01E6A" w:rsidRPr="00F32542" w14:paraId="6716F4A4" w14:textId="77777777" w:rsidTr="00B65D24">
        <w:trPr>
          <w:trHeight w:val="284"/>
          <w:jc w:val="center"/>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0BD45" w14:textId="77777777" w:rsidR="00B01E6A" w:rsidRPr="00F32542" w:rsidRDefault="00B01E6A" w:rsidP="00B01E6A">
            <w:pPr>
              <w:spacing w:after="0" w:line="240" w:lineRule="auto"/>
              <w:jc w:val="center"/>
              <w:rPr>
                <w:rFonts w:ascii="Arial" w:eastAsia="Calibri" w:hAnsi="Arial" w:cs="Arial"/>
                <w:sz w:val="26"/>
                <w:szCs w:val="26"/>
              </w:rPr>
            </w:pPr>
            <w:r w:rsidRPr="00F32542">
              <w:rPr>
                <w:rFonts w:ascii="Arial" w:eastAsia="Calibri" w:hAnsi="Arial" w:cs="Arial"/>
                <w:sz w:val="26"/>
                <w:szCs w:val="26"/>
              </w:rPr>
              <w:t>PVEM</w:t>
            </w:r>
          </w:p>
        </w:tc>
        <w:tc>
          <w:tcPr>
            <w:tcW w:w="2477" w:type="dxa"/>
            <w:tcBorders>
              <w:top w:val="single" w:sz="4" w:space="0" w:color="auto"/>
              <w:left w:val="nil"/>
              <w:bottom w:val="single" w:sz="4" w:space="0" w:color="auto"/>
              <w:right w:val="single" w:sz="4" w:space="0" w:color="auto"/>
            </w:tcBorders>
            <w:vAlign w:val="center"/>
          </w:tcPr>
          <w:p w14:paraId="1A29C65B" w14:textId="77777777" w:rsidR="00B01E6A" w:rsidRPr="00F32542" w:rsidRDefault="00B01E6A" w:rsidP="00B01E6A">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c>
          <w:tcPr>
            <w:tcW w:w="1984" w:type="dxa"/>
            <w:tcBorders>
              <w:top w:val="single" w:sz="4" w:space="0" w:color="auto"/>
              <w:left w:val="nil"/>
              <w:bottom w:val="single" w:sz="4" w:space="0" w:color="auto"/>
              <w:right w:val="single" w:sz="4" w:space="0" w:color="auto"/>
            </w:tcBorders>
            <w:vAlign w:val="center"/>
          </w:tcPr>
          <w:p w14:paraId="4FAB43B6" w14:textId="77777777" w:rsidR="00B01E6A" w:rsidRPr="00F32542" w:rsidRDefault="00B01E6A" w:rsidP="00B01E6A">
            <w:pPr>
              <w:spacing w:after="0" w:line="240" w:lineRule="auto"/>
              <w:jc w:val="center"/>
              <w:rPr>
                <w:rFonts w:ascii="Arial" w:eastAsia="Calibri" w:hAnsi="Arial" w:cs="Arial"/>
                <w:color w:val="000000"/>
                <w:lang w:val="es-ES"/>
              </w:rPr>
            </w:pPr>
          </w:p>
        </w:tc>
        <w:tc>
          <w:tcPr>
            <w:tcW w:w="1701" w:type="dxa"/>
            <w:tcBorders>
              <w:top w:val="single" w:sz="4" w:space="0" w:color="auto"/>
              <w:left w:val="nil"/>
              <w:bottom w:val="single" w:sz="4" w:space="0" w:color="auto"/>
              <w:right w:val="single" w:sz="4" w:space="0" w:color="auto"/>
            </w:tcBorders>
            <w:vAlign w:val="center"/>
          </w:tcPr>
          <w:p w14:paraId="78516EDC" w14:textId="77777777" w:rsidR="00B01E6A" w:rsidRPr="00F32542" w:rsidRDefault="00B01E6A" w:rsidP="00B01E6A">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r>
      <w:tr w:rsidR="00B01E6A" w:rsidRPr="00F32542" w14:paraId="22C807E2" w14:textId="77777777" w:rsidTr="00B65D24">
        <w:trPr>
          <w:trHeight w:val="284"/>
          <w:jc w:val="center"/>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42831" w14:textId="77777777" w:rsidR="00B01E6A" w:rsidRPr="00F32542" w:rsidRDefault="00B01E6A" w:rsidP="00B01E6A">
            <w:pPr>
              <w:spacing w:after="0" w:line="240" w:lineRule="auto"/>
              <w:jc w:val="center"/>
              <w:rPr>
                <w:rFonts w:ascii="Arial" w:eastAsia="Calibri" w:hAnsi="Arial" w:cs="Arial"/>
                <w:sz w:val="26"/>
                <w:szCs w:val="26"/>
              </w:rPr>
            </w:pPr>
            <w:r w:rsidRPr="00F32542">
              <w:rPr>
                <w:rFonts w:ascii="Arial" w:eastAsia="Calibri" w:hAnsi="Arial" w:cs="Arial"/>
                <w:sz w:val="26"/>
                <w:szCs w:val="26"/>
              </w:rPr>
              <w:t>MC</w:t>
            </w:r>
          </w:p>
        </w:tc>
        <w:tc>
          <w:tcPr>
            <w:tcW w:w="2477" w:type="dxa"/>
            <w:tcBorders>
              <w:top w:val="single" w:sz="4" w:space="0" w:color="auto"/>
              <w:left w:val="nil"/>
              <w:bottom w:val="single" w:sz="4" w:space="0" w:color="auto"/>
              <w:right w:val="single" w:sz="4" w:space="0" w:color="auto"/>
            </w:tcBorders>
            <w:vAlign w:val="center"/>
          </w:tcPr>
          <w:p w14:paraId="7876E03A" w14:textId="77777777" w:rsidR="00B01E6A" w:rsidRPr="00F32542" w:rsidRDefault="00B01E6A" w:rsidP="00B01E6A">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c>
          <w:tcPr>
            <w:tcW w:w="1984" w:type="dxa"/>
            <w:tcBorders>
              <w:top w:val="single" w:sz="4" w:space="0" w:color="auto"/>
              <w:left w:val="nil"/>
              <w:bottom w:val="single" w:sz="4" w:space="0" w:color="auto"/>
              <w:right w:val="single" w:sz="4" w:space="0" w:color="auto"/>
            </w:tcBorders>
            <w:vAlign w:val="center"/>
          </w:tcPr>
          <w:p w14:paraId="0384F7CD" w14:textId="77777777" w:rsidR="00B01E6A" w:rsidRPr="00F32542" w:rsidRDefault="00B01E6A" w:rsidP="00B01E6A">
            <w:pPr>
              <w:spacing w:after="0" w:line="240" w:lineRule="auto"/>
              <w:jc w:val="center"/>
              <w:rPr>
                <w:rFonts w:ascii="Arial" w:eastAsia="Calibri" w:hAnsi="Arial" w:cs="Arial"/>
                <w:color w:val="000000"/>
                <w:lang w:val="es-ES"/>
              </w:rPr>
            </w:pPr>
          </w:p>
        </w:tc>
        <w:tc>
          <w:tcPr>
            <w:tcW w:w="1701" w:type="dxa"/>
            <w:tcBorders>
              <w:top w:val="single" w:sz="4" w:space="0" w:color="auto"/>
              <w:left w:val="nil"/>
              <w:bottom w:val="single" w:sz="4" w:space="0" w:color="auto"/>
              <w:right w:val="single" w:sz="4" w:space="0" w:color="auto"/>
            </w:tcBorders>
            <w:vAlign w:val="center"/>
          </w:tcPr>
          <w:p w14:paraId="1F232826" w14:textId="77777777" w:rsidR="00B01E6A" w:rsidRPr="00F32542" w:rsidRDefault="00B01E6A" w:rsidP="00B01E6A">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r>
      <w:tr w:rsidR="00B01E6A" w:rsidRPr="00F32542" w14:paraId="57724872" w14:textId="77777777" w:rsidTr="00B65D24">
        <w:trPr>
          <w:trHeight w:val="284"/>
          <w:jc w:val="center"/>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326EA" w14:textId="77777777" w:rsidR="00B01E6A" w:rsidRPr="00F32542" w:rsidRDefault="00B01E6A" w:rsidP="00B01E6A">
            <w:pPr>
              <w:spacing w:after="0" w:line="240" w:lineRule="auto"/>
              <w:jc w:val="center"/>
              <w:rPr>
                <w:rFonts w:ascii="Arial" w:eastAsia="Calibri" w:hAnsi="Arial" w:cs="Arial"/>
                <w:sz w:val="26"/>
                <w:szCs w:val="26"/>
              </w:rPr>
            </w:pPr>
            <w:r w:rsidRPr="00F32542">
              <w:rPr>
                <w:rFonts w:ascii="Arial" w:eastAsia="Calibri" w:hAnsi="Arial" w:cs="Arial"/>
                <w:sz w:val="26"/>
                <w:szCs w:val="26"/>
              </w:rPr>
              <w:t>MORENA</w:t>
            </w:r>
          </w:p>
        </w:tc>
        <w:tc>
          <w:tcPr>
            <w:tcW w:w="2477" w:type="dxa"/>
            <w:tcBorders>
              <w:top w:val="single" w:sz="4" w:space="0" w:color="auto"/>
              <w:left w:val="nil"/>
              <w:bottom w:val="single" w:sz="4" w:space="0" w:color="auto"/>
              <w:right w:val="single" w:sz="4" w:space="0" w:color="auto"/>
            </w:tcBorders>
            <w:vAlign w:val="center"/>
          </w:tcPr>
          <w:p w14:paraId="1B58D998" w14:textId="77777777" w:rsidR="00B01E6A" w:rsidRPr="00F32542" w:rsidRDefault="00B01E6A" w:rsidP="00B01E6A">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13</w:t>
            </w:r>
          </w:p>
        </w:tc>
        <w:tc>
          <w:tcPr>
            <w:tcW w:w="1984" w:type="dxa"/>
            <w:tcBorders>
              <w:top w:val="single" w:sz="4" w:space="0" w:color="auto"/>
              <w:left w:val="nil"/>
              <w:bottom w:val="single" w:sz="4" w:space="0" w:color="auto"/>
              <w:right w:val="single" w:sz="4" w:space="0" w:color="auto"/>
            </w:tcBorders>
            <w:vAlign w:val="center"/>
          </w:tcPr>
          <w:p w14:paraId="3AA055FD" w14:textId="77777777" w:rsidR="00B01E6A" w:rsidRPr="00F32542" w:rsidRDefault="00B01E6A" w:rsidP="00B01E6A">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w:t>
            </w:r>
          </w:p>
        </w:tc>
        <w:tc>
          <w:tcPr>
            <w:tcW w:w="1701" w:type="dxa"/>
            <w:tcBorders>
              <w:top w:val="single" w:sz="4" w:space="0" w:color="auto"/>
              <w:left w:val="nil"/>
              <w:bottom w:val="single" w:sz="4" w:space="0" w:color="auto"/>
              <w:right w:val="single" w:sz="4" w:space="0" w:color="auto"/>
            </w:tcBorders>
            <w:vAlign w:val="center"/>
          </w:tcPr>
          <w:p w14:paraId="340FA679" w14:textId="77777777" w:rsidR="00B01E6A" w:rsidRPr="00F32542" w:rsidRDefault="00B01E6A" w:rsidP="00B01E6A">
            <w:pPr>
              <w:spacing w:after="0" w:line="240" w:lineRule="auto"/>
              <w:jc w:val="center"/>
              <w:rPr>
                <w:rFonts w:ascii="Arial" w:eastAsia="Calibri" w:hAnsi="Arial" w:cs="Arial"/>
                <w:color w:val="000000"/>
                <w:lang w:val="es-ES"/>
              </w:rPr>
            </w:pPr>
            <w:r w:rsidRPr="00F32542">
              <w:rPr>
                <w:rFonts w:ascii="Arial" w:eastAsia="Calibri" w:hAnsi="Arial" w:cs="Arial"/>
                <w:color w:val="000000"/>
                <w:lang w:val="es-ES"/>
              </w:rPr>
              <w:t>14</w:t>
            </w:r>
          </w:p>
        </w:tc>
      </w:tr>
      <w:tr w:rsidR="00B01E6A" w:rsidRPr="00F32542" w14:paraId="1DD362A0" w14:textId="77777777" w:rsidTr="00B65D24">
        <w:trPr>
          <w:trHeight w:val="410"/>
          <w:jc w:val="center"/>
        </w:trPr>
        <w:tc>
          <w:tcPr>
            <w:tcW w:w="1771" w:type="dxa"/>
            <w:tcBorders>
              <w:top w:val="single" w:sz="4" w:space="0" w:color="auto"/>
              <w:left w:val="single" w:sz="4" w:space="0" w:color="auto"/>
              <w:bottom w:val="single" w:sz="4" w:space="0" w:color="auto"/>
              <w:right w:val="single" w:sz="4" w:space="0" w:color="auto"/>
            </w:tcBorders>
            <w:shd w:val="clear" w:color="auto" w:fill="AEAAAA"/>
            <w:noWrap/>
            <w:vAlign w:val="center"/>
            <w:hideMark/>
          </w:tcPr>
          <w:p w14:paraId="56522B1C" w14:textId="77777777" w:rsidR="00B01E6A" w:rsidRPr="00F32542" w:rsidRDefault="00B01E6A" w:rsidP="00B01E6A">
            <w:pPr>
              <w:spacing w:after="0" w:line="240" w:lineRule="auto"/>
              <w:jc w:val="center"/>
              <w:rPr>
                <w:rFonts w:ascii="Arial" w:eastAsia="Calibri" w:hAnsi="Arial" w:cs="Arial"/>
                <w:b/>
                <w:bCs/>
                <w:lang w:val="es-ES" w:eastAsia="es-MX"/>
              </w:rPr>
            </w:pPr>
            <w:r w:rsidRPr="00F32542">
              <w:rPr>
                <w:rFonts w:ascii="Arial" w:eastAsia="Calibri" w:hAnsi="Arial" w:cs="Arial"/>
                <w:b/>
                <w:bCs/>
                <w:lang w:val="es-ES" w:eastAsia="es-MX"/>
              </w:rPr>
              <w:t>Total</w:t>
            </w:r>
          </w:p>
        </w:tc>
        <w:tc>
          <w:tcPr>
            <w:tcW w:w="2477" w:type="dxa"/>
            <w:tcBorders>
              <w:top w:val="single" w:sz="4" w:space="0" w:color="auto"/>
              <w:left w:val="nil"/>
              <w:bottom w:val="single" w:sz="4" w:space="0" w:color="auto"/>
              <w:right w:val="single" w:sz="4" w:space="0" w:color="auto"/>
            </w:tcBorders>
            <w:shd w:val="clear" w:color="auto" w:fill="AEAAAA"/>
            <w:vAlign w:val="center"/>
          </w:tcPr>
          <w:p w14:paraId="294CA804" w14:textId="77777777" w:rsidR="00B01E6A" w:rsidRPr="00F32542" w:rsidRDefault="00B01E6A" w:rsidP="00B01E6A">
            <w:pPr>
              <w:spacing w:after="0" w:line="240" w:lineRule="auto"/>
              <w:jc w:val="center"/>
              <w:rPr>
                <w:rFonts w:ascii="Arial" w:eastAsia="Calibri" w:hAnsi="Arial" w:cs="Arial"/>
                <w:b/>
                <w:lang w:val="es-ES"/>
              </w:rPr>
            </w:pPr>
            <w:r w:rsidRPr="00F32542">
              <w:rPr>
                <w:rFonts w:ascii="Arial" w:eastAsia="Calibri" w:hAnsi="Arial" w:cs="Arial"/>
                <w:b/>
                <w:lang w:val="es-ES"/>
              </w:rPr>
              <w:fldChar w:fldCharType="begin"/>
            </w:r>
            <w:r w:rsidRPr="00F32542">
              <w:rPr>
                <w:rFonts w:ascii="Arial" w:eastAsia="Calibri" w:hAnsi="Arial" w:cs="Arial"/>
                <w:b/>
                <w:lang w:val="es-ES"/>
              </w:rPr>
              <w:instrText xml:space="preserve"> =SUM(ABOVE) </w:instrText>
            </w:r>
            <w:r w:rsidRPr="00F32542">
              <w:rPr>
                <w:rFonts w:ascii="Arial" w:eastAsia="Calibri" w:hAnsi="Arial" w:cs="Arial"/>
                <w:b/>
                <w:lang w:val="es-ES"/>
              </w:rPr>
              <w:fldChar w:fldCharType="separate"/>
            </w:r>
            <w:r w:rsidRPr="00F32542">
              <w:rPr>
                <w:rFonts w:ascii="Arial" w:eastAsia="Calibri" w:hAnsi="Arial" w:cs="Arial"/>
                <w:b/>
                <w:noProof/>
                <w:lang w:val="es-ES"/>
              </w:rPr>
              <w:t>30</w:t>
            </w:r>
            <w:r w:rsidRPr="00F32542">
              <w:rPr>
                <w:rFonts w:ascii="Arial" w:eastAsia="Calibri" w:hAnsi="Arial" w:cs="Arial"/>
                <w:b/>
                <w:lang w:val="es-ES"/>
              </w:rPr>
              <w:fldChar w:fldCharType="end"/>
            </w:r>
          </w:p>
        </w:tc>
        <w:tc>
          <w:tcPr>
            <w:tcW w:w="1984" w:type="dxa"/>
            <w:tcBorders>
              <w:top w:val="single" w:sz="4" w:space="0" w:color="auto"/>
              <w:left w:val="nil"/>
              <w:bottom w:val="single" w:sz="4" w:space="0" w:color="auto"/>
              <w:right w:val="single" w:sz="4" w:space="0" w:color="auto"/>
            </w:tcBorders>
            <w:shd w:val="clear" w:color="auto" w:fill="AEAAAA"/>
            <w:vAlign w:val="center"/>
          </w:tcPr>
          <w:p w14:paraId="7CD668EE" w14:textId="77777777" w:rsidR="00B01E6A" w:rsidRPr="00F32542" w:rsidRDefault="00B01E6A" w:rsidP="00B01E6A">
            <w:pPr>
              <w:spacing w:after="0" w:line="240" w:lineRule="auto"/>
              <w:jc w:val="center"/>
              <w:rPr>
                <w:rFonts w:ascii="Arial" w:eastAsia="Calibri" w:hAnsi="Arial" w:cs="Arial"/>
                <w:b/>
                <w:lang w:val="es-ES"/>
              </w:rPr>
            </w:pPr>
            <w:r w:rsidRPr="00F32542">
              <w:rPr>
                <w:rFonts w:ascii="Arial" w:eastAsia="Calibri" w:hAnsi="Arial" w:cs="Arial"/>
                <w:b/>
                <w:lang w:val="es-ES"/>
              </w:rPr>
              <w:t>2</w:t>
            </w:r>
          </w:p>
        </w:tc>
        <w:tc>
          <w:tcPr>
            <w:tcW w:w="1701" w:type="dxa"/>
            <w:tcBorders>
              <w:top w:val="single" w:sz="4" w:space="0" w:color="auto"/>
              <w:left w:val="nil"/>
              <w:bottom w:val="single" w:sz="4" w:space="0" w:color="auto"/>
              <w:right w:val="single" w:sz="4" w:space="0" w:color="auto"/>
            </w:tcBorders>
            <w:shd w:val="clear" w:color="auto" w:fill="AEAAAA"/>
            <w:vAlign w:val="center"/>
          </w:tcPr>
          <w:p w14:paraId="48847D9A" w14:textId="77777777" w:rsidR="00B01E6A" w:rsidRPr="00F32542" w:rsidRDefault="00B01E6A" w:rsidP="00B01E6A">
            <w:pPr>
              <w:spacing w:after="0" w:line="240" w:lineRule="auto"/>
              <w:jc w:val="center"/>
              <w:rPr>
                <w:rFonts w:ascii="Arial" w:eastAsia="Calibri" w:hAnsi="Arial" w:cs="Arial"/>
                <w:b/>
                <w:lang w:val="es-ES"/>
              </w:rPr>
            </w:pPr>
            <w:r w:rsidRPr="00F32542">
              <w:rPr>
                <w:rFonts w:ascii="Arial" w:eastAsia="Calibri" w:hAnsi="Arial" w:cs="Arial"/>
                <w:b/>
                <w:lang w:val="es-ES"/>
              </w:rPr>
              <w:fldChar w:fldCharType="begin"/>
            </w:r>
            <w:r w:rsidRPr="00F32542">
              <w:rPr>
                <w:rFonts w:ascii="Arial" w:eastAsia="Calibri" w:hAnsi="Arial" w:cs="Arial"/>
                <w:b/>
                <w:lang w:val="es-ES"/>
              </w:rPr>
              <w:instrText xml:space="preserve"> =SUM(ABOVE) </w:instrText>
            </w:r>
            <w:r w:rsidRPr="00F32542">
              <w:rPr>
                <w:rFonts w:ascii="Arial" w:eastAsia="Calibri" w:hAnsi="Arial" w:cs="Arial"/>
                <w:b/>
                <w:lang w:val="es-ES"/>
              </w:rPr>
              <w:fldChar w:fldCharType="separate"/>
            </w:r>
            <w:r w:rsidRPr="00F32542">
              <w:rPr>
                <w:rFonts w:ascii="Arial" w:eastAsia="Calibri" w:hAnsi="Arial" w:cs="Arial"/>
                <w:b/>
                <w:noProof/>
                <w:lang w:val="es-ES"/>
              </w:rPr>
              <w:t>32</w:t>
            </w:r>
            <w:r w:rsidRPr="00F32542">
              <w:rPr>
                <w:rFonts w:ascii="Arial" w:eastAsia="Calibri" w:hAnsi="Arial" w:cs="Arial"/>
                <w:b/>
                <w:lang w:val="es-ES"/>
              </w:rPr>
              <w:fldChar w:fldCharType="end"/>
            </w:r>
          </w:p>
        </w:tc>
      </w:tr>
    </w:tbl>
    <w:p w14:paraId="517B5A42" w14:textId="77777777" w:rsidR="00B01E6A" w:rsidRPr="00F32542" w:rsidRDefault="00B01E6A" w:rsidP="00B01E6A">
      <w:pPr>
        <w:spacing w:after="0" w:line="360" w:lineRule="auto"/>
        <w:ind w:right="51"/>
        <w:jc w:val="both"/>
        <w:rPr>
          <w:rFonts w:ascii="Arial" w:hAnsi="Arial" w:cs="Arial"/>
          <w:spacing w:val="4"/>
          <w:sz w:val="28"/>
          <w:szCs w:val="28"/>
        </w:rPr>
      </w:pPr>
    </w:p>
    <w:p w14:paraId="0442706B" w14:textId="77777777" w:rsidR="00B01E6A" w:rsidRPr="00F32542" w:rsidRDefault="00B01E6A" w:rsidP="00B01E6A">
      <w:pPr>
        <w:tabs>
          <w:tab w:val="center" w:pos="4419"/>
          <w:tab w:val="right" w:pos="8838"/>
        </w:tabs>
        <w:spacing w:after="0" w:line="360" w:lineRule="auto"/>
        <w:jc w:val="both"/>
        <w:rPr>
          <w:rFonts w:ascii="Arial" w:hAnsi="Arial" w:cs="Arial"/>
          <w:sz w:val="28"/>
          <w:szCs w:val="28"/>
        </w:rPr>
      </w:pPr>
      <w:r w:rsidRPr="00F32542">
        <w:rPr>
          <w:rFonts w:ascii="Arial" w:hAnsi="Arial" w:cs="Arial"/>
          <w:b/>
          <w:sz w:val="28"/>
          <w:szCs w:val="28"/>
        </w:rPr>
        <w:t>5.</w:t>
      </w:r>
      <w:r w:rsidRPr="00F32542">
        <w:rPr>
          <w:rFonts w:ascii="Arial" w:hAnsi="Arial" w:cs="Arial"/>
          <w:sz w:val="28"/>
          <w:szCs w:val="28"/>
        </w:rPr>
        <w:t xml:space="preserve"> </w:t>
      </w:r>
      <w:r w:rsidRPr="00F32542">
        <w:rPr>
          <w:rFonts w:ascii="Arial" w:hAnsi="Arial" w:cs="Arial"/>
          <w:b/>
          <w:sz w:val="28"/>
          <w:szCs w:val="28"/>
        </w:rPr>
        <w:t>Ajustar la asignación</w:t>
      </w:r>
      <w:r w:rsidRPr="00F32542">
        <w:rPr>
          <w:rFonts w:ascii="Arial" w:hAnsi="Arial" w:cs="Arial"/>
          <w:sz w:val="28"/>
          <w:szCs w:val="28"/>
        </w:rPr>
        <w:t xml:space="preserve"> de diputaciones de representación proporcional a fin de dar cumplimiento al principio de </w:t>
      </w:r>
      <w:r w:rsidRPr="00F32542">
        <w:rPr>
          <w:rFonts w:ascii="Arial" w:hAnsi="Arial" w:cs="Arial"/>
          <w:b/>
          <w:sz w:val="28"/>
          <w:szCs w:val="28"/>
        </w:rPr>
        <w:t>paridad</w:t>
      </w:r>
      <w:r w:rsidRPr="00F32542">
        <w:rPr>
          <w:rFonts w:ascii="Arial" w:hAnsi="Arial" w:cs="Arial"/>
          <w:sz w:val="28"/>
          <w:szCs w:val="28"/>
        </w:rPr>
        <w:t xml:space="preserve"> en la integración total del Congreso de la Ciudad de México, de manera que la única diputación que correspondió al </w:t>
      </w:r>
      <w:r w:rsidRPr="00F32542">
        <w:rPr>
          <w:rFonts w:ascii="Arial" w:hAnsi="Arial" w:cs="Arial"/>
          <w:i/>
          <w:sz w:val="28"/>
          <w:szCs w:val="28"/>
        </w:rPr>
        <w:t>PVEM</w:t>
      </w:r>
      <w:r w:rsidRPr="00F32542">
        <w:rPr>
          <w:rFonts w:ascii="Arial" w:hAnsi="Arial" w:cs="Arial"/>
          <w:sz w:val="28"/>
          <w:szCs w:val="28"/>
        </w:rPr>
        <w:t xml:space="preserve"> debe corresponder a la primera fórmula de su lista definitiva integrada por mujeres (lugar 2). </w:t>
      </w:r>
    </w:p>
    <w:p w14:paraId="03DF7591" w14:textId="77777777" w:rsidR="00B01E6A" w:rsidRPr="00F32542" w:rsidRDefault="00B01E6A" w:rsidP="00B01E6A">
      <w:pPr>
        <w:tabs>
          <w:tab w:val="center" w:pos="4419"/>
          <w:tab w:val="right" w:pos="8838"/>
        </w:tabs>
        <w:spacing w:after="0" w:line="360" w:lineRule="auto"/>
        <w:jc w:val="both"/>
        <w:rPr>
          <w:rFonts w:ascii="Arial" w:hAnsi="Arial" w:cs="Arial"/>
          <w:sz w:val="28"/>
          <w:szCs w:val="28"/>
        </w:rPr>
      </w:pPr>
    </w:p>
    <w:p w14:paraId="2EADF419" w14:textId="77777777" w:rsidR="00B01E6A" w:rsidRPr="00F32542" w:rsidRDefault="00B01E6A" w:rsidP="00B01E6A">
      <w:pPr>
        <w:tabs>
          <w:tab w:val="center" w:pos="4419"/>
          <w:tab w:val="right" w:pos="8838"/>
        </w:tabs>
        <w:spacing w:after="0" w:line="360" w:lineRule="auto"/>
        <w:jc w:val="both"/>
        <w:rPr>
          <w:rFonts w:ascii="Arial" w:eastAsia="Calibri" w:hAnsi="Arial" w:cs="Times New Roman"/>
          <w:sz w:val="28"/>
          <w:szCs w:val="28"/>
        </w:rPr>
      </w:pPr>
      <w:r w:rsidRPr="00F32542">
        <w:rPr>
          <w:rFonts w:ascii="Arial" w:hAnsi="Arial" w:cs="Arial"/>
          <w:b/>
          <w:sz w:val="28"/>
          <w:szCs w:val="28"/>
        </w:rPr>
        <w:lastRenderedPageBreak/>
        <w:t>6. Dejar sin efectos</w:t>
      </w:r>
      <w:r w:rsidRPr="00F32542">
        <w:rPr>
          <w:rFonts w:ascii="Arial" w:eastAsia="Calibri" w:hAnsi="Arial" w:cs="Times New Roman"/>
          <w:sz w:val="28"/>
          <w:szCs w:val="28"/>
        </w:rPr>
        <w:t xml:space="preserve"> las constancias de asignación expedidas a las fórmulas integradas por Frida Jimena Guillén Ortiz y </w:t>
      </w:r>
      <w:proofErr w:type="spellStart"/>
      <w:r w:rsidRPr="00F32542">
        <w:rPr>
          <w:rFonts w:ascii="Arial" w:eastAsia="Calibri" w:hAnsi="Arial" w:cs="Times New Roman"/>
          <w:sz w:val="28"/>
          <w:szCs w:val="28"/>
        </w:rPr>
        <w:t>Ahichell</w:t>
      </w:r>
      <w:proofErr w:type="spellEnd"/>
      <w:r w:rsidRPr="00F32542">
        <w:rPr>
          <w:rFonts w:ascii="Arial" w:eastAsia="Calibri" w:hAnsi="Arial" w:cs="Times New Roman"/>
          <w:sz w:val="28"/>
          <w:szCs w:val="28"/>
        </w:rPr>
        <w:t xml:space="preserve"> Sánchez Valle (</w:t>
      </w:r>
      <w:r w:rsidRPr="00F32542">
        <w:rPr>
          <w:rFonts w:ascii="Arial" w:eastAsia="Calibri" w:hAnsi="Arial" w:cs="Times New Roman"/>
          <w:i/>
          <w:sz w:val="28"/>
          <w:szCs w:val="28"/>
        </w:rPr>
        <w:t>PAN</w:t>
      </w:r>
      <w:r w:rsidRPr="00F32542">
        <w:rPr>
          <w:rFonts w:ascii="Arial" w:eastAsia="Calibri" w:hAnsi="Arial" w:cs="Times New Roman"/>
          <w:sz w:val="28"/>
          <w:szCs w:val="28"/>
        </w:rPr>
        <w:t>), Isabela Rosales Herrera y Alicia Medina Hernández (</w:t>
      </w:r>
      <w:r w:rsidRPr="00F32542">
        <w:rPr>
          <w:rFonts w:ascii="Arial" w:eastAsia="Calibri" w:hAnsi="Arial" w:cs="Times New Roman"/>
          <w:i/>
          <w:sz w:val="28"/>
          <w:szCs w:val="28"/>
        </w:rPr>
        <w:t>Morena</w:t>
      </w:r>
      <w:r w:rsidRPr="00F32542">
        <w:rPr>
          <w:rFonts w:ascii="Arial" w:eastAsia="Calibri" w:hAnsi="Arial" w:cs="Times New Roman"/>
          <w:sz w:val="28"/>
          <w:szCs w:val="28"/>
        </w:rPr>
        <w:t xml:space="preserve">), así como a Manuel </w:t>
      </w:r>
      <w:proofErr w:type="spellStart"/>
      <w:r w:rsidRPr="00F32542">
        <w:rPr>
          <w:rFonts w:ascii="Arial" w:eastAsia="Calibri" w:hAnsi="Arial" w:cs="Times New Roman"/>
          <w:sz w:val="28"/>
          <w:szCs w:val="28"/>
        </w:rPr>
        <w:t>Talayero</w:t>
      </w:r>
      <w:proofErr w:type="spellEnd"/>
      <w:r w:rsidRPr="00F32542">
        <w:rPr>
          <w:rFonts w:ascii="Arial" w:eastAsia="Calibri" w:hAnsi="Arial" w:cs="Times New Roman"/>
          <w:sz w:val="28"/>
          <w:szCs w:val="28"/>
        </w:rPr>
        <w:t xml:space="preserve"> Pariente (</w:t>
      </w:r>
      <w:r w:rsidRPr="00F32542">
        <w:rPr>
          <w:rFonts w:ascii="Arial" w:eastAsia="Calibri" w:hAnsi="Arial" w:cs="Times New Roman"/>
          <w:i/>
          <w:sz w:val="28"/>
          <w:szCs w:val="28"/>
        </w:rPr>
        <w:t>PVEM</w:t>
      </w:r>
      <w:r w:rsidRPr="00F32542">
        <w:rPr>
          <w:rFonts w:ascii="Arial" w:eastAsia="Calibri" w:hAnsi="Arial" w:cs="Times New Roman"/>
          <w:sz w:val="28"/>
          <w:szCs w:val="28"/>
        </w:rPr>
        <w:t>).</w:t>
      </w:r>
    </w:p>
    <w:p w14:paraId="627A344D" w14:textId="77777777" w:rsidR="00B01E6A" w:rsidRPr="00F32542" w:rsidRDefault="00B01E6A" w:rsidP="00B01E6A">
      <w:pPr>
        <w:tabs>
          <w:tab w:val="center" w:pos="4419"/>
          <w:tab w:val="right" w:pos="8838"/>
        </w:tabs>
        <w:spacing w:after="0" w:line="360" w:lineRule="auto"/>
        <w:jc w:val="both"/>
        <w:rPr>
          <w:rFonts w:ascii="Arial" w:eastAsia="Calibri" w:hAnsi="Arial" w:cs="Times New Roman"/>
          <w:b/>
          <w:sz w:val="28"/>
          <w:szCs w:val="28"/>
        </w:rPr>
      </w:pPr>
    </w:p>
    <w:p w14:paraId="05356A48" w14:textId="77777777" w:rsidR="00B01E6A" w:rsidRPr="00F32542" w:rsidRDefault="00B01E6A" w:rsidP="00B01E6A">
      <w:pPr>
        <w:tabs>
          <w:tab w:val="center" w:pos="4419"/>
          <w:tab w:val="right" w:pos="8838"/>
        </w:tabs>
        <w:spacing w:after="0" w:line="360" w:lineRule="auto"/>
        <w:jc w:val="both"/>
        <w:rPr>
          <w:rFonts w:ascii="Arial" w:eastAsia="Calibri" w:hAnsi="Arial"/>
          <w:sz w:val="28"/>
          <w:szCs w:val="28"/>
        </w:rPr>
      </w:pPr>
      <w:r w:rsidRPr="00F32542">
        <w:rPr>
          <w:rFonts w:ascii="Arial" w:eastAsia="Calibri" w:hAnsi="Arial"/>
          <w:b/>
          <w:sz w:val="28"/>
          <w:szCs w:val="28"/>
        </w:rPr>
        <w:t>7. Ordenar al Consejo General que expida</w:t>
      </w:r>
      <w:r w:rsidRPr="00F32542">
        <w:rPr>
          <w:rFonts w:ascii="Arial" w:eastAsia="Calibri" w:hAnsi="Arial"/>
          <w:sz w:val="28"/>
          <w:szCs w:val="28"/>
        </w:rPr>
        <w:t xml:space="preserve"> </w:t>
      </w:r>
      <w:r w:rsidRPr="00F32542">
        <w:rPr>
          <w:rFonts w:ascii="Arial" w:eastAsia="Calibri" w:hAnsi="Arial"/>
          <w:b/>
          <w:sz w:val="28"/>
          <w:szCs w:val="28"/>
        </w:rPr>
        <w:t>las constancias de asignación</w:t>
      </w:r>
      <w:r w:rsidRPr="00F32542">
        <w:rPr>
          <w:rFonts w:ascii="Arial" w:eastAsia="Calibri" w:hAnsi="Arial"/>
          <w:sz w:val="28"/>
          <w:szCs w:val="28"/>
        </w:rPr>
        <w:t xml:space="preserve"> a favor de las fórmulas encabezadas conformadas por Rodrigo Miranda Berumen y Luis Paris Oviedo Guarneros (</w:t>
      </w:r>
      <w:r w:rsidRPr="00F32542">
        <w:rPr>
          <w:rFonts w:ascii="Arial" w:eastAsia="Calibri" w:hAnsi="Arial"/>
          <w:i/>
          <w:sz w:val="28"/>
          <w:szCs w:val="28"/>
        </w:rPr>
        <w:t>PAN</w:t>
      </w:r>
      <w:r w:rsidRPr="00F32542">
        <w:rPr>
          <w:rFonts w:ascii="Arial" w:eastAsia="Calibri" w:hAnsi="Arial"/>
          <w:sz w:val="28"/>
          <w:szCs w:val="28"/>
        </w:rPr>
        <w:t>) Elizabeth Mateos Hernández y Martha Patricia Aguilar Ramírez (</w:t>
      </w:r>
      <w:r w:rsidRPr="00F32542">
        <w:rPr>
          <w:rFonts w:ascii="Arial" w:eastAsia="Calibri" w:hAnsi="Arial"/>
          <w:i/>
          <w:sz w:val="28"/>
          <w:szCs w:val="28"/>
        </w:rPr>
        <w:t>PVEM</w:t>
      </w:r>
      <w:r w:rsidRPr="00F32542">
        <w:rPr>
          <w:rFonts w:ascii="Arial" w:eastAsia="Calibri" w:hAnsi="Arial"/>
          <w:sz w:val="28"/>
          <w:szCs w:val="28"/>
        </w:rPr>
        <w:t>) así como José Luis Rodríguez Díaz de León y Francisco Medina Padilla (</w:t>
      </w:r>
      <w:r w:rsidRPr="00F32542">
        <w:rPr>
          <w:rFonts w:ascii="Arial" w:eastAsia="Calibri" w:hAnsi="Arial"/>
          <w:i/>
          <w:sz w:val="28"/>
          <w:szCs w:val="28"/>
        </w:rPr>
        <w:t>Morena</w:t>
      </w:r>
      <w:r w:rsidRPr="00F32542">
        <w:rPr>
          <w:rFonts w:ascii="Arial" w:eastAsia="Calibri" w:hAnsi="Arial"/>
          <w:sz w:val="28"/>
          <w:szCs w:val="28"/>
        </w:rPr>
        <w:t xml:space="preserve">).  </w:t>
      </w:r>
    </w:p>
    <w:p w14:paraId="6D3B0CBE" w14:textId="77777777" w:rsidR="00B01E6A" w:rsidRPr="00F32542" w:rsidRDefault="00B01E6A" w:rsidP="00B01E6A">
      <w:pPr>
        <w:tabs>
          <w:tab w:val="center" w:pos="4419"/>
          <w:tab w:val="right" w:pos="8838"/>
        </w:tabs>
        <w:spacing w:after="0" w:line="360" w:lineRule="auto"/>
        <w:jc w:val="both"/>
        <w:rPr>
          <w:rFonts w:ascii="Arial" w:eastAsia="Calibri" w:hAnsi="Arial"/>
          <w:sz w:val="28"/>
          <w:szCs w:val="28"/>
        </w:rPr>
      </w:pPr>
    </w:p>
    <w:p w14:paraId="0D64C4E5" w14:textId="77777777" w:rsidR="00B01E6A" w:rsidRPr="00F32542" w:rsidRDefault="00B01E6A" w:rsidP="00B01E6A">
      <w:pPr>
        <w:spacing w:after="0" w:line="360" w:lineRule="auto"/>
        <w:jc w:val="both"/>
        <w:rPr>
          <w:rFonts w:ascii="Arial" w:hAnsi="Arial" w:cs="Arial"/>
          <w:spacing w:val="4"/>
          <w:sz w:val="28"/>
          <w:szCs w:val="28"/>
        </w:rPr>
      </w:pPr>
      <w:r w:rsidRPr="00F32542">
        <w:rPr>
          <w:rFonts w:ascii="Arial" w:hAnsi="Arial" w:cs="Arial"/>
          <w:b/>
          <w:spacing w:val="4"/>
          <w:sz w:val="28"/>
          <w:szCs w:val="28"/>
        </w:rPr>
        <w:t>8.</w:t>
      </w:r>
      <w:r w:rsidRPr="00F32542">
        <w:rPr>
          <w:rFonts w:ascii="Arial" w:hAnsi="Arial" w:cs="Arial"/>
          <w:spacing w:val="4"/>
          <w:sz w:val="28"/>
          <w:szCs w:val="28"/>
        </w:rPr>
        <w:t xml:space="preserve"> </w:t>
      </w:r>
      <w:r w:rsidRPr="00F32542">
        <w:rPr>
          <w:rFonts w:ascii="Arial" w:hAnsi="Arial" w:cs="Arial"/>
          <w:b/>
          <w:spacing w:val="4"/>
          <w:sz w:val="28"/>
          <w:szCs w:val="28"/>
        </w:rPr>
        <w:t>Confirmar</w:t>
      </w:r>
      <w:r w:rsidRPr="00F32542">
        <w:rPr>
          <w:rFonts w:ascii="Arial" w:hAnsi="Arial" w:cs="Arial"/>
          <w:spacing w:val="4"/>
          <w:sz w:val="28"/>
          <w:szCs w:val="28"/>
        </w:rPr>
        <w:t xml:space="preserve"> las restantes asignaciones y la entrega de constancias respectivas realizadas por el </w:t>
      </w:r>
      <w:r w:rsidRPr="00F32542">
        <w:rPr>
          <w:rFonts w:ascii="Arial" w:hAnsi="Arial" w:cs="Arial"/>
          <w:i/>
          <w:spacing w:val="4"/>
          <w:sz w:val="28"/>
          <w:szCs w:val="28"/>
        </w:rPr>
        <w:t>Consejo General</w:t>
      </w:r>
      <w:r w:rsidRPr="00F32542">
        <w:rPr>
          <w:rFonts w:ascii="Arial" w:hAnsi="Arial" w:cs="Arial"/>
          <w:spacing w:val="4"/>
          <w:sz w:val="28"/>
          <w:szCs w:val="28"/>
        </w:rPr>
        <w:t xml:space="preserve"> en el </w:t>
      </w:r>
      <w:r w:rsidRPr="00F32542">
        <w:rPr>
          <w:rFonts w:ascii="Arial" w:hAnsi="Arial" w:cs="Arial"/>
          <w:i/>
          <w:spacing w:val="4"/>
          <w:sz w:val="28"/>
          <w:szCs w:val="28"/>
        </w:rPr>
        <w:t>acuerdo impugnado</w:t>
      </w:r>
      <w:r w:rsidRPr="00F32542">
        <w:rPr>
          <w:rFonts w:ascii="Arial" w:hAnsi="Arial" w:cs="Arial"/>
          <w:spacing w:val="4"/>
          <w:sz w:val="28"/>
          <w:szCs w:val="28"/>
        </w:rPr>
        <w:t>.</w:t>
      </w:r>
    </w:p>
    <w:p w14:paraId="6DE24002" w14:textId="77777777" w:rsidR="00B01E6A" w:rsidRPr="00F32542" w:rsidRDefault="00B01E6A" w:rsidP="00B01E6A">
      <w:pPr>
        <w:spacing w:after="0" w:line="360" w:lineRule="auto"/>
        <w:jc w:val="both"/>
        <w:rPr>
          <w:rFonts w:ascii="Arial" w:hAnsi="Arial" w:cs="Arial"/>
          <w:sz w:val="28"/>
          <w:szCs w:val="28"/>
          <w:lang w:val="es-ES_tradnl"/>
        </w:rPr>
      </w:pPr>
    </w:p>
    <w:p w14:paraId="1BBE7D1F" w14:textId="77777777" w:rsidR="00B01E6A" w:rsidRPr="00F32542" w:rsidRDefault="00B01E6A" w:rsidP="00B01E6A">
      <w:pPr>
        <w:spacing w:after="0" w:line="360" w:lineRule="auto"/>
        <w:jc w:val="both"/>
        <w:rPr>
          <w:rFonts w:ascii="Arial" w:hAnsi="Arial" w:cs="Arial"/>
          <w:sz w:val="28"/>
          <w:szCs w:val="28"/>
          <w:lang w:val="es-ES_tradnl"/>
        </w:rPr>
      </w:pPr>
      <w:r w:rsidRPr="00F32542">
        <w:rPr>
          <w:rFonts w:ascii="Arial" w:hAnsi="Arial" w:cs="Arial"/>
          <w:sz w:val="28"/>
          <w:szCs w:val="28"/>
          <w:lang w:val="es-ES_tradnl"/>
        </w:rPr>
        <w:t>Por lo expuesto y fundado, se</w:t>
      </w:r>
    </w:p>
    <w:p w14:paraId="75D2D36B" w14:textId="77777777" w:rsidR="00B01E6A" w:rsidRPr="00F32542" w:rsidRDefault="00B01E6A" w:rsidP="00B01E6A">
      <w:pPr>
        <w:autoSpaceDE w:val="0"/>
        <w:autoSpaceDN w:val="0"/>
        <w:adjustRightInd w:val="0"/>
        <w:spacing w:after="0" w:line="360" w:lineRule="auto"/>
        <w:rPr>
          <w:rFonts w:ascii="Arial" w:hAnsi="Arial" w:cs="Arial"/>
          <w:sz w:val="28"/>
          <w:szCs w:val="28"/>
          <w:lang w:val="es-ES_tradnl"/>
        </w:rPr>
      </w:pPr>
    </w:p>
    <w:p w14:paraId="3405A2D0" w14:textId="77777777" w:rsidR="00B01E6A" w:rsidRPr="00F32542" w:rsidRDefault="00B01E6A" w:rsidP="00B01E6A">
      <w:pPr>
        <w:keepNext/>
        <w:keepLines/>
        <w:spacing w:before="240" w:after="0"/>
        <w:jc w:val="center"/>
        <w:outlineLvl w:val="0"/>
        <w:rPr>
          <w:rFonts w:ascii="Arial" w:eastAsiaTheme="majorEastAsia" w:hAnsi="Arial" w:cs="Arial"/>
          <w:b/>
          <w:sz w:val="28"/>
          <w:szCs w:val="28"/>
          <w:lang w:val="es-ES_tradnl"/>
        </w:rPr>
      </w:pPr>
      <w:r w:rsidRPr="00F32542">
        <w:rPr>
          <w:rFonts w:ascii="Arial" w:eastAsiaTheme="majorEastAsia" w:hAnsi="Arial" w:cs="Arial"/>
          <w:b/>
          <w:sz w:val="28"/>
          <w:szCs w:val="28"/>
          <w:lang w:val="es-ES_tradnl"/>
        </w:rPr>
        <w:t>RESUELVE:</w:t>
      </w:r>
    </w:p>
    <w:p w14:paraId="5743D19D" w14:textId="77777777" w:rsidR="00B01E6A" w:rsidRPr="00F32542" w:rsidRDefault="00B01E6A" w:rsidP="00B01E6A">
      <w:pPr>
        <w:spacing w:after="0" w:line="360" w:lineRule="auto"/>
        <w:jc w:val="both"/>
        <w:rPr>
          <w:rFonts w:ascii="Arial" w:hAnsi="Arial" w:cs="Arial"/>
          <w:b/>
          <w:sz w:val="28"/>
          <w:szCs w:val="28"/>
          <w:lang w:val="es-ES_tradnl"/>
        </w:rPr>
      </w:pPr>
    </w:p>
    <w:p w14:paraId="5FCD5BE2" w14:textId="77777777" w:rsidR="00B01E6A" w:rsidRPr="00F32542" w:rsidRDefault="00B01E6A" w:rsidP="00B01E6A">
      <w:pPr>
        <w:spacing w:after="0" w:line="360" w:lineRule="auto"/>
        <w:jc w:val="both"/>
        <w:rPr>
          <w:rFonts w:ascii="Arial" w:eastAsia="Times New Roman" w:hAnsi="Arial" w:cs="Arial"/>
          <w:sz w:val="28"/>
          <w:szCs w:val="28"/>
          <w:lang w:val="es-ES_tradnl" w:eastAsia="es-MX"/>
        </w:rPr>
      </w:pPr>
      <w:r w:rsidRPr="00F32542">
        <w:rPr>
          <w:rFonts w:ascii="Arial" w:hAnsi="Arial" w:cs="Arial"/>
          <w:b/>
          <w:sz w:val="28"/>
          <w:szCs w:val="28"/>
          <w:lang w:val="es-ES_tradnl"/>
        </w:rPr>
        <w:t xml:space="preserve">PRIMERO. </w:t>
      </w:r>
      <w:r w:rsidRPr="00F32542">
        <w:rPr>
          <w:rFonts w:ascii="Arial" w:hAnsi="Arial" w:cs="Arial"/>
          <w:sz w:val="28"/>
          <w:szCs w:val="28"/>
          <w:lang w:val="es-ES_tradnl"/>
        </w:rPr>
        <w:t>Se</w:t>
      </w:r>
      <w:r w:rsidRPr="00F32542">
        <w:rPr>
          <w:rFonts w:ascii="Arial" w:hAnsi="Arial" w:cs="Arial"/>
          <w:b/>
          <w:sz w:val="28"/>
          <w:szCs w:val="28"/>
          <w:lang w:val="es-ES_tradnl"/>
        </w:rPr>
        <w:t xml:space="preserve"> acumulan </w:t>
      </w:r>
      <w:r w:rsidRPr="00F32542">
        <w:rPr>
          <w:rFonts w:ascii="Arial" w:hAnsi="Arial" w:cs="Arial"/>
          <w:sz w:val="28"/>
          <w:szCs w:val="28"/>
          <w:lang w:val="es-ES_tradnl"/>
        </w:rPr>
        <w:t xml:space="preserve">los </w:t>
      </w:r>
      <w:r w:rsidRPr="00F32542">
        <w:rPr>
          <w:rFonts w:ascii="Arial" w:eastAsia="Times New Roman" w:hAnsi="Arial" w:cs="Arial"/>
          <w:sz w:val="28"/>
          <w:szCs w:val="28"/>
          <w:lang w:val="es-ES_tradnl" w:eastAsia="es-MX"/>
        </w:rPr>
        <w:t>juicios electorales</w:t>
      </w:r>
      <w:r w:rsidRPr="00F32542">
        <w:rPr>
          <w:rFonts w:ascii="Arial" w:eastAsia="Calibri" w:hAnsi="Arial" w:cs="Arial"/>
          <w:b/>
          <w:sz w:val="28"/>
          <w:szCs w:val="28"/>
          <w:lang w:val="es-ES_tradnl"/>
        </w:rPr>
        <w:t xml:space="preserve"> TECDMX-JEL-205/2021 </w:t>
      </w:r>
      <w:r w:rsidRPr="00F32542">
        <w:rPr>
          <w:rFonts w:ascii="Arial" w:eastAsia="Calibri" w:hAnsi="Arial" w:cs="Arial"/>
          <w:sz w:val="28"/>
          <w:szCs w:val="28"/>
          <w:lang w:val="es-ES_tradnl"/>
        </w:rPr>
        <w:t>y</w:t>
      </w:r>
      <w:r w:rsidRPr="00F32542">
        <w:rPr>
          <w:rFonts w:ascii="Arial" w:eastAsia="Calibri" w:hAnsi="Arial" w:cs="Arial"/>
          <w:b/>
          <w:sz w:val="28"/>
          <w:szCs w:val="28"/>
          <w:lang w:val="es-ES_tradnl"/>
        </w:rPr>
        <w:t xml:space="preserve"> TECDMX-JEL-206/2021</w:t>
      </w:r>
      <w:r w:rsidRPr="00F32542">
        <w:rPr>
          <w:rFonts w:ascii="Arial" w:eastAsia="Calibri" w:hAnsi="Arial" w:cs="Arial"/>
          <w:sz w:val="28"/>
          <w:szCs w:val="28"/>
          <w:lang w:val="es-ES_tradnl"/>
        </w:rPr>
        <w:t>, así como los juicios de la ciudadanía</w:t>
      </w:r>
      <w:r w:rsidRPr="00F32542">
        <w:rPr>
          <w:rFonts w:ascii="Arial" w:eastAsia="Calibri" w:hAnsi="Arial" w:cs="Arial"/>
          <w:b/>
          <w:sz w:val="28"/>
          <w:szCs w:val="28"/>
          <w:lang w:val="es-ES_tradnl"/>
        </w:rPr>
        <w:t xml:space="preserve"> TECDMX-JLDC-088/2021</w:t>
      </w:r>
      <w:r w:rsidRPr="00F32542">
        <w:rPr>
          <w:rFonts w:ascii="Arial" w:eastAsia="Calibri" w:hAnsi="Arial" w:cs="Arial"/>
          <w:sz w:val="28"/>
          <w:szCs w:val="28"/>
          <w:lang w:val="es-ES_tradnl"/>
        </w:rPr>
        <w:t>,</w:t>
      </w:r>
      <w:r w:rsidRPr="00F32542">
        <w:rPr>
          <w:rFonts w:ascii="Arial" w:eastAsia="Calibri" w:hAnsi="Arial" w:cs="Arial"/>
          <w:b/>
          <w:sz w:val="28"/>
          <w:szCs w:val="28"/>
          <w:lang w:val="es-ES_tradnl"/>
        </w:rPr>
        <w:t xml:space="preserve"> TECDMX-JLDC-089/2021</w:t>
      </w:r>
      <w:r w:rsidRPr="00F32542">
        <w:rPr>
          <w:rFonts w:ascii="Arial" w:eastAsia="Calibri" w:hAnsi="Arial" w:cs="Arial"/>
          <w:sz w:val="28"/>
          <w:szCs w:val="28"/>
          <w:lang w:val="es-ES_tradnl"/>
        </w:rPr>
        <w:t>,</w:t>
      </w:r>
      <w:r w:rsidRPr="00F32542">
        <w:rPr>
          <w:rFonts w:ascii="Arial" w:eastAsia="Calibri" w:hAnsi="Arial" w:cs="Arial"/>
          <w:b/>
          <w:sz w:val="28"/>
          <w:szCs w:val="28"/>
          <w:lang w:val="es-ES_tradnl"/>
        </w:rPr>
        <w:t xml:space="preserve"> TECDMX-JLDC-090/2021</w:t>
      </w:r>
      <w:r w:rsidRPr="00F32542">
        <w:rPr>
          <w:rFonts w:ascii="Arial" w:eastAsia="Calibri" w:hAnsi="Arial" w:cs="Arial"/>
          <w:sz w:val="28"/>
          <w:szCs w:val="28"/>
          <w:lang w:val="es-ES_tradnl"/>
        </w:rPr>
        <w:t>,</w:t>
      </w:r>
      <w:r w:rsidRPr="00F32542">
        <w:rPr>
          <w:rFonts w:ascii="Arial" w:eastAsia="Calibri" w:hAnsi="Arial" w:cs="Arial"/>
          <w:b/>
          <w:sz w:val="28"/>
          <w:szCs w:val="28"/>
          <w:lang w:val="es-ES_tradnl"/>
        </w:rPr>
        <w:t xml:space="preserve"> TECDMX-JLDC-091/2021</w:t>
      </w:r>
      <w:r w:rsidRPr="00F32542">
        <w:rPr>
          <w:rFonts w:ascii="Arial" w:eastAsia="Calibri" w:hAnsi="Arial" w:cs="Arial"/>
          <w:sz w:val="28"/>
          <w:szCs w:val="28"/>
          <w:lang w:val="es-ES_tradnl"/>
        </w:rPr>
        <w:t>,</w:t>
      </w:r>
      <w:r w:rsidRPr="00F32542">
        <w:rPr>
          <w:rFonts w:ascii="Arial" w:eastAsia="Calibri" w:hAnsi="Arial" w:cs="Arial"/>
          <w:b/>
          <w:sz w:val="28"/>
          <w:szCs w:val="28"/>
          <w:lang w:val="es-ES_tradnl"/>
        </w:rPr>
        <w:t xml:space="preserve"> TECDMX-JLDC-092/2021</w:t>
      </w:r>
      <w:r w:rsidRPr="00F32542">
        <w:rPr>
          <w:rFonts w:ascii="Arial" w:eastAsia="Calibri" w:hAnsi="Arial" w:cs="Arial"/>
          <w:sz w:val="28"/>
          <w:szCs w:val="28"/>
          <w:lang w:val="es-ES_tradnl"/>
        </w:rPr>
        <w:t>,</w:t>
      </w:r>
      <w:r w:rsidRPr="00F32542">
        <w:rPr>
          <w:rFonts w:ascii="Arial" w:eastAsia="Calibri" w:hAnsi="Arial" w:cs="Arial"/>
          <w:b/>
          <w:sz w:val="28"/>
          <w:szCs w:val="28"/>
          <w:lang w:val="es-ES_tradnl"/>
        </w:rPr>
        <w:t xml:space="preserve"> TECDMX-JLDC-093/2021</w:t>
      </w:r>
      <w:r w:rsidRPr="00F32542">
        <w:rPr>
          <w:rFonts w:ascii="Arial" w:eastAsia="Calibri" w:hAnsi="Arial" w:cs="Arial"/>
          <w:sz w:val="28"/>
          <w:szCs w:val="28"/>
          <w:lang w:val="es-ES_tradnl"/>
        </w:rPr>
        <w:t>,</w:t>
      </w:r>
      <w:r w:rsidRPr="00F32542">
        <w:rPr>
          <w:rFonts w:ascii="Arial" w:eastAsia="Calibri" w:hAnsi="Arial" w:cs="Arial"/>
          <w:b/>
          <w:sz w:val="28"/>
          <w:szCs w:val="28"/>
          <w:lang w:val="es-ES_tradnl"/>
        </w:rPr>
        <w:t xml:space="preserve"> TECDMX-JLDC-094/2021</w:t>
      </w:r>
      <w:r w:rsidRPr="00F32542">
        <w:rPr>
          <w:rFonts w:ascii="Arial" w:eastAsia="Calibri" w:hAnsi="Arial" w:cs="Arial"/>
          <w:sz w:val="28"/>
          <w:szCs w:val="28"/>
          <w:lang w:val="es-ES_tradnl"/>
        </w:rPr>
        <w:t>,</w:t>
      </w:r>
      <w:r w:rsidRPr="00F32542">
        <w:rPr>
          <w:rFonts w:ascii="Arial" w:eastAsia="Calibri" w:hAnsi="Arial" w:cs="Arial"/>
          <w:b/>
          <w:sz w:val="28"/>
          <w:szCs w:val="28"/>
          <w:lang w:val="es-ES_tradnl"/>
        </w:rPr>
        <w:t xml:space="preserve"> TECDMX-JLDC-095/2021</w:t>
      </w:r>
      <w:r w:rsidRPr="00F32542">
        <w:rPr>
          <w:rFonts w:ascii="Arial" w:eastAsia="Calibri" w:hAnsi="Arial" w:cs="Arial"/>
          <w:sz w:val="28"/>
          <w:szCs w:val="28"/>
          <w:lang w:val="es-ES_tradnl"/>
        </w:rPr>
        <w:t>,</w:t>
      </w:r>
      <w:r w:rsidRPr="00F32542">
        <w:rPr>
          <w:rFonts w:ascii="Arial" w:eastAsia="Calibri" w:hAnsi="Arial" w:cs="Arial"/>
          <w:b/>
          <w:sz w:val="28"/>
          <w:szCs w:val="28"/>
          <w:lang w:val="es-ES_tradnl"/>
        </w:rPr>
        <w:t xml:space="preserve"> TECDMX-JLDC-096/2021</w:t>
      </w:r>
      <w:r w:rsidRPr="00F32542">
        <w:rPr>
          <w:rFonts w:ascii="Arial" w:eastAsia="Calibri" w:hAnsi="Arial" w:cs="Arial"/>
          <w:sz w:val="28"/>
          <w:szCs w:val="28"/>
          <w:lang w:val="es-ES_tradnl"/>
        </w:rPr>
        <w:t>,</w:t>
      </w:r>
      <w:r w:rsidRPr="00F32542">
        <w:rPr>
          <w:rFonts w:ascii="Arial" w:eastAsia="Calibri" w:hAnsi="Arial" w:cs="Arial"/>
          <w:b/>
          <w:sz w:val="28"/>
          <w:szCs w:val="28"/>
          <w:lang w:val="es-ES_tradnl"/>
        </w:rPr>
        <w:t xml:space="preserve"> TECDMX-JLDC-097/2021</w:t>
      </w:r>
      <w:r w:rsidRPr="00F32542">
        <w:rPr>
          <w:rFonts w:ascii="Arial" w:eastAsia="Calibri" w:hAnsi="Arial" w:cs="Arial"/>
          <w:sz w:val="28"/>
          <w:szCs w:val="28"/>
          <w:lang w:val="es-ES_tradnl"/>
        </w:rPr>
        <w:t>,</w:t>
      </w:r>
      <w:r w:rsidRPr="00F32542">
        <w:rPr>
          <w:rFonts w:ascii="Arial" w:eastAsia="Calibri" w:hAnsi="Arial" w:cs="Arial"/>
          <w:b/>
          <w:sz w:val="28"/>
          <w:szCs w:val="28"/>
          <w:lang w:val="es-ES_tradnl"/>
        </w:rPr>
        <w:t xml:space="preserve"> TECDMX-JLDC-099/2021</w:t>
      </w:r>
      <w:r w:rsidRPr="00F32542">
        <w:rPr>
          <w:rFonts w:ascii="Arial" w:eastAsia="Calibri" w:hAnsi="Arial" w:cs="Arial"/>
          <w:sz w:val="28"/>
          <w:szCs w:val="28"/>
          <w:lang w:val="es-ES_tradnl"/>
        </w:rPr>
        <w:t>,</w:t>
      </w:r>
      <w:r w:rsidRPr="00F32542">
        <w:rPr>
          <w:rFonts w:ascii="Arial" w:eastAsia="Calibri" w:hAnsi="Arial" w:cs="Arial"/>
          <w:b/>
          <w:sz w:val="28"/>
          <w:szCs w:val="28"/>
          <w:lang w:val="es-ES_tradnl"/>
        </w:rPr>
        <w:t xml:space="preserve"> TECDMX-JLDC-100/2021</w:t>
      </w:r>
      <w:r w:rsidRPr="00F32542">
        <w:rPr>
          <w:rFonts w:ascii="Arial" w:eastAsia="Calibri" w:hAnsi="Arial" w:cs="Arial"/>
          <w:sz w:val="28"/>
          <w:szCs w:val="28"/>
          <w:lang w:val="es-ES_tradnl"/>
        </w:rPr>
        <w:t>,</w:t>
      </w:r>
      <w:r w:rsidRPr="00F32542">
        <w:rPr>
          <w:rFonts w:ascii="Arial" w:eastAsia="Calibri" w:hAnsi="Arial" w:cs="Arial"/>
          <w:b/>
          <w:sz w:val="28"/>
          <w:szCs w:val="28"/>
          <w:lang w:val="es-ES_tradnl"/>
        </w:rPr>
        <w:t xml:space="preserve"> TECDMX-JLDC-101/2021</w:t>
      </w:r>
      <w:r w:rsidRPr="00F32542">
        <w:rPr>
          <w:rFonts w:ascii="Arial" w:eastAsia="Calibri" w:hAnsi="Arial" w:cs="Arial"/>
          <w:sz w:val="28"/>
          <w:szCs w:val="28"/>
          <w:lang w:val="es-ES_tradnl"/>
        </w:rPr>
        <w:t>,</w:t>
      </w:r>
      <w:r w:rsidRPr="00F32542">
        <w:rPr>
          <w:rFonts w:ascii="Arial" w:eastAsia="Calibri" w:hAnsi="Arial" w:cs="Arial"/>
          <w:b/>
          <w:sz w:val="28"/>
          <w:szCs w:val="28"/>
          <w:lang w:val="es-ES_tradnl"/>
        </w:rPr>
        <w:t xml:space="preserve"> TECDMX-JLDC-102/2021</w:t>
      </w:r>
      <w:r w:rsidRPr="00F32542">
        <w:rPr>
          <w:rFonts w:ascii="Arial" w:eastAsia="Calibri" w:hAnsi="Arial" w:cs="Arial"/>
          <w:sz w:val="28"/>
          <w:szCs w:val="28"/>
          <w:lang w:val="es-ES_tradnl"/>
        </w:rPr>
        <w:t>,</w:t>
      </w:r>
      <w:r w:rsidRPr="00F32542">
        <w:rPr>
          <w:rFonts w:ascii="Arial" w:eastAsia="Calibri" w:hAnsi="Arial" w:cs="Arial"/>
          <w:b/>
          <w:sz w:val="28"/>
          <w:szCs w:val="28"/>
          <w:lang w:val="es-ES_tradnl"/>
        </w:rPr>
        <w:t xml:space="preserve"> TECDMX-JLDC-103/2021</w:t>
      </w:r>
      <w:r w:rsidRPr="00F32542">
        <w:rPr>
          <w:rFonts w:ascii="Arial" w:eastAsia="Calibri" w:hAnsi="Arial" w:cs="Arial"/>
          <w:sz w:val="28"/>
          <w:szCs w:val="28"/>
          <w:lang w:val="es-ES_tradnl"/>
        </w:rPr>
        <w:t>,</w:t>
      </w:r>
      <w:r w:rsidRPr="00F32542">
        <w:rPr>
          <w:rFonts w:ascii="Arial" w:eastAsia="Calibri" w:hAnsi="Arial" w:cs="Arial"/>
          <w:b/>
          <w:sz w:val="28"/>
          <w:szCs w:val="28"/>
          <w:lang w:val="es-ES_tradnl"/>
        </w:rPr>
        <w:t xml:space="preserve"> TECDMX-JLDC-104/2021</w:t>
      </w:r>
      <w:r w:rsidRPr="00F32542">
        <w:rPr>
          <w:rFonts w:ascii="Arial" w:eastAsia="Calibri" w:hAnsi="Arial" w:cs="Arial"/>
          <w:sz w:val="28"/>
          <w:szCs w:val="28"/>
          <w:lang w:val="es-ES_tradnl"/>
        </w:rPr>
        <w:t>,</w:t>
      </w:r>
      <w:r w:rsidRPr="00F32542">
        <w:rPr>
          <w:rFonts w:ascii="Arial" w:eastAsia="Calibri" w:hAnsi="Arial" w:cs="Arial"/>
          <w:b/>
          <w:sz w:val="28"/>
          <w:szCs w:val="28"/>
          <w:lang w:val="es-ES_tradnl"/>
        </w:rPr>
        <w:t xml:space="preserve"> </w:t>
      </w:r>
      <w:r w:rsidRPr="00F32542">
        <w:rPr>
          <w:rFonts w:ascii="Arial" w:eastAsia="Calibri" w:hAnsi="Arial" w:cs="Arial"/>
          <w:b/>
          <w:sz w:val="28"/>
          <w:szCs w:val="28"/>
          <w:lang w:val="es-ES_tradnl"/>
        </w:rPr>
        <w:lastRenderedPageBreak/>
        <w:t>TECDMX-JLDC-108/2021</w:t>
      </w:r>
      <w:r w:rsidRPr="00F32542">
        <w:rPr>
          <w:rFonts w:ascii="Arial" w:eastAsia="Calibri" w:hAnsi="Arial" w:cs="Arial"/>
          <w:sz w:val="28"/>
          <w:szCs w:val="28"/>
          <w:lang w:val="es-ES_tradnl"/>
        </w:rPr>
        <w:t>,</w:t>
      </w:r>
      <w:r w:rsidRPr="00F32542">
        <w:rPr>
          <w:rFonts w:ascii="Arial" w:eastAsia="Calibri" w:hAnsi="Arial" w:cs="Arial"/>
          <w:b/>
          <w:sz w:val="28"/>
          <w:szCs w:val="28"/>
          <w:lang w:val="es-ES_tradnl"/>
        </w:rPr>
        <w:t xml:space="preserve"> TECDMX-JLDC-109/2021 </w:t>
      </w:r>
      <w:r w:rsidRPr="00F32542">
        <w:rPr>
          <w:rFonts w:ascii="Arial" w:eastAsia="Calibri" w:hAnsi="Arial" w:cs="Arial"/>
          <w:sz w:val="28"/>
          <w:szCs w:val="28"/>
          <w:lang w:val="es-ES_tradnl"/>
        </w:rPr>
        <w:t>y</w:t>
      </w:r>
      <w:r w:rsidRPr="00F32542">
        <w:rPr>
          <w:rFonts w:ascii="Arial" w:eastAsia="Calibri" w:hAnsi="Arial" w:cs="Arial"/>
          <w:b/>
          <w:sz w:val="28"/>
          <w:szCs w:val="28"/>
          <w:lang w:val="es-ES_tradnl"/>
        </w:rPr>
        <w:t xml:space="preserve"> TECDMX-JLDC-110/2021, </w:t>
      </w:r>
      <w:r w:rsidRPr="00F32542">
        <w:rPr>
          <w:rFonts w:ascii="Arial" w:eastAsia="Times New Roman" w:hAnsi="Arial" w:cs="Arial"/>
          <w:sz w:val="28"/>
          <w:szCs w:val="28"/>
          <w:lang w:val="es-ES_tradnl" w:eastAsia="es-MX"/>
        </w:rPr>
        <w:t xml:space="preserve">al diverso </w:t>
      </w:r>
      <w:r w:rsidRPr="00F32542">
        <w:rPr>
          <w:rFonts w:ascii="Arial" w:eastAsia="Calibri" w:hAnsi="Arial" w:cs="Arial"/>
          <w:b/>
          <w:sz w:val="28"/>
          <w:szCs w:val="28"/>
          <w:lang w:val="es-ES_tradnl"/>
        </w:rPr>
        <w:t>TECDMX-JEL-204/2021</w:t>
      </w:r>
      <w:r w:rsidRPr="00F32542">
        <w:rPr>
          <w:rFonts w:ascii="Arial" w:eastAsia="Times New Roman" w:hAnsi="Arial" w:cs="Arial"/>
          <w:sz w:val="28"/>
          <w:szCs w:val="28"/>
          <w:lang w:val="es-ES_tradnl" w:eastAsia="es-MX"/>
        </w:rPr>
        <w:t xml:space="preserve">, conforme a la </w:t>
      </w:r>
      <w:r w:rsidRPr="00F32542">
        <w:rPr>
          <w:rFonts w:ascii="Arial" w:eastAsia="Times New Roman" w:hAnsi="Arial" w:cs="Arial"/>
          <w:b/>
          <w:sz w:val="28"/>
          <w:szCs w:val="28"/>
          <w:lang w:val="es-ES_tradnl" w:eastAsia="es-MX"/>
        </w:rPr>
        <w:t xml:space="preserve">consideración segunda </w:t>
      </w:r>
      <w:r w:rsidRPr="00F32542">
        <w:rPr>
          <w:rFonts w:ascii="Arial" w:eastAsia="Times New Roman" w:hAnsi="Arial" w:cs="Arial"/>
          <w:sz w:val="28"/>
          <w:szCs w:val="28"/>
          <w:lang w:val="es-ES_tradnl" w:eastAsia="es-MX"/>
        </w:rPr>
        <w:t>de esta sentencia.</w:t>
      </w:r>
    </w:p>
    <w:p w14:paraId="644AE3DC" w14:textId="77777777" w:rsidR="00B01E6A" w:rsidRPr="00F32542" w:rsidRDefault="00B01E6A" w:rsidP="00B01E6A">
      <w:pPr>
        <w:autoSpaceDE w:val="0"/>
        <w:autoSpaceDN w:val="0"/>
        <w:adjustRightInd w:val="0"/>
        <w:spacing w:after="0" w:line="360" w:lineRule="auto"/>
        <w:jc w:val="both"/>
        <w:rPr>
          <w:rFonts w:ascii="Arial" w:hAnsi="Arial" w:cs="Arial"/>
          <w:sz w:val="28"/>
          <w:szCs w:val="28"/>
          <w:lang w:val="es-ES_tradnl"/>
        </w:rPr>
      </w:pPr>
    </w:p>
    <w:p w14:paraId="28146B4E" w14:textId="77777777" w:rsidR="001F3D97" w:rsidRPr="00F32542" w:rsidRDefault="001F3D97" w:rsidP="001F3D97">
      <w:pPr>
        <w:spacing w:after="0" w:line="360" w:lineRule="auto"/>
        <w:ind w:right="51"/>
        <w:jc w:val="both"/>
        <w:rPr>
          <w:rFonts w:ascii="Arial" w:hAnsi="Arial" w:cs="Arial"/>
          <w:spacing w:val="4"/>
          <w:sz w:val="28"/>
          <w:szCs w:val="28"/>
        </w:rPr>
      </w:pPr>
      <w:r w:rsidRPr="00F32542">
        <w:rPr>
          <w:rFonts w:ascii="Arial" w:hAnsi="Arial" w:cs="Arial"/>
          <w:b/>
          <w:spacing w:val="4"/>
          <w:sz w:val="28"/>
          <w:szCs w:val="28"/>
        </w:rPr>
        <w:t>SEGUNDO.</w:t>
      </w:r>
      <w:r w:rsidRPr="00F32542">
        <w:rPr>
          <w:rFonts w:ascii="Arial" w:hAnsi="Arial" w:cs="Arial"/>
          <w:spacing w:val="4"/>
          <w:sz w:val="28"/>
          <w:szCs w:val="28"/>
        </w:rPr>
        <w:t xml:space="preserve"> Se </w:t>
      </w:r>
      <w:r w:rsidRPr="00F32542">
        <w:rPr>
          <w:rFonts w:ascii="Arial" w:hAnsi="Arial" w:cs="Arial"/>
          <w:b/>
          <w:spacing w:val="4"/>
          <w:sz w:val="28"/>
          <w:szCs w:val="28"/>
        </w:rPr>
        <w:t>modifica</w:t>
      </w:r>
      <w:r w:rsidRPr="00F32542">
        <w:rPr>
          <w:rFonts w:ascii="Arial" w:hAnsi="Arial" w:cs="Arial"/>
          <w:spacing w:val="4"/>
          <w:sz w:val="28"/>
          <w:szCs w:val="28"/>
        </w:rPr>
        <w:t xml:space="preserve">, en la parte conducente, el </w:t>
      </w:r>
      <w:r w:rsidRPr="00F32542">
        <w:rPr>
          <w:rFonts w:ascii="Arial" w:hAnsi="Arial" w:cs="Arial"/>
          <w:sz w:val="28"/>
          <w:szCs w:val="28"/>
        </w:rPr>
        <w:t>acuerdo</w:t>
      </w:r>
      <w:r w:rsidRPr="00F32542">
        <w:rPr>
          <w:rFonts w:ascii="Arial" w:hAnsi="Arial" w:cs="Arial"/>
          <w:b/>
          <w:sz w:val="28"/>
          <w:szCs w:val="28"/>
        </w:rPr>
        <w:t xml:space="preserve"> IECM</w:t>
      </w:r>
      <w:r w:rsidR="00836592" w:rsidRPr="00F32542">
        <w:rPr>
          <w:rFonts w:ascii="Arial" w:hAnsi="Arial" w:cs="Arial"/>
          <w:b/>
          <w:sz w:val="28"/>
          <w:szCs w:val="28"/>
        </w:rPr>
        <w:t>/</w:t>
      </w:r>
      <w:r w:rsidRPr="00F32542">
        <w:rPr>
          <w:rFonts w:ascii="Arial" w:hAnsi="Arial" w:cs="Arial"/>
          <w:b/>
          <w:sz w:val="28"/>
          <w:szCs w:val="28"/>
        </w:rPr>
        <w:t>ACU-CG-324/2021</w:t>
      </w:r>
      <w:r w:rsidRPr="00F32542">
        <w:rPr>
          <w:rFonts w:ascii="Arial" w:hAnsi="Arial" w:cs="Arial"/>
          <w:sz w:val="28"/>
          <w:szCs w:val="28"/>
        </w:rPr>
        <w:t>, mediante el cual el Consejo General del Instituto Electoral de la Ciudad de México realizó la asignación de las Diputaciones al Congreso de la Ciudad de México electas por el principio de representación proporcional y declaró la validez de esa elección</w:t>
      </w:r>
      <w:r w:rsidR="000713E7" w:rsidRPr="00F32542">
        <w:rPr>
          <w:rFonts w:ascii="Arial" w:hAnsi="Arial" w:cs="Arial"/>
          <w:sz w:val="28"/>
          <w:szCs w:val="28"/>
        </w:rPr>
        <w:t>.</w:t>
      </w:r>
    </w:p>
    <w:p w14:paraId="326556E5" w14:textId="77777777" w:rsidR="001F3D97" w:rsidRPr="00F32542" w:rsidRDefault="001F3D97" w:rsidP="001F3D97">
      <w:pPr>
        <w:spacing w:after="0" w:line="360" w:lineRule="auto"/>
        <w:ind w:right="51"/>
        <w:jc w:val="both"/>
        <w:rPr>
          <w:rFonts w:ascii="Arial" w:hAnsi="Arial" w:cs="Arial"/>
          <w:b/>
          <w:spacing w:val="4"/>
          <w:sz w:val="28"/>
          <w:szCs w:val="28"/>
        </w:rPr>
      </w:pPr>
    </w:p>
    <w:p w14:paraId="74C35492" w14:textId="77777777" w:rsidR="001F3D97" w:rsidRPr="00F32542" w:rsidRDefault="001F3D97" w:rsidP="001F3D97">
      <w:pPr>
        <w:spacing w:after="0" w:line="360" w:lineRule="auto"/>
        <w:ind w:right="51"/>
        <w:jc w:val="both"/>
        <w:rPr>
          <w:rFonts w:ascii="Arial" w:hAnsi="Arial" w:cs="Arial"/>
          <w:spacing w:val="4"/>
          <w:sz w:val="28"/>
          <w:szCs w:val="28"/>
        </w:rPr>
      </w:pPr>
      <w:r w:rsidRPr="00F32542">
        <w:rPr>
          <w:rFonts w:ascii="Arial" w:hAnsi="Arial" w:cs="Arial"/>
          <w:b/>
          <w:spacing w:val="4"/>
          <w:sz w:val="28"/>
          <w:szCs w:val="28"/>
        </w:rPr>
        <w:t>TERCERO.</w:t>
      </w:r>
      <w:r w:rsidRPr="00F32542">
        <w:rPr>
          <w:rFonts w:ascii="Arial" w:hAnsi="Arial" w:cs="Arial"/>
          <w:spacing w:val="4"/>
          <w:sz w:val="28"/>
          <w:szCs w:val="28"/>
        </w:rPr>
        <w:t xml:space="preserve"> Se </w:t>
      </w:r>
      <w:r w:rsidRPr="00F32542">
        <w:rPr>
          <w:rFonts w:ascii="Arial" w:hAnsi="Arial" w:cs="Arial"/>
          <w:b/>
          <w:spacing w:val="4"/>
          <w:sz w:val="28"/>
          <w:szCs w:val="28"/>
        </w:rPr>
        <w:t>deja firme la lista A del Partido Acción Nacional</w:t>
      </w:r>
      <w:r w:rsidRPr="00F32542">
        <w:rPr>
          <w:rFonts w:ascii="Arial" w:hAnsi="Arial" w:cs="Arial"/>
          <w:i/>
          <w:spacing w:val="4"/>
          <w:sz w:val="28"/>
          <w:szCs w:val="28"/>
        </w:rPr>
        <w:t xml:space="preserve"> </w:t>
      </w:r>
      <w:r w:rsidRPr="00F32542">
        <w:rPr>
          <w:rFonts w:ascii="Arial" w:hAnsi="Arial" w:cs="Arial"/>
          <w:spacing w:val="4"/>
          <w:sz w:val="28"/>
          <w:szCs w:val="28"/>
        </w:rPr>
        <w:t xml:space="preserve">que originalmente presentó ante el Instituto Electoral de la Ciudad de México y, en consecuencia, </w:t>
      </w:r>
      <w:r w:rsidRPr="00F32542">
        <w:rPr>
          <w:rFonts w:ascii="Arial" w:hAnsi="Arial" w:cs="Arial"/>
          <w:b/>
          <w:spacing w:val="4"/>
          <w:sz w:val="28"/>
          <w:szCs w:val="28"/>
        </w:rPr>
        <w:t>se modifica la lista definitiva</w:t>
      </w:r>
      <w:r w:rsidRPr="00F32542">
        <w:rPr>
          <w:rFonts w:ascii="Arial" w:hAnsi="Arial" w:cs="Arial"/>
          <w:spacing w:val="4"/>
          <w:sz w:val="28"/>
          <w:szCs w:val="28"/>
        </w:rPr>
        <w:t xml:space="preserve"> de dicho partido.</w:t>
      </w:r>
    </w:p>
    <w:p w14:paraId="04906CE3" w14:textId="77777777" w:rsidR="001F3D97" w:rsidRPr="00F32542" w:rsidRDefault="001F3D97" w:rsidP="001F3D97">
      <w:pPr>
        <w:spacing w:after="0" w:line="360" w:lineRule="auto"/>
        <w:ind w:right="51"/>
        <w:jc w:val="both"/>
        <w:rPr>
          <w:rFonts w:ascii="Arial" w:hAnsi="Arial" w:cs="Arial"/>
          <w:spacing w:val="4"/>
          <w:sz w:val="28"/>
          <w:szCs w:val="28"/>
        </w:rPr>
      </w:pPr>
    </w:p>
    <w:p w14:paraId="33AE0014" w14:textId="77777777" w:rsidR="001F3D97" w:rsidRPr="00F32542" w:rsidRDefault="001F3D97" w:rsidP="001F3D97">
      <w:pPr>
        <w:spacing w:after="0" w:line="360" w:lineRule="auto"/>
        <w:ind w:right="51"/>
        <w:jc w:val="both"/>
        <w:rPr>
          <w:rFonts w:ascii="Arial" w:hAnsi="Arial" w:cs="Arial"/>
          <w:spacing w:val="4"/>
          <w:sz w:val="28"/>
          <w:szCs w:val="28"/>
        </w:rPr>
      </w:pPr>
      <w:r w:rsidRPr="00F32542">
        <w:rPr>
          <w:rFonts w:ascii="Arial" w:hAnsi="Arial" w:cs="Arial"/>
          <w:b/>
          <w:spacing w:val="4"/>
          <w:sz w:val="28"/>
          <w:szCs w:val="28"/>
        </w:rPr>
        <w:t>CUARTO.</w:t>
      </w:r>
      <w:r w:rsidRPr="00F32542">
        <w:rPr>
          <w:rFonts w:ascii="Arial" w:hAnsi="Arial" w:cs="Arial"/>
          <w:spacing w:val="4"/>
          <w:sz w:val="28"/>
          <w:szCs w:val="28"/>
        </w:rPr>
        <w:t xml:space="preserve"> Se </w:t>
      </w:r>
      <w:r w:rsidRPr="00F32542">
        <w:rPr>
          <w:rFonts w:ascii="Arial" w:hAnsi="Arial" w:cs="Arial"/>
          <w:b/>
          <w:spacing w:val="4"/>
          <w:sz w:val="28"/>
          <w:szCs w:val="28"/>
        </w:rPr>
        <w:t>revoca la constancia de asignación</w:t>
      </w:r>
      <w:r w:rsidRPr="00F32542">
        <w:rPr>
          <w:rFonts w:ascii="Arial" w:hAnsi="Arial" w:cs="Arial"/>
          <w:spacing w:val="4"/>
          <w:sz w:val="28"/>
          <w:szCs w:val="28"/>
        </w:rPr>
        <w:t xml:space="preserve"> expedida a la fórmula integrada por</w:t>
      </w:r>
      <w:r w:rsidRPr="00F32542">
        <w:rPr>
          <w:rFonts w:ascii="Arial" w:eastAsia="Calibri" w:hAnsi="Arial" w:cs="Times New Roman"/>
          <w:b/>
          <w:sz w:val="28"/>
          <w:szCs w:val="28"/>
        </w:rPr>
        <w:t xml:space="preserve"> Frida Jimena Guillén Ortiz </w:t>
      </w:r>
      <w:r w:rsidRPr="00F32542">
        <w:rPr>
          <w:rFonts w:ascii="Arial" w:eastAsia="Calibri" w:hAnsi="Arial" w:cs="Times New Roman"/>
          <w:sz w:val="28"/>
          <w:szCs w:val="28"/>
        </w:rPr>
        <w:t xml:space="preserve">y </w:t>
      </w:r>
      <w:proofErr w:type="spellStart"/>
      <w:r w:rsidRPr="00F32542">
        <w:rPr>
          <w:rFonts w:ascii="Arial" w:eastAsia="Calibri" w:hAnsi="Arial" w:cs="Times New Roman"/>
          <w:b/>
          <w:sz w:val="28"/>
          <w:szCs w:val="28"/>
        </w:rPr>
        <w:t>Ahichell</w:t>
      </w:r>
      <w:proofErr w:type="spellEnd"/>
      <w:r w:rsidRPr="00F32542">
        <w:rPr>
          <w:rFonts w:ascii="Arial" w:eastAsia="Calibri" w:hAnsi="Arial" w:cs="Times New Roman"/>
          <w:b/>
          <w:sz w:val="28"/>
          <w:szCs w:val="28"/>
        </w:rPr>
        <w:t xml:space="preserve"> Sánchez Valle</w:t>
      </w:r>
      <w:r w:rsidRPr="00F32542">
        <w:rPr>
          <w:rFonts w:ascii="Arial" w:hAnsi="Arial" w:cs="Arial"/>
          <w:spacing w:val="4"/>
          <w:sz w:val="28"/>
          <w:szCs w:val="28"/>
        </w:rPr>
        <w:t xml:space="preserve">, a fin de sea expedida a nombre de </w:t>
      </w:r>
      <w:r w:rsidRPr="00F32542">
        <w:rPr>
          <w:rFonts w:ascii="Arial" w:eastAsia="Calibri" w:hAnsi="Arial"/>
          <w:b/>
          <w:sz w:val="28"/>
          <w:szCs w:val="28"/>
        </w:rPr>
        <w:t xml:space="preserve">Rodrigo Miranda Berumen </w:t>
      </w:r>
      <w:r w:rsidRPr="00F32542">
        <w:rPr>
          <w:rFonts w:ascii="Arial" w:eastAsia="Calibri" w:hAnsi="Arial"/>
          <w:sz w:val="28"/>
          <w:szCs w:val="28"/>
        </w:rPr>
        <w:t xml:space="preserve">y </w:t>
      </w:r>
      <w:r w:rsidRPr="00F32542">
        <w:rPr>
          <w:rFonts w:ascii="Arial" w:eastAsia="Calibri" w:hAnsi="Arial"/>
          <w:b/>
          <w:sz w:val="28"/>
          <w:szCs w:val="28"/>
        </w:rPr>
        <w:t>Luis Paris Oviedo Guarneros.</w:t>
      </w:r>
    </w:p>
    <w:p w14:paraId="3545E146" w14:textId="77777777" w:rsidR="001F3D97" w:rsidRPr="00F32542" w:rsidRDefault="001F3D97" w:rsidP="001F3D97">
      <w:pPr>
        <w:spacing w:after="0" w:line="360" w:lineRule="auto"/>
        <w:ind w:right="51"/>
        <w:jc w:val="both"/>
        <w:rPr>
          <w:rFonts w:ascii="Arial" w:eastAsia="Calibri" w:hAnsi="Arial" w:cs="Arial"/>
          <w:sz w:val="28"/>
          <w:szCs w:val="28"/>
        </w:rPr>
      </w:pPr>
    </w:p>
    <w:p w14:paraId="54E00462" w14:textId="77777777" w:rsidR="001F3D97" w:rsidRPr="00F32542" w:rsidRDefault="001F3D97" w:rsidP="001F3D97">
      <w:pPr>
        <w:spacing w:after="0" w:line="360" w:lineRule="auto"/>
        <w:ind w:right="51"/>
        <w:jc w:val="both"/>
        <w:rPr>
          <w:rFonts w:ascii="Arial" w:eastAsia="Calibri" w:hAnsi="Arial" w:cs="Arial"/>
          <w:b/>
          <w:sz w:val="28"/>
          <w:szCs w:val="28"/>
        </w:rPr>
      </w:pPr>
      <w:r w:rsidRPr="00F32542">
        <w:rPr>
          <w:rFonts w:ascii="Arial" w:eastAsia="Calibri" w:hAnsi="Arial" w:cs="Arial"/>
          <w:b/>
          <w:sz w:val="28"/>
          <w:szCs w:val="28"/>
        </w:rPr>
        <w:t>QUINTO.</w:t>
      </w:r>
      <w:r w:rsidRPr="00F32542">
        <w:rPr>
          <w:rFonts w:ascii="Arial" w:eastAsia="Calibri" w:hAnsi="Arial" w:cs="Arial"/>
          <w:sz w:val="28"/>
          <w:szCs w:val="28"/>
        </w:rPr>
        <w:t xml:space="preserve"> Se </w:t>
      </w:r>
      <w:r w:rsidRPr="00F32542">
        <w:rPr>
          <w:rFonts w:ascii="Arial" w:eastAsia="Calibri" w:hAnsi="Arial" w:cs="Arial"/>
          <w:b/>
          <w:sz w:val="28"/>
          <w:szCs w:val="28"/>
        </w:rPr>
        <w:t>modifica</w:t>
      </w:r>
      <w:r w:rsidRPr="00F32542">
        <w:rPr>
          <w:rFonts w:ascii="Arial" w:eastAsia="Calibri" w:hAnsi="Arial" w:cs="Arial"/>
          <w:sz w:val="28"/>
          <w:szCs w:val="28"/>
        </w:rPr>
        <w:t xml:space="preserve"> la </w:t>
      </w:r>
      <w:r w:rsidRPr="00F32542">
        <w:rPr>
          <w:rFonts w:ascii="Arial" w:eastAsia="Calibri" w:hAnsi="Arial" w:cs="Arial"/>
          <w:b/>
          <w:sz w:val="28"/>
          <w:szCs w:val="28"/>
        </w:rPr>
        <w:t>lista definitiva</w:t>
      </w:r>
      <w:r w:rsidRPr="00F32542">
        <w:rPr>
          <w:rFonts w:ascii="Arial" w:eastAsia="Calibri" w:hAnsi="Arial" w:cs="Arial"/>
          <w:sz w:val="28"/>
          <w:szCs w:val="28"/>
        </w:rPr>
        <w:t xml:space="preserve"> de candidaturas de </w:t>
      </w:r>
      <w:r w:rsidRPr="00F32542">
        <w:rPr>
          <w:rFonts w:ascii="Arial" w:eastAsia="Calibri" w:hAnsi="Arial" w:cs="Arial"/>
          <w:b/>
          <w:sz w:val="28"/>
          <w:szCs w:val="28"/>
        </w:rPr>
        <w:t>MORENA</w:t>
      </w:r>
      <w:r w:rsidRPr="00F32542">
        <w:rPr>
          <w:rFonts w:ascii="Arial" w:eastAsia="Calibri" w:hAnsi="Arial" w:cs="Arial"/>
          <w:sz w:val="28"/>
          <w:szCs w:val="28"/>
        </w:rPr>
        <w:t xml:space="preserve">, en cuanto la posición </w:t>
      </w:r>
      <w:r w:rsidRPr="00F32542">
        <w:rPr>
          <w:rFonts w:ascii="Arial" w:eastAsia="Calibri" w:hAnsi="Arial" w:cs="Arial"/>
          <w:b/>
          <w:sz w:val="28"/>
          <w:szCs w:val="28"/>
        </w:rPr>
        <w:t>14.</w:t>
      </w:r>
    </w:p>
    <w:p w14:paraId="31150828" w14:textId="77777777" w:rsidR="001F3D97" w:rsidRPr="00F32542" w:rsidRDefault="001F3D97" w:rsidP="001F3D97">
      <w:pPr>
        <w:spacing w:after="0" w:line="360" w:lineRule="auto"/>
        <w:ind w:right="51"/>
        <w:jc w:val="both"/>
        <w:rPr>
          <w:rFonts w:ascii="Arial" w:eastAsia="Calibri" w:hAnsi="Arial" w:cs="Arial"/>
          <w:b/>
          <w:sz w:val="28"/>
          <w:szCs w:val="28"/>
        </w:rPr>
      </w:pPr>
    </w:p>
    <w:p w14:paraId="0EE6B73B" w14:textId="77777777" w:rsidR="001F3D97" w:rsidRPr="00F32542" w:rsidRDefault="001F3D97" w:rsidP="001F3D97">
      <w:pPr>
        <w:spacing w:after="0" w:line="360" w:lineRule="auto"/>
        <w:ind w:right="51"/>
        <w:jc w:val="both"/>
        <w:rPr>
          <w:rFonts w:ascii="Arial" w:eastAsia="Calibri" w:hAnsi="Arial"/>
          <w:b/>
          <w:sz w:val="28"/>
          <w:szCs w:val="28"/>
        </w:rPr>
      </w:pPr>
      <w:r w:rsidRPr="00F32542">
        <w:rPr>
          <w:rFonts w:ascii="Arial" w:eastAsia="Calibri" w:hAnsi="Arial" w:cs="Arial"/>
          <w:b/>
          <w:sz w:val="28"/>
          <w:szCs w:val="28"/>
        </w:rPr>
        <w:t xml:space="preserve">SEXTO. </w:t>
      </w:r>
      <w:r w:rsidRPr="00F32542">
        <w:rPr>
          <w:rFonts w:ascii="Arial" w:eastAsia="Calibri" w:hAnsi="Arial" w:cs="Arial"/>
          <w:sz w:val="28"/>
          <w:szCs w:val="28"/>
        </w:rPr>
        <w:t xml:space="preserve">Se </w:t>
      </w:r>
      <w:r w:rsidRPr="00F32542">
        <w:rPr>
          <w:rFonts w:ascii="Arial" w:eastAsia="Calibri" w:hAnsi="Arial" w:cs="Arial"/>
          <w:b/>
          <w:sz w:val="28"/>
          <w:szCs w:val="28"/>
        </w:rPr>
        <w:t>revoca la constancia</w:t>
      </w:r>
      <w:r w:rsidRPr="00F32542">
        <w:rPr>
          <w:rFonts w:ascii="Arial" w:eastAsia="Calibri" w:hAnsi="Arial" w:cs="Arial"/>
          <w:sz w:val="28"/>
          <w:szCs w:val="28"/>
        </w:rPr>
        <w:t xml:space="preserve"> </w:t>
      </w:r>
      <w:r w:rsidRPr="00F32542">
        <w:rPr>
          <w:rFonts w:ascii="Arial" w:eastAsia="Calibri" w:hAnsi="Arial" w:cs="Arial"/>
          <w:b/>
          <w:sz w:val="28"/>
          <w:szCs w:val="28"/>
        </w:rPr>
        <w:t>de asignación</w:t>
      </w:r>
      <w:r w:rsidRPr="00F32542">
        <w:rPr>
          <w:rFonts w:ascii="Arial" w:eastAsia="Calibri" w:hAnsi="Arial" w:cs="Arial"/>
          <w:sz w:val="28"/>
          <w:szCs w:val="28"/>
        </w:rPr>
        <w:t xml:space="preserve"> entregada a </w:t>
      </w:r>
      <w:r w:rsidRPr="00F32542">
        <w:rPr>
          <w:rFonts w:ascii="Arial" w:eastAsia="Calibri" w:hAnsi="Arial" w:cs="Times New Roman"/>
          <w:b/>
          <w:sz w:val="28"/>
          <w:szCs w:val="28"/>
        </w:rPr>
        <w:t>Isabela Rosales Herrera y Alicia Medina Hernández</w:t>
      </w:r>
      <w:r w:rsidRPr="00F32542">
        <w:rPr>
          <w:rFonts w:ascii="Arial" w:eastAsia="Calibri" w:hAnsi="Arial" w:cs="Times New Roman"/>
          <w:sz w:val="28"/>
          <w:szCs w:val="28"/>
        </w:rPr>
        <w:t xml:space="preserve"> y, por tanto, se ordena expedirla a favor de </w:t>
      </w:r>
      <w:r w:rsidRPr="00F32542">
        <w:rPr>
          <w:rFonts w:ascii="Arial" w:eastAsia="Calibri" w:hAnsi="Arial"/>
          <w:b/>
          <w:sz w:val="28"/>
          <w:szCs w:val="28"/>
        </w:rPr>
        <w:t xml:space="preserve">José Luis Rodríguez Díaz de León y Francisco Medina Padilla. </w:t>
      </w:r>
    </w:p>
    <w:p w14:paraId="44101DF6" w14:textId="77777777" w:rsidR="001F3D97" w:rsidRPr="00F32542" w:rsidRDefault="001F3D97" w:rsidP="001F3D97">
      <w:pPr>
        <w:spacing w:after="0" w:line="360" w:lineRule="auto"/>
        <w:ind w:right="51"/>
        <w:jc w:val="both"/>
        <w:rPr>
          <w:rFonts w:ascii="Arial" w:eastAsia="Calibri" w:hAnsi="Arial"/>
          <w:sz w:val="28"/>
          <w:szCs w:val="28"/>
        </w:rPr>
      </w:pPr>
    </w:p>
    <w:p w14:paraId="395A43CE" w14:textId="77777777" w:rsidR="001F3D97" w:rsidRPr="00F32542" w:rsidRDefault="001F3D97" w:rsidP="001F3D97">
      <w:pPr>
        <w:tabs>
          <w:tab w:val="center" w:pos="4419"/>
          <w:tab w:val="right" w:pos="8838"/>
        </w:tabs>
        <w:spacing w:after="0" w:line="360" w:lineRule="auto"/>
        <w:jc w:val="both"/>
        <w:rPr>
          <w:rFonts w:ascii="Arial" w:hAnsi="Arial" w:cs="Arial"/>
          <w:sz w:val="28"/>
          <w:szCs w:val="28"/>
        </w:rPr>
      </w:pPr>
      <w:r w:rsidRPr="00F32542">
        <w:rPr>
          <w:rFonts w:ascii="Arial" w:eastAsia="Calibri" w:hAnsi="Arial" w:cs="Arial"/>
          <w:b/>
          <w:sz w:val="28"/>
          <w:szCs w:val="28"/>
        </w:rPr>
        <w:lastRenderedPageBreak/>
        <w:t>SÉPTIMO.</w:t>
      </w:r>
      <w:r w:rsidRPr="00F32542">
        <w:rPr>
          <w:rFonts w:ascii="Arial" w:eastAsia="Calibri" w:hAnsi="Arial" w:cs="Arial"/>
          <w:sz w:val="28"/>
          <w:szCs w:val="28"/>
        </w:rPr>
        <w:t xml:space="preserve"> Se </w:t>
      </w:r>
      <w:r w:rsidRPr="00F32542">
        <w:rPr>
          <w:rFonts w:ascii="Arial" w:hAnsi="Arial" w:cs="Arial"/>
          <w:b/>
          <w:sz w:val="28"/>
          <w:szCs w:val="28"/>
        </w:rPr>
        <w:t>ajusta la asignación</w:t>
      </w:r>
      <w:r w:rsidRPr="00F32542">
        <w:rPr>
          <w:rFonts w:ascii="Arial" w:hAnsi="Arial" w:cs="Arial"/>
          <w:sz w:val="28"/>
          <w:szCs w:val="28"/>
        </w:rPr>
        <w:t xml:space="preserve"> de diputaciones de representación proporcional a fin de dar cumplimiento al principio de </w:t>
      </w:r>
      <w:r w:rsidRPr="00F32542">
        <w:rPr>
          <w:rFonts w:ascii="Arial" w:hAnsi="Arial" w:cs="Arial"/>
          <w:b/>
          <w:sz w:val="28"/>
          <w:szCs w:val="28"/>
        </w:rPr>
        <w:t>paridad</w:t>
      </w:r>
      <w:r w:rsidRPr="00F32542">
        <w:rPr>
          <w:rFonts w:ascii="Arial" w:hAnsi="Arial" w:cs="Arial"/>
          <w:sz w:val="28"/>
          <w:szCs w:val="28"/>
        </w:rPr>
        <w:t xml:space="preserve"> en la integración total del Congreso de la Ciudad de México, de manera que la única diputación que correspondió al </w:t>
      </w:r>
      <w:r w:rsidRPr="00F32542">
        <w:rPr>
          <w:rFonts w:ascii="Arial" w:hAnsi="Arial" w:cs="Arial"/>
          <w:i/>
          <w:sz w:val="28"/>
          <w:szCs w:val="28"/>
        </w:rPr>
        <w:t>PVEM</w:t>
      </w:r>
      <w:r w:rsidRPr="00F32542">
        <w:rPr>
          <w:rFonts w:ascii="Arial" w:hAnsi="Arial" w:cs="Arial"/>
          <w:sz w:val="28"/>
          <w:szCs w:val="28"/>
        </w:rPr>
        <w:t xml:space="preserve"> debe corresponder a la primera fórmula de su lista definitiva integrada por mujeres.</w:t>
      </w:r>
    </w:p>
    <w:p w14:paraId="56E7FCB8" w14:textId="77777777" w:rsidR="001F3D97" w:rsidRPr="00F32542" w:rsidRDefault="001F3D97" w:rsidP="001F3D97">
      <w:pPr>
        <w:tabs>
          <w:tab w:val="center" w:pos="4419"/>
          <w:tab w:val="right" w:pos="8838"/>
        </w:tabs>
        <w:spacing w:after="0" w:line="360" w:lineRule="auto"/>
        <w:jc w:val="both"/>
        <w:rPr>
          <w:rFonts w:ascii="Arial" w:hAnsi="Arial" w:cs="Arial"/>
          <w:sz w:val="28"/>
          <w:szCs w:val="28"/>
        </w:rPr>
      </w:pPr>
    </w:p>
    <w:p w14:paraId="1CD6F23E" w14:textId="77777777" w:rsidR="001F3D97" w:rsidRPr="00F32542" w:rsidRDefault="001F3D97" w:rsidP="001F3D97">
      <w:pPr>
        <w:tabs>
          <w:tab w:val="center" w:pos="4419"/>
          <w:tab w:val="right" w:pos="8838"/>
        </w:tabs>
        <w:spacing w:after="0" w:line="360" w:lineRule="auto"/>
        <w:jc w:val="both"/>
        <w:rPr>
          <w:rFonts w:ascii="Arial" w:hAnsi="Arial" w:cs="Arial"/>
          <w:b/>
          <w:sz w:val="28"/>
          <w:szCs w:val="28"/>
        </w:rPr>
      </w:pPr>
      <w:r w:rsidRPr="00F32542">
        <w:rPr>
          <w:rFonts w:ascii="Arial" w:hAnsi="Arial" w:cs="Arial"/>
          <w:b/>
          <w:sz w:val="28"/>
          <w:szCs w:val="28"/>
        </w:rPr>
        <w:t xml:space="preserve">OCTAVO. </w:t>
      </w:r>
      <w:r w:rsidRPr="00F32542">
        <w:rPr>
          <w:rFonts w:ascii="Arial" w:hAnsi="Arial" w:cs="Arial"/>
          <w:sz w:val="28"/>
          <w:szCs w:val="28"/>
        </w:rPr>
        <w:t xml:space="preserve">Se </w:t>
      </w:r>
      <w:r w:rsidRPr="00F32542">
        <w:rPr>
          <w:rFonts w:ascii="Arial" w:hAnsi="Arial" w:cs="Arial"/>
          <w:b/>
          <w:sz w:val="28"/>
          <w:szCs w:val="28"/>
        </w:rPr>
        <w:t>revoca</w:t>
      </w:r>
      <w:r w:rsidRPr="00F32542">
        <w:rPr>
          <w:rFonts w:ascii="Arial" w:hAnsi="Arial" w:cs="Arial"/>
          <w:sz w:val="28"/>
          <w:szCs w:val="28"/>
        </w:rPr>
        <w:t xml:space="preserve"> la </w:t>
      </w:r>
      <w:r w:rsidRPr="00F32542">
        <w:rPr>
          <w:rFonts w:ascii="Arial" w:hAnsi="Arial" w:cs="Arial"/>
          <w:b/>
          <w:sz w:val="28"/>
          <w:szCs w:val="28"/>
        </w:rPr>
        <w:t>constancia de asignación</w:t>
      </w:r>
      <w:r w:rsidRPr="00F32542">
        <w:rPr>
          <w:rFonts w:ascii="Arial" w:hAnsi="Arial" w:cs="Arial"/>
          <w:sz w:val="28"/>
          <w:szCs w:val="28"/>
        </w:rPr>
        <w:t xml:space="preserve"> emitida a nombre de </w:t>
      </w:r>
      <w:r w:rsidRPr="00F32542">
        <w:rPr>
          <w:rFonts w:ascii="Arial" w:hAnsi="Arial" w:cs="Arial"/>
          <w:b/>
          <w:sz w:val="28"/>
          <w:szCs w:val="28"/>
        </w:rPr>
        <w:t xml:space="preserve">Manuel </w:t>
      </w:r>
      <w:proofErr w:type="spellStart"/>
      <w:r w:rsidRPr="00F32542">
        <w:rPr>
          <w:rFonts w:ascii="Arial" w:hAnsi="Arial" w:cs="Arial"/>
          <w:b/>
          <w:sz w:val="28"/>
          <w:szCs w:val="28"/>
        </w:rPr>
        <w:t>Talayero</w:t>
      </w:r>
      <w:proofErr w:type="spellEnd"/>
      <w:r w:rsidRPr="00F32542">
        <w:rPr>
          <w:rFonts w:ascii="Arial" w:hAnsi="Arial" w:cs="Arial"/>
          <w:b/>
          <w:sz w:val="28"/>
          <w:szCs w:val="28"/>
        </w:rPr>
        <w:t xml:space="preserve"> Pariente</w:t>
      </w:r>
      <w:r w:rsidRPr="00F32542">
        <w:rPr>
          <w:rFonts w:ascii="Arial" w:hAnsi="Arial" w:cs="Arial"/>
          <w:sz w:val="28"/>
          <w:szCs w:val="28"/>
        </w:rPr>
        <w:t xml:space="preserve">, para que sea expedida a favor de </w:t>
      </w:r>
      <w:r w:rsidRPr="00F32542">
        <w:rPr>
          <w:rFonts w:ascii="Arial" w:eastAsia="Calibri" w:hAnsi="Arial"/>
          <w:b/>
          <w:sz w:val="28"/>
          <w:szCs w:val="28"/>
        </w:rPr>
        <w:t>Elizabeth Mateos Hernández y Martha Patricia Aguilar Ramírez.</w:t>
      </w:r>
    </w:p>
    <w:p w14:paraId="7D17EE5D" w14:textId="77777777" w:rsidR="001F3D97" w:rsidRPr="00F32542" w:rsidRDefault="001F3D97" w:rsidP="001F3D97">
      <w:pPr>
        <w:spacing w:after="0" w:line="360" w:lineRule="auto"/>
        <w:ind w:right="51"/>
        <w:jc w:val="both"/>
        <w:rPr>
          <w:rFonts w:ascii="Arial" w:eastAsia="Calibri" w:hAnsi="Arial" w:cs="Arial"/>
          <w:b/>
          <w:sz w:val="28"/>
          <w:szCs w:val="28"/>
        </w:rPr>
      </w:pPr>
    </w:p>
    <w:p w14:paraId="1A206EAF" w14:textId="77777777" w:rsidR="001F3D97" w:rsidRPr="00F32542" w:rsidRDefault="001F3D97" w:rsidP="001F3D97">
      <w:pPr>
        <w:spacing w:after="0" w:line="360" w:lineRule="auto"/>
        <w:ind w:right="51"/>
        <w:jc w:val="both"/>
        <w:rPr>
          <w:rFonts w:ascii="Arial" w:hAnsi="Arial" w:cs="Arial"/>
          <w:spacing w:val="4"/>
          <w:sz w:val="28"/>
          <w:szCs w:val="28"/>
        </w:rPr>
      </w:pPr>
      <w:r w:rsidRPr="00F32542">
        <w:rPr>
          <w:rFonts w:ascii="Arial" w:hAnsi="Arial" w:cs="Arial"/>
          <w:b/>
          <w:spacing w:val="4"/>
          <w:sz w:val="28"/>
          <w:szCs w:val="28"/>
        </w:rPr>
        <w:t>NOVENO.</w:t>
      </w:r>
      <w:r w:rsidRPr="00F32542">
        <w:rPr>
          <w:rFonts w:ascii="Arial" w:hAnsi="Arial" w:cs="Arial"/>
          <w:spacing w:val="4"/>
          <w:sz w:val="28"/>
          <w:szCs w:val="28"/>
        </w:rPr>
        <w:t xml:space="preserve"> Se </w:t>
      </w:r>
      <w:r w:rsidRPr="00F32542">
        <w:rPr>
          <w:rFonts w:ascii="Arial" w:hAnsi="Arial" w:cs="Arial"/>
          <w:b/>
          <w:spacing w:val="4"/>
          <w:sz w:val="28"/>
          <w:szCs w:val="28"/>
        </w:rPr>
        <w:t xml:space="preserve">recompone el cómputo total de la elección </w:t>
      </w:r>
      <w:r w:rsidRPr="00F32542">
        <w:rPr>
          <w:rFonts w:ascii="Arial" w:hAnsi="Arial" w:cs="Arial"/>
          <w:spacing w:val="4"/>
          <w:sz w:val="28"/>
          <w:szCs w:val="28"/>
        </w:rPr>
        <w:t xml:space="preserve">de diputaciones por el principio de representación proporcional, en términos del punto XIV de la consideración séptima. </w:t>
      </w:r>
    </w:p>
    <w:p w14:paraId="6942DDA7" w14:textId="77777777" w:rsidR="001F3D97" w:rsidRPr="00F32542" w:rsidRDefault="001F3D97" w:rsidP="001F3D97">
      <w:pPr>
        <w:spacing w:after="0" w:line="360" w:lineRule="auto"/>
        <w:ind w:right="51"/>
        <w:jc w:val="both"/>
        <w:rPr>
          <w:rFonts w:ascii="Arial" w:hAnsi="Arial" w:cs="Arial"/>
          <w:spacing w:val="4"/>
          <w:sz w:val="28"/>
          <w:szCs w:val="28"/>
        </w:rPr>
      </w:pPr>
    </w:p>
    <w:p w14:paraId="453E44B5" w14:textId="77777777" w:rsidR="001F3D97" w:rsidRPr="00F32542" w:rsidRDefault="001F3D97" w:rsidP="001F3D97">
      <w:pPr>
        <w:spacing w:after="0" w:line="360" w:lineRule="auto"/>
        <w:ind w:right="51"/>
        <w:jc w:val="both"/>
        <w:rPr>
          <w:rFonts w:ascii="Arial" w:hAnsi="Arial" w:cs="Arial"/>
          <w:spacing w:val="4"/>
          <w:sz w:val="28"/>
          <w:szCs w:val="28"/>
        </w:rPr>
      </w:pPr>
      <w:r w:rsidRPr="00F32542">
        <w:rPr>
          <w:rFonts w:ascii="Arial" w:hAnsi="Arial" w:cs="Arial"/>
          <w:b/>
          <w:spacing w:val="4"/>
          <w:sz w:val="28"/>
          <w:szCs w:val="28"/>
        </w:rPr>
        <w:t xml:space="preserve">DÉCIMO. </w:t>
      </w:r>
      <w:r w:rsidRPr="00F32542">
        <w:rPr>
          <w:rFonts w:ascii="Arial" w:hAnsi="Arial" w:cs="Arial"/>
          <w:spacing w:val="4"/>
          <w:sz w:val="28"/>
          <w:szCs w:val="28"/>
        </w:rPr>
        <w:t xml:space="preserve">Se </w:t>
      </w:r>
      <w:r w:rsidRPr="00F32542">
        <w:rPr>
          <w:rFonts w:ascii="Arial" w:hAnsi="Arial" w:cs="Arial"/>
          <w:b/>
          <w:spacing w:val="4"/>
          <w:sz w:val="28"/>
          <w:szCs w:val="28"/>
        </w:rPr>
        <w:t>modifica el desarrollo de la fórmula de asignación</w:t>
      </w:r>
      <w:r w:rsidRPr="00F32542">
        <w:rPr>
          <w:rFonts w:ascii="Arial" w:hAnsi="Arial" w:cs="Arial"/>
          <w:spacing w:val="4"/>
          <w:sz w:val="28"/>
          <w:szCs w:val="28"/>
        </w:rPr>
        <w:t xml:space="preserve"> de diputaciones por el principio de representación proporcional, en términos del punto XV de la consideración séptima. </w:t>
      </w:r>
    </w:p>
    <w:p w14:paraId="00DEA2F5" w14:textId="77777777" w:rsidR="00815E7D" w:rsidRPr="00F32542" w:rsidRDefault="00815E7D" w:rsidP="001F3D97">
      <w:pPr>
        <w:spacing w:after="0" w:line="360" w:lineRule="auto"/>
        <w:ind w:right="51"/>
        <w:jc w:val="both"/>
        <w:rPr>
          <w:rFonts w:ascii="Arial" w:hAnsi="Arial" w:cs="Arial"/>
          <w:spacing w:val="4"/>
          <w:sz w:val="28"/>
          <w:szCs w:val="28"/>
        </w:rPr>
      </w:pPr>
    </w:p>
    <w:p w14:paraId="781E4440" w14:textId="77777777" w:rsidR="00815E7D" w:rsidRPr="00F32542" w:rsidRDefault="00815E7D" w:rsidP="00815E7D">
      <w:pPr>
        <w:spacing w:after="0" w:line="360" w:lineRule="auto"/>
        <w:ind w:right="51"/>
        <w:jc w:val="both"/>
        <w:rPr>
          <w:rFonts w:ascii="Arial" w:hAnsi="Arial" w:cs="Arial"/>
          <w:spacing w:val="4"/>
          <w:sz w:val="28"/>
          <w:szCs w:val="28"/>
        </w:rPr>
      </w:pPr>
      <w:bookmarkStart w:id="66" w:name="_Hlk78840460"/>
      <w:r w:rsidRPr="00F32542">
        <w:rPr>
          <w:rFonts w:ascii="Arial" w:hAnsi="Arial" w:cs="Arial"/>
          <w:b/>
          <w:bCs/>
          <w:spacing w:val="4"/>
          <w:sz w:val="28"/>
          <w:szCs w:val="28"/>
        </w:rPr>
        <w:t xml:space="preserve">DÉCIMO PRIMERO. </w:t>
      </w:r>
      <w:r w:rsidRPr="00F32542">
        <w:rPr>
          <w:rFonts w:ascii="Arial" w:hAnsi="Arial" w:cs="Arial"/>
          <w:spacing w:val="4"/>
          <w:sz w:val="28"/>
          <w:szCs w:val="28"/>
        </w:rPr>
        <w:t xml:space="preserve">Se </w:t>
      </w:r>
      <w:r w:rsidRPr="00F32542">
        <w:rPr>
          <w:rFonts w:ascii="Arial" w:hAnsi="Arial" w:cs="Arial"/>
          <w:b/>
          <w:bCs/>
          <w:spacing w:val="4"/>
          <w:sz w:val="28"/>
          <w:szCs w:val="28"/>
        </w:rPr>
        <w:t xml:space="preserve">ordena </w:t>
      </w:r>
      <w:r w:rsidRPr="00F32542">
        <w:rPr>
          <w:rFonts w:ascii="Arial" w:hAnsi="Arial" w:cs="Arial"/>
          <w:spacing w:val="4"/>
          <w:sz w:val="28"/>
          <w:szCs w:val="28"/>
        </w:rPr>
        <w:t>al Consejo General del Instituto</w:t>
      </w:r>
    </w:p>
    <w:p w14:paraId="3C2D54BF" w14:textId="77777777" w:rsidR="00815E7D" w:rsidRPr="00F32542" w:rsidRDefault="00815E7D" w:rsidP="00815E7D">
      <w:pPr>
        <w:spacing w:after="0" w:line="360" w:lineRule="auto"/>
        <w:ind w:right="51"/>
        <w:jc w:val="both"/>
        <w:rPr>
          <w:rFonts w:ascii="Arial" w:hAnsi="Arial" w:cs="Arial"/>
          <w:spacing w:val="4"/>
          <w:sz w:val="28"/>
          <w:szCs w:val="28"/>
        </w:rPr>
      </w:pPr>
      <w:r w:rsidRPr="00F32542">
        <w:rPr>
          <w:rFonts w:ascii="Arial" w:hAnsi="Arial" w:cs="Arial"/>
          <w:spacing w:val="4"/>
          <w:sz w:val="28"/>
          <w:szCs w:val="28"/>
        </w:rPr>
        <w:t>Electoral de la Ciudad de México, dar publicidad a los puntos resolutivos de la presente sentencia, a través de los mismos medios empleados para comunicar a los partidos políticos y candidaturas el acuerdo impugnado; debiendo informar a este Tribunal sobre el respectivo cumplimiento, dentro de las veinticuatro horas siguientes, contadas a partir del momento en que le sea notificada esta sentencia.</w:t>
      </w:r>
    </w:p>
    <w:p w14:paraId="3218EE64" w14:textId="77777777" w:rsidR="00815E7D" w:rsidRPr="00F32542" w:rsidRDefault="00815E7D" w:rsidP="00815E7D">
      <w:pPr>
        <w:spacing w:after="0" w:line="360" w:lineRule="auto"/>
        <w:ind w:right="51"/>
        <w:jc w:val="both"/>
        <w:rPr>
          <w:rFonts w:ascii="Arial" w:hAnsi="Arial" w:cs="Arial"/>
          <w:spacing w:val="4"/>
          <w:sz w:val="28"/>
          <w:szCs w:val="28"/>
        </w:rPr>
      </w:pPr>
    </w:p>
    <w:p w14:paraId="017E455A" w14:textId="77777777" w:rsidR="00815E7D" w:rsidRPr="00F32542" w:rsidRDefault="00845CA9" w:rsidP="00815E7D">
      <w:pPr>
        <w:spacing w:after="0" w:line="360" w:lineRule="auto"/>
        <w:ind w:right="51"/>
        <w:jc w:val="both"/>
        <w:rPr>
          <w:rFonts w:ascii="Arial" w:hAnsi="Arial" w:cs="Arial"/>
          <w:spacing w:val="4"/>
          <w:sz w:val="28"/>
          <w:szCs w:val="28"/>
        </w:rPr>
      </w:pPr>
      <w:r w:rsidRPr="00F32542">
        <w:rPr>
          <w:rFonts w:ascii="Arial" w:hAnsi="Arial" w:cs="Arial"/>
          <w:b/>
          <w:bCs/>
          <w:spacing w:val="4"/>
          <w:sz w:val="28"/>
          <w:szCs w:val="28"/>
        </w:rPr>
        <w:lastRenderedPageBreak/>
        <w:t>DÉCIMO SEGUNDO</w:t>
      </w:r>
      <w:r w:rsidR="00815E7D" w:rsidRPr="00F32542">
        <w:rPr>
          <w:rFonts w:ascii="Arial" w:hAnsi="Arial" w:cs="Arial"/>
          <w:b/>
          <w:bCs/>
          <w:spacing w:val="4"/>
          <w:sz w:val="28"/>
          <w:szCs w:val="28"/>
        </w:rPr>
        <w:t xml:space="preserve">. </w:t>
      </w:r>
      <w:r w:rsidR="00815E7D" w:rsidRPr="00F32542">
        <w:rPr>
          <w:rFonts w:ascii="Arial" w:hAnsi="Arial" w:cs="Arial"/>
          <w:spacing w:val="4"/>
          <w:sz w:val="28"/>
          <w:szCs w:val="28"/>
        </w:rPr>
        <w:t xml:space="preserve">Se </w:t>
      </w:r>
      <w:r w:rsidR="00815E7D" w:rsidRPr="00F32542">
        <w:rPr>
          <w:rFonts w:ascii="Arial" w:hAnsi="Arial" w:cs="Arial"/>
          <w:b/>
          <w:bCs/>
          <w:spacing w:val="4"/>
          <w:sz w:val="28"/>
          <w:szCs w:val="28"/>
        </w:rPr>
        <w:t xml:space="preserve">ordena </w:t>
      </w:r>
      <w:r w:rsidR="00815E7D" w:rsidRPr="00F32542">
        <w:rPr>
          <w:rFonts w:ascii="Arial" w:hAnsi="Arial" w:cs="Arial"/>
          <w:spacing w:val="4"/>
          <w:sz w:val="28"/>
          <w:szCs w:val="28"/>
        </w:rPr>
        <w:t>a la Secretaría General del Tribunal Electoral de la Ciudad de México, notificar por oficio a</w:t>
      </w:r>
      <w:r w:rsidR="00905AE5" w:rsidRPr="00F32542">
        <w:rPr>
          <w:rFonts w:ascii="Arial" w:hAnsi="Arial" w:cs="Arial"/>
          <w:spacing w:val="4"/>
          <w:sz w:val="28"/>
          <w:szCs w:val="28"/>
        </w:rPr>
        <w:t>l Congreso de la Ciudad de México</w:t>
      </w:r>
      <w:r w:rsidR="00815E7D" w:rsidRPr="00F32542">
        <w:rPr>
          <w:rFonts w:ascii="Arial" w:hAnsi="Arial" w:cs="Arial"/>
          <w:spacing w:val="4"/>
          <w:sz w:val="28"/>
          <w:szCs w:val="28"/>
        </w:rPr>
        <w:t>, en términos del artículo 64, párrafo segundo, de la Ley Procesal Electoral</w:t>
      </w:r>
      <w:r w:rsidR="00905AE5" w:rsidRPr="00F32542">
        <w:rPr>
          <w:rFonts w:ascii="Arial" w:hAnsi="Arial" w:cs="Arial"/>
          <w:spacing w:val="4"/>
          <w:sz w:val="28"/>
          <w:szCs w:val="28"/>
        </w:rPr>
        <w:t xml:space="preserve"> local</w:t>
      </w:r>
      <w:r w:rsidR="00815E7D" w:rsidRPr="00F32542">
        <w:rPr>
          <w:rFonts w:ascii="Arial" w:hAnsi="Arial" w:cs="Arial"/>
          <w:spacing w:val="4"/>
          <w:sz w:val="28"/>
          <w:szCs w:val="28"/>
        </w:rPr>
        <w:t>.</w:t>
      </w:r>
    </w:p>
    <w:p w14:paraId="64374B0F" w14:textId="77777777" w:rsidR="00B01E6A" w:rsidRPr="00F32542" w:rsidRDefault="00B01E6A" w:rsidP="00B01E6A">
      <w:pPr>
        <w:spacing w:after="0" w:line="360" w:lineRule="auto"/>
        <w:jc w:val="both"/>
        <w:rPr>
          <w:rFonts w:ascii="Arial" w:hAnsi="Arial" w:cs="Arial"/>
          <w:sz w:val="28"/>
          <w:szCs w:val="28"/>
          <w:lang w:val="es-ES_tradnl"/>
        </w:rPr>
      </w:pPr>
    </w:p>
    <w:bookmarkEnd w:id="66"/>
    <w:p w14:paraId="38477596" w14:textId="77777777" w:rsidR="00B01E6A" w:rsidRPr="00F32542" w:rsidRDefault="00B01E6A" w:rsidP="00B01E6A">
      <w:pPr>
        <w:spacing w:after="0" w:line="360" w:lineRule="auto"/>
        <w:ind w:right="51"/>
        <w:jc w:val="both"/>
        <w:rPr>
          <w:rFonts w:ascii="Arial" w:hAnsi="Arial" w:cs="Arial"/>
          <w:sz w:val="28"/>
          <w:szCs w:val="28"/>
          <w:lang w:val="es-ES_tradnl"/>
        </w:rPr>
      </w:pPr>
      <w:r w:rsidRPr="00F32542">
        <w:rPr>
          <w:rFonts w:ascii="Arial" w:hAnsi="Arial" w:cs="Arial"/>
          <w:b/>
          <w:sz w:val="28"/>
          <w:szCs w:val="28"/>
          <w:lang w:val="es-ES_tradnl"/>
        </w:rPr>
        <w:t xml:space="preserve">NOTIFÍQUESE </w:t>
      </w:r>
      <w:r w:rsidRPr="00F32542">
        <w:rPr>
          <w:rFonts w:ascii="Arial" w:hAnsi="Arial" w:cs="Arial"/>
          <w:sz w:val="28"/>
          <w:szCs w:val="28"/>
          <w:lang w:val="es-ES_tradnl"/>
        </w:rPr>
        <w:t>conforme a Derecho corresponda; y personalmente</w:t>
      </w:r>
      <w:r w:rsidR="00523F1B" w:rsidRPr="00F32542">
        <w:rPr>
          <w:rFonts w:ascii="Arial" w:hAnsi="Arial" w:cs="Arial"/>
          <w:sz w:val="28"/>
          <w:szCs w:val="28"/>
          <w:lang w:val="es-ES_tradnl"/>
        </w:rPr>
        <w:t>, por conducto del Instituto Electoral de la Ciudad de México,</w:t>
      </w:r>
      <w:r w:rsidRPr="00F32542">
        <w:rPr>
          <w:rFonts w:ascii="Arial" w:hAnsi="Arial" w:cs="Arial"/>
          <w:sz w:val="28"/>
          <w:szCs w:val="28"/>
          <w:lang w:val="es-ES_tradnl"/>
        </w:rPr>
        <w:t xml:space="preserve"> a </w:t>
      </w:r>
      <w:r w:rsidRPr="00F32542">
        <w:rPr>
          <w:rFonts w:ascii="Arial" w:eastAsia="Calibri" w:hAnsi="Arial" w:cs="Times New Roman"/>
          <w:sz w:val="28"/>
          <w:szCs w:val="28"/>
        </w:rPr>
        <w:t xml:space="preserve">Frida Jimena Guillén Ortiz y </w:t>
      </w:r>
      <w:proofErr w:type="spellStart"/>
      <w:r w:rsidRPr="00F32542">
        <w:rPr>
          <w:rFonts w:ascii="Arial" w:eastAsia="Calibri" w:hAnsi="Arial" w:cs="Times New Roman"/>
          <w:sz w:val="28"/>
          <w:szCs w:val="28"/>
        </w:rPr>
        <w:t>Ahichell</w:t>
      </w:r>
      <w:proofErr w:type="spellEnd"/>
      <w:r w:rsidRPr="00F32542">
        <w:rPr>
          <w:rFonts w:ascii="Arial" w:eastAsia="Calibri" w:hAnsi="Arial" w:cs="Times New Roman"/>
          <w:sz w:val="28"/>
          <w:szCs w:val="28"/>
        </w:rPr>
        <w:t xml:space="preserve"> Sánchez Valle, Isabela Rosales Herrera, Alicia Medina Hernández, Manuel </w:t>
      </w:r>
      <w:proofErr w:type="spellStart"/>
      <w:r w:rsidRPr="00F32542">
        <w:rPr>
          <w:rFonts w:ascii="Arial" w:eastAsia="Calibri" w:hAnsi="Arial" w:cs="Times New Roman"/>
          <w:sz w:val="28"/>
          <w:szCs w:val="28"/>
        </w:rPr>
        <w:t>Talayero</w:t>
      </w:r>
      <w:proofErr w:type="spellEnd"/>
      <w:r w:rsidRPr="00F32542">
        <w:rPr>
          <w:rFonts w:ascii="Arial" w:eastAsia="Calibri" w:hAnsi="Arial" w:cs="Times New Roman"/>
          <w:sz w:val="28"/>
          <w:szCs w:val="28"/>
        </w:rPr>
        <w:t xml:space="preserve"> Pariente, </w:t>
      </w:r>
      <w:r w:rsidRPr="00F32542">
        <w:rPr>
          <w:rFonts w:ascii="Arial" w:eastAsia="Calibri" w:hAnsi="Arial"/>
          <w:sz w:val="28"/>
          <w:szCs w:val="28"/>
        </w:rPr>
        <w:t>Rodrigo Miranda Berumen, Luis Paris Oviedo Guarneros, Elizabeth Mateos Hernández, Martha Patricia Aguilar Ramírez, José Luis Rodríguez Díaz de León y Francisco Medina Padilla.</w:t>
      </w:r>
    </w:p>
    <w:p w14:paraId="2876D974" w14:textId="77777777" w:rsidR="00B01E6A" w:rsidRPr="00F32542" w:rsidRDefault="00B01E6A" w:rsidP="00B01E6A">
      <w:pPr>
        <w:spacing w:after="0" w:line="360" w:lineRule="auto"/>
        <w:ind w:right="51"/>
        <w:jc w:val="both"/>
        <w:rPr>
          <w:rFonts w:ascii="Arial" w:hAnsi="Arial" w:cs="Arial"/>
          <w:sz w:val="36"/>
          <w:szCs w:val="36"/>
          <w:lang w:val="es-ES_tradnl"/>
        </w:rPr>
      </w:pPr>
    </w:p>
    <w:p w14:paraId="7281086F" w14:textId="77777777" w:rsidR="00B01E6A" w:rsidRPr="00F32542" w:rsidRDefault="00B01E6A" w:rsidP="00B01E6A">
      <w:pPr>
        <w:autoSpaceDE w:val="0"/>
        <w:autoSpaceDN w:val="0"/>
        <w:adjustRightInd w:val="0"/>
        <w:spacing w:after="0" w:line="360" w:lineRule="auto"/>
        <w:jc w:val="both"/>
        <w:rPr>
          <w:rFonts w:ascii="Arial" w:eastAsia="Times New Roman" w:hAnsi="Arial" w:cs="Arial"/>
          <w:sz w:val="28"/>
          <w:szCs w:val="28"/>
          <w:lang w:val="es-ES_tradnl" w:eastAsia="es-MX"/>
        </w:rPr>
      </w:pPr>
      <w:r w:rsidRPr="00F32542">
        <w:rPr>
          <w:rFonts w:ascii="Arial" w:eastAsia="Times New Roman" w:hAnsi="Arial" w:cs="Arial"/>
          <w:b/>
          <w:sz w:val="28"/>
          <w:szCs w:val="28"/>
          <w:lang w:val="es-ES_tradnl" w:eastAsia="es-MX"/>
        </w:rPr>
        <w:t>PUBLÍQUESE</w:t>
      </w:r>
      <w:r w:rsidRPr="00F32542">
        <w:rPr>
          <w:rFonts w:ascii="Arial" w:eastAsia="Times New Roman" w:hAnsi="Arial" w:cs="Arial"/>
          <w:sz w:val="28"/>
          <w:szCs w:val="28"/>
          <w:lang w:val="es-ES_tradnl" w:eastAsia="es-MX"/>
        </w:rPr>
        <w:t xml:space="preserve"> en </w:t>
      </w:r>
      <w:r w:rsidR="00874767" w:rsidRPr="00F32542">
        <w:rPr>
          <w:rFonts w:ascii="Arial" w:eastAsia="Times New Roman" w:hAnsi="Arial" w:cs="Arial"/>
          <w:sz w:val="28"/>
          <w:szCs w:val="28"/>
          <w:lang w:val="es-ES_tradnl" w:eastAsia="es-MX"/>
        </w:rPr>
        <w:t>el</w:t>
      </w:r>
      <w:r w:rsidRPr="00F32542">
        <w:rPr>
          <w:rFonts w:ascii="Arial" w:eastAsia="Times New Roman" w:hAnsi="Arial" w:cs="Arial"/>
          <w:sz w:val="28"/>
          <w:szCs w:val="28"/>
          <w:lang w:val="es-ES_tradnl" w:eastAsia="es-MX"/>
        </w:rPr>
        <w:t xml:space="preserve"> sitio de Internet www.tecdmx.org.mx, una vez que esta sentencia haya causado estado.</w:t>
      </w:r>
    </w:p>
    <w:p w14:paraId="5B2D8D99" w14:textId="77777777" w:rsidR="00B01E6A" w:rsidRPr="00F32542" w:rsidRDefault="00B01E6A" w:rsidP="00B01E6A">
      <w:pPr>
        <w:autoSpaceDE w:val="0"/>
        <w:autoSpaceDN w:val="0"/>
        <w:adjustRightInd w:val="0"/>
        <w:spacing w:after="0" w:line="360" w:lineRule="auto"/>
        <w:jc w:val="both"/>
        <w:rPr>
          <w:rFonts w:ascii="Arial" w:eastAsia="Times New Roman" w:hAnsi="Arial" w:cs="Arial"/>
          <w:sz w:val="36"/>
          <w:szCs w:val="36"/>
          <w:lang w:val="es-ES_tradnl" w:eastAsia="es-MX"/>
        </w:rPr>
      </w:pPr>
    </w:p>
    <w:p w14:paraId="7D9E0969" w14:textId="77777777" w:rsidR="00B01E6A" w:rsidRPr="00F32542" w:rsidRDefault="00B01E6A" w:rsidP="00B01E6A">
      <w:pPr>
        <w:spacing w:after="0" w:line="360" w:lineRule="auto"/>
        <w:jc w:val="both"/>
        <w:rPr>
          <w:rFonts w:ascii="Arial" w:hAnsi="Arial" w:cs="Arial"/>
          <w:sz w:val="28"/>
          <w:szCs w:val="28"/>
          <w:lang w:val="es-ES_tradnl"/>
        </w:rPr>
      </w:pPr>
      <w:r w:rsidRPr="00F32542">
        <w:rPr>
          <w:rFonts w:ascii="Arial" w:hAnsi="Arial" w:cs="Arial"/>
          <w:sz w:val="28"/>
          <w:szCs w:val="28"/>
          <w:lang w:val="es-ES_tradnl"/>
        </w:rPr>
        <w:t xml:space="preserve">En su oportunidad, </w:t>
      </w:r>
      <w:r w:rsidRPr="00F32542">
        <w:rPr>
          <w:rFonts w:ascii="Arial" w:hAnsi="Arial" w:cs="Arial"/>
          <w:b/>
          <w:bCs/>
          <w:sz w:val="28"/>
          <w:szCs w:val="28"/>
          <w:lang w:val="es-ES_tradnl"/>
        </w:rPr>
        <w:t>archívese</w:t>
      </w:r>
      <w:r w:rsidRPr="00F32542">
        <w:rPr>
          <w:rFonts w:ascii="Arial" w:hAnsi="Arial" w:cs="Arial"/>
          <w:sz w:val="28"/>
          <w:szCs w:val="28"/>
          <w:lang w:val="es-ES_tradnl"/>
        </w:rPr>
        <w:t xml:space="preserve"> el expediente como asunto total y definitivamente concluido.</w:t>
      </w:r>
    </w:p>
    <w:p w14:paraId="32DBF163" w14:textId="77777777" w:rsidR="00B01E6A" w:rsidRPr="00F32542" w:rsidRDefault="00B01E6A" w:rsidP="00B01E6A">
      <w:pPr>
        <w:spacing w:after="0" w:line="360" w:lineRule="auto"/>
        <w:jc w:val="both"/>
        <w:rPr>
          <w:rFonts w:ascii="Arial" w:hAnsi="Arial" w:cs="Arial"/>
          <w:sz w:val="36"/>
          <w:szCs w:val="36"/>
          <w:lang w:val="es-ES_tradnl"/>
        </w:rPr>
      </w:pPr>
    </w:p>
    <w:p w14:paraId="66A298F4" w14:textId="77777777" w:rsidR="00535A76" w:rsidRPr="00535A76" w:rsidRDefault="00535A76" w:rsidP="00535A76">
      <w:pPr>
        <w:spacing w:after="0" w:line="360" w:lineRule="auto"/>
        <w:jc w:val="both"/>
        <w:rPr>
          <w:rFonts w:ascii="Arial" w:eastAsia="Calibri" w:hAnsi="Arial" w:cs="Arial"/>
          <w:b/>
          <w:sz w:val="28"/>
          <w:szCs w:val="28"/>
        </w:rPr>
      </w:pPr>
      <w:bookmarkStart w:id="67" w:name="_Hlk77235302"/>
      <w:bookmarkStart w:id="68" w:name="_Hlk53648705"/>
      <w:bookmarkStart w:id="69" w:name="_Hlk78886710"/>
      <w:r w:rsidRPr="00535A76">
        <w:rPr>
          <w:rFonts w:ascii="Arial" w:eastAsia="Times New Roman" w:hAnsi="Arial" w:cs="Arial"/>
          <w:sz w:val="28"/>
          <w:szCs w:val="28"/>
          <w:lang w:eastAsia="es-ES"/>
        </w:rPr>
        <w:t xml:space="preserve">Así, lo resolvieron y firman, las Magistradas y los Magistrados integrantes del Pleno del Tribunal Electoral de la Ciudad de México, los puntos resolutivos </w:t>
      </w:r>
      <w:r w:rsidRPr="00535A76">
        <w:rPr>
          <w:rFonts w:ascii="Arial" w:eastAsia="Times New Roman" w:hAnsi="Arial" w:cs="Arial"/>
          <w:b/>
          <w:bCs/>
          <w:sz w:val="28"/>
          <w:szCs w:val="28"/>
          <w:lang w:eastAsia="es-ES"/>
        </w:rPr>
        <w:t>PRIMERO, SEGUNDO, NOVENO, DÉCIMO, DÉCIMO PRIMERO y DÉCIMO SEGUNDO</w:t>
      </w:r>
      <w:r w:rsidRPr="00535A76">
        <w:rPr>
          <w:rFonts w:ascii="Arial" w:eastAsia="Times New Roman" w:hAnsi="Arial" w:cs="Arial"/>
          <w:sz w:val="28"/>
          <w:szCs w:val="28"/>
          <w:lang w:eastAsia="es-ES"/>
        </w:rPr>
        <w:t xml:space="preserve"> y sus partes considerativas por </w:t>
      </w:r>
      <w:r w:rsidRPr="00535A76">
        <w:rPr>
          <w:rFonts w:ascii="Arial" w:eastAsia="Times New Roman" w:hAnsi="Arial" w:cs="Arial"/>
          <w:b/>
          <w:bCs/>
          <w:sz w:val="28"/>
          <w:szCs w:val="28"/>
          <w:lang w:eastAsia="es-ES"/>
        </w:rPr>
        <w:t>unanimidad</w:t>
      </w:r>
      <w:r w:rsidRPr="00535A76">
        <w:rPr>
          <w:rFonts w:ascii="Arial" w:eastAsia="Times New Roman" w:hAnsi="Arial" w:cs="Arial"/>
          <w:sz w:val="28"/>
          <w:szCs w:val="28"/>
          <w:lang w:eastAsia="es-ES"/>
        </w:rPr>
        <w:t xml:space="preserve"> de votos; los puntos resolutivos </w:t>
      </w:r>
      <w:r w:rsidRPr="00535A76">
        <w:rPr>
          <w:rFonts w:ascii="Arial" w:eastAsia="Times New Roman" w:hAnsi="Arial" w:cs="Arial"/>
          <w:b/>
          <w:bCs/>
          <w:sz w:val="28"/>
          <w:szCs w:val="28"/>
          <w:lang w:eastAsia="es-ES"/>
        </w:rPr>
        <w:t>TERCERO, CUARTO, SÉPTIMO y OCTAVO</w:t>
      </w:r>
      <w:r w:rsidRPr="00535A76">
        <w:rPr>
          <w:rFonts w:ascii="Arial" w:eastAsia="Times New Roman" w:hAnsi="Arial" w:cs="Arial"/>
          <w:sz w:val="28"/>
          <w:szCs w:val="28"/>
          <w:lang w:eastAsia="es-ES"/>
        </w:rPr>
        <w:t xml:space="preserve"> y sus partes considerativas, por mayoría de cuatro votos a favor la Magistrada Martha Leticia Mercado Ramírez, así como de los Colegiados Armando Ambriz Hernández, Gustavo Anzaldo Hernández y Juan </w:t>
      </w:r>
      <w:r w:rsidRPr="00535A76">
        <w:rPr>
          <w:rFonts w:ascii="Arial" w:eastAsia="Times New Roman" w:hAnsi="Arial" w:cs="Arial"/>
          <w:sz w:val="28"/>
          <w:szCs w:val="28"/>
          <w:lang w:eastAsia="es-ES"/>
        </w:rPr>
        <w:lastRenderedPageBreak/>
        <w:t xml:space="preserve">Carlos Sánchez León, con el voto en contra de la Magistrada Martha Alejandra Chávez Camarena; en tanto los puntos resolutivos </w:t>
      </w:r>
      <w:r w:rsidRPr="00535A76">
        <w:rPr>
          <w:rFonts w:ascii="Arial" w:eastAsia="Times New Roman" w:hAnsi="Arial" w:cs="Arial"/>
          <w:b/>
          <w:bCs/>
          <w:sz w:val="28"/>
          <w:szCs w:val="28"/>
          <w:lang w:eastAsia="es-ES"/>
        </w:rPr>
        <w:t>QUINTO y SEXTO</w:t>
      </w:r>
      <w:r w:rsidRPr="00535A76">
        <w:rPr>
          <w:rFonts w:ascii="Arial" w:eastAsia="Times New Roman" w:hAnsi="Arial" w:cs="Arial"/>
          <w:sz w:val="28"/>
          <w:szCs w:val="28"/>
          <w:lang w:eastAsia="es-ES"/>
        </w:rPr>
        <w:t xml:space="preserve"> y sus partes considerativas, por </w:t>
      </w:r>
      <w:r w:rsidRPr="00535A76">
        <w:rPr>
          <w:rFonts w:ascii="Arial" w:eastAsia="Times New Roman" w:hAnsi="Arial" w:cs="Arial"/>
          <w:b/>
          <w:bCs/>
          <w:sz w:val="28"/>
          <w:szCs w:val="28"/>
          <w:lang w:eastAsia="es-ES"/>
        </w:rPr>
        <w:t>mayoría</w:t>
      </w:r>
      <w:r w:rsidRPr="00535A76">
        <w:rPr>
          <w:rFonts w:ascii="Arial" w:eastAsia="Times New Roman" w:hAnsi="Arial" w:cs="Arial"/>
          <w:sz w:val="28"/>
          <w:szCs w:val="28"/>
          <w:lang w:eastAsia="es-ES"/>
        </w:rPr>
        <w:t xml:space="preserve"> de tres votos a favor, de la Magistrada Martha Leticia Mercado Ramírez, así como de los Colegiados Gustavo Anzaldo Hernández y Juan Carlos Sánchez León; con los votos en contra de la Magistrada Martha Alejandra Chávez Camarena y el Colegiado Armando Ambriz Hernández.  Con los votos concurrentes que emiten la Magistradas Martha Alejandra Chávez Camarena y Armando Ambriz Hernández respecto del punto resolutivo SEGUNDO y su parte considerativa; el voto particular que emite la Magistrada Martha Alejandra Chávez Camarena respecto los puntos resolutivos TERCERO, CUARTO, QUINTO, SEXTO, SÉPTIMO y OCTAVO; el voto particular que emite el Colegiado Armando Ambriz Hernández respecto de los puntos resolutivos QUINTO y SEXTO; así como el voto concurrente que emite  el Magistrado Juan Carlos Sánchez León respecto a todo el proyecto. Votos que corren agregados a esta Sentencia como parte integrante de esta. Todo lo actuado ante el </w:t>
      </w:r>
      <w:proofErr w:type="gramStart"/>
      <w:r w:rsidRPr="00535A76">
        <w:rPr>
          <w:rFonts w:ascii="Arial" w:eastAsia="Times New Roman" w:hAnsi="Arial" w:cs="Arial"/>
          <w:sz w:val="28"/>
          <w:szCs w:val="28"/>
          <w:lang w:eastAsia="es-ES"/>
        </w:rPr>
        <w:t>Secretario General</w:t>
      </w:r>
      <w:proofErr w:type="gramEnd"/>
      <w:r w:rsidRPr="00535A76">
        <w:rPr>
          <w:rFonts w:ascii="Arial" w:eastAsia="Times New Roman" w:hAnsi="Arial" w:cs="Arial"/>
          <w:sz w:val="28"/>
          <w:szCs w:val="28"/>
          <w:lang w:eastAsia="es-ES"/>
        </w:rPr>
        <w:t xml:space="preserve">, quien autoriza y da fe. </w:t>
      </w:r>
      <w:bookmarkEnd w:id="67"/>
      <w:bookmarkEnd w:id="68"/>
    </w:p>
    <w:p w14:paraId="06D2C5B3" w14:textId="0D8648DA" w:rsidR="00535A76" w:rsidRDefault="00535A76" w:rsidP="00535A76">
      <w:pPr>
        <w:spacing w:after="0" w:line="360" w:lineRule="auto"/>
        <w:jc w:val="both"/>
        <w:rPr>
          <w:rFonts w:ascii="Arial" w:eastAsia="Calibri" w:hAnsi="Arial" w:cs="Arial"/>
          <w:b/>
          <w:sz w:val="28"/>
          <w:szCs w:val="28"/>
        </w:rPr>
      </w:pPr>
    </w:p>
    <w:p w14:paraId="73A59AC0" w14:textId="77777777" w:rsidR="00E76FD6" w:rsidRDefault="00E76FD6" w:rsidP="00535A76">
      <w:pPr>
        <w:spacing w:after="0" w:line="360" w:lineRule="auto"/>
        <w:jc w:val="both"/>
        <w:rPr>
          <w:rFonts w:ascii="Arial" w:eastAsia="Calibri" w:hAnsi="Arial" w:cs="Arial"/>
          <w:b/>
          <w:sz w:val="28"/>
          <w:szCs w:val="28"/>
        </w:rPr>
      </w:pPr>
    </w:p>
    <w:p w14:paraId="0F612F10" w14:textId="77777777" w:rsidR="00E76FD6" w:rsidRPr="00637A1A" w:rsidRDefault="00E76FD6" w:rsidP="00E76FD6">
      <w:pPr>
        <w:spacing w:before="240" w:line="360" w:lineRule="auto"/>
        <w:jc w:val="both"/>
        <w:rPr>
          <w:rFonts w:ascii="Arial" w:hAnsi="Arial" w:cs="Arial"/>
          <w:b/>
          <w:bCs/>
          <w:sz w:val="28"/>
          <w:szCs w:val="28"/>
          <w:lang w:val="es-ES" w:eastAsia="es-MX"/>
        </w:rPr>
      </w:pPr>
      <w:r>
        <w:rPr>
          <w:rFonts w:ascii="Arial" w:hAnsi="Arial" w:cs="Arial"/>
          <w:b/>
          <w:bCs/>
          <w:sz w:val="28"/>
          <w:szCs w:val="28"/>
          <w:lang w:eastAsia="es-MX"/>
        </w:rPr>
        <w:t xml:space="preserve">INICIA </w:t>
      </w:r>
      <w:r w:rsidRPr="00D8071A">
        <w:rPr>
          <w:rFonts w:ascii="Arial" w:hAnsi="Arial" w:cs="Arial"/>
          <w:b/>
          <w:bCs/>
          <w:sz w:val="28"/>
          <w:szCs w:val="28"/>
          <w:lang w:eastAsia="es-MX"/>
        </w:rPr>
        <w:t>VOTO CONCURRENTE Y PARTICULAR QUE CON</w:t>
      </w:r>
      <w:r w:rsidRPr="00707E9E">
        <w:rPr>
          <w:rFonts w:ascii="Arial" w:hAnsi="Arial" w:cs="Arial"/>
          <w:b/>
          <w:bCs/>
          <w:sz w:val="28"/>
          <w:szCs w:val="28"/>
          <w:lang w:eastAsia="es-MX"/>
        </w:rPr>
        <w:t xml:space="preserve"> FUNDAMENTO EN LOS ARTÍCULOS 185 FRACCIÓN VII DEL CÓDIGO DE INSTITUCIONES Y PROCEDIMIENTOS ELECTORALES DE LA CIUDAD DE MÉXICO; 9 PÁRRAFO PRIMERO y 100 FRACCI</w:t>
      </w:r>
      <w:r>
        <w:rPr>
          <w:rFonts w:ascii="Arial" w:hAnsi="Arial" w:cs="Arial"/>
          <w:b/>
          <w:bCs/>
          <w:sz w:val="28"/>
          <w:szCs w:val="28"/>
          <w:lang w:eastAsia="es-MX"/>
        </w:rPr>
        <w:t xml:space="preserve">ONES I Y </w:t>
      </w:r>
      <w:r w:rsidRPr="00707E9E">
        <w:rPr>
          <w:rFonts w:ascii="Arial" w:hAnsi="Arial" w:cs="Arial"/>
          <w:b/>
          <w:bCs/>
          <w:sz w:val="28"/>
          <w:szCs w:val="28"/>
          <w:lang w:eastAsia="es-MX"/>
        </w:rPr>
        <w:t>I</w:t>
      </w:r>
      <w:r>
        <w:rPr>
          <w:rFonts w:ascii="Arial" w:hAnsi="Arial" w:cs="Arial"/>
          <w:b/>
          <w:bCs/>
          <w:sz w:val="28"/>
          <w:szCs w:val="28"/>
          <w:lang w:eastAsia="es-MX"/>
        </w:rPr>
        <w:t xml:space="preserve">I </w:t>
      </w:r>
      <w:r w:rsidRPr="00707E9E">
        <w:rPr>
          <w:rFonts w:ascii="Arial" w:hAnsi="Arial" w:cs="Arial"/>
          <w:b/>
          <w:bCs/>
          <w:sz w:val="28"/>
          <w:szCs w:val="28"/>
          <w:lang w:eastAsia="es-MX"/>
        </w:rPr>
        <w:t xml:space="preserve">DEL REGLAMENTO INTERIOR DEL TRIBUNAL ELECTORAL DE LA CIUDAD DE MÉXICO, FORMULA LA MAGISTRADA MARTHA ALEJANDRA </w:t>
      </w:r>
      <w:r w:rsidRPr="00707E9E">
        <w:rPr>
          <w:rFonts w:ascii="Arial" w:hAnsi="Arial" w:cs="Arial"/>
          <w:b/>
          <w:bCs/>
          <w:sz w:val="28"/>
          <w:szCs w:val="28"/>
          <w:lang w:eastAsia="es-MX"/>
        </w:rPr>
        <w:lastRenderedPageBreak/>
        <w:t>CHÁVEZ CAMARENA</w:t>
      </w:r>
      <w:r w:rsidRPr="00637A1A">
        <w:rPr>
          <w:rFonts w:ascii="Arial" w:hAnsi="Arial" w:cs="Arial"/>
          <w:b/>
          <w:bCs/>
          <w:sz w:val="28"/>
          <w:szCs w:val="28"/>
          <w:lang w:val="es-ES" w:eastAsia="es-MX"/>
        </w:rPr>
        <w:t xml:space="preserve">, RESPECTO DEL JUICIO ELECTORAL IDENTIFICADO CON LA CLAVE </w:t>
      </w:r>
      <w:r w:rsidRPr="008A62B9">
        <w:rPr>
          <w:rFonts w:ascii="Arial" w:hAnsi="Arial" w:cs="Arial"/>
          <w:b/>
          <w:bCs/>
          <w:sz w:val="28"/>
          <w:szCs w:val="28"/>
          <w:lang w:val="es-ES_tradnl" w:eastAsia="es-MX"/>
        </w:rPr>
        <w:t>TECDMX-JEL-204/2021</w:t>
      </w:r>
      <w:r>
        <w:rPr>
          <w:rFonts w:ascii="Arial" w:hAnsi="Arial" w:cs="Arial"/>
          <w:b/>
          <w:bCs/>
          <w:sz w:val="28"/>
          <w:szCs w:val="28"/>
          <w:lang w:val="es-ES_tradnl" w:eastAsia="es-MX"/>
        </w:rPr>
        <w:t xml:space="preserve"> </w:t>
      </w:r>
      <w:r w:rsidRPr="008A62B9">
        <w:rPr>
          <w:rFonts w:ascii="Arial" w:hAnsi="Arial" w:cs="Arial"/>
          <w:b/>
          <w:bCs/>
          <w:sz w:val="28"/>
          <w:szCs w:val="28"/>
          <w:lang w:val="es-ES_tradnl" w:eastAsia="es-MX"/>
        </w:rPr>
        <w:t>Y ACUMULADOS</w:t>
      </w:r>
      <w:r w:rsidRPr="00637A1A">
        <w:rPr>
          <w:rFonts w:ascii="Arial" w:hAnsi="Arial" w:cs="Arial"/>
          <w:b/>
          <w:bCs/>
          <w:sz w:val="28"/>
          <w:szCs w:val="28"/>
          <w:lang w:val="es-ES" w:eastAsia="es-MX"/>
        </w:rPr>
        <w:t xml:space="preserve">. </w:t>
      </w:r>
    </w:p>
    <w:p w14:paraId="1F4320C5" w14:textId="77777777" w:rsidR="00E76FD6" w:rsidRDefault="00E76FD6" w:rsidP="00E76FD6">
      <w:pPr>
        <w:spacing w:before="240" w:line="360" w:lineRule="auto"/>
        <w:jc w:val="both"/>
        <w:rPr>
          <w:rFonts w:ascii="Arial" w:hAnsi="Arial" w:cs="Arial"/>
          <w:sz w:val="28"/>
          <w:szCs w:val="28"/>
        </w:rPr>
      </w:pPr>
    </w:p>
    <w:p w14:paraId="1E572EFD" w14:textId="332EA37F" w:rsidR="00E76FD6" w:rsidRPr="00A251E4" w:rsidRDefault="00E76FD6" w:rsidP="00E76FD6">
      <w:pPr>
        <w:spacing w:before="240" w:line="360" w:lineRule="auto"/>
        <w:jc w:val="both"/>
        <w:rPr>
          <w:rFonts w:ascii="Arial" w:hAnsi="Arial" w:cs="Arial"/>
          <w:sz w:val="28"/>
          <w:szCs w:val="28"/>
        </w:rPr>
      </w:pPr>
      <w:r w:rsidRPr="00D23968">
        <w:rPr>
          <w:rFonts w:ascii="Arial" w:hAnsi="Arial" w:cs="Arial"/>
          <w:sz w:val="28"/>
          <w:szCs w:val="28"/>
        </w:rPr>
        <w:t xml:space="preserve">Con el debido respeto para mis pares, </w:t>
      </w:r>
      <w:r w:rsidRPr="00D8071A">
        <w:rPr>
          <w:rFonts w:ascii="Arial" w:hAnsi="Arial" w:cs="Arial"/>
          <w:sz w:val="28"/>
          <w:szCs w:val="28"/>
        </w:rPr>
        <w:t xml:space="preserve">formulo </w:t>
      </w:r>
      <w:r w:rsidRPr="00D8071A">
        <w:rPr>
          <w:rFonts w:ascii="Arial" w:hAnsi="Arial" w:cs="Arial"/>
          <w:b/>
          <w:bCs/>
          <w:sz w:val="28"/>
          <w:szCs w:val="28"/>
        </w:rPr>
        <w:t xml:space="preserve">voto concurrente </w:t>
      </w:r>
      <w:r w:rsidRPr="00D8071A">
        <w:rPr>
          <w:rFonts w:ascii="Arial" w:hAnsi="Arial" w:cs="Arial"/>
          <w:sz w:val="28"/>
          <w:szCs w:val="28"/>
        </w:rPr>
        <w:t xml:space="preserve">respecto del </w:t>
      </w:r>
      <w:r w:rsidRPr="00D8071A">
        <w:rPr>
          <w:rFonts w:ascii="Arial" w:hAnsi="Arial" w:cs="Arial"/>
          <w:b/>
          <w:bCs/>
          <w:sz w:val="28"/>
          <w:szCs w:val="28"/>
        </w:rPr>
        <w:t xml:space="preserve">SEGUNDO </w:t>
      </w:r>
      <w:r w:rsidRPr="00D8071A">
        <w:rPr>
          <w:rFonts w:ascii="Arial" w:hAnsi="Arial" w:cs="Arial"/>
          <w:sz w:val="28"/>
          <w:szCs w:val="28"/>
        </w:rPr>
        <w:t xml:space="preserve">resolutivo, dado que si bien considero procedente que se modifique el acuerdo </w:t>
      </w:r>
      <w:r w:rsidRPr="00D8071A">
        <w:rPr>
          <w:rFonts w:ascii="Arial" w:hAnsi="Arial" w:cs="Arial"/>
          <w:b/>
          <w:sz w:val="28"/>
          <w:szCs w:val="28"/>
        </w:rPr>
        <w:t>IECM-</w:t>
      </w:r>
      <w:r w:rsidRPr="00A251E4">
        <w:rPr>
          <w:rFonts w:ascii="Arial" w:hAnsi="Arial" w:cs="Arial"/>
          <w:b/>
          <w:sz w:val="28"/>
          <w:szCs w:val="28"/>
        </w:rPr>
        <w:t>ACU-CG-324/2021</w:t>
      </w:r>
      <w:r w:rsidRPr="00A251E4">
        <w:rPr>
          <w:rFonts w:ascii="Arial" w:hAnsi="Arial" w:cs="Arial"/>
          <w:sz w:val="28"/>
          <w:szCs w:val="28"/>
        </w:rPr>
        <w:t>, lo cierto es que dicha modificación la sustento en consideraciones diversas, relacionadas con la manera en que podían quedar integradas las listas definitivas de representación proporcional de los partidos políticos.</w:t>
      </w:r>
    </w:p>
    <w:p w14:paraId="11B25FE7" w14:textId="77777777" w:rsidR="00E76FD6" w:rsidRPr="00A251E4" w:rsidRDefault="00E76FD6" w:rsidP="00E76FD6">
      <w:pPr>
        <w:spacing w:before="240" w:line="360" w:lineRule="auto"/>
        <w:jc w:val="both"/>
        <w:rPr>
          <w:rFonts w:ascii="Arial" w:hAnsi="Arial" w:cs="Arial"/>
          <w:sz w:val="28"/>
          <w:szCs w:val="28"/>
        </w:rPr>
      </w:pPr>
      <w:r w:rsidRPr="00A251E4">
        <w:rPr>
          <w:rFonts w:ascii="Arial" w:hAnsi="Arial" w:cs="Arial"/>
          <w:sz w:val="28"/>
          <w:szCs w:val="28"/>
        </w:rPr>
        <w:t xml:space="preserve">Asimismo, formulo </w:t>
      </w:r>
      <w:r w:rsidRPr="00A251E4">
        <w:rPr>
          <w:rFonts w:ascii="Arial" w:hAnsi="Arial" w:cs="Arial"/>
          <w:b/>
          <w:sz w:val="28"/>
          <w:szCs w:val="28"/>
        </w:rPr>
        <w:t>voto particular</w:t>
      </w:r>
      <w:r w:rsidRPr="00A251E4">
        <w:rPr>
          <w:rFonts w:ascii="Arial" w:hAnsi="Arial" w:cs="Arial"/>
          <w:sz w:val="28"/>
          <w:szCs w:val="28"/>
        </w:rPr>
        <w:t xml:space="preserve">, por cuanto hace a los Resolutivos </w:t>
      </w:r>
      <w:r w:rsidRPr="00A251E4">
        <w:rPr>
          <w:rFonts w:ascii="Arial" w:hAnsi="Arial" w:cs="Arial"/>
          <w:b/>
          <w:bCs/>
          <w:sz w:val="28"/>
          <w:szCs w:val="28"/>
        </w:rPr>
        <w:t>TERCERO, CUARTO, QUINTO, SEXTO, SÉPTIMO y OCTAVO</w:t>
      </w:r>
      <w:r w:rsidRPr="00A251E4">
        <w:rPr>
          <w:rFonts w:ascii="Arial" w:hAnsi="Arial" w:cs="Arial"/>
          <w:sz w:val="28"/>
          <w:szCs w:val="28"/>
        </w:rPr>
        <w:t>, pues desde mi perspectiva, no resultaba procedente modificar las listas definitivas, revocar constancias de asignación, ni ajustar la asignación de diputaciones, por las razones que más adelante explico.</w:t>
      </w:r>
    </w:p>
    <w:p w14:paraId="0315D90B" w14:textId="77777777" w:rsidR="00E76FD6" w:rsidRPr="00CF0540" w:rsidRDefault="00E76FD6" w:rsidP="00E76FD6">
      <w:pPr>
        <w:spacing w:before="240" w:line="360" w:lineRule="auto"/>
        <w:ind w:right="51"/>
        <w:jc w:val="center"/>
        <w:rPr>
          <w:rFonts w:ascii="Arial" w:hAnsi="Arial" w:cs="Arial"/>
          <w:b/>
          <w:spacing w:val="4"/>
          <w:sz w:val="28"/>
          <w:szCs w:val="28"/>
        </w:rPr>
      </w:pPr>
      <w:r w:rsidRPr="00A251E4">
        <w:rPr>
          <w:rFonts w:ascii="Arial" w:hAnsi="Arial" w:cs="Arial"/>
          <w:b/>
          <w:spacing w:val="4"/>
          <w:sz w:val="28"/>
          <w:szCs w:val="28"/>
        </w:rPr>
        <w:t>-Voto Concurrente-</w:t>
      </w:r>
    </w:p>
    <w:p w14:paraId="78343058" w14:textId="77777777" w:rsidR="00E76FD6" w:rsidRPr="005F11BE" w:rsidRDefault="00E76FD6" w:rsidP="00E76FD6">
      <w:pPr>
        <w:spacing w:before="240" w:line="360" w:lineRule="auto"/>
        <w:ind w:right="51"/>
        <w:jc w:val="both"/>
        <w:rPr>
          <w:rFonts w:ascii="Arial" w:hAnsi="Arial" w:cs="Arial"/>
          <w:b/>
          <w:i/>
          <w:iCs/>
          <w:spacing w:val="4"/>
          <w:sz w:val="28"/>
          <w:szCs w:val="28"/>
        </w:rPr>
      </w:pPr>
      <w:r w:rsidRPr="00D8071A">
        <w:rPr>
          <w:rFonts w:ascii="Arial" w:hAnsi="Arial" w:cs="Arial"/>
          <w:b/>
          <w:i/>
          <w:iCs/>
          <w:spacing w:val="4"/>
          <w:sz w:val="28"/>
          <w:szCs w:val="28"/>
        </w:rPr>
        <w:t>A) Votación ajustada de las mejores personas perdedoras.</w:t>
      </w:r>
    </w:p>
    <w:p w14:paraId="052F8667" w14:textId="77777777" w:rsidR="00E76FD6" w:rsidRPr="00A81FD1" w:rsidRDefault="00E76FD6" w:rsidP="00E76FD6">
      <w:pPr>
        <w:spacing w:before="240" w:line="360" w:lineRule="auto"/>
        <w:ind w:right="51"/>
        <w:jc w:val="both"/>
        <w:rPr>
          <w:rFonts w:ascii="Arial" w:hAnsi="Arial" w:cs="Arial"/>
          <w:sz w:val="28"/>
          <w:szCs w:val="28"/>
        </w:rPr>
      </w:pPr>
      <w:r w:rsidRPr="00A81FD1">
        <w:rPr>
          <w:rFonts w:ascii="Arial" w:hAnsi="Arial" w:cs="Arial"/>
          <w:bCs/>
          <w:spacing w:val="4"/>
          <w:sz w:val="28"/>
          <w:szCs w:val="28"/>
        </w:rPr>
        <w:t xml:space="preserve">Tal como lo adelanté, si bien estoy de acuerdo con lo señalado en el </w:t>
      </w:r>
      <w:r w:rsidRPr="00A81FD1">
        <w:rPr>
          <w:rFonts w:ascii="Arial" w:hAnsi="Arial" w:cs="Arial"/>
          <w:b/>
          <w:spacing w:val="4"/>
          <w:sz w:val="28"/>
          <w:szCs w:val="28"/>
        </w:rPr>
        <w:t>Considerando Segundo</w:t>
      </w:r>
      <w:r w:rsidRPr="00A81FD1">
        <w:rPr>
          <w:rFonts w:ascii="Arial" w:hAnsi="Arial" w:cs="Arial"/>
          <w:bCs/>
          <w:spacing w:val="4"/>
          <w:sz w:val="28"/>
          <w:szCs w:val="28"/>
        </w:rPr>
        <w:t xml:space="preserve"> de la sentencia, respecto a que se </w:t>
      </w:r>
      <w:r w:rsidRPr="00A81FD1">
        <w:rPr>
          <w:rFonts w:ascii="Arial" w:hAnsi="Arial" w:cs="Arial"/>
          <w:sz w:val="28"/>
          <w:szCs w:val="28"/>
        </w:rPr>
        <w:t xml:space="preserve">modifique el acuerdo </w:t>
      </w:r>
      <w:r w:rsidRPr="00A81FD1">
        <w:rPr>
          <w:rFonts w:ascii="Arial" w:hAnsi="Arial" w:cs="Arial"/>
          <w:b/>
          <w:sz w:val="28"/>
          <w:szCs w:val="28"/>
        </w:rPr>
        <w:t>IECM-ACU-CG-324/2021</w:t>
      </w:r>
      <w:r w:rsidRPr="00A81FD1">
        <w:rPr>
          <w:rFonts w:ascii="Arial" w:hAnsi="Arial" w:cs="Arial"/>
          <w:sz w:val="28"/>
          <w:szCs w:val="28"/>
        </w:rPr>
        <w:t>, lo cierto es que, a diferencia de lo sostenido por la mayoría, dicha modificación la sustento en consideraciones diversas a las señaladas en la sentencia.</w:t>
      </w:r>
    </w:p>
    <w:p w14:paraId="0B43CD27" w14:textId="77777777" w:rsidR="00E76FD6" w:rsidRPr="00A81FD1" w:rsidRDefault="00E76FD6" w:rsidP="00E76FD6">
      <w:pPr>
        <w:spacing w:before="240" w:line="360" w:lineRule="auto"/>
        <w:ind w:right="51"/>
        <w:jc w:val="both"/>
        <w:rPr>
          <w:rFonts w:ascii="Arial" w:hAnsi="Arial" w:cs="Arial"/>
          <w:bCs/>
          <w:spacing w:val="4"/>
          <w:sz w:val="28"/>
          <w:szCs w:val="28"/>
        </w:rPr>
      </w:pPr>
      <w:r w:rsidRPr="00A81FD1">
        <w:rPr>
          <w:rFonts w:ascii="Arial" w:hAnsi="Arial" w:cs="Arial"/>
          <w:bCs/>
          <w:spacing w:val="4"/>
          <w:sz w:val="28"/>
          <w:szCs w:val="28"/>
        </w:rPr>
        <w:lastRenderedPageBreak/>
        <w:t xml:space="preserve">En efecto, si bien en la sentencia aprobada por mis pares se señala que es procedente llevar a cabo un ajuste a la candidatura ubicada en la posición 14, por un supuesto tema de </w:t>
      </w:r>
      <w:proofErr w:type="spellStart"/>
      <w:r w:rsidRPr="00A81FD1">
        <w:rPr>
          <w:rFonts w:ascii="Arial" w:hAnsi="Arial" w:cs="Arial"/>
          <w:bCs/>
          <w:spacing w:val="4"/>
          <w:sz w:val="28"/>
          <w:szCs w:val="28"/>
        </w:rPr>
        <w:t>sobrerepresentación</w:t>
      </w:r>
      <w:proofErr w:type="spellEnd"/>
      <w:r w:rsidRPr="00A81FD1">
        <w:rPr>
          <w:rFonts w:ascii="Arial" w:hAnsi="Arial" w:cs="Arial"/>
          <w:bCs/>
          <w:spacing w:val="4"/>
          <w:sz w:val="28"/>
          <w:szCs w:val="28"/>
        </w:rPr>
        <w:t xml:space="preserve"> del género femenino que provino de la Lista “B”, al haber quedado en la lista definitiva una mujer en la posición 10 y otra en la posición 14, quienes obtuvieron una diputación de representación proporcional, ordenándose que el hombre ubicado en la posición 16 pase a ocupar el lugar de la mujer de la posición 14.</w:t>
      </w:r>
    </w:p>
    <w:p w14:paraId="4321F954" w14:textId="77777777" w:rsidR="00E76FD6" w:rsidRPr="00665992" w:rsidRDefault="00E76FD6" w:rsidP="00E76FD6">
      <w:pPr>
        <w:spacing w:before="240" w:line="360" w:lineRule="auto"/>
        <w:ind w:right="51"/>
        <w:jc w:val="both"/>
        <w:rPr>
          <w:rFonts w:ascii="Arial" w:hAnsi="Arial" w:cs="Arial"/>
          <w:bCs/>
          <w:spacing w:val="4"/>
          <w:sz w:val="28"/>
          <w:szCs w:val="28"/>
        </w:rPr>
      </w:pPr>
      <w:r w:rsidRPr="00A81FD1">
        <w:rPr>
          <w:rFonts w:ascii="Arial" w:hAnsi="Arial" w:cs="Arial"/>
          <w:bCs/>
          <w:spacing w:val="4"/>
          <w:sz w:val="28"/>
          <w:szCs w:val="28"/>
        </w:rPr>
        <w:t xml:space="preserve">Lo cierto es que, desde mi perspectiva, dicho ajuste es incorrecto e injustificado, pues no resulta procedente sostenerlo en la existencia de una </w:t>
      </w:r>
      <w:proofErr w:type="spellStart"/>
      <w:r w:rsidRPr="00A81FD1">
        <w:rPr>
          <w:rFonts w:ascii="Arial" w:hAnsi="Arial" w:cs="Arial"/>
          <w:bCs/>
          <w:spacing w:val="4"/>
          <w:sz w:val="28"/>
          <w:szCs w:val="28"/>
        </w:rPr>
        <w:t>sobrerepresentación</w:t>
      </w:r>
      <w:proofErr w:type="spellEnd"/>
      <w:r w:rsidRPr="00A81FD1">
        <w:rPr>
          <w:rFonts w:ascii="Arial" w:hAnsi="Arial" w:cs="Arial"/>
          <w:bCs/>
          <w:spacing w:val="4"/>
          <w:sz w:val="28"/>
          <w:szCs w:val="28"/>
        </w:rPr>
        <w:t xml:space="preserve"> femenina en la integración de las listas de representación proporcional, al ser dicho razonamiento contrario a los criterios sostenidos por la Sala Superior del Tribunal Electoral del Poder Judicial de la Federación en Jurisprudencia reciente que más adelante señalaré.</w:t>
      </w:r>
    </w:p>
    <w:p w14:paraId="0966F325" w14:textId="77777777" w:rsidR="00E76FD6" w:rsidRDefault="00E76FD6" w:rsidP="00E76FD6">
      <w:pPr>
        <w:spacing w:before="240" w:line="360" w:lineRule="auto"/>
        <w:ind w:right="51"/>
        <w:jc w:val="both"/>
        <w:rPr>
          <w:rFonts w:ascii="Arial" w:hAnsi="Arial" w:cs="Arial"/>
          <w:bCs/>
          <w:spacing w:val="4"/>
          <w:sz w:val="28"/>
          <w:szCs w:val="28"/>
        </w:rPr>
      </w:pPr>
      <w:r w:rsidRPr="00665992">
        <w:rPr>
          <w:rFonts w:ascii="Arial" w:hAnsi="Arial" w:cs="Arial"/>
          <w:bCs/>
          <w:spacing w:val="4"/>
          <w:sz w:val="28"/>
          <w:szCs w:val="28"/>
        </w:rPr>
        <w:t>No obstante ello, considero que la pretensión de quien ocupa la posición 16 del listado de MORENA es alcanzada con el criterio que propongo en el siguiente inciso, en el que los ajustes</w:t>
      </w:r>
      <w:r>
        <w:rPr>
          <w:rFonts w:ascii="Arial" w:hAnsi="Arial" w:cs="Arial"/>
          <w:bCs/>
          <w:spacing w:val="4"/>
          <w:sz w:val="28"/>
          <w:szCs w:val="28"/>
        </w:rPr>
        <w:t xml:space="preserve"> a las Listas Definitivas se hacen tomando en consideración la votación local emitida, con lo cual no sólo se logra integrar de manera paritaria la lista de MORENA sino, también, todas las posiciones de las listas de los partidos políticos, de ahí que en este aspecto si esté de acuerdo con la revocación del acuerdo, pero por razones distintas.</w:t>
      </w:r>
    </w:p>
    <w:p w14:paraId="3C14BFCB" w14:textId="77777777" w:rsidR="00E76FD6" w:rsidRDefault="00E76FD6" w:rsidP="00E76FD6">
      <w:pPr>
        <w:spacing w:before="240" w:line="360" w:lineRule="auto"/>
        <w:ind w:right="51"/>
        <w:jc w:val="center"/>
        <w:rPr>
          <w:rFonts w:ascii="Arial" w:hAnsi="Arial" w:cs="Arial"/>
          <w:b/>
          <w:spacing w:val="4"/>
          <w:sz w:val="28"/>
          <w:szCs w:val="28"/>
        </w:rPr>
      </w:pPr>
    </w:p>
    <w:p w14:paraId="62C2A70B" w14:textId="77777777" w:rsidR="00E76FD6" w:rsidRDefault="00E76FD6" w:rsidP="00E76FD6">
      <w:pPr>
        <w:spacing w:before="240" w:line="360" w:lineRule="auto"/>
        <w:ind w:right="51"/>
        <w:jc w:val="center"/>
        <w:rPr>
          <w:rFonts w:ascii="Arial" w:hAnsi="Arial" w:cs="Arial"/>
          <w:b/>
          <w:spacing w:val="4"/>
          <w:sz w:val="28"/>
          <w:szCs w:val="28"/>
        </w:rPr>
      </w:pPr>
    </w:p>
    <w:p w14:paraId="4D8A8DEF" w14:textId="030E9DA6" w:rsidR="00E76FD6" w:rsidRPr="00A251E4" w:rsidRDefault="00E76FD6" w:rsidP="00E76FD6">
      <w:pPr>
        <w:spacing w:before="240" w:line="360" w:lineRule="auto"/>
        <w:ind w:right="51"/>
        <w:jc w:val="center"/>
        <w:rPr>
          <w:rFonts w:ascii="Arial" w:hAnsi="Arial" w:cs="Arial"/>
          <w:b/>
          <w:spacing w:val="4"/>
          <w:sz w:val="28"/>
          <w:szCs w:val="28"/>
        </w:rPr>
      </w:pPr>
      <w:r w:rsidRPr="00A251E4">
        <w:rPr>
          <w:rFonts w:ascii="Arial" w:hAnsi="Arial" w:cs="Arial"/>
          <w:b/>
          <w:spacing w:val="4"/>
          <w:sz w:val="28"/>
          <w:szCs w:val="28"/>
        </w:rPr>
        <w:lastRenderedPageBreak/>
        <w:t>-Voto Particular-</w:t>
      </w:r>
    </w:p>
    <w:p w14:paraId="5773EC34" w14:textId="77777777" w:rsidR="00E76FD6" w:rsidRPr="00A251E4" w:rsidRDefault="00E76FD6" w:rsidP="00E76FD6">
      <w:pPr>
        <w:spacing w:before="240" w:line="360" w:lineRule="auto"/>
        <w:ind w:right="49"/>
        <w:jc w:val="both"/>
        <w:rPr>
          <w:rFonts w:ascii="Arial" w:hAnsi="Arial" w:cs="Arial"/>
          <w:b/>
          <w:bCs/>
          <w:i/>
          <w:iCs/>
          <w:sz w:val="28"/>
          <w:szCs w:val="28"/>
        </w:rPr>
      </w:pPr>
      <w:r w:rsidRPr="00A251E4">
        <w:rPr>
          <w:rFonts w:ascii="Arial" w:hAnsi="Arial" w:cs="Arial"/>
          <w:b/>
          <w:bCs/>
          <w:i/>
          <w:iCs/>
          <w:sz w:val="28"/>
          <w:szCs w:val="28"/>
        </w:rPr>
        <w:t>A) integración de las Listas definitivas con la votación local emitida.</w:t>
      </w:r>
    </w:p>
    <w:p w14:paraId="153973B0" w14:textId="77777777" w:rsidR="00E76FD6" w:rsidRPr="00A251E4" w:rsidRDefault="00E76FD6" w:rsidP="00E76FD6">
      <w:pPr>
        <w:spacing w:before="240" w:line="360" w:lineRule="auto"/>
        <w:ind w:right="51"/>
        <w:jc w:val="both"/>
        <w:rPr>
          <w:rFonts w:ascii="Arial" w:hAnsi="Arial" w:cs="Arial"/>
          <w:sz w:val="28"/>
          <w:szCs w:val="28"/>
        </w:rPr>
      </w:pPr>
      <w:r w:rsidRPr="00A251E4">
        <w:rPr>
          <w:rFonts w:ascii="Arial" w:hAnsi="Arial" w:cs="Arial"/>
          <w:sz w:val="28"/>
          <w:szCs w:val="28"/>
        </w:rPr>
        <w:t xml:space="preserve">En primer término, estoy de acuerdo con los razonamientos señalados en la sentencia, en cuanto a que, conforme al contenido del artículo 24, fracción IV, del </w:t>
      </w:r>
      <w:r w:rsidRPr="00A251E4">
        <w:rPr>
          <w:rFonts w:ascii="Arial" w:hAnsi="Arial" w:cs="Arial"/>
          <w:iCs/>
          <w:sz w:val="28"/>
          <w:szCs w:val="28"/>
        </w:rPr>
        <w:t>Código Electoral local</w:t>
      </w:r>
      <w:r w:rsidRPr="00A251E4">
        <w:rPr>
          <w:rFonts w:ascii="Arial" w:hAnsi="Arial" w:cs="Arial"/>
          <w:i/>
          <w:sz w:val="28"/>
          <w:szCs w:val="28"/>
        </w:rPr>
        <w:t>,</w:t>
      </w:r>
      <w:r w:rsidRPr="00A251E4">
        <w:rPr>
          <w:rFonts w:ascii="Arial" w:hAnsi="Arial" w:cs="Arial"/>
          <w:sz w:val="28"/>
          <w:szCs w:val="28"/>
        </w:rPr>
        <w:t xml:space="preserve"> para integrar la Lista “B” de representación proporcional, se debe tomar en cuenta la votación del partido político en el distrito uninominal correspondiente; pues así lo establece la norma en su literalidad, y por ende coincido en que son infundados los agravios esgrimidos en contra de dicho aspecto.</w:t>
      </w:r>
    </w:p>
    <w:p w14:paraId="5817F6E3" w14:textId="77777777" w:rsidR="00E76FD6" w:rsidRPr="00815BC2" w:rsidRDefault="00E76FD6" w:rsidP="00E76FD6">
      <w:pPr>
        <w:spacing w:before="240" w:line="360" w:lineRule="auto"/>
        <w:ind w:right="51"/>
        <w:jc w:val="both"/>
        <w:rPr>
          <w:rFonts w:ascii="Arial" w:hAnsi="Arial" w:cs="Arial"/>
          <w:sz w:val="28"/>
          <w:szCs w:val="28"/>
        </w:rPr>
      </w:pPr>
      <w:r w:rsidRPr="00815BC2">
        <w:rPr>
          <w:rFonts w:ascii="Arial" w:hAnsi="Arial" w:cs="Arial"/>
          <w:sz w:val="28"/>
          <w:szCs w:val="28"/>
        </w:rPr>
        <w:t xml:space="preserve">Lo que no comparto es que en la sentencia no se aborde el análisis concreto del agravio formulado por la parte actora en el expediente </w:t>
      </w:r>
      <w:r w:rsidRPr="00815BC2">
        <w:rPr>
          <w:rFonts w:ascii="Arial" w:hAnsi="Arial" w:cs="Arial"/>
          <w:b/>
          <w:bCs/>
          <w:sz w:val="28"/>
          <w:szCs w:val="28"/>
        </w:rPr>
        <w:t>TECDMX-JLDC-101/2021</w:t>
      </w:r>
      <w:r w:rsidRPr="00815BC2">
        <w:rPr>
          <w:rFonts w:ascii="Arial" w:hAnsi="Arial" w:cs="Arial"/>
          <w:sz w:val="28"/>
          <w:szCs w:val="28"/>
        </w:rPr>
        <w:t>, consistente en que el criterio para la integración de la Lista “B” vulnera los principios de igualdad y equidad en materia electoral.</w:t>
      </w:r>
    </w:p>
    <w:p w14:paraId="2A67350A" w14:textId="77777777" w:rsidR="00E76FD6" w:rsidRPr="00815BC2" w:rsidRDefault="00E76FD6" w:rsidP="00E76FD6">
      <w:pPr>
        <w:spacing w:before="240" w:line="360" w:lineRule="auto"/>
        <w:ind w:right="49"/>
        <w:jc w:val="both"/>
        <w:rPr>
          <w:rFonts w:ascii="Arial" w:hAnsi="Arial" w:cs="Arial"/>
          <w:bCs/>
          <w:spacing w:val="4"/>
          <w:sz w:val="28"/>
          <w:szCs w:val="28"/>
        </w:rPr>
      </w:pPr>
      <w:r w:rsidRPr="00815BC2">
        <w:rPr>
          <w:rFonts w:ascii="Arial" w:hAnsi="Arial" w:cs="Arial"/>
          <w:sz w:val="28"/>
          <w:szCs w:val="28"/>
        </w:rPr>
        <w:t xml:space="preserve">Pues si bien el artículo </w:t>
      </w:r>
      <w:r w:rsidRPr="00815BC2">
        <w:rPr>
          <w:rFonts w:ascii="Arial" w:hAnsi="Arial" w:cs="Arial"/>
          <w:bCs/>
          <w:spacing w:val="4"/>
          <w:sz w:val="28"/>
          <w:szCs w:val="28"/>
        </w:rPr>
        <w:t xml:space="preserve">24 fracción IV del Código Electoral local establece que la Lista “B” debe integrarse con la </w:t>
      </w:r>
      <w:r w:rsidRPr="00815BC2">
        <w:rPr>
          <w:rFonts w:ascii="Arial" w:hAnsi="Arial" w:cs="Arial"/>
          <w:b/>
          <w:spacing w:val="4"/>
          <w:sz w:val="28"/>
          <w:szCs w:val="28"/>
        </w:rPr>
        <w:t>votación distrital emitida</w:t>
      </w:r>
      <w:r w:rsidRPr="00815BC2">
        <w:rPr>
          <w:rFonts w:ascii="Arial" w:hAnsi="Arial" w:cs="Arial"/>
          <w:bCs/>
          <w:spacing w:val="4"/>
          <w:sz w:val="28"/>
          <w:szCs w:val="28"/>
        </w:rPr>
        <w:t xml:space="preserve">, a efecto de poder conformar una lista que, para la asignación de representación proporcional, se intercalará con la Lista “A” propuesta por los partidos políticos, lo cierto es que dicha normativa también señala que, una vez que se determinó el primer lugar de ésta lista, el segundo lugar será ocupado </w:t>
      </w:r>
      <w:r w:rsidRPr="00815BC2">
        <w:rPr>
          <w:rFonts w:ascii="Arial" w:hAnsi="Arial" w:cs="Arial"/>
          <w:b/>
          <w:spacing w:val="4"/>
          <w:sz w:val="28"/>
          <w:szCs w:val="28"/>
        </w:rPr>
        <w:t>por la fórmula del otro género con mayor porcentaje de la votación local emitida</w:t>
      </w:r>
      <w:r w:rsidRPr="00815BC2">
        <w:rPr>
          <w:rFonts w:ascii="Arial" w:hAnsi="Arial" w:cs="Arial"/>
          <w:bCs/>
          <w:spacing w:val="4"/>
          <w:sz w:val="28"/>
          <w:szCs w:val="28"/>
        </w:rPr>
        <w:t>, e irán intercalando de esta manera hasta concluir la integración de la lista.</w:t>
      </w:r>
    </w:p>
    <w:p w14:paraId="546A7A8D" w14:textId="77777777" w:rsidR="00E76FD6" w:rsidRPr="00815BC2" w:rsidRDefault="00E76FD6" w:rsidP="00E76FD6">
      <w:pPr>
        <w:spacing w:before="240" w:line="360" w:lineRule="auto"/>
        <w:ind w:right="49"/>
        <w:jc w:val="both"/>
        <w:rPr>
          <w:rFonts w:ascii="Arial" w:hAnsi="Arial" w:cs="Arial"/>
          <w:bCs/>
          <w:spacing w:val="4"/>
          <w:sz w:val="28"/>
          <w:szCs w:val="28"/>
        </w:rPr>
      </w:pPr>
      <w:r w:rsidRPr="00815BC2">
        <w:rPr>
          <w:rFonts w:ascii="Arial" w:hAnsi="Arial" w:cs="Arial"/>
          <w:bCs/>
          <w:spacing w:val="4"/>
          <w:sz w:val="28"/>
          <w:szCs w:val="28"/>
        </w:rPr>
        <w:lastRenderedPageBreak/>
        <w:t>De ahí que, al vincular la integración de la Lista “B” únicamente con la votación distrital emitida cuando la norma habla también de la votación local emitida, se contravienen los principios de igualdad y equidad en la materia, pues con ello se sujeta a las personas candidatas mejoras perdedoras en un distrito en el que el electorado es menor, a una situación de desventaja frente a otras de otros distritos con mayor número de electores, provocando un trato diferenciado en la aplicación de la norma.</w:t>
      </w:r>
    </w:p>
    <w:p w14:paraId="13EC5CBA" w14:textId="77777777" w:rsidR="00E76FD6" w:rsidRDefault="00E76FD6" w:rsidP="00E76FD6">
      <w:pPr>
        <w:spacing w:before="240" w:line="360" w:lineRule="auto"/>
        <w:ind w:right="49"/>
        <w:jc w:val="both"/>
        <w:rPr>
          <w:rFonts w:ascii="Arial" w:hAnsi="Arial" w:cs="Arial"/>
          <w:bCs/>
          <w:spacing w:val="4"/>
          <w:sz w:val="28"/>
          <w:szCs w:val="28"/>
        </w:rPr>
      </w:pPr>
      <w:r>
        <w:rPr>
          <w:rFonts w:ascii="Arial" w:hAnsi="Arial" w:cs="Arial"/>
          <w:bCs/>
          <w:spacing w:val="4"/>
          <w:sz w:val="28"/>
          <w:szCs w:val="28"/>
        </w:rPr>
        <w:t xml:space="preserve">Recordemos que </w:t>
      </w:r>
      <w:r w:rsidRPr="00665992">
        <w:rPr>
          <w:rFonts w:ascii="Arial" w:hAnsi="Arial" w:cs="Arial"/>
          <w:bCs/>
          <w:spacing w:val="4"/>
          <w:sz w:val="28"/>
          <w:szCs w:val="28"/>
        </w:rPr>
        <w:t xml:space="preserve">el </w:t>
      </w:r>
      <w:r w:rsidRPr="00665992">
        <w:rPr>
          <w:rFonts w:ascii="Arial" w:hAnsi="Arial" w:cs="Arial"/>
          <w:b/>
          <w:spacing w:val="4"/>
          <w:sz w:val="28"/>
          <w:szCs w:val="28"/>
        </w:rPr>
        <w:t>principio de igualdad</w:t>
      </w:r>
      <w:r w:rsidRPr="00665992">
        <w:rPr>
          <w:rFonts w:ascii="Arial" w:hAnsi="Arial" w:cs="Arial"/>
          <w:bCs/>
          <w:spacing w:val="4"/>
          <w:sz w:val="28"/>
          <w:szCs w:val="28"/>
        </w:rPr>
        <w:t xml:space="preserve"> </w:t>
      </w:r>
      <w:r w:rsidRPr="0043353E">
        <w:rPr>
          <w:rFonts w:ascii="Arial" w:hAnsi="Arial" w:cs="Arial"/>
          <w:b/>
          <w:spacing w:val="4"/>
          <w:sz w:val="28"/>
          <w:szCs w:val="28"/>
        </w:rPr>
        <w:t>sustantiva</w:t>
      </w:r>
      <w:r w:rsidRPr="00665992">
        <w:rPr>
          <w:rFonts w:ascii="Arial" w:hAnsi="Arial" w:cs="Arial"/>
          <w:bCs/>
          <w:spacing w:val="4"/>
          <w:sz w:val="28"/>
          <w:szCs w:val="28"/>
        </w:rPr>
        <w:t xml:space="preserve"> se vulnera cuando se genera un trato diferenciado respecto al igual tratamiento sustantivo que deben tener las personas en la distribución de los derechos y obligaciones previsto</w:t>
      </w:r>
      <w:r>
        <w:rPr>
          <w:rFonts w:ascii="Arial" w:hAnsi="Arial" w:cs="Arial"/>
          <w:bCs/>
          <w:spacing w:val="4"/>
          <w:sz w:val="28"/>
          <w:szCs w:val="28"/>
        </w:rPr>
        <w:t>s</w:t>
      </w:r>
      <w:r w:rsidRPr="00665992">
        <w:rPr>
          <w:rFonts w:ascii="Arial" w:hAnsi="Arial" w:cs="Arial"/>
          <w:bCs/>
          <w:spacing w:val="4"/>
          <w:sz w:val="28"/>
          <w:szCs w:val="28"/>
        </w:rPr>
        <w:t xml:space="preserve"> en la Ley, y el </w:t>
      </w:r>
      <w:r w:rsidRPr="00665992">
        <w:rPr>
          <w:rFonts w:ascii="Arial" w:hAnsi="Arial" w:cs="Arial"/>
          <w:b/>
          <w:spacing w:val="4"/>
          <w:sz w:val="28"/>
          <w:szCs w:val="28"/>
        </w:rPr>
        <w:t>principio de equidad</w:t>
      </w:r>
      <w:r w:rsidRPr="00665992">
        <w:rPr>
          <w:rFonts w:ascii="Arial" w:hAnsi="Arial" w:cs="Arial"/>
          <w:bCs/>
          <w:spacing w:val="4"/>
          <w:sz w:val="28"/>
          <w:szCs w:val="28"/>
        </w:rPr>
        <w:t xml:space="preserve"> cuando las reglas de la contienda electoral no establecen un piso parejo para las candidaturas mejores perdedoras que, viniendo con los mejores porcentajes de apoyo de la ciudadanía en el proceso electoral, no pueden acceder en condiciones equitativas acorde al número de electores en su distrito.</w:t>
      </w:r>
    </w:p>
    <w:p w14:paraId="6DADF574" w14:textId="77777777" w:rsidR="00E76FD6" w:rsidRDefault="00E76FD6" w:rsidP="00E76FD6">
      <w:pPr>
        <w:spacing w:before="240" w:line="360" w:lineRule="auto"/>
        <w:ind w:right="49"/>
        <w:jc w:val="both"/>
        <w:rPr>
          <w:rFonts w:ascii="Arial" w:hAnsi="Arial" w:cs="Arial"/>
          <w:bCs/>
          <w:spacing w:val="4"/>
          <w:sz w:val="28"/>
          <w:szCs w:val="28"/>
        </w:rPr>
      </w:pPr>
      <w:r>
        <w:rPr>
          <w:rFonts w:ascii="Arial" w:hAnsi="Arial" w:cs="Arial"/>
          <w:bCs/>
          <w:spacing w:val="4"/>
          <w:sz w:val="28"/>
          <w:szCs w:val="28"/>
        </w:rPr>
        <w:t xml:space="preserve">Lo anterior es así, ya que, efectivamente, al tomar la votación distrital para la generación de la Lista “B” y la Lista Definitiva de las diputaciones, ello genera un trato diferenciado para las candidaturas, ya que existen ciertos distritos electorales uninominales que tienen un mayor porcentaje de población y por ende de </w:t>
      </w:r>
      <w:r w:rsidRPr="00665992">
        <w:rPr>
          <w:rFonts w:ascii="Arial" w:hAnsi="Arial" w:cs="Arial"/>
          <w:bCs/>
          <w:spacing w:val="4"/>
          <w:sz w:val="28"/>
          <w:szCs w:val="28"/>
        </w:rPr>
        <w:t xml:space="preserve">votación (por ejemplo, el Distrito Electoral Uninominal 23 que tiene </w:t>
      </w:r>
      <w:r w:rsidRPr="00665992">
        <w:rPr>
          <w:rFonts w:ascii="Arial" w:hAnsi="Arial" w:cs="Arial"/>
          <w:b/>
          <w:spacing w:val="4"/>
          <w:sz w:val="28"/>
          <w:szCs w:val="28"/>
        </w:rPr>
        <w:t>261,433</w:t>
      </w:r>
      <w:r w:rsidRPr="00665992">
        <w:rPr>
          <w:rFonts w:ascii="Arial" w:hAnsi="Arial" w:cs="Arial"/>
          <w:bCs/>
          <w:spacing w:val="4"/>
          <w:sz w:val="28"/>
          <w:szCs w:val="28"/>
        </w:rPr>
        <w:t xml:space="preserve"> personas electoras), respecto de otros distritos electorales que no lo tienen (caso del Distrito Electoral Uninominal 33, que cuenta con </w:t>
      </w:r>
      <w:r w:rsidRPr="00665992">
        <w:rPr>
          <w:rFonts w:ascii="Arial" w:hAnsi="Arial" w:cs="Arial"/>
          <w:b/>
          <w:spacing w:val="4"/>
          <w:sz w:val="28"/>
          <w:szCs w:val="28"/>
        </w:rPr>
        <w:t>201,530</w:t>
      </w:r>
      <w:r w:rsidRPr="00665992">
        <w:rPr>
          <w:rFonts w:ascii="Arial" w:hAnsi="Arial" w:cs="Arial"/>
          <w:bCs/>
          <w:spacing w:val="4"/>
          <w:sz w:val="28"/>
          <w:szCs w:val="28"/>
        </w:rPr>
        <w:t xml:space="preserve"> personas votantes).</w:t>
      </w:r>
    </w:p>
    <w:p w14:paraId="45AE5196" w14:textId="77777777" w:rsidR="00E76FD6" w:rsidRDefault="00E76FD6" w:rsidP="00E76FD6">
      <w:pPr>
        <w:spacing w:before="240" w:line="360" w:lineRule="auto"/>
        <w:ind w:right="49"/>
        <w:jc w:val="both"/>
        <w:rPr>
          <w:rFonts w:ascii="Arial" w:hAnsi="Arial" w:cs="Arial"/>
          <w:bCs/>
          <w:spacing w:val="4"/>
          <w:sz w:val="28"/>
          <w:szCs w:val="28"/>
        </w:rPr>
      </w:pPr>
      <w:r>
        <w:rPr>
          <w:rFonts w:ascii="Arial" w:hAnsi="Arial" w:cs="Arial"/>
          <w:bCs/>
          <w:spacing w:val="4"/>
          <w:sz w:val="28"/>
          <w:szCs w:val="28"/>
        </w:rPr>
        <w:lastRenderedPageBreak/>
        <w:t xml:space="preserve">Lo que genera que en los distritos electorales donde exista un mayor número de personas votantes, las y los mejores perdedores tengan mayores posibilidades de integrar los primeros lugares de la Lista “B” respecto de aquellas en las que el número de personas votantes es menor, reduciendo sus posibilidades de acceder a alguna diputación de representación proporcional al momento de intercalar la Lista “A” con la “B” y generar la Lista Definitiva, de ahí que la interpretación que debe imperar sea la de integrar las listas con la </w:t>
      </w:r>
      <w:r w:rsidRPr="00525E3B">
        <w:rPr>
          <w:rFonts w:ascii="Arial" w:hAnsi="Arial" w:cs="Arial"/>
          <w:b/>
          <w:spacing w:val="4"/>
          <w:sz w:val="28"/>
          <w:szCs w:val="28"/>
        </w:rPr>
        <w:t xml:space="preserve">votación local emitida </w:t>
      </w:r>
      <w:r>
        <w:rPr>
          <w:rFonts w:ascii="Arial" w:hAnsi="Arial" w:cs="Arial"/>
          <w:bCs/>
          <w:spacing w:val="4"/>
          <w:sz w:val="28"/>
          <w:szCs w:val="28"/>
        </w:rPr>
        <w:t>y no así la de conformarlas con la votación distrital emitida.</w:t>
      </w:r>
    </w:p>
    <w:p w14:paraId="4B7CB771" w14:textId="77777777" w:rsidR="00E76FD6" w:rsidRPr="00815BC2" w:rsidRDefault="00E76FD6" w:rsidP="00E76FD6">
      <w:pPr>
        <w:spacing w:before="240" w:line="360" w:lineRule="auto"/>
        <w:ind w:right="51"/>
        <w:jc w:val="both"/>
        <w:rPr>
          <w:rFonts w:ascii="Arial" w:hAnsi="Arial" w:cs="Arial"/>
          <w:bCs/>
          <w:spacing w:val="4"/>
          <w:sz w:val="28"/>
          <w:szCs w:val="28"/>
        </w:rPr>
      </w:pPr>
      <w:r w:rsidRPr="00815BC2">
        <w:rPr>
          <w:rFonts w:ascii="Arial" w:hAnsi="Arial" w:cs="Arial"/>
          <w:sz w:val="28"/>
          <w:szCs w:val="28"/>
        </w:rPr>
        <w:t xml:space="preserve">Así las cosas, en el caso estimo que le asistía razón a la parte promovente respecto a que no resultaba procedente que la conformación de las Listas (Lista “B” y definitivas) para la asignación de diputaciones de representación proporcional se hiciera con la “votación distrital”, ya que, a la luz de los principios de igualdad y equidad, desde mi perspectiva </w:t>
      </w:r>
      <w:r w:rsidRPr="00815BC2">
        <w:rPr>
          <w:rFonts w:ascii="Arial" w:hAnsi="Arial" w:cs="Arial"/>
          <w:bCs/>
          <w:spacing w:val="4"/>
          <w:sz w:val="28"/>
          <w:szCs w:val="28"/>
        </w:rPr>
        <w:t>las listas definitivas de los partidos políticos debieron integrarse bajo el análisis de la votación local emitida.</w:t>
      </w:r>
    </w:p>
    <w:p w14:paraId="0A963CA0" w14:textId="77777777" w:rsidR="00E76FD6" w:rsidRDefault="00E76FD6" w:rsidP="00E76FD6">
      <w:pPr>
        <w:spacing w:before="240" w:line="360" w:lineRule="auto"/>
        <w:ind w:right="51"/>
        <w:jc w:val="both"/>
        <w:rPr>
          <w:rFonts w:ascii="Arial" w:hAnsi="Arial" w:cs="Arial"/>
          <w:bCs/>
          <w:spacing w:val="4"/>
          <w:sz w:val="28"/>
          <w:szCs w:val="28"/>
        </w:rPr>
      </w:pPr>
      <w:r>
        <w:rPr>
          <w:rFonts w:ascii="Arial" w:hAnsi="Arial" w:cs="Arial"/>
          <w:bCs/>
          <w:spacing w:val="4"/>
          <w:sz w:val="28"/>
          <w:szCs w:val="28"/>
        </w:rPr>
        <w:t xml:space="preserve">En tal sentido, desde mi perspectiva, y tomando en consideración que las listas debieron integrarse con la </w:t>
      </w:r>
      <w:r w:rsidRPr="00525E3B">
        <w:rPr>
          <w:rFonts w:ascii="Arial" w:hAnsi="Arial" w:cs="Arial"/>
          <w:b/>
          <w:spacing w:val="4"/>
          <w:sz w:val="28"/>
          <w:szCs w:val="28"/>
        </w:rPr>
        <w:t>votación local emitida</w:t>
      </w:r>
      <w:r>
        <w:rPr>
          <w:rFonts w:ascii="Arial" w:hAnsi="Arial" w:cs="Arial"/>
          <w:bCs/>
          <w:spacing w:val="4"/>
          <w:sz w:val="28"/>
          <w:szCs w:val="28"/>
        </w:rPr>
        <w:t>, se debió modificar la integración de las Listas definitivas de los partidos políticos para quedar de la siguiente manera:</w:t>
      </w:r>
    </w:p>
    <w:tbl>
      <w:tblPr>
        <w:tblStyle w:val="Tablaconcuadrcula511"/>
        <w:tblW w:w="0" w:type="auto"/>
        <w:tblInd w:w="-75" w:type="dxa"/>
        <w:tblLook w:val="04A0" w:firstRow="1" w:lastRow="0" w:firstColumn="1" w:lastColumn="0" w:noHBand="0" w:noVBand="1"/>
      </w:tblPr>
      <w:tblGrid>
        <w:gridCol w:w="1005"/>
        <w:gridCol w:w="908"/>
        <w:gridCol w:w="2410"/>
        <w:gridCol w:w="2268"/>
        <w:gridCol w:w="1463"/>
      </w:tblGrid>
      <w:tr w:rsidR="00E76FD6" w:rsidRPr="0080446A" w14:paraId="55284B62" w14:textId="77777777" w:rsidTr="002E48E2">
        <w:trPr>
          <w:trHeight w:val="958"/>
        </w:trPr>
        <w:tc>
          <w:tcPr>
            <w:tcW w:w="0" w:type="auto"/>
            <w:gridSpan w:val="5"/>
            <w:shd w:val="clear" w:color="auto" w:fill="FF00FF"/>
            <w:vAlign w:val="center"/>
          </w:tcPr>
          <w:p w14:paraId="40A0800B"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 xml:space="preserve">LISTA DEFINITIVA </w:t>
            </w:r>
          </w:p>
          <w:p w14:paraId="685D0F7E"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PAN</w:t>
            </w:r>
          </w:p>
        </w:tc>
      </w:tr>
      <w:tr w:rsidR="00E76FD6" w:rsidRPr="0080446A" w14:paraId="155060E4" w14:textId="77777777" w:rsidTr="002E48E2">
        <w:tc>
          <w:tcPr>
            <w:tcW w:w="1005" w:type="dxa"/>
            <w:shd w:val="clear" w:color="auto" w:fill="FF00FF"/>
            <w:vAlign w:val="center"/>
          </w:tcPr>
          <w:p w14:paraId="05E0DD0D"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Fórmula</w:t>
            </w:r>
          </w:p>
        </w:tc>
        <w:tc>
          <w:tcPr>
            <w:tcW w:w="908" w:type="dxa"/>
            <w:shd w:val="clear" w:color="auto" w:fill="FF00FF"/>
            <w:vAlign w:val="center"/>
          </w:tcPr>
          <w:p w14:paraId="1E8CE529"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Sexo</w:t>
            </w:r>
          </w:p>
        </w:tc>
        <w:tc>
          <w:tcPr>
            <w:tcW w:w="2410" w:type="dxa"/>
            <w:shd w:val="clear" w:color="auto" w:fill="FF00FF"/>
            <w:vAlign w:val="center"/>
          </w:tcPr>
          <w:p w14:paraId="1E401A88"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Candidatura propietaria</w:t>
            </w:r>
          </w:p>
        </w:tc>
        <w:tc>
          <w:tcPr>
            <w:tcW w:w="2268" w:type="dxa"/>
            <w:shd w:val="clear" w:color="auto" w:fill="FF00FF"/>
            <w:vAlign w:val="center"/>
          </w:tcPr>
          <w:p w14:paraId="1C469592"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Candidatura suplente</w:t>
            </w:r>
          </w:p>
        </w:tc>
        <w:tc>
          <w:tcPr>
            <w:tcW w:w="1463" w:type="dxa"/>
            <w:shd w:val="clear" w:color="auto" w:fill="FF00FF"/>
            <w:vAlign w:val="center"/>
          </w:tcPr>
          <w:p w14:paraId="5AE4C46D"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Lugar y lista de origen</w:t>
            </w:r>
          </w:p>
        </w:tc>
      </w:tr>
      <w:tr w:rsidR="00E76FD6" w:rsidRPr="0080446A" w14:paraId="21E638EF" w14:textId="77777777" w:rsidTr="002E48E2">
        <w:tc>
          <w:tcPr>
            <w:tcW w:w="1005" w:type="dxa"/>
            <w:shd w:val="clear" w:color="auto" w:fill="auto"/>
            <w:vAlign w:val="center"/>
          </w:tcPr>
          <w:p w14:paraId="47A1D5C2" w14:textId="77777777" w:rsidR="00E76FD6" w:rsidRPr="0080446A" w:rsidRDefault="00E76FD6" w:rsidP="00E76FD6">
            <w:pPr>
              <w:widowControl w:val="0"/>
              <w:numPr>
                <w:ilvl w:val="0"/>
                <w:numId w:val="18"/>
              </w:numPr>
              <w:spacing w:before="240" w:line="240" w:lineRule="auto"/>
              <w:jc w:val="both"/>
              <w:rPr>
                <w:rFonts w:ascii="Arial" w:eastAsia="Calibri" w:hAnsi="Arial" w:cs="Arial"/>
                <w:b/>
                <w:sz w:val="20"/>
                <w:szCs w:val="20"/>
              </w:rPr>
            </w:pPr>
          </w:p>
        </w:tc>
        <w:tc>
          <w:tcPr>
            <w:tcW w:w="908" w:type="dxa"/>
            <w:shd w:val="clear" w:color="auto" w:fill="auto"/>
            <w:vAlign w:val="center"/>
          </w:tcPr>
          <w:p w14:paraId="26923F88"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H</w:t>
            </w:r>
          </w:p>
        </w:tc>
        <w:tc>
          <w:tcPr>
            <w:tcW w:w="2410" w:type="dxa"/>
            <w:shd w:val="clear" w:color="auto" w:fill="auto"/>
            <w:vAlign w:val="center"/>
          </w:tcPr>
          <w:p w14:paraId="539C05E5" w14:textId="77777777" w:rsidR="00E76FD6" w:rsidRPr="0080446A" w:rsidRDefault="00E76FD6" w:rsidP="002E48E2">
            <w:pPr>
              <w:spacing w:before="240"/>
              <w:jc w:val="both"/>
              <w:rPr>
                <w:rFonts w:ascii="Arial" w:eastAsia="Calibri" w:hAnsi="Arial" w:cs="Arial"/>
                <w:sz w:val="20"/>
                <w:szCs w:val="20"/>
              </w:rPr>
            </w:pPr>
            <w:r w:rsidRPr="0080446A">
              <w:rPr>
                <w:rFonts w:ascii="Arial" w:eastAsia="Calibri" w:hAnsi="Arial" w:cs="Arial"/>
                <w:sz w:val="20"/>
                <w:szCs w:val="20"/>
              </w:rPr>
              <w:t xml:space="preserve">Raúl de Jesús Torres Guerrero </w:t>
            </w:r>
          </w:p>
        </w:tc>
        <w:tc>
          <w:tcPr>
            <w:tcW w:w="2268" w:type="dxa"/>
            <w:shd w:val="clear" w:color="auto" w:fill="auto"/>
            <w:vAlign w:val="center"/>
          </w:tcPr>
          <w:p w14:paraId="239AF297" w14:textId="77777777" w:rsidR="00E76FD6" w:rsidRPr="0080446A" w:rsidRDefault="00E76FD6" w:rsidP="002E48E2">
            <w:pPr>
              <w:spacing w:before="240"/>
              <w:jc w:val="both"/>
              <w:rPr>
                <w:rFonts w:ascii="Arial" w:eastAsia="Calibri" w:hAnsi="Arial" w:cs="Arial"/>
                <w:sz w:val="20"/>
                <w:szCs w:val="20"/>
              </w:rPr>
            </w:pPr>
            <w:r w:rsidRPr="0080446A">
              <w:rPr>
                <w:rFonts w:ascii="Arial" w:eastAsia="Calibri" w:hAnsi="Arial" w:cs="Arial"/>
                <w:sz w:val="20"/>
                <w:szCs w:val="20"/>
              </w:rPr>
              <w:t>Nancy Viridiana Rangel López</w:t>
            </w:r>
          </w:p>
        </w:tc>
        <w:tc>
          <w:tcPr>
            <w:tcW w:w="1463" w:type="dxa"/>
            <w:shd w:val="clear" w:color="auto" w:fill="auto"/>
            <w:vAlign w:val="center"/>
          </w:tcPr>
          <w:p w14:paraId="0A5960E0" w14:textId="77777777" w:rsidR="00E76FD6" w:rsidRPr="0080446A" w:rsidRDefault="00E76FD6" w:rsidP="002E48E2">
            <w:pPr>
              <w:spacing w:before="240"/>
              <w:jc w:val="center"/>
              <w:rPr>
                <w:rFonts w:ascii="Arial" w:eastAsia="Calibri" w:hAnsi="Arial" w:cs="Arial"/>
                <w:b/>
                <w:bCs/>
                <w:sz w:val="20"/>
                <w:szCs w:val="20"/>
              </w:rPr>
            </w:pPr>
            <w:r w:rsidRPr="0080446A">
              <w:rPr>
                <w:rFonts w:ascii="Arial" w:eastAsia="Calibri" w:hAnsi="Arial" w:cs="Arial"/>
                <w:b/>
                <w:bCs/>
                <w:sz w:val="20"/>
                <w:szCs w:val="20"/>
              </w:rPr>
              <w:t>Diputación Migrante</w:t>
            </w:r>
          </w:p>
        </w:tc>
      </w:tr>
      <w:tr w:rsidR="00E76FD6" w:rsidRPr="0080446A" w14:paraId="3038EAEE" w14:textId="77777777" w:rsidTr="002E48E2">
        <w:tc>
          <w:tcPr>
            <w:tcW w:w="1005" w:type="dxa"/>
            <w:shd w:val="clear" w:color="auto" w:fill="auto"/>
            <w:vAlign w:val="center"/>
          </w:tcPr>
          <w:p w14:paraId="1822EE36" w14:textId="77777777" w:rsidR="00E76FD6" w:rsidRPr="0080446A" w:rsidRDefault="00E76FD6" w:rsidP="00E76FD6">
            <w:pPr>
              <w:widowControl w:val="0"/>
              <w:numPr>
                <w:ilvl w:val="0"/>
                <w:numId w:val="18"/>
              </w:numPr>
              <w:spacing w:before="240" w:line="240" w:lineRule="auto"/>
              <w:jc w:val="both"/>
              <w:rPr>
                <w:rFonts w:ascii="Arial" w:eastAsia="Calibri" w:hAnsi="Arial" w:cs="Arial"/>
                <w:b/>
                <w:sz w:val="20"/>
                <w:szCs w:val="20"/>
              </w:rPr>
            </w:pPr>
          </w:p>
        </w:tc>
        <w:tc>
          <w:tcPr>
            <w:tcW w:w="908" w:type="dxa"/>
            <w:shd w:val="clear" w:color="auto" w:fill="auto"/>
            <w:vAlign w:val="center"/>
          </w:tcPr>
          <w:p w14:paraId="0F1948BD"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H</w:t>
            </w:r>
          </w:p>
        </w:tc>
        <w:tc>
          <w:tcPr>
            <w:tcW w:w="2410" w:type="dxa"/>
            <w:shd w:val="clear" w:color="auto" w:fill="auto"/>
            <w:vAlign w:val="center"/>
          </w:tcPr>
          <w:p w14:paraId="58083A33" w14:textId="77777777" w:rsidR="00E76FD6" w:rsidRPr="0080446A" w:rsidRDefault="00E76FD6" w:rsidP="002E48E2">
            <w:pPr>
              <w:spacing w:before="240"/>
              <w:jc w:val="both"/>
              <w:rPr>
                <w:rFonts w:ascii="Arial" w:eastAsia="Calibri" w:hAnsi="Arial" w:cs="Arial"/>
                <w:sz w:val="20"/>
                <w:szCs w:val="20"/>
              </w:rPr>
            </w:pPr>
            <w:r w:rsidRPr="0080446A">
              <w:rPr>
                <w:rFonts w:ascii="Arial" w:eastAsia="Calibri" w:hAnsi="Arial" w:cs="Arial"/>
                <w:sz w:val="20"/>
                <w:szCs w:val="20"/>
              </w:rPr>
              <w:t xml:space="preserve">Federico </w:t>
            </w:r>
            <w:proofErr w:type="spellStart"/>
            <w:r w:rsidRPr="0080446A">
              <w:rPr>
                <w:rFonts w:ascii="Arial" w:eastAsia="Calibri" w:hAnsi="Arial" w:cs="Arial"/>
                <w:sz w:val="20"/>
                <w:szCs w:val="20"/>
              </w:rPr>
              <w:t>Döring</w:t>
            </w:r>
            <w:proofErr w:type="spellEnd"/>
            <w:r w:rsidRPr="0080446A">
              <w:rPr>
                <w:rFonts w:ascii="Arial" w:eastAsia="Calibri" w:hAnsi="Arial" w:cs="Arial"/>
                <w:sz w:val="20"/>
                <w:szCs w:val="20"/>
              </w:rPr>
              <w:t xml:space="preserve"> Casar</w:t>
            </w:r>
          </w:p>
        </w:tc>
        <w:tc>
          <w:tcPr>
            <w:tcW w:w="2268" w:type="dxa"/>
            <w:shd w:val="clear" w:color="auto" w:fill="auto"/>
            <w:vAlign w:val="center"/>
          </w:tcPr>
          <w:p w14:paraId="4EAD9191" w14:textId="77777777" w:rsidR="00E76FD6" w:rsidRPr="0080446A" w:rsidRDefault="00E76FD6" w:rsidP="002E48E2">
            <w:pPr>
              <w:spacing w:before="240"/>
              <w:jc w:val="both"/>
              <w:rPr>
                <w:rFonts w:ascii="Arial" w:eastAsia="Calibri" w:hAnsi="Arial" w:cs="Arial"/>
                <w:sz w:val="20"/>
                <w:szCs w:val="20"/>
              </w:rPr>
            </w:pPr>
            <w:r w:rsidRPr="0080446A">
              <w:rPr>
                <w:rFonts w:ascii="Arial" w:eastAsia="Calibri" w:hAnsi="Arial" w:cs="Arial"/>
                <w:sz w:val="20"/>
                <w:szCs w:val="20"/>
              </w:rPr>
              <w:t>Luis Antonio Oviedo Garza</w:t>
            </w:r>
          </w:p>
        </w:tc>
        <w:tc>
          <w:tcPr>
            <w:tcW w:w="1463" w:type="dxa"/>
            <w:shd w:val="clear" w:color="auto" w:fill="auto"/>
            <w:vAlign w:val="center"/>
          </w:tcPr>
          <w:p w14:paraId="73B635C0"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1A</w:t>
            </w:r>
          </w:p>
        </w:tc>
      </w:tr>
      <w:tr w:rsidR="00E76FD6" w:rsidRPr="0080446A" w14:paraId="3BE47F4A" w14:textId="77777777" w:rsidTr="002E48E2">
        <w:tc>
          <w:tcPr>
            <w:tcW w:w="1005" w:type="dxa"/>
            <w:shd w:val="clear" w:color="auto" w:fill="auto"/>
            <w:vAlign w:val="center"/>
          </w:tcPr>
          <w:p w14:paraId="129980C2" w14:textId="77777777" w:rsidR="00E76FD6" w:rsidRPr="0080446A" w:rsidRDefault="00E76FD6" w:rsidP="00E76FD6">
            <w:pPr>
              <w:widowControl w:val="0"/>
              <w:numPr>
                <w:ilvl w:val="0"/>
                <w:numId w:val="18"/>
              </w:numPr>
              <w:spacing w:before="240" w:line="240" w:lineRule="auto"/>
              <w:jc w:val="center"/>
              <w:rPr>
                <w:rFonts w:ascii="Arial" w:eastAsia="Calibri" w:hAnsi="Arial" w:cs="Arial"/>
                <w:b/>
                <w:sz w:val="20"/>
                <w:szCs w:val="20"/>
              </w:rPr>
            </w:pPr>
          </w:p>
        </w:tc>
        <w:tc>
          <w:tcPr>
            <w:tcW w:w="908" w:type="dxa"/>
            <w:shd w:val="clear" w:color="auto" w:fill="auto"/>
            <w:vAlign w:val="center"/>
          </w:tcPr>
          <w:p w14:paraId="25ED5337" w14:textId="77777777" w:rsidR="00E76FD6" w:rsidRPr="0080446A" w:rsidRDefault="00E76FD6" w:rsidP="002E48E2">
            <w:pPr>
              <w:spacing w:before="240"/>
              <w:jc w:val="center"/>
              <w:rPr>
                <w:rFonts w:ascii="Arial" w:hAnsi="Arial" w:cs="Arial"/>
                <w:b/>
                <w:color w:val="000000"/>
                <w:sz w:val="20"/>
                <w:szCs w:val="20"/>
              </w:rPr>
            </w:pPr>
            <w:r w:rsidRPr="0080446A">
              <w:rPr>
                <w:rFonts w:ascii="Arial" w:hAnsi="Arial" w:cs="Arial"/>
                <w:b/>
                <w:color w:val="000000"/>
                <w:sz w:val="20"/>
                <w:szCs w:val="20"/>
              </w:rPr>
              <w:t>M</w:t>
            </w:r>
          </w:p>
        </w:tc>
        <w:tc>
          <w:tcPr>
            <w:tcW w:w="2410" w:type="dxa"/>
            <w:shd w:val="clear" w:color="auto" w:fill="auto"/>
            <w:vAlign w:val="center"/>
          </w:tcPr>
          <w:p w14:paraId="1C9E3C6D" w14:textId="77777777" w:rsidR="00E76FD6" w:rsidRPr="0080446A" w:rsidRDefault="00E76FD6" w:rsidP="002E48E2">
            <w:pPr>
              <w:spacing w:before="240"/>
              <w:jc w:val="both"/>
              <w:rPr>
                <w:rFonts w:ascii="Arial" w:hAnsi="Arial" w:cs="Arial"/>
                <w:color w:val="000000"/>
                <w:sz w:val="20"/>
                <w:szCs w:val="20"/>
              </w:rPr>
            </w:pPr>
            <w:r w:rsidRPr="0080446A">
              <w:rPr>
                <w:rFonts w:ascii="Arial" w:hAnsi="Arial" w:cs="Arial"/>
                <w:color w:val="000000"/>
                <w:sz w:val="20"/>
                <w:szCs w:val="20"/>
              </w:rPr>
              <w:t>Mónica Jessica Menocal del Moral</w:t>
            </w:r>
          </w:p>
        </w:tc>
        <w:tc>
          <w:tcPr>
            <w:tcW w:w="2268" w:type="dxa"/>
            <w:shd w:val="clear" w:color="auto" w:fill="auto"/>
            <w:vAlign w:val="center"/>
          </w:tcPr>
          <w:p w14:paraId="7D80D419" w14:textId="77777777" w:rsidR="00E76FD6" w:rsidRPr="0080446A" w:rsidRDefault="00E76FD6" w:rsidP="002E48E2">
            <w:pPr>
              <w:spacing w:before="240"/>
              <w:jc w:val="both"/>
              <w:rPr>
                <w:rFonts w:ascii="Arial" w:hAnsi="Arial" w:cs="Arial"/>
                <w:color w:val="000000"/>
                <w:sz w:val="20"/>
                <w:szCs w:val="20"/>
              </w:rPr>
            </w:pPr>
            <w:r w:rsidRPr="0080446A">
              <w:rPr>
                <w:rFonts w:ascii="Arial" w:hAnsi="Arial" w:cs="Arial"/>
                <w:color w:val="000000"/>
                <w:sz w:val="20"/>
                <w:szCs w:val="20"/>
              </w:rPr>
              <w:t>Fabiola Menocal Del Moral</w:t>
            </w:r>
          </w:p>
        </w:tc>
        <w:tc>
          <w:tcPr>
            <w:tcW w:w="1463" w:type="dxa"/>
            <w:shd w:val="clear" w:color="auto" w:fill="auto"/>
            <w:vAlign w:val="center"/>
          </w:tcPr>
          <w:p w14:paraId="5255AD41"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1B</w:t>
            </w:r>
          </w:p>
        </w:tc>
      </w:tr>
      <w:tr w:rsidR="00E76FD6" w:rsidRPr="0080446A" w14:paraId="0B5DB5F1" w14:textId="77777777" w:rsidTr="002E48E2">
        <w:tc>
          <w:tcPr>
            <w:tcW w:w="1005" w:type="dxa"/>
            <w:shd w:val="clear" w:color="auto" w:fill="auto"/>
            <w:vAlign w:val="center"/>
          </w:tcPr>
          <w:p w14:paraId="47F40A35" w14:textId="77777777" w:rsidR="00E76FD6" w:rsidRPr="0080446A" w:rsidRDefault="00E76FD6" w:rsidP="00E76FD6">
            <w:pPr>
              <w:widowControl w:val="0"/>
              <w:numPr>
                <w:ilvl w:val="0"/>
                <w:numId w:val="18"/>
              </w:numPr>
              <w:spacing w:before="240" w:line="240" w:lineRule="auto"/>
              <w:jc w:val="center"/>
              <w:rPr>
                <w:rFonts w:ascii="Arial" w:eastAsia="Calibri" w:hAnsi="Arial" w:cs="Arial"/>
                <w:b/>
                <w:sz w:val="20"/>
                <w:szCs w:val="20"/>
              </w:rPr>
            </w:pPr>
          </w:p>
        </w:tc>
        <w:tc>
          <w:tcPr>
            <w:tcW w:w="908" w:type="dxa"/>
            <w:shd w:val="clear" w:color="auto" w:fill="auto"/>
            <w:vAlign w:val="center"/>
          </w:tcPr>
          <w:p w14:paraId="7838624D"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M</w:t>
            </w:r>
          </w:p>
        </w:tc>
        <w:tc>
          <w:tcPr>
            <w:tcW w:w="2410" w:type="dxa"/>
            <w:shd w:val="clear" w:color="auto" w:fill="auto"/>
            <w:vAlign w:val="center"/>
          </w:tcPr>
          <w:p w14:paraId="26201604" w14:textId="77777777" w:rsidR="00E76FD6" w:rsidRPr="0080446A" w:rsidRDefault="00E76FD6" w:rsidP="002E48E2">
            <w:pPr>
              <w:spacing w:before="240"/>
              <w:jc w:val="both"/>
              <w:rPr>
                <w:rFonts w:ascii="Arial" w:eastAsia="Calibri" w:hAnsi="Arial" w:cs="Arial"/>
                <w:sz w:val="20"/>
                <w:szCs w:val="20"/>
              </w:rPr>
            </w:pPr>
            <w:r w:rsidRPr="0080446A">
              <w:rPr>
                <w:rFonts w:ascii="Arial" w:hAnsi="Arial" w:cs="Arial"/>
                <w:sz w:val="20"/>
                <w:szCs w:val="20"/>
              </w:rPr>
              <w:t>Luisa Adriana Gutiérrez Ureña</w:t>
            </w:r>
          </w:p>
        </w:tc>
        <w:tc>
          <w:tcPr>
            <w:tcW w:w="2268" w:type="dxa"/>
            <w:shd w:val="clear" w:color="auto" w:fill="auto"/>
            <w:vAlign w:val="center"/>
          </w:tcPr>
          <w:p w14:paraId="37F95C9D" w14:textId="77777777" w:rsidR="00E76FD6" w:rsidRPr="0080446A" w:rsidRDefault="00E76FD6" w:rsidP="002E48E2">
            <w:pPr>
              <w:spacing w:before="240"/>
              <w:jc w:val="both"/>
              <w:rPr>
                <w:rFonts w:ascii="Arial" w:eastAsia="Calibri" w:hAnsi="Arial" w:cs="Arial"/>
                <w:sz w:val="20"/>
                <w:szCs w:val="20"/>
              </w:rPr>
            </w:pPr>
            <w:r w:rsidRPr="0080446A">
              <w:rPr>
                <w:rFonts w:ascii="Arial" w:eastAsia="Calibri" w:hAnsi="Arial" w:cs="Arial"/>
                <w:sz w:val="20"/>
                <w:szCs w:val="20"/>
              </w:rPr>
              <w:t>Itzel Abigail Arellano Cruces</w:t>
            </w:r>
          </w:p>
        </w:tc>
        <w:tc>
          <w:tcPr>
            <w:tcW w:w="1463" w:type="dxa"/>
            <w:shd w:val="clear" w:color="auto" w:fill="auto"/>
            <w:vAlign w:val="center"/>
          </w:tcPr>
          <w:p w14:paraId="7462BF9C"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2A</w:t>
            </w:r>
          </w:p>
        </w:tc>
      </w:tr>
      <w:tr w:rsidR="00E76FD6" w:rsidRPr="0080446A" w14:paraId="15D3CF4D" w14:textId="77777777" w:rsidTr="002E48E2">
        <w:tc>
          <w:tcPr>
            <w:tcW w:w="1005" w:type="dxa"/>
            <w:shd w:val="clear" w:color="auto" w:fill="auto"/>
            <w:vAlign w:val="center"/>
          </w:tcPr>
          <w:p w14:paraId="2519922E" w14:textId="77777777" w:rsidR="00E76FD6" w:rsidRPr="0080446A" w:rsidRDefault="00E76FD6" w:rsidP="00E76FD6">
            <w:pPr>
              <w:widowControl w:val="0"/>
              <w:numPr>
                <w:ilvl w:val="0"/>
                <w:numId w:val="18"/>
              </w:numPr>
              <w:spacing w:before="240" w:line="240" w:lineRule="auto"/>
              <w:jc w:val="center"/>
              <w:rPr>
                <w:rFonts w:ascii="Arial" w:eastAsia="Calibri" w:hAnsi="Arial" w:cs="Arial"/>
                <w:b/>
                <w:sz w:val="20"/>
                <w:szCs w:val="20"/>
              </w:rPr>
            </w:pPr>
          </w:p>
        </w:tc>
        <w:tc>
          <w:tcPr>
            <w:tcW w:w="908" w:type="dxa"/>
            <w:shd w:val="clear" w:color="auto" w:fill="auto"/>
            <w:vAlign w:val="center"/>
          </w:tcPr>
          <w:p w14:paraId="6109A7F4"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H</w:t>
            </w:r>
          </w:p>
        </w:tc>
        <w:tc>
          <w:tcPr>
            <w:tcW w:w="2410" w:type="dxa"/>
            <w:shd w:val="clear" w:color="auto" w:fill="auto"/>
            <w:vAlign w:val="center"/>
          </w:tcPr>
          <w:p w14:paraId="4A7D3327" w14:textId="77777777" w:rsidR="00E76FD6" w:rsidRPr="0080446A" w:rsidRDefault="00E76FD6" w:rsidP="002E48E2">
            <w:pPr>
              <w:spacing w:before="240"/>
              <w:jc w:val="both"/>
              <w:rPr>
                <w:rFonts w:ascii="Arial" w:hAnsi="Arial" w:cs="Arial"/>
                <w:color w:val="000000"/>
                <w:sz w:val="20"/>
                <w:szCs w:val="20"/>
              </w:rPr>
            </w:pPr>
            <w:r w:rsidRPr="0080446A">
              <w:rPr>
                <w:rFonts w:ascii="Arial" w:hAnsi="Arial" w:cs="Arial"/>
                <w:color w:val="000000"/>
                <w:sz w:val="20"/>
                <w:szCs w:val="20"/>
              </w:rPr>
              <w:t>José Gonzalo Espina Miranda</w:t>
            </w:r>
          </w:p>
        </w:tc>
        <w:tc>
          <w:tcPr>
            <w:tcW w:w="2268" w:type="dxa"/>
            <w:shd w:val="clear" w:color="auto" w:fill="auto"/>
            <w:vAlign w:val="center"/>
          </w:tcPr>
          <w:p w14:paraId="40202E25" w14:textId="77777777" w:rsidR="00E76FD6" w:rsidRPr="0080446A" w:rsidRDefault="00E76FD6" w:rsidP="002E48E2">
            <w:pPr>
              <w:spacing w:before="240"/>
              <w:jc w:val="both"/>
              <w:rPr>
                <w:rFonts w:ascii="Arial" w:hAnsi="Arial" w:cs="Arial"/>
                <w:color w:val="000000"/>
                <w:sz w:val="20"/>
                <w:szCs w:val="20"/>
              </w:rPr>
            </w:pPr>
            <w:r w:rsidRPr="0080446A">
              <w:rPr>
                <w:rFonts w:ascii="Arial" w:hAnsi="Arial" w:cs="Arial"/>
                <w:color w:val="000000"/>
                <w:sz w:val="20"/>
                <w:szCs w:val="20"/>
              </w:rPr>
              <w:t>Mario Raphael De Cárcer</w:t>
            </w:r>
          </w:p>
        </w:tc>
        <w:tc>
          <w:tcPr>
            <w:tcW w:w="1463" w:type="dxa"/>
            <w:shd w:val="clear" w:color="auto" w:fill="auto"/>
            <w:vAlign w:val="center"/>
          </w:tcPr>
          <w:p w14:paraId="2D970627"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3B</w:t>
            </w:r>
          </w:p>
        </w:tc>
      </w:tr>
      <w:tr w:rsidR="00E76FD6" w:rsidRPr="0080446A" w14:paraId="3F873EB3" w14:textId="77777777" w:rsidTr="002E48E2">
        <w:tc>
          <w:tcPr>
            <w:tcW w:w="1005" w:type="dxa"/>
            <w:shd w:val="clear" w:color="auto" w:fill="auto"/>
            <w:vAlign w:val="center"/>
          </w:tcPr>
          <w:p w14:paraId="79C47B3C" w14:textId="77777777" w:rsidR="00E76FD6" w:rsidRPr="0080446A" w:rsidRDefault="00E76FD6" w:rsidP="00E76FD6">
            <w:pPr>
              <w:widowControl w:val="0"/>
              <w:numPr>
                <w:ilvl w:val="0"/>
                <w:numId w:val="18"/>
              </w:numPr>
              <w:spacing w:before="240" w:line="240" w:lineRule="auto"/>
              <w:jc w:val="center"/>
              <w:rPr>
                <w:rFonts w:ascii="Arial" w:eastAsia="Calibri" w:hAnsi="Arial" w:cs="Arial"/>
                <w:b/>
                <w:sz w:val="20"/>
                <w:szCs w:val="20"/>
              </w:rPr>
            </w:pPr>
          </w:p>
        </w:tc>
        <w:tc>
          <w:tcPr>
            <w:tcW w:w="908" w:type="dxa"/>
            <w:shd w:val="clear" w:color="auto" w:fill="auto"/>
            <w:vAlign w:val="center"/>
          </w:tcPr>
          <w:p w14:paraId="01B8AAD5"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H</w:t>
            </w:r>
          </w:p>
        </w:tc>
        <w:tc>
          <w:tcPr>
            <w:tcW w:w="2410" w:type="dxa"/>
            <w:shd w:val="clear" w:color="auto" w:fill="auto"/>
            <w:vAlign w:val="center"/>
          </w:tcPr>
          <w:p w14:paraId="247E4E93" w14:textId="77777777" w:rsidR="00E76FD6" w:rsidRPr="0080446A" w:rsidRDefault="00E76FD6" w:rsidP="002E48E2">
            <w:pPr>
              <w:spacing w:before="240"/>
              <w:jc w:val="both"/>
              <w:rPr>
                <w:rFonts w:ascii="Arial" w:eastAsia="Calibri" w:hAnsi="Arial" w:cs="Arial"/>
                <w:sz w:val="20"/>
                <w:szCs w:val="20"/>
              </w:rPr>
            </w:pPr>
            <w:proofErr w:type="spellStart"/>
            <w:r w:rsidRPr="0080446A">
              <w:rPr>
                <w:rFonts w:ascii="Arial" w:hAnsi="Arial" w:cs="Arial"/>
                <w:sz w:val="20"/>
                <w:szCs w:val="20"/>
              </w:rPr>
              <w:t>Anibal</w:t>
            </w:r>
            <w:proofErr w:type="spellEnd"/>
            <w:r w:rsidRPr="0080446A">
              <w:rPr>
                <w:rFonts w:ascii="Arial" w:hAnsi="Arial" w:cs="Arial"/>
                <w:sz w:val="20"/>
                <w:szCs w:val="20"/>
              </w:rPr>
              <w:t xml:space="preserve"> Alexandro </w:t>
            </w:r>
            <w:proofErr w:type="spellStart"/>
            <w:r w:rsidRPr="0080446A">
              <w:rPr>
                <w:rFonts w:ascii="Arial" w:hAnsi="Arial" w:cs="Arial"/>
                <w:sz w:val="20"/>
                <w:szCs w:val="20"/>
              </w:rPr>
              <w:t>Cáñez</w:t>
            </w:r>
            <w:proofErr w:type="spellEnd"/>
            <w:r w:rsidRPr="0080446A">
              <w:rPr>
                <w:rFonts w:ascii="Arial" w:hAnsi="Arial" w:cs="Arial"/>
                <w:sz w:val="20"/>
                <w:szCs w:val="20"/>
              </w:rPr>
              <w:t xml:space="preserve"> Morales</w:t>
            </w:r>
          </w:p>
        </w:tc>
        <w:tc>
          <w:tcPr>
            <w:tcW w:w="2268" w:type="dxa"/>
            <w:shd w:val="clear" w:color="auto" w:fill="auto"/>
            <w:vAlign w:val="center"/>
          </w:tcPr>
          <w:p w14:paraId="1C9922CA" w14:textId="77777777" w:rsidR="00E76FD6" w:rsidRPr="0080446A" w:rsidRDefault="00E76FD6" w:rsidP="002E48E2">
            <w:pPr>
              <w:spacing w:before="240"/>
              <w:jc w:val="both"/>
              <w:rPr>
                <w:rFonts w:ascii="Arial" w:eastAsia="Calibri" w:hAnsi="Arial" w:cs="Arial"/>
                <w:sz w:val="20"/>
                <w:szCs w:val="20"/>
              </w:rPr>
            </w:pPr>
            <w:r w:rsidRPr="0080446A">
              <w:rPr>
                <w:rFonts w:ascii="Arial" w:hAnsi="Arial" w:cs="Arial"/>
                <w:sz w:val="20"/>
                <w:szCs w:val="20"/>
              </w:rPr>
              <w:t xml:space="preserve">Alain León </w:t>
            </w:r>
            <w:proofErr w:type="spellStart"/>
            <w:r w:rsidRPr="0080446A">
              <w:rPr>
                <w:rFonts w:ascii="Arial" w:hAnsi="Arial" w:cs="Arial"/>
                <w:sz w:val="20"/>
                <w:szCs w:val="20"/>
              </w:rPr>
              <w:t>Rasetti</w:t>
            </w:r>
            <w:proofErr w:type="spellEnd"/>
          </w:p>
        </w:tc>
        <w:tc>
          <w:tcPr>
            <w:tcW w:w="1463" w:type="dxa"/>
            <w:shd w:val="clear" w:color="auto" w:fill="auto"/>
            <w:vAlign w:val="center"/>
          </w:tcPr>
          <w:p w14:paraId="39D87181"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3A</w:t>
            </w:r>
          </w:p>
        </w:tc>
      </w:tr>
      <w:tr w:rsidR="00E76FD6" w:rsidRPr="0080446A" w14:paraId="704C2300" w14:textId="77777777" w:rsidTr="002E48E2">
        <w:tc>
          <w:tcPr>
            <w:tcW w:w="1005" w:type="dxa"/>
            <w:shd w:val="clear" w:color="auto" w:fill="auto"/>
            <w:vAlign w:val="center"/>
          </w:tcPr>
          <w:p w14:paraId="427D34E4" w14:textId="77777777" w:rsidR="00E76FD6" w:rsidRPr="0080446A" w:rsidRDefault="00E76FD6" w:rsidP="00E76FD6">
            <w:pPr>
              <w:widowControl w:val="0"/>
              <w:numPr>
                <w:ilvl w:val="0"/>
                <w:numId w:val="18"/>
              </w:numPr>
              <w:spacing w:before="240" w:line="240" w:lineRule="auto"/>
              <w:jc w:val="center"/>
              <w:rPr>
                <w:rFonts w:ascii="Arial" w:eastAsia="Calibri" w:hAnsi="Arial" w:cs="Arial"/>
                <w:b/>
                <w:sz w:val="20"/>
                <w:szCs w:val="20"/>
              </w:rPr>
            </w:pPr>
          </w:p>
        </w:tc>
        <w:tc>
          <w:tcPr>
            <w:tcW w:w="908" w:type="dxa"/>
            <w:shd w:val="clear" w:color="auto" w:fill="auto"/>
            <w:vAlign w:val="center"/>
          </w:tcPr>
          <w:p w14:paraId="5862DCD4"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M</w:t>
            </w:r>
          </w:p>
        </w:tc>
        <w:tc>
          <w:tcPr>
            <w:tcW w:w="2410" w:type="dxa"/>
            <w:shd w:val="clear" w:color="auto" w:fill="auto"/>
            <w:vAlign w:val="center"/>
          </w:tcPr>
          <w:p w14:paraId="63BE8E39" w14:textId="77777777" w:rsidR="00E76FD6" w:rsidRPr="0080446A" w:rsidRDefault="00E76FD6" w:rsidP="002E48E2">
            <w:pPr>
              <w:spacing w:before="240"/>
              <w:jc w:val="both"/>
              <w:rPr>
                <w:rFonts w:ascii="Arial" w:hAnsi="Arial" w:cs="Arial"/>
                <w:color w:val="000000"/>
                <w:sz w:val="20"/>
                <w:szCs w:val="20"/>
              </w:rPr>
            </w:pPr>
            <w:r w:rsidRPr="0080446A">
              <w:rPr>
                <w:rFonts w:ascii="Arial" w:hAnsi="Arial" w:cs="Arial"/>
                <w:color w:val="000000"/>
                <w:sz w:val="20"/>
                <w:szCs w:val="20"/>
              </w:rPr>
              <w:t>María Gabriela Salido Magos</w:t>
            </w:r>
          </w:p>
        </w:tc>
        <w:tc>
          <w:tcPr>
            <w:tcW w:w="2268" w:type="dxa"/>
            <w:shd w:val="clear" w:color="auto" w:fill="auto"/>
            <w:vAlign w:val="center"/>
          </w:tcPr>
          <w:p w14:paraId="20631F6A" w14:textId="77777777" w:rsidR="00E76FD6" w:rsidRPr="0080446A" w:rsidRDefault="00E76FD6" w:rsidP="002E48E2">
            <w:pPr>
              <w:spacing w:before="240"/>
              <w:jc w:val="both"/>
              <w:rPr>
                <w:rFonts w:ascii="Arial" w:hAnsi="Arial" w:cs="Arial"/>
                <w:color w:val="000000"/>
                <w:sz w:val="20"/>
                <w:szCs w:val="20"/>
              </w:rPr>
            </w:pPr>
            <w:r w:rsidRPr="0080446A">
              <w:rPr>
                <w:rFonts w:ascii="Arial" w:hAnsi="Arial" w:cs="Arial"/>
                <w:color w:val="000000"/>
                <w:sz w:val="20"/>
                <w:szCs w:val="20"/>
              </w:rPr>
              <w:t xml:space="preserve">Vania </w:t>
            </w:r>
            <w:proofErr w:type="spellStart"/>
            <w:r w:rsidRPr="0080446A">
              <w:rPr>
                <w:rFonts w:ascii="Arial" w:hAnsi="Arial" w:cs="Arial"/>
                <w:color w:val="000000"/>
                <w:sz w:val="20"/>
                <w:szCs w:val="20"/>
              </w:rPr>
              <w:t>Yael</w:t>
            </w:r>
            <w:proofErr w:type="spellEnd"/>
            <w:r w:rsidRPr="0080446A">
              <w:rPr>
                <w:rFonts w:ascii="Arial" w:hAnsi="Arial" w:cs="Arial"/>
                <w:color w:val="000000"/>
                <w:sz w:val="20"/>
                <w:szCs w:val="20"/>
              </w:rPr>
              <w:t xml:space="preserve"> González Veloz</w:t>
            </w:r>
          </w:p>
        </w:tc>
        <w:tc>
          <w:tcPr>
            <w:tcW w:w="1463" w:type="dxa"/>
            <w:shd w:val="clear" w:color="auto" w:fill="auto"/>
            <w:vAlign w:val="center"/>
          </w:tcPr>
          <w:p w14:paraId="15B8DEE8"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2B</w:t>
            </w:r>
          </w:p>
        </w:tc>
      </w:tr>
      <w:tr w:rsidR="00E76FD6" w:rsidRPr="0080446A" w14:paraId="30E61B01" w14:textId="77777777" w:rsidTr="002E48E2">
        <w:tc>
          <w:tcPr>
            <w:tcW w:w="1005" w:type="dxa"/>
            <w:shd w:val="clear" w:color="auto" w:fill="auto"/>
            <w:vAlign w:val="center"/>
          </w:tcPr>
          <w:p w14:paraId="33E7A419" w14:textId="77777777" w:rsidR="00E76FD6" w:rsidRPr="0080446A" w:rsidRDefault="00E76FD6" w:rsidP="00E76FD6">
            <w:pPr>
              <w:widowControl w:val="0"/>
              <w:numPr>
                <w:ilvl w:val="0"/>
                <w:numId w:val="18"/>
              </w:numPr>
              <w:spacing w:before="240" w:line="240" w:lineRule="auto"/>
              <w:jc w:val="center"/>
              <w:rPr>
                <w:rFonts w:ascii="Arial" w:eastAsia="Calibri" w:hAnsi="Arial" w:cs="Arial"/>
                <w:b/>
                <w:sz w:val="20"/>
                <w:szCs w:val="20"/>
              </w:rPr>
            </w:pPr>
          </w:p>
        </w:tc>
        <w:tc>
          <w:tcPr>
            <w:tcW w:w="908" w:type="dxa"/>
            <w:shd w:val="clear" w:color="auto" w:fill="auto"/>
            <w:vAlign w:val="center"/>
          </w:tcPr>
          <w:p w14:paraId="588F188A"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M</w:t>
            </w:r>
          </w:p>
        </w:tc>
        <w:tc>
          <w:tcPr>
            <w:tcW w:w="2410" w:type="dxa"/>
            <w:shd w:val="clear" w:color="auto" w:fill="auto"/>
            <w:vAlign w:val="center"/>
          </w:tcPr>
          <w:p w14:paraId="04AD4E96" w14:textId="77777777" w:rsidR="00E76FD6" w:rsidRPr="0080446A" w:rsidRDefault="00E76FD6" w:rsidP="002E48E2">
            <w:pPr>
              <w:spacing w:before="240"/>
              <w:jc w:val="both"/>
              <w:rPr>
                <w:rFonts w:ascii="Arial" w:eastAsia="Calibri" w:hAnsi="Arial" w:cs="Arial"/>
                <w:sz w:val="20"/>
                <w:szCs w:val="20"/>
              </w:rPr>
            </w:pPr>
            <w:r w:rsidRPr="0080446A">
              <w:rPr>
                <w:rFonts w:ascii="Arial" w:hAnsi="Arial" w:cs="Arial"/>
                <w:sz w:val="20"/>
                <w:szCs w:val="20"/>
              </w:rPr>
              <w:t>Ana Jocelyn Villagrán Villasana</w:t>
            </w:r>
          </w:p>
        </w:tc>
        <w:tc>
          <w:tcPr>
            <w:tcW w:w="2268" w:type="dxa"/>
            <w:shd w:val="clear" w:color="auto" w:fill="auto"/>
            <w:vAlign w:val="center"/>
          </w:tcPr>
          <w:p w14:paraId="07AC8BEA" w14:textId="77777777" w:rsidR="00E76FD6" w:rsidRPr="0080446A" w:rsidRDefault="00E76FD6" w:rsidP="002E48E2">
            <w:pPr>
              <w:spacing w:before="240"/>
              <w:jc w:val="both"/>
              <w:rPr>
                <w:rFonts w:ascii="Arial" w:eastAsia="Calibri" w:hAnsi="Arial" w:cs="Arial"/>
                <w:sz w:val="20"/>
                <w:szCs w:val="20"/>
              </w:rPr>
            </w:pPr>
            <w:r w:rsidRPr="0080446A">
              <w:rPr>
                <w:rFonts w:ascii="Arial" w:eastAsia="Calibri" w:hAnsi="Arial" w:cs="Arial"/>
                <w:sz w:val="20"/>
                <w:szCs w:val="20"/>
              </w:rPr>
              <w:t>Ámbar Reyes Moto</w:t>
            </w:r>
          </w:p>
        </w:tc>
        <w:tc>
          <w:tcPr>
            <w:tcW w:w="1463" w:type="dxa"/>
            <w:shd w:val="clear" w:color="auto" w:fill="auto"/>
            <w:vAlign w:val="center"/>
          </w:tcPr>
          <w:p w14:paraId="01804510"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4A</w:t>
            </w:r>
          </w:p>
        </w:tc>
      </w:tr>
      <w:tr w:rsidR="00E76FD6" w:rsidRPr="0080446A" w14:paraId="12E01829" w14:textId="77777777" w:rsidTr="002E48E2">
        <w:tc>
          <w:tcPr>
            <w:tcW w:w="1005" w:type="dxa"/>
            <w:shd w:val="clear" w:color="auto" w:fill="auto"/>
            <w:vAlign w:val="center"/>
          </w:tcPr>
          <w:p w14:paraId="06A6C4F1" w14:textId="77777777" w:rsidR="00E76FD6" w:rsidRPr="0080446A" w:rsidRDefault="00E76FD6" w:rsidP="00E76FD6">
            <w:pPr>
              <w:widowControl w:val="0"/>
              <w:numPr>
                <w:ilvl w:val="0"/>
                <w:numId w:val="18"/>
              </w:numPr>
              <w:spacing w:before="240" w:line="240" w:lineRule="auto"/>
              <w:jc w:val="center"/>
              <w:rPr>
                <w:rFonts w:ascii="Arial" w:eastAsia="Calibri" w:hAnsi="Arial" w:cs="Arial"/>
                <w:b/>
                <w:sz w:val="20"/>
                <w:szCs w:val="20"/>
              </w:rPr>
            </w:pPr>
          </w:p>
        </w:tc>
        <w:tc>
          <w:tcPr>
            <w:tcW w:w="908" w:type="dxa"/>
            <w:shd w:val="clear" w:color="auto" w:fill="auto"/>
            <w:vAlign w:val="center"/>
          </w:tcPr>
          <w:p w14:paraId="46DE0CC8"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H</w:t>
            </w:r>
          </w:p>
        </w:tc>
        <w:tc>
          <w:tcPr>
            <w:tcW w:w="2410" w:type="dxa"/>
            <w:shd w:val="clear" w:color="auto" w:fill="auto"/>
            <w:vAlign w:val="center"/>
          </w:tcPr>
          <w:p w14:paraId="4F9D31D4" w14:textId="77777777" w:rsidR="00E76FD6" w:rsidRPr="0080446A" w:rsidRDefault="00E76FD6" w:rsidP="002E48E2">
            <w:pPr>
              <w:spacing w:before="240"/>
              <w:jc w:val="both"/>
              <w:rPr>
                <w:rFonts w:ascii="Arial" w:hAnsi="Arial" w:cs="Arial"/>
                <w:color w:val="000000"/>
                <w:sz w:val="20"/>
                <w:szCs w:val="20"/>
              </w:rPr>
            </w:pPr>
            <w:r w:rsidRPr="0080446A">
              <w:rPr>
                <w:rFonts w:ascii="Arial" w:hAnsi="Arial" w:cs="Arial"/>
                <w:color w:val="000000"/>
                <w:sz w:val="20"/>
                <w:szCs w:val="20"/>
              </w:rPr>
              <w:t xml:space="preserve">Fernando </w:t>
            </w:r>
            <w:proofErr w:type="spellStart"/>
            <w:r w:rsidRPr="0080446A">
              <w:rPr>
                <w:rFonts w:ascii="Arial" w:hAnsi="Arial" w:cs="Arial"/>
                <w:color w:val="000000"/>
                <w:sz w:val="20"/>
                <w:szCs w:val="20"/>
              </w:rPr>
              <w:t>Belauzarán</w:t>
            </w:r>
            <w:proofErr w:type="spellEnd"/>
            <w:r w:rsidRPr="0080446A">
              <w:rPr>
                <w:rFonts w:ascii="Arial" w:hAnsi="Arial" w:cs="Arial"/>
                <w:color w:val="000000"/>
                <w:sz w:val="20"/>
                <w:szCs w:val="20"/>
              </w:rPr>
              <w:t xml:space="preserve"> Méndez</w:t>
            </w:r>
          </w:p>
        </w:tc>
        <w:tc>
          <w:tcPr>
            <w:tcW w:w="2268" w:type="dxa"/>
            <w:shd w:val="clear" w:color="auto" w:fill="auto"/>
            <w:vAlign w:val="center"/>
          </w:tcPr>
          <w:p w14:paraId="5C8D7A04" w14:textId="77777777" w:rsidR="00E76FD6" w:rsidRPr="0080446A" w:rsidRDefault="00E76FD6" w:rsidP="002E48E2">
            <w:pPr>
              <w:spacing w:before="240"/>
              <w:jc w:val="both"/>
              <w:rPr>
                <w:rFonts w:ascii="Arial" w:hAnsi="Arial" w:cs="Arial"/>
                <w:color w:val="000000"/>
                <w:sz w:val="20"/>
                <w:szCs w:val="20"/>
              </w:rPr>
            </w:pPr>
            <w:r w:rsidRPr="0080446A">
              <w:rPr>
                <w:rFonts w:ascii="Arial" w:hAnsi="Arial" w:cs="Arial"/>
                <w:color w:val="000000"/>
                <w:sz w:val="20"/>
                <w:szCs w:val="20"/>
              </w:rPr>
              <w:t>Ángel Luna Pacheco</w:t>
            </w:r>
          </w:p>
        </w:tc>
        <w:tc>
          <w:tcPr>
            <w:tcW w:w="1463" w:type="dxa"/>
            <w:shd w:val="clear" w:color="auto" w:fill="auto"/>
            <w:vAlign w:val="center"/>
          </w:tcPr>
          <w:p w14:paraId="3A8EC9CA"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4B</w:t>
            </w:r>
          </w:p>
        </w:tc>
      </w:tr>
      <w:tr w:rsidR="00E76FD6" w:rsidRPr="0080446A" w14:paraId="64FB72D5" w14:textId="77777777" w:rsidTr="002E48E2">
        <w:tc>
          <w:tcPr>
            <w:tcW w:w="1005" w:type="dxa"/>
            <w:shd w:val="clear" w:color="auto" w:fill="auto"/>
            <w:vAlign w:val="center"/>
          </w:tcPr>
          <w:p w14:paraId="3A0BA533" w14:textId="77777777" w:rsidR="00E76FD6" w:rsidRPr="0080446A" w:rsidRDefault="00E76FD6" w:rsidP="00E76FD6">
            <w:pPr>
              <w:widowControl w:val="0"/>
              <w:numPr>
                <w:ilvl w:val="0"/>
                <w:numId w:val="18"/>
              </w:numPr>
              <w:spacing w:before="240" w:line="240" w:lineRule="auto"/>
              <w:jc w:val="center"/>
              <w:rPr>
                <w:rFonts w:ascii="Arial" w:eastAsia="Calibri" w:hAnsi="Arial" w:cs="Arial"/>
                <w:sz w:val="20"/>
                <w:szCs w:val="20"/>
              </w:rPr>
            </w:pPr>
          </w:p>
        </w:tc>
        <w:tc>
          <w:tcPr>
            <w:tcW w:w="908" w:type="dxa"/>
            <w:shd w:val="clear" w:color="auto" w:fill="auto"/>
            <w:vAlign w:val="center"/>
          </w:tcPr>
          <w:p w14:paraId="6BCD7A3B"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H</w:t>
            </w:r>
          </w:p>
        </w:tc>
        <w:tc>
          <w:tcPr>
            <w:tcW w:w="2410" w:type="dxa"/>
            <w:shd w:val="clear" w:color="auto" w:fill="auto"/>
            <w:vAlign w:val="center"/>
          </w:tcPr>
          <w:p w14:paraId="44D70811" w14:textId="77777777" w:rsidR="00E76FD6" w:rsidRPr="0080446A" w:rsidRDefault="00E76FD6" w:rsidP="002E48E2">
            <w:pPr>
              <w:spacing w:before="240"/>
              <w:jc w:val="both"/>
              <w:rPr>
                <w:rFonts w:ascii="Arial" w:eastAsia="Calibri" w:hAnsi="Arial" w:cs="Arial"/>
                <w:sz w:val="20"/>
                <w:szCs w:val="20"/>
              </w:rPr>
            </w:pPr>
            <w:r w:rsidRPr="0080446A">
              <w:rPr>
                <w:rFonts w:ascii="Arial" w:eastAsia="Calibri" w:hAnsi="Arial" w:cs="Arial"/>
                <w:sz w:val="20"/>
                <w:szCs w:val="20"/>
              </w:rPr>
              <w:t>Rodrigo Miranda Berumen</w:t>
            </w:r>
          </w:p>
        </w:tc>
        <w:tc>
          <w:tcPr>
            <w:tcW w:w="2268" w:type="dxa"/>
            <w:shd w:val="clear" w:color="auto" w:fill="auto"/>
            <w:vAlign w:val="center"/>
          </w:tcPr>
          <w:p w14:paraId="085D5DE7" w14:textId="77777777" w:rsidR="00E76FD6" w:rsidRPr="0080446A" w:rsidRDefault="00E76FD6" w:rsidP="002E48E2">
            <w:pPr>
              <w:spacing w:before="240"/>
              <w:jc w:val="both"/>
              <w:rPr>
                <w:rFonts w:ascii="Arial" w:eastAsia="Calibri" w:hAnsi="Arial" w:cs="Arial"/>
                <w:sz w:val="20"/>
                <w:szCs w:val="20"/>
              </w:rPr>
            </w:pPr>
            <w:r w:rsidRPr="0080446A">
              <w:rPr>
                <w:rFonts w:ascii="Arial" w:hAnsi="Arial" w:cs="Arial"/>
                <w:sz w:val="20"/>
                <w:szCs w:val="20"/>
              </w:rPr>
              <w:t>Luis Paris Oviedo Guarneros</w:t>
            </w:r>
          </w:p>
        </w:tc>
        <w:tc>
          <w:tcPr>
            <w:tcW w:w="1463" w:type="dxa"/>
            <w:shd w:val="clear" w:color="auto" w:fill="auto"/>
            <w:vAlign w:val="center"/>
          </w:tcPr>
          <w:p w14:paraId="00E825B6"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5A</w:t>
            </w:r>
          </w:p>
        </w:tc>
      </w:tr>
    </w:tbl>
    <w:p w14:paraId="1D714CAB" w14:textId="608F449C" w:rsidR="00E76FD6" w:rsidRDefault="00E76FD6" w:rsidP="00E76FD6">
      <w:pPr>
        <w:spacing w:before="240"/>
      </w:pPr>
    </w:p>
    <w:tbl>
      <w:tblPr>
        <w:tblStyle w:val="Tablaconcuadrcula54"/>
        <w:tblW w:w="0" w:type="auto"/>
        <w:tblInd w:w="-75" w:type="dxa"/>
        <w:tblLook w:val="04A0" w:firstRow="1" w:lastRow="0" w:firstColumn="1" w:lastColumn="0" w:noHBand="0" w:noVBand="1"/>
      </w:tblPr>
      <w:tblGrid>
        <w:gridCol w:w="1005"/>
        <w:gridCol w:w="908"/>
        <w:gridCol w:w="2410"/>
        <w:gridCol w:w="2268"/>
        <w:gridCol w:w="1463"/>
      </w:tblGrid>
      <w:tr w:rsidR="00E76FD6" w:rsidRPr="0080446A" w14:paraId="59AB50A7" w14:textId="77777777" w:rsidTr="002E48E2">
        <w:trPr>
          <w:trHeight w:val="646"/>
          <w:tblHeader/>
        </w:trPr>
        <w:tc>
          <w:tcPr>
            <w:tcW w:w="0" w:type="auto"/>
            <w:gridSpan w:val="5"/>
            <w:shd w:val="clear" w:color="auto" w:fill="FF00FF"/>
            <w:vAlign w:val="center"/>
          </w:tcPr>
          <w:p w14:paraId="1E9701A8"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 xml:space="preserve">LISTA DEFINITIVA </w:t>
            </w:r>
          </w:p>
          <w:p w14:paraId="22275317"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MORENA</w:t>
            </w:r>
          </w:p>
        </w:tc>
      </w:tr>
      <w:tr w:rsidR="00E76FD6" w:rsidRPr="0080446A" w14:paraId="47C5E0EC" w14:textId="77777777" w:rsidTr="002E48E2">
        <w:trPr>
          <w:tblHeader/>
        </w:trPr>
        <w:tc>
          <w:tcPr>
            <w:tcW w:w="1005" w:type="dxa"/>
            <w:shd w:val="clear" w:color="auto" w:fill="FF00FF"/>
            <w:vAlign w:val="center"/>
          </w:tcPr>
          <w:p w14:paraId="1C41F275"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Fórmula</w:t>
            </w:r>
          </w:p>
        </w:tc>
        <w:tc>
          <w:tcPr>
            <w:tcW w:w="908" w:type="dxa"/>
            <w:shd w:val="clear" w:color="auto" w:fill="FF00FF"/>
            <w:vAlign w:val="center"/>
          </w:tcPr>
          <w:p w14:paraId="28FF398A"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Sexo</w:t>
            </w:r>
          </w:p>
        </w:tc>
        <w:tc>
          <w:tcPr>
            <w:tcW w:w="2410" w:type="dxa"/>
            <w:shd w:val="clear" w:color="auto" w:fill="FF00FF"/>
            <w:vAlign w:val="center"/>
          </w:tcPr>
          <w:p w14:paraId="624F1E1A"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Candidatura propietaria</w:t>
            </w:r>
          </w:p>
        </w:tc>
        <w:tc>
          <w:tcPr>
            <w:tcW w:w="2268" w:type="dxa"/>
            <w:shd w:val="clear" w:color="auto" w:fill="FF00FF"/>
            <w:vAlign w:val="center"/>
          </w:tcPr>
          <w:p w14:paraId="1042A36A"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Candidatura suplente</w:t>
            </w:r>
          </w:p>
        </w:tc>
        <w:tc>
          <w:tcPr>
            <w:tcW w:w="1463" w:type="dxa"/>
            <w:shd w:val="clear" w:color="auto" w:fill="FF00FF"/>
            <w:vAlign w:val="center"/>
          </w:tcPr>
          <w:p w14:paraId="6783D66C"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Lista de origen y lugar</w:t>
            </w:r>
          </w:p>
        </w:tc>
      </w:tr>
      <w:tr w:rsidR="00E76FD6" w:rsidRPr="0080446A" w14:paraId="4FB8DE77" w14:textId="77777777" w:rsidTr="002E48E2">
        <w:tc>
          <w:tcPr>
            <w:tcW w:w="1005" w:type="dxa"/>
            <w:shd w:val="clear" w:color="auto" w:fill="auto"/>
            <w:vAlign w:val="center"/>
          </w:tcPr>
          <w:p w14:paraId="0D52A8F6" w14:textId="77777777" w:rsidR="00E76FD6" w:rsidRPr="0080446A" w:rsidRDefault="00E76FD6" w:rsidP="00E76FD6">
            <w:pPr>
              <w:widowControl w:val="0"/>
              <w:numPr>
                <w:ilvl w:val="0"/>
                <w:numId w:val="43"/>
              </w:numPr>
              <w:spacing w:before="240" w:line="240" w:lineRule="auto"/>
              <w:jc w:val="both"/>
              <w:rPr>
                <w:rFonts w:ascii="Arial" w:eastAsia="Calibri" w:hAnsi="Arial" w:cs="Arial"/>
                <w:b/>
                <w:sz w:val="20"/>
                <w:szCs w:val="20"/>
              </w:rPr>
            </w:pPr>
          </w:p>
        </w:tc>
        <w:tc>
          <w:tcPr>
            <w:tcW w:w="908" w:type="dxa"/>
            <w:shd w:val="clear" w:color="auto" w:fill="auto"/>
            <w:vAlign w:val="center"/>
          </w:tcPr>
          <w:p w14:paraId="37289612"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H</w:t>
            </w:r>
          </w:p>
        </w:tc>
        <w:tc>
          <w:tcPr>
            <w:tcW w:w="2410" w:type="dxa"/>
            <w:shd w:val="clear" w:color="auto" w:fill="auto"/>
            <w:vAlign w:val="center"/>
          </w:tcPr>
          <w:p w14:paraId="2B120CED" w14:textId="77777777" w:rsidR="00E76FD6" w:rsidRPr="0080446A" w:rsidRDefault="00E76FD6" w:rsidP="002E48E2">
            <w:pPr>
              <w:spacing w:before="240"/>
              <w:jc w:val="center"/>
              <w:rPr>
                <w:rFonts w:ascii="Arial" w:eastAsia="Calibri" w:hAnsi="Arial" w:cs="Arial"/>
                <w:sz w:val="20"/>
                <w:szCs w:val="20"/>
              </w:rPr>
            </w:pPr>
            <w:r w:rsidRPr="0080446A">
              <w:rPr>
                <w:rFonts w:ascii="Arial" w:hAnsi="Arial" w:cs="Arial"/>
                <w:sz w:val="20"/>
                <w:szCs w:val="20"/>
              </w:rPr>
              <w:t>José de Jesús Martín del Campo Castañeda</w:t>
            </w:r>
          </w:p>
        </w:tc>
        <w:tc>
          <w:tcPr>
            <w:tcW w:w="2268" w:type="dxa"/>
            <w:shd w:val="clear" w:color="auto" w:fill="auto"/>
            <w:vAlign w:val="center"/>
          </w:tcPr>
          <w:p w14:paraId="6E86B883" w14:textId="77777777" w:rsidR="00E76FD6" w:rsidRPr="0080446A" w:rsidRDefault="00E76FD6" w:rsidP="002E48E2">
            <w:pPr>
              <w:spacing w:before="240"/>
              <w:jc w:val="center"/>
              <w:rPr>
                <w:rFonts w:ascii="Arial" w:eastAsia="Calibri" w:hAnsi="Arial" w:cs="Arial"/>
                <w:sz w:val="20"/>
                <w:szCs w:val="20"/>
              </w:rPr>
            </w:pPr>
            <w:r w:rsidRPr="0080446A">
              <w:rPr>
                <w:rFonts w:ascii="Arial" w:hAnsi="Arial" w:cs="Arial"/>
                <w:sz w:val="20"/>
                <w:szCs w:val="20"/>
              </w:rPr>
              <w:t>Luis Bravo Pérez</w:t>
            </w:r>
          </w:p>
        </w:tc>
        <w:tc>
          <w:tcPr>
            <w:tcW w:w="1463" w:type="dxa"/>
            <w:shd w:val="clear" w:color="auto" w:fill="auto"/>
            <w:vAlign w:val="center"/>
          </w:tcPr>
          <w:p w14:paraId="41616051"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1A</w:t>
            </w:r>
          </w:p>
        </w:tc>
      </w:tr>
      <w:tr w:rsidR="00E76FD6" w:rsidRPr="0080446A" w14:paraId="3CB8E2CB" w14:textId="77777777" w:rsidTr="002E48E2">
        <w:tc>
          <w:tcPr>
            <w:tcW w:w="1005" w:type="dxa"/>
            <w:shd w:val="clear" w:color="auto" w:fill="auto"/>
            <w:vAlign w:val="center"/>
          </w:tcPr>
          <w:p w14:paraId="023B494F" w14:textId="77777777" w:rsidR="00E76FD6" w:rsidRPr="0080446A" w:rsidRDefault="00E76FD6" w:rsidP="00E76FD6">
            <w:pPr>
              <w:widowControl w:val="0"/>
              <w:numPr>
                <w:ilvl w:val="0"/>
                <w:numId w:val="43"/>
              </w:numPr>
              <w:spacing w:before="240" w:line="240" w:lineRule="auto"/>
              <w:jc w:val="both"/>
              <w:rPr>
                <w:rFonts w:ascii="Arial" w:eastAsia="Calibri" w:hAnsi="Arial" w:cs="Arial"/>
                <w:b/>
                <w:sz w:val="20"/>
                <w:szCs w:val="20"/>
              </w:rPr>
            </w:pPr>
          </w:p>
        </w:tc>
        <w:tc>
          <w:tcPr>
            <w:tcW w:w="908" w:type="dxa"/>
            <w:shd w:val="clear" w:color="auto" w:fill="auto"/>
            <w:vAlign w:val="center"/>
          </w:tcPr>
          <w:p w14:paraId="37781984"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M</w:t>
            </w:r>
          </w:p>
        </w:tc>
        <w:tc>
          <w:tcPr>
            <w:tcW w:w="2410" w:type="dxa"/>
            <w:shd w:val="clear" w:color="auto" w:fill="auto"/>
          </w:tcPr>
          <w:p w14:paraId="1577B12E" w14:textId="77777777" w:rsidR="00E76FD6" w:rsidRPr="0080446A" w:rsidRDefault="00E76FD6" w:rsidP="002E48E2">
            <w:pPr>
              <w:spacing w:before="240"/>
              <w:jc w:val="center"/>
              <w:rPr>
                <w:rFonts w:ascii="Arial" w:eastAsia="Calibri" w:hAnsi="Arial" w:cs="Arial"/>
                <w:sz w:val="20"/>
                <w:szCs w:val="20"/>
              </w:rPr>
            </w:pPr>
            <w:proofErr w:type="spellStart"/>
            <w:r w:rsidRPr="0080446A">
              <w:rPr>
                <w:rFonts w:ascii="Arial" w:hAnsi="Arial" w:cs="Arial"/>
                <w:sz w:val="20"/>
                <w:szCs w:val="20"/>
              </w:rPr>
              <w:t>Yuriri</w:t>
            </w:r>
            <w:proofErr w:type="spellEnd"/>
            <w:r w:rsidRPr="0080446A">
              <w:rPr>
                <w:rFonts w:ascii="Arial" w:hAnsi="Arial" w:cs="Arial"/>
                <w:sz w:val="20"/>
                <w:szCs w:val="20"/>
              </w:rPr>
              <w:t xml:space="preserve"> Ayala Zúñiga </w:t>
            </w:r>
          </w:p>
        </w:tc>
        <w:tc>
          <w:tcPr>
            <w:tcW w:w="2268" w:type="dxa"/>
            <w:shd w:val="clear" w:color="auto" w:fill="auto"/>
          </w:tcPr>
          <w:p w14:paraId="2BD4DC1F" w14:textId="77777777" w:rsidR="00E76FD6" w:rsidRPr="0080446A" w:rsidRDefault="00E76FD6" w:rsidP="002E48E2">
            <w:pPr>
              <w:spacing w:before="240"/>
              <w:jc w:val="center"/>
              <w:rPr>
                <w:rFonts w:ascii="Arial" w:eastAsia="Calibri" w:hAnsi="Arial" w:cs="Arial"/>
                <w:sz w:val="20"/>
                <w:szCs w:val="20"/>
              </w:rPr>
            </w:pPr>
            <w:r w:rsidRPr="0080446A">
              <w:rPr>
                <w:rFonts w:ascii="Arial" w:hAnsi="Arial" w:cs="Arial"/>
                <w:sz w:val="20"/>
                <w:szCs w:val="20"/>
              </w:rPr>
              <w:t xml:space="preserve">Sandy Hernández Mercado </w:t>
            </w:r>
          </w:p>
        </w:tc>
        <w:tc>
          <w:tcPr>
            <w:tcW w:w="1463" w:type="dxa"/>
            <w:shd w:val="clear" w:color="auto" w:fill="auto"/>
            <w:vAlign w:val="center"/>
          </w:tcPr>
          <w:p w14:paraId="200D63C3"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1B</w:t>
            </w:r>
          </w:p>
        </w:tc>
      </w:tr>
      <w:tr w:rsidR="00E76FD6" w:rsidRPr="0080446A" w14:paraId="1A16CA14" w14:textId="77777777" w:rsidTr="002E48E2">
        <w:tc>
          <w:tcPr>
            <w:tcW w:w="1005" w:type="dxa"/>
            <w:shd w:val="clear" w:color="auto" w:fill="auto"/>
            <w:vAlign w:val="center"/>
          </w:tcPr>
          <w:p w14:paraId="1BE14D01" w14:textId="77777777" w:rsidR="00E76FD6" w:rsidRPr="0080446A" w:rsidRDefault="00E76FD6" w:rsidP="00E76FD6">
            <w:pPr>
              <w:widowControl w:val="0"/>
              <w:numPr>
                <w:ilvl w:val="0"/>
                <w:numId w:val="43"/>
              </w:numPr>
              <w:spacing w:before="240" w:line="240" w:lineRule="auto"/>
              <w:jc w:val="both"/>
              <w:rPr>
                <w:rFonts w:ascii="Arial" w:eastAsia="Calibri" w:hAnsi="Arial" w:cs="Arial"/>
                <w:b/>
                <w:sz w:val="20"/>
                <w:szCs w:val="20"/>
              </w:rPr>
            </w:pPr>
          </w:p>
        </w:tc>
        <w:tc>
          <w:tcPr>
            <w:tcW w:w="908" w:type="dxa"/>
            <w:shd w:val="clear" w:color="auto" w:fill="auto"/>
            <w:vAlign w:val="center"/>
          </w:tcPr>
          <w:p w14:paraId="2D53EF3D"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M</w:t>
            </w:r>
          </w:p>
        </w:tc>
        <w:tc>
          <w:tcPr>
            <w:tcW w:w="2410" w:type="dxa"/>
            <w:shd w:val="clear" w:color="auto" w:fill="auto"/>
            <w:vAlign w:val="center"/>
          </w:tcPr>
          <w:p w14:paraId="080DC2C4"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Leticia Estrada Hernández</w:t>
            </w:r>
          </w:p>
        </w:tc>
        <w:tc>
          <w:tcPr>
            <w:tcW w:w="2268" w:type="dxa"/>
            <w:shd w:val="clear" w:color="auto" w:fill="auto"/>
            <w:vAlign w:val="center"/>
          </w:tcPr>
          <w:p w14:paraId="12F5973F" w14:textId="77777777" w:rsidR="00E76FD6" w:rsidRPr="0080446A" w:rsidRDefault="00E76FD6" w:rsidP="002E48E2">
            <w:pPr>
              <w:spacing w:before="240"/>
              <w:jc w:val="center"/>
              <w:rPr>
                <w:rFonts w:ascii="Arial" w:eastAsia="Calibri" w:hAnsi="Arial" w:cs="Arial"/>
                <w:sz w:val="20"/>
                <w:szCs w:val="20"/>
              </w:rPr>
            </w:pPr>
            <w:r w:rsidRPr="0080446A">
              <w:rPr>
                <w:rFonts w:ascii="Arial" w:hAnsi="Arial" w:cs="Arial"/>
                <w:sz w:val="20"/>
                <w:szCs w:val="20"/>
              </w:rPr>
              <w:t>Rosa Alejandra Rodríguez Díaz de León</w:t>
            </w:r>
          </w:p>
        </w:tc>
        <w:tc>
          <w:tcPr>
            <w:tcW w:w="1463" w:type="dxa"/>
            <w:shd w:val="clear" w:color="auto" w:fill="auto"/>
            <w:vAlign w:val="center"/>
          </w:tcPr>
          <w:p w14:paraId="72B80EA5"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2A</w:t>
            </w:r>
          </w:p>
        </w:tc>
      </w:tr>
      <w:tr w:rsidR="00E76FD6" w:rsidRPr="0080446A" w14:paraId="0638C592" w14:textId="77777777" w:rsidTr="002E48E2">
        <w:tc>
          <w:tcPr>
            <w:tcW w:w="1005" w:type="dxa"/>
            <w:shd w:val="clear" w:color="auto" w:fill="auto"/>
            <w:vAlign w:val="center"/>
          </w:tcPr>
          <w:p w14:paraId="775317BC" w14:textId="77777777" w:rsidR="00E76FD6" w:rsidRPr="0080446A" w:rsidRDefault="00E76FD6" w:rsidP="00E76FD6">
            <w:pPr>
              <w:widowControl w:val="0"/>
              <w:numPr>
                <w:ilvl w:val="0"/>
                <w:numId w:val="43"/>
              </w:numPr>
              <w:spacing w:before="240" w:line="240" w:lineRule="auto"/>
              <w:jc w:val="center"/>
              <w:rPr>
                <w:rFonts w:ascii="Arial" w:eastAsia="Calibri" w:hAnsi="Arial" w:cs="Arial"/>
                <w:b/>
                <w:sz w:val="20"/>
                <w:szCs w:val="20"/>
              </w:rPr>
            </w:pPr>
          </w:p>
        </w:tc>
        <w:tc>
          <w:tcPr>
            <w:tcW w:w="908" w:type="dxa"/>
            <w:shd w:val="clear" w:color="auto" w:fill="auto"/>
            <w:vAlign w:val="center"/>
          </w:tcPr>
          <w:p w14:paraId="49C28986"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H</w:t>
            </w:r>
          </w:p>
        </w:tc>
        <w:tc>
          <w:tcPr>
            <w:tcW w:w="2410" w:type="dxa"/>
            <w:shd w:val="clear" w:color="auto" w:fill="auto"/>
          </w:tcPr>
          <w:p w14:paraId="4722A7D4" w14:textId="77777777" w:rsidR="00E76FD6" w:rsidRPr="0080446A" w:rsidRDefault="00E76FD6" w:rsidP="002E48E2">
            <w:pPr>
              <w:spacing w:before="240"/>
              <w:jc w:val="center"/>
              <w:rPr>
                <w:rFonts w:ascii="Arial" w:eastAsia="Calibri" w:hAnsi="Arial" w:cs="Arial"/>
                <w:sz w:val="20"/>
                <w:szCs w:val="20"/>
              </w:rPr>
            </w:pPr>
            <w:r w:rsidRPr="0080446A">
              <w:rPr>
                <w:rFonts w:ascii="Arial" w:hAnsi="Arial" w:cs="Arial"/>
                <w:sz w:val="20"/>
                <w:szCs w:val="20"/>
              </w:rPr>
              <w:t xml:space="preserve">Carlos Cervantes Godoy </w:t>
            </w:r>
          </w:p>
        </w:tc>
        <w:tc>
          <w:tcPr>
            <w:tcW w:w="2268" w:type="dxa"/>
            <w:shd w:val="clear" w:color="auto" w:fill="auto"/>
          </w:tcPr>
          <w:p w14:paraId="178D5B2A" w14:textId="77777777" w:rsidR="00E76FD6" w:rsidRPr="0080446A" w:rsidRDefault="00E76FD6" w:rsidP="002E48E2">
            <w:pPr>
              <w:spacing w:before="240"/>
              <w:jc w:val="center"/>
              <w:rPr>
                <w:rFonts w:ascii="Arial" w:eastAsia="Calibri" w:hAnsi="Arial" w:cs="Arial"/>
                <w:sz w:val="20"/>
                <w:szCs w:val="20"/>
              </w:rPr>
            </w:pPr>
            <w:r w:rsidRPr="0080446A">
              <w:rPr>
                <w:rFonts w:ascii="Arial" w:hAnsi="Arial" w:cs="Arial"/>
                <w:sz w:val="20"/>
                <w:szCs w:val="20"/>
              </w:rPr>
              <w:t xml:space="preserve">Tito Emeterio Domínguez Cerón </w:t>
            </w:r>
          </w:p>
        </w:tc>
        <w:tc>
          <w:tcPr>
            <w:tcW w:w="1463" w:type="dxa"/>
            <w:shd w:val="clear" w:color="auto" w:fill="auto"/>
            <w:vAlign w:val="center"/>
          </w:tcPr>
          <w:p w14:paraId="24EF2A5C"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2B</w:t>
            </w:r>
          </w:p>
        </w:tc>
      </w:tr>
      <w:tr w:rsidR="00E76FD6" w:rsidRPr="0080446A" w14:paraId="222D5A75" w14:textId="77777777" w:rsidTr="002E48E2">
        <w:tc>
          <w:tcPr>
            <w:tcW w:w="1005" w:type="dxa"/>
            <w:shd w:val="clear" w:color="auto" w:fill="auto"/>
            <w:vAlign w:val="center"/>
          </w:tcPr>
          <w:p w14:paraId="4B0023B7" w14:textId="77777777" w:rsidR="00E76FD6" w:rsidRPr="0080446A" w:rsidRDefault="00E76FD6" w:rsidP="00E76FD6">
            <w:pPr>
              <w:widowControl w:val="0"/>
              <w:numPr>
                <w:ilvl w:val="0"/>
                <w:numId w:val="43"/>
              </w:numPr>
              <w:spacing w:before="240" w:line="240" w:lineRule="auto"/>
              <w:jc w:val="center"/>
              <w:rPr>
                <w:rFonts w:ascii="Arial" w:eastAsia="Calibri" w:hAnsi="Arial" w:cs="Arial"/>
                <w:b/>
                <w:sz w:val="20"/>
                <w:szCs w:val="20"/>
              </w:rPr>
            </w:pPr>
          </w:p>
        </w:tc>
        <w:tc>
          <w:tcPr>
            <w:tcW w:w="908" w:type="dxa"/>
            <w:shd w:val="clear" w:color="auto" w:fill="auto"/>
            <w:vAlign w:val="center"/>
          </w:tcPr>
          <w:p w14:paraId="5F670DBA"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H</w:t>
            </w:r>
          </w:p>
        </w:tc>
        <w:tc>
          <w:tcPr>
            <w:tcW w:w="2410" w:type="dxa"/>
            <w:shd w:val="clear" w:color="auto" w:fill="auto"/>
            <w:vAlign w:val="center"/>
          </w:tcPr>
          <w:p w14:paraId="0F868824"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Héctor Díaz Polanco</w:t>
            </w:r>
          </w:p>
        </w:tc>
        <w:tc>
          <w:tcPr>
            <w:tcW w:w="2268" w:type="dxa"/>
            <w:shd w:val="clear" w:color="auto" w:fill="auto"/>
            <w:vAlign w:val="center"/>
          </w:tcPr>
          <w:p w14:paraId="37219250"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Carlos Ortiz Chávez</w:t>
            </w:r>
          </w:p>
        </w:tc>
        <w:tc>
          <w:tcPr>
            <w:tcW w:w="1463" w:type="dxa"/>
            <w:shd w:val="clear" w:color="auto" w:fill="auto"/>
            <w:vAlign w:val="center"/>
          </w:tcPr>
          <w:p w14:paraId="1DF6DA9C"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3A</w:t>
            </w:r>
          </w:p>
        </w:tc>
      </w:tr>
      <w:tr w:rsidR="00E76FD6" w:rsidRPr="0080446A" w14:paraId="4FF8EB8E" w14:textId="77777777" w:rsidTr="002E48E2">
        <w:tc>
          <w:tcPr>
            <w:tcW w:w="1005" w:type="dxa"/>
            <w:shd w:val="clear" w:color="auto" w:fill="auto"/>
            <w:vAlign w:val="center"/>
          </w:tcPr>
          <w:p w14:paraId="40F3EE6E" w14:textId="77777777" w:rsidR="00E76FD6" w:rsidRPr="0080446A" w:rsidRDefault="00E76FD6" w:rsidP="00E76FD6">
            <w:pPr>
              <w:widowControl w:val="0"/>
              <w:numPr>
                <w:ilvl w:val="0"/>
                <w:numId w:val="43"/>
              </w:numPr>
              <w:spacing w:before="240" w:line="240" w:lineRule="auto"/>
              <w:jc w:val="center"/>
              <w:rPr>
                <w:rFonts w:ascii="Arial" w:eastAsia="Calibri" w:hAnsi="Arial" w:cs="Arial"/>
                <w:b/>
                <w:sz w:val="20"/>
                <w:szCs w:val="20"/>
              </w:rPr>
            </w:pPr>
          </w:p>
        </w:tc>
        <w:tc>
          <w:tcPr>
            <w:tcW w:w="908" w:type="dxa"/>
            <w:shd w:val="clear" w:color="auto" w:fill="auto"/>
            <w:vAlign w:val="center"/>
          </w:tcPr>
          <w:p w14:paraId="690EC714"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M</w:t>
            </w:r>
          </w:p>
        </w:tc>
        <w:tc>
          <w:tcPr>
            <w:tcW w:w="2410" w:type="dxa"/>
            <w:shd w:val="clear" w:color="auto" w:fill="auto"/>
          </w:tcPr>
          <w:p w14:paraId="76F8314A" w14:textId="77777777" w:rsidR="00E76FD6" w:rsidRPr="0080446A" w:rsidRDefault="00E76FD6" w:rsidP="002E48E2">
            <w:pPr>
              <w:spacing w:before="240"/>
              <w:jc w:val="center"/>
              <w:rPr>
                <w:rFonts w:ascii="Arial" w:eastAsia="Calibri" w:hAnsi="Arial" w:cs="Arial"/>
                <w:sz w:val="20"/>
                <w:szCs w:val="20"/>
              </w:rPr>
            </w:pPr>
            <w:r w:rsidRPr="0080446A">
              <w:rPr>
                <w:rFonts w:ascii="Arial" w:hAnsi="Arial" w:cs="Arial"/>
                <w:sz w:val="20"/>
                <w:szCs w:val="20"/>
              </w:rPr>
              <w:t xml:space="preserve">Valentina Valia Batres Guadarrama </w:t>
            </w:r>
          </w:p>
        </w:tc>
        <w:tc>
          <w:tcPr>
            <w:tcW w:w="2268" w:type="dxa"/>
            <w:shd w:val="clear" w:color="auto" w:fill="auto"/>
          </w:tcPr>
          <w:p w14:paraId="2A87DAB9" w14:textId="77777777" w:rsidR="00E76FD6" w:rsidRPr="0080446A" w:rsidRDefault="00E76FD6" w:rsidP="002E48E2">
            <w:pPr>
              <w:spacing w:before="240"/>
              <w:jc w:val="center"/>
              <w:rPr>
                <w:rFonts w:ascii="Arial" w:eastAsia="Calibri" w:hAnsi="Arial" w:cs="Arial"/>
                <w:sz w:val="20"/>
                <w:szCs w:val="20"/>
              </w:rPr>
            </w:pPr>
            <w:r w:rsidRPr="0080446A">
              <w:rPr>
                <w:rFonts w:ascii="Arial" w:hAnsi="Arial" w:cs="Arial"/>
                <w:sz w:val="20"/>
                <w:szCs w:val="20"/>
              </w:rPr>
              <w:t xml:space="preserve">Perla Guadalupe Robles Vázquez </w:t>
            </w:r>
          </w:p>
        </w:tc>
        <w:tc>
          <w:tcPr>
            <w:tcW w:w="1463" w:type="dxa"/>
            <w:shd w:val="clear" w:color="auto" w:fill="auto"/>
            <w:vAlign w:val="center"/>
          </w:tcPr>
          <w:p w14:paraId="38DEA1FB"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3B</w:t>
            </w:r>
          </w:p>
        </w:tc>
      </w:tr>
      <w:tr w:rsidR="00E76FD6" w:rsidRPr="0080446A" w14:paraId="6AA35544" w14:textId="77777777" w:rsidTr="002E48E2">
        <w:tc>
          <w:tcPr>
            <w:tcW w:w="1005" w:type="dxa"/>
            <w:shd w:val="clear" w:color="auto" w:fill="auto"/>
            <w:vAlign w:val="center"/>
          </w:tcPr>
          <w:p w14:paraId="1B718A78" w14:textId="77777777" w:rsidR="00E76FD6" w:rsidRPr="0080446A" w:rsidRDefault="00E76FD6" w:rsidP="00E76FD6">
            <w:pPr>
              <w:widowControl w:val="0"/>
              <w:numPr>
                <w:ilvl w:val="0"/>
                <w:numId w:val="43"/>
              </w:numPr>
              <w:spacing w:before="240" w:line="240" w:lineRule="auto"/>
              <w:jc w:val="center"/>
              <w:rPr>
                <w:rFonts w:ascii="Arial" w:eastAsia="Calibri" w:hAnsi="Arial" w:cs="Arial"/>
                <w:b/>
                <w:sz w:val="20"/>
                <w:szCs w:val="20"/>
              </w:rPr>
            </w:pPr>
          </w:p>
        </w:tc>
        <w:tc>
          <w:tcPr>
            <w:tcW w:w="908" w:type="dxa"/>
            <w:shd w:val="clear" w:color="auto" w:fill="auto"/>
            <w:vAlign w:val="center"/>
          </w:tcPr>
          <w:p w14:paraId="6DD9D5F0"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M</w:t>
            </w:r>
          </w:p>
        </w:tc>
        <w:tc>
          <w:tcPr>
            <w:tcW w:w="2410" w:type="dxa"/>
            <w:shd w:val="clear" w:color="auto" w:fill="auto"/>
            <w:vAlign w:val="center"/>
          </w:tcPr>
          <w:p w14:paraId="58F148CE"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 xml:space="preserve">Ana Francis López </w:t>
            </w:r>
            <w:proofErr w:type="spellStart"/>
            <w:r w:rsidRPr="0080446A">
              <w:rPr>
                <w:rFonts w:ascii="Arial" w:eastAsia="Calibri" w:hAnsi="Arial" w:cs="Arial"/>
                <w:sz w:val="20"/>
                <w:szCs w:val="20"/>
              </w:rPr>
              <w:t>Bayghen</w:t>
            </w:r>
            <w:proofErr w:type="spellEnd"/>
            <w:r w:rsidRPr="0080446A">
              <w:rPr>
                <w:rFonts w:ascii="Arial" w:eastAsia="Calibri" w:hAnsi="Arial" w:cs="Arial"/>
                <w:sz w:val="20"/>
                <w:szCs w:val="20"/>
              </w:rPr>
              <w:t xml:space="preserve"> Patiño</w:t>
            </w:r>
          </w:p>
        </w:tc>
        <w:tc>
          <w:tcPr>
            <w:tcW w:w="2268" w:type="dxa"/>
            <w:shd w:val="clear" w:color="auto" w:fill="auto"/>
            <w:vAlign w:val="center"/>
          </w:tcPr>
          <w:p w14:paraId="3B82E0FA"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 xml:space="preserve">Lol </w:t>
            </w:r>
            <w:proofErr w:type="spellStart"/>
            <w:r w:rsidRPr="0080446A">
              <w:rPr>
                <w:rFonts w:ascii="Arial" w:eastAsia="Calibri" w:hAnsi="Arial" w:cs="Arial"/>
                <w:sz w:val="20"/>
                <w:szCs w:val="20"/>
              </w:rPr>
              <w:t>Kin</w:t>
            </w:r>
            <w:proofErr w:type="spellEnd"/>
            <w:r w:rsidRPr="0080446A">
              <w:rPr>
                <w:rFonts w:ascii="Arial" w:eastAsia="Calibri" w:hAnsi="Arial" w:cs="Arial"/>
                <w:sz w:val="20"/>
                <w:szCs w:val="20"/>
              </w:rPr>
              <w:t xml:space="preserve"> Castañeda Badillo</w:t>
            </w:r>
          </w:p>
        </w:tc>
        <w:tc>
          <w:tcPr>
            <w:tcW w:w="1463" w:type="dxa"/>
            <w:shd w:val="clear" w:color="auto" w:fill="auto"/>
            <w:vAlign w:val="center"/>
          </w:tcPr>
          <w:p w14:paraId="26FD9E01"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4A</w:t>
            </w:r>
          </w:p>
        </w:tc>
      </w:tr>
      <w:tr w:rsidR="00E76FD6" w:rsidRPr="0080446A" w14:paraId="3984A06B" w14:textId="77777777" w:rsidTr="002E48E2">
        <w:tc>
          <w:tcPr>
            <w:tcW w:w="1005" w:type="dxa"/>
            <w:shd w:val="clear" w:color="auto" w:fill="auto"/>
            <w:vAlign w:val="center"/>
          </w:tcPr>
          <w:p w14:paraId="170B07CB" w14:textId="77777777" w:rsidR="00E76FD6" w:rsidRPr="0080446A" w:rsidRDefault="00E76FD6" w:rsidP="00E76FD6">
            <w:pPr>
              <w:widowControl w:val="0"/>
              <w:numPr>
                <w:ilvl w:val="0"/>
                <w:numId w:val="43"/>
              </w:numPr>
              <w:spacing w:before="240" w:line="240" w:lineRule="auto"/>
              <w:jc w:val="center"/>
              <w:rPr>
                <w:rFonts w:ascii="Arial" w:eastAsia="Calibri" w:hAnsi="Arial" w:cs="Arial"/>
                <w:b/>
                <w:sz w:val="20"/>
                <w:szCs w:val="20"/>
              </w:rPr>
            </w:pPr>
          </w:p>
        </w:tc>
        <w:tc>
          <w:tcPr>
            <w:tcW w:w="908" w:type="dxa"/>
            <w:shd w:val="clear" w:color="auto" w:fill="auto"/>
            <w:vAlign w:val="center"/>
          </w:tcPr>
          <w:p w14:paraId="1D36B46A"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H</w:t>
            </w:r>
          </w:p>
        </w:tc>
        <w:tc>
          <w:tcPr>
            <w:tcW w:w="2410" w:type="dxa"/>
            <w:shd w:val="clear" w:color="auto" w:fill="auto"/>
          </w:tcPr>
          <w:p w14:paraId="56B40CCA" w14:textId="77777777" w:rsidR="00E76FD6" w:rsidRPr="0080446A" w:rsidRDefault="00E76FD6" w:rsidP="002E48E2">
            <w:pPr>
              <w:spacing w:before="240"/>
              <w:jc w:val="center"/>
              <w:rPr>
                <w:rFonts w:ascii="Arial" w:eastAsia="Calibri" w:hAnsi="Arial" w:cs="Arial"/>
                <w:sz w:val="20"/>
                <w:szCs w:val="20"/>
              </w:rPr>
            </w:pPr>
            <w:r w:rsidRPr="0080446A">
              <w:rPr>
                <w:rFonts w:ascii="Arial" w:hAnsi="Arial" w:cs="Arial"/>
                <w:sz w:val="20"/>
                <w:szCs w:val="20"/>
              </w:rPr>
              <w:t xml:space="preserve">Marco Antonio Temístocles Villanueva Ramos </w:t>
            </w:r>
          </w:p>
        </w:tc>
        <w:tc>
          <w:tcPr>
            <w:tcW w:w="2268" w:type="dxa"/>
            <w:shd w:val="clear" w:color="auto" w:fill="auto"/>
          </w:tcPr>
          <w:p w14:paraId="545B89C2" w14:textId="77777777" w:rsidR="00E76FD6" w:rsidRPr="0080446A" w:rsidRDefault="00E76FD6" w:rsidP="002E48E2">
            <w:pPr>
              <w:spacing w:before="240"/>
              <w:jc w:val="center"/>
              <w:rPr>
                <w:rFonts w:ascii="Arial" w:eastAsia="Calibri" w:hAnsi="Arial" w:cs="Arial"/>
                <w:sz w:val="20"/>
                <w:szCs w:val="20"/>
              </w:rPr>
            </w:pPr>
            <w:r w:rsidRPr="0080446A">
              <w:rPr>
                <w:rFonts w:ascii="Arial" w:hAnsi="Arial" w:cs="Arial"/>
                <w:sz w:val="20"/>
                <w:szCs w:val="20"/>
              </w:rPr>
              <w:t xml:space="preserve">Miriam Elizabeth López Castellanos </w:t>
            </w:r>
          </w:p>
        </w:tc>
        <w:tc>
          <w:tcPr>
            <w:tcW w:w="1463" w:type="dxa"/>
            <w:shd w:val="clear" w:color="auto" w:fill="auto"/>
            <w:vAlign w:val="center"/>
          </w:tcPr>
          <w:p w14:paraId="56C0B24A"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4B</w:t>
            </w:r>
          </w:p>
        </w:tc>
      </w:tr>
      <w:tr w:rsidR="00E76FD6" w:rsidRPr="0080446A" w14:paraId="5FC28033" w14:textId="77777777" w:rsidTr="002E48E2">
        <w:tc>
          <w:tcPr>
            <w:tcW w:w="1005" w:type="dxa"/>
            <w:shd w:val="clear" w:color="auto" w:fill="auto"/>
            <w:vAlign w:val="center"/>
          </w:tcPr>
          <w:p w14:paraId="300AF30D" w14:textId="77777777" w:rsidR="00E76FD6" w:rsidRPr="0080446A" w:rsidRDefault="00E76FD6" w:rsidP="00E76FD6">
            <w:pPr>
              <w:widowControl w:val="0"/>
              <w:numPr>
                <w:ilvl w:val="0"/>
                <w:numId w:val="43"/>
              </w:numPr>
              <w:spacing w:before="240" w:line="240" w:lineRule="auto"/>
              <w:jc w:val="center"/>
              <w:rPr>
                <w:rFonts w:ascii="Arial" w:eastAsia="Calibri" w:hAnsi="Arial" w:cs="Arial"/>
                <w:b/>
                <w:sz w:val="20"/>
                <w:szCs w:val="20"/>
              </w:rPr>
            </w:pPr>
          </w:p>
        </w:tc>
        <w:tc>
          <w:tcPr>
            <w:tcW w:w="908" w:type="dxa"/>
            <w:shd w:val="clear" w:color="auto" w:fill="auto"/>
            <w:vAlign w:val="center"/>
          </w:tcPr>
          <w:p w14:paraId="2F1B0CD2"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H</w:t>
            </w:r>
          </w:p>
        </w:tc>
        <w:tc>
          <w:tcPr>
            <w:tcW w:w="2410" w:type="dxa"/>
            <w:shd w:val="clear" w:color="auto" w:fill="auto"/>
            <w:vAlign w:val="center"/>
          </w:tcPr>
          <w:p w14:paraId="3BC798A0"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José Martín Padilla Sánchez</w:t>
            </w:r>
          </w:p>
        </w:tc>
        <w:tc>
          <w:tcPr>
            <w:tcW w:w="2268" w:type="dxa"/>
            <w:shd w:val="clear" w:color="auto" w:fill="auto"/>
            <w:vAlign w:val="center"/>
          </w:tcPr>
          <w:p w14:paraId="7336FEC6" w14:textId="77777777" w:rsidR="00E76FD6" w:rsidRPr="0080446A" w:rsidRDefault="00E76FD6" w:rsidP="002E48E2">
            <w:pPr>
              <w:spacing w:before="240"/>
              <w:jc w:val="center"/>
              <w:rPr>
                <w:rFonts w:ascii="Arial" w:eastAsia="Calibri" w:hAnsi="Arial" w:cs="Arial"/>
                <w:sz w:val="20"/>
                <w:szCs w:val="20"/>
              </w:rPr>
            </w:pPr>
            <w:r w:rsidRPr="0080446A">
              <w:rPr>
                <w:rFonts w:ascii="Arial" w:hAnsi="Arial" w:cs="Arial"/>
                <w:sz w:val="20"/>
                <w:szCs w:val="20"/>
              </w:rPr>
              <w:t>Mucio Israel Hernández Guerrero</w:t>
            </w:r>
          </w:p>
        </w:tc>
        <w:tc>
          <w:tcPr>
            <w:tcW w:w="1463" w:type="dxa"/>
            <w:shd w:val="clear" w:color="auto" w:fill="auto"/>
            <w:vAlign w:val="center"/>
          </w:tcPr>
          <w:p w14:paraId="1FD8EB2A"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5A</w:t>
            </w:r>
          </w:p>
        </w:tc>
      </w:tr>
      <w:tr w:rsidR="00E76FD6" w:rsidRPr="0080446A" w14:paraId="1DEC36A8" w14:textId="77777777" w:rsidTr="002E48E2">
        <w:tc>
          <w:tcPr>
            <w:tcW w:w="1005" w:type="dxa"/>
            <w:shd w:val="clear" w:color="auto" w:fill="auto"/>
            <w:vAlign w:val="center"/>
          </w:tcPr>
          <w:p w14:paraId="43BD0B7B" w14:textId="77777777" w:rsidR="00E76FD6" w:rsidRPr="0080446A" w:rsidRDefault="00E76FD6" w:rsidP="00E76FD6">
            <w:pPr>
              <w:widowControl w:val="0"/>
              <w:numPr>
                <w:ilvl w:val="0"/>
                <w:numId w:val="43"/>
              </w:numPr>
              <w:spacing w:before="240" w:line="240" w:lineRule="auto"/>
              <w:jc w:val="center"/>
              <w:rPr>
                <w:rFonts w:ascii="Arial" w:eastAsia="Calibri" w:hAnsi="Arial" w:cs="Arial"/>
                <w:b/>
                <w:sz w:val="20"/>
                <w:szCs w:val="20"/>
              </w:rPr>
            </w:pPr>
          </w:p>
        </w:tc>
        <w:tc>
          <w:tcPr>
            <w:tcW w:w="908" w:type="dxa"/>
            <w:shd w:val="clear" w:color="auto" w:fill="auto"/>
            <w:vAlign w:val="center"/>
          </w:tcPr>
          <w:p w14:paraId="466E3730"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M</w:t>
            </w:r>
          </w:p>
        </w:tc>
        <w:tc>
          <w:tcPr>
            <w:tcW w:w="2410" w:type="dxa"/>
            <w:shd w:val="clear" w:color="auto" w:fill="auto"/>
          </w:tcPr>
          <w:p w14:paraId="0D480D8C" w14:textId="77777777" w:rsidR="00E76FD6" w:rsidRPr="0080446A" w:rsidRDefault="00E76FD6" w:rsidP="002E48E2">
            <w:pPr>
              <w:spacing w:before="240"/>
              <w:jc w:val="center"/>
              <w:rPr>
                <w:rFonts w:ascii="Arial" w:eastAsia="Calibri" w:hAnsi="Arial" w:cs="Arial"/>
                <w:sz w:val="20"/>
                <w:szCs w:val="20"/>
              </w:rPr>
            </w:pPr>
            <w:r w:rsidRPr="0080446A">
              <w:rPr>
                <w:rFonts w:ascii="Arial" w:hAnsi="Arial" w:cs="Arial"/>
                <w:sz w:val="20"/>
                <w:szCs w:val="20"/>
              </w:rPr>
              <w:t xml:space="preserve">Xóchitl Bravo Espinosa </w:t>
            </w:r>
          </w:p>
        </w:tc>
        <w:tc>
          <w:tcPr>
            <w:tcW w:w="2268" w:type="dxa"/>
            <w:shd w:val="clear" w:color="auto" w:fill="auto"/>
          </w:tcPr>
          <w:p w14:paraId="203C76EC" w14:textId="77777777" w:rsidR="00E76FD6" w:rsidRPr="0080446A" w:rsidRDefault="00E76FD6" w:rsidP="002E48E2">
            <w:pPr>
              <w:spacing w:before="240"/>
              <w:jc w:val="center"/>
              <w:rPr>
                <w:rFonts w:ascii="Arial" w:eastAsia="Calibri" w:hAnsi="Arial" w:cs="Arial"/>
                <w:sz w:val="20"/>
                <w:szCs w:val="20"/>
              </w:rPr>
            </w:pPr>
            <w:r w:rsidRPr="0080446A">
              <w:rPr>
                <w:rFonts w:ascii="Arial" w:hAnsi="Arial" w:cs="Arial"/>
                <w:sz w:val="20"/>
                <w:szCs w:val="20"/>
              </w:rPr>
              <w:t xml:space="preserve">Maribel Cruz </w:t>
            </w:r>
            <w:proofErr w:type="spellStart"/>
            <w:r w:rsidRPr="0080446A">
              <w:rPr>
                <w:rFonts w:ascii="Arial" w:hAnsi="Arial" w:cs="Arial"/>
                <w:sz w:val="20"/>
                <w:szCs w:val="20"/>
              </w:rPr>
              <w:t>Cruz</w:t>
            </w:r>
            <w:proofErr w:type="spellEnd"/>
            <w:r w:rsidRPr="0080446A">
              <w:rPr>
                <w:rFonts w:ascii="Arial" w:hAnsi="Arial" w:cs="Arial"/>
                <w:sz w:val="20"/>
                <w:szCs w:val="20"/>
              </w:rPr>
              <w:t xml:space="preserve"> </w:t>
            </w:r>
          </w:p>
        </w:tc>
        <w:tc>
          <w:tcPr>
            <w:tcW w:w="1463" w:type="dxa"/>
            <w:shd w:val="clear" w:color="auto" w:fill="auto"/>
            <w:vAlign w:val="center"/>
          </w:tcPr>
          <w:p w14:paraId="4AAB0504"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5B</w:t>
            </w:r>
          </w:p>
        </w:tc>
      </w:tr>
      <w:tr w:rsidR="00E76FD6" w:rsidRPr="0080446A" w14:paraId="4D9BE754" w14:textId="77777777" w:rsidTr="002E48E2">
        <w:tc>
          <w:tcPr>
            <w:tcW w:w="1005" w:type="dxa"/>
            <w:shd w:val="clear" w:color="auto" w:fill="auto"/>
            <w:vAlign w:val="center"/>
          </w:tcPr>
          <w:p w14:paraId="09F99A75" w14:textId="77777777" w:rsidR="00E76FD6" w:rsidRPr="0080446A" w:rsidRDefault="00E76FD6" w:rsidP="00E76FD6">
            <w:pPr>
              <w:widowControl w:val="0"/>
              <w:numPr>
                <w:ilvl w:val="0"/>
                <w:numId w:val="43"/>
              </w:numPr>
              <w:spacing w:before="240" w:line="240" w:lineRule="auto"/>
              <w:jc w:val="center"/>
              <w:rPr>
                <w:rFonts w:ascii="Arial" w:eastAsia="Calibri" w:hAnsi="Arial" w:cs="Arial"/>
                <w:b/>
                <w:sz w:val="20"/>
                <w:szCs w:val="20"/>
              </w:rPr>
            </w:pPr>
          </w:p>
        </w:tc>
        <w:tc>
          <w:tcPr>
            <w:tcW w:w="908" w:type="dxa"/>
            <w:shd w:val="clear" w:color="auto" w:fill="auto"/>
            <w:vAlign w:val="center"/>
          </w:tcPr>
          <w:p w14:paraId="47A742A9"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M</w:t>
            </w:r>
          </w:p>
        </w:tc>
        <w:tc>
          <w:tcPr>
            <w:tcW w:w="2410" w:type="dxa"/>
            <w:shd w:val="clear" w:color="auto" w:fill="auto"/>
            <w:vAlign w:val="center"/>
          </w:tcPr>
          <w:p w14:paraId="76B52429"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Alejandra Méndez Vicuña</w:t>
            </w:r>
          </w:p>
        </w:tc>
        <w:tc>
          <w:tcPr>
            <w:tcW w:w="2268" w:type="dxa"/>
            <w:shd w:val="clear" w:color="auto" w:fill="auto"/>
            <w:vAlign w:val="center"/>
          </w:tcPr>
          <w:p w14:paraId="1E391FC6"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Mariana Edith Rosas Monroy</w:t>
            </w:r>
          </w:p>
        </w:tc>
        <w:tc>
          <w:tcPr>
            <w:tcW w:w="1463" w:type="dxa"/>
            <w:shd w:val="clear" w:color="auto" w:fill="auto"/>
            <w:vAlign w:val="center"/>
          </w:tcPr>
          <w:p w14:paraId="1084B18B"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6A</w:t>
            </w:r>
          </w:p>
        </w:tc>
      </w:tr>
      <w:tr w:rsidR="00E76FD6" w:rsidRPr="0080446A" w14:paraId="3FEC6AA0" w14:textId="77777777" w:rsidTr="002E48E2">
        <w:tc>
          <w:tcPr>
            <w:tcW w:w="1005" w:type="dxa"/>
            <w:shd w:val="clear" w:color="auto" w:fill="auto"/>
            <w:vAlign w:val="center"/>
          </w:tcPr>
          <w:p w14:paraId="71066671" w14:textId="77777777" w:rsidR="00E76FD6" w:rsidRPr="0080446A" w:rsidRDefault="00E76FD6" w:rsidP="00E76FD6">
            <w:pPr>
              <w:widowControl w:val="0"/>
              <w:numPr>
                <w:ilvl w:val="0"/>
                <w:numId w:val="43"/>
              </w:numPr>
              <w:spacing w:before="240" w:line="240" w:lineRule="auto"/>
              <w:jc w:val="center"/>
              <w:rPr>
                <w:rFonts w:ascii="Arial" w:eastAsia="Calibri" w:hAnsi="Arial" w:cs="Arial"/>
                <w:b/>
                <w:sz w:val="20"/>
                <w:szCs w:val="20"/>
              </w:rPr>
            </w:pPr>
          </w:p>
        </w:tc>
        <w:tc>
          <w:tcPr>
            <w:tcW w:w="908" w:type="dxa"/>
            <w:shd w:val="clear" w:color="auto" w:fill="auto"/>
            <w:vAlign w:val="center"/>
          </w:tcPr>
          <w:p w14:paraId="1D94F098"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H</w:t>
            </w:r>
          </w:p>
        </w:tc>
        <w:tc>
          <w:tcPr>
            <w:tcW w:w="2410" w:type="dxa"/>
            <w:shd w:val="clear" w:color="auto" w:fill="auto"/>
          </w:tcPr>
          <w:p w14:paraId="75DEAE4A" w14:textId="77777777" w:rsidR="00E76FD6" w:rsidRPr="0080446A" w:rsidRDefault="00E76FD6" w:rsidP="002E48E2">
            <w:pPr>
              <w:spacing w:before="240"/>
              <w:jc w:val="center"/>
              <w:rPr>
                <w:rFonts w:ascii="Arial" w:eastAsia="Calibri" w:hAnsi="Arial" w:cs="Arial"/>
                <w:b/>
                <w:bCs/>
                <w:sz w:val="20"/>
                <w:szCs w:val="20"/>
                <w:u w:val="single"/>
              </w:rPr>
            </w:pPr>
            <w:r w:rsidRPr="0080446A">
              <w:rPr>
                <w:rFonts w:ascii="Arial" w:hAnsi="Arial" w:cs="Arial"/>
                <w:b/>
                <w:bCs/>
                <w:sz w:val="20"/>
                <w:szCs w:val="20"/>
                <w:u w:val="single"/>
              </w:rPr>
              <w:t xml:space="preserve">José Luis Rodríguez Díaz de León </w:t>
            </w:r>
          </w:p>
        </w:tc>
        <w:tc>
          <w:tcPr>
            <w:tcW w:w="2268" w:type="dxa"/>
            <w:shd w:val="clear" w:color="auto" w:fill="auto"/>
          </w:tcPr>
          <w:p w14:paraId="7AD13A20" w14:textId="77777777" w:rsidR="00E76FD6" w:rsidRPr="0080446A" w:rsidRDefault="00E76FD6" w:rsidP="002E48E2">
            <w:pPr>
              <w:spacing w:before="240"/>
              <w:jc w:val="center"/>
              <w:rPr>
                <w:rFonts w:ascii="Arial" w:eastAsia="Calibri" w:hAnsi="Arial" w:cs="Arial"/>
                <w:sz w:val="20"/>
                <w:szCs w:val="20"/>
              </w:rPr>
            </w:pPr>
            <w:r w:rsidRPr="0080446A">
              <w:rPr>
                <w:rFonts w:ascii="Arial" w:hAnsi="Arial" w:cs="Arial"/>
                <w:sz w:val="20"/>
                <w:szCs w:val="20"/>
              </w:rPr>
              <w:t xml:space="preserve">Francisco Medina Padilla </w:t>
            </w:r>
          </w:p>
        </w:tc>
        <w:tc>
          <w:tcPr>
            <w:tcW w:w="1463" w:type="dxa"/>
            <w:shd w:val="clear" w:color="auto" w:fill="auto"/>
            <w:vAlign w:val="center"/>
          </w:tcPr>
          <w:p w14:paraId="47AFD788"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6B</w:t>
            </w:r>
          </w:p>
        </w:tc>
      </w:tr>
      <w:tr w:rsidR="00E76FD6" w:rsidRPr="0080446A" w14:paraId="3C0E1E9D" w14:textId="77777777" w:rsidTr="002E48E2">
        <w:tc>
          <w:tcPr>
            <w:tcW w:w="1005" w:type="dxa"/>
            <w:shd w:val="clear" w:color="auto" w:fill="auto"/>
            <w:vAlign w:val="center"/>
          </w:tcPr>
          <w:p w14:paraId="6BC35D61" w14:textId="77777777" w:rsidR="00E76FD6" w:rsidRPr="0080446A" w:rsidRDefault="00E76FD6" w:rsidP="00E76FD6">
            <w:pPr>
              <w:widowControl w:val="0"/>
              <w:numPr>
                <w:ilvl w:val="0"/>
                <w:numId w:val="43"/>
              </w:numPr>
              <w:spacing w:before="240" w:line="240" w:lineRule="auto"/>
              <w:jc w:val="center"/>
              <w:rPr>
                <w:rFonts w:ascii="Arial" w:eastAsia="Calibri" w:hAnsi="Arial" w:cs="Arial"/>
                <w:sz w:val="20"/>
                <w:szCs w:val="20"/>
              </w:rPr>
            </w:pPr>
          </w:p>
        </w:tc>
        <w:tc>
          <w:tcPr>
            <w:tcW w:w="908" w:type="dxa"/>
            <w:shd w:val="clear" w:color="auto" w:fill="auto"/>
            <w:vAlign w:val="center"/>
          </w:tcPr>
          <w:p w14:paraId="40E24999" w14:textId="77777777" w:rsidR="00E76FD6" w:rsidRPr="0080446A" w:rsidRDefault="00E76FD6" w:rsidP="002E48E2">
            <w:pPr>
              <w:spacing w:before="240"/>
              <w:jc w:val="center"/>
              <w:rPr>
                <w:rFonts w:ascii="Arial" w:eastAsia="Calibri" w:hAnsi="Arial" w:cs="Arial"/>
                <w:b/>
                <w:bCs/>
                <w:sz w:val="20"/>
                <w:szCs w:val="20"/>
              </w:rPr>
            </w:pPr>
            <w:r w:rsidRPr="0080446A">
              <w:rPr>
                <w:rFonts w:ascii="Arial" w:eastAsia="Calibri" w:hAnsi="Arial" w:cs="Arial"/>
                <w:b/>
                <w:bCs/>
                <w:sz w:val="20"/>
                <w:szCs w:val="20"/>
              </w:rPr>
              <w:t>H</w:t>
            </w:r>
          </w:p>
        </w:tc>
        <w:tc>
          <w:tcPr>
            <w:tcW w:w="2410" w:type="dxa"/>
            <w:shd w:val="clear" w:color="auto" w:fill="auto"/>
            <w:vAlign w:val="center"/>
          </w:tcPr>
          <w:p w14:paraId="442E5A0F"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Christian Moctezuma González</w:t>
            </w:r>
          </w:p>
        </w:tc>
        <w:tc>
          <w:tcPr>
            <w:tcW w:w="2268" w:type="dxa"/>
            <w:shd w:val="clear" w:color="auto" w:fill="auto"/>
            <w:vAlign w:val="center"/>
          </w:tcPr>
          <w:p w14:paraId="4141C55F"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Gerardo Hernández Domínguez</w:t>
            </w:r>
          </w:p>
        </w:tc>
        <w:tc>
          <w:tcPr>
            <w:tcW w:w="1463" w:type="dxa"/>
            <w:shd w:val="clear" w:color="auto" w:fill="auto"/>
            <w:vAlign w:val="center"/>
          </w:tcPr>
          <w:p w14:paraId="133D91C6"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7A</w:t>
            </w:r>
          </w:p>
        </w:tc>
      </w:tr>
      <w:tr w:rsidR="00E76FD6" w:rsidRPr="0080446A" w14:paraId="1A0123F0" w14:textId="77777777" w:rsidTr="002E48E2">
        <w:tc>
          <w:tcPr>
            <w:tcW w:w="1005" w:type="dxa"/>
            <w:vAlign w:val="center"/>
          </w:tcPr>
          <w:p w14:paraId="04B94408" w14:textId="77777777" w:rsidR="00E76FD6" w:rsidRPr="0080446A" w:rsidRDefault="00E76FD6" w:rsidP="00E76FD6">
            <w:pPr>
              <w:widowControl w:val="0"/>
              <w:numPr>
                <w:ilvl w:val="0"/>
                <w:numId w:val="43"/>
              </w:numPr>
              <w:spacing w:before="240" w:line="240" w:lineRule="auto"/>
              <w:jc w:val="center"/>
              <w:rPr>
                <w:rFonts w:ascii="Arial" w:eastAsia="Calibri" w:hAnsi="Arial" w:cs="Arial"/>
                <w:sz w:val="20"/>
                <w:szCs w:val="20"/>
              </w:rPr>
            </w:pPr>
          </w:p>
        </w:tc>
        <w:tc>
          <w:tcPr>
            <w:tcW w:w="908" w:type="dxa"/>
            <w:vAlign w:val="center"/>
          </w:tcPr>
          <w:p w14:paraId="527395F6" w14:textId="77777777" w:rsidR="00E76FD6" w:rsidRPr="0080446A" w:rsidRDefault="00E76FD6" w:rsidP="002E48E2">
            <w:pPr>
              <w:spacing w:before="240"/>
              <w:jc w:val="center"/>
              <w:rPr>
                <w:rFonts w:ascii="Arial" w:eastAsia="Calibri" w:hAnsi="Arial" w:cs="Arial"/>
                <w:b/>
                <w:bCs/>
                <w:sz w:val="20"/>
                <w:szCs w:val="20"/>
              </w:rPr>
            </w:pPr>
            <w:r w:rsidRPr="0080446A">
              <w:rPr>
                <w:rFonts w:ascii="Arial" w:eastAsia="Calibri" w:hAnsi="Arial" w:cs="Arial"/>
                <w:b/>
                <w:bCs/>
                <w:sz w:val="20"/>
                <w:szCs w:val="20"/>
              </w:rPr>
              <w:t>M</w:t>
            </w:r>
          </w:p>
        </w:tc>
        <w:tc>
          <w:tcPr>
            <w:tcW w:w="2410" w:type="dxa"/>
          </w:tcPr>
          <w:p w14:paraId="374CDAE8" w14:textId="77777777" w:rsidR="00E76FD6" w:rsidRPr="0080446A" w:rsidRDefault="00E76FD6" w:rsidP="002E48E2">
            <w:pPr>
              <w:spacing w:before="240"/>
              <w:jc w:val="center"/>
              <w:rPr>
                <w:rFonts w:ascii="Arial" w:eastAsia="Calibri" w:hAnsi="Arial" w:cs="Arial"/>
                <w:sz w:val="20"/>
                <w:szCs w:val="20"/>
              </w:rPr>
            </w:pPr>
            <w:proofErr w:type="spellStart"/>
            <w:r w:rsidRPr="0080446A">
              <w:rPr>
                <w:rFonts w:ascii="Arial" w:hAnsi="Arial" w:cs="Arial"/>
                <w:sz w:val="20"/>
                <w:szCs w:val="20"/>
              </w:rPr>
              <w:t>Anthea</w:t>
            </w:r>
            <w:proofErr w:type="spellEnd"/>
            <w:r w:rsidRPr="0080446A">
              <w:rPr>
                <w:rFonts w:ascii="Arial" w:hAnsi="Arial" w:cs="Arial"/>
                <w:sz w:val="20"/>
                <w:szCs w:val="20"/>
              </w:rPr>
              <w:t xml:space="preserve"> Terina Sansores Olvera </w:t>
            </w:r>
          </w:p>
        </w:tc>
        <w:tc>
          <w:tcPr>
            <w:tcW w:w="2268" w:type="dxa"/>
          </w:tcPr>
          <w:p w14:paraId="1A76B646" w14:textId="77777777" w:rsidR="00E76FD6" w:rsidRPr="0080446A" w:rsidRDefault="00E76FD6" w:rsidP="002E48E2">
            <w:pPr>
              <w:spacing w:before="240"/>
              <w:jc w:val="center"/>
              <w:rPr>
                <w:rFonts w:ascii="Arial" w:eastAsia="Calibri" w:hAnsi="Arial" w:cs="Arial"/>
                <w:sz w:val="20"/>
                <w:szCs w:val="20"/>
              </w:rPr>
            </w:pPr>
            <w:r w:rsidRPr="0080446A">
              <w:rPr>
                <w:rFonts w:ascii="Arial" w:hAnsi="Arial" w:cs="Arial"/>
                <w:sz w:val="20"/>
                <w:szCs w:val="20"/>
              </w:rPr>
              <w:t xml:space="preserve">Monserrat Adriana Bosque Sánchez </w:t>
            </w:r>
          </w:p>
        </w:tc>
        <w:tc>
          <w:tcPr>
            <w:tcW w:w="1463" w:type="dxa"/>
            <w:vAlign w:val="center"/>
          </w:tcPr>
          <w:p w14:paraId="573B538D"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7B</w:t>
            </w:r>
          </w:p>
        </w:tc>
      </w:tr>
    </w:tbl>
    <w:p w14:paraId="38CC6E41" w14:textId="77777777" w:rsidR="00E76FD6" w:rsidRDefault="00E76FD6" w:rsidP="00E76FD6">
      <w:pPr>
        <w:spacing w:before="240"/>
      </w:pPr>
    </w:p>
    <w:tbl>
      <w:tblPr>
        <w:tblStyle w:val="Tablaconcuadrcula54"/>
        <w:tblW w:w="0" w:type="auto"/>
        <w:tblInd w:w="-75" w:type="dxa"/>
        <w:tblLook w:val="04A0" w:firstRow="1" w:lastRow="0" w:firstColumn="1" w:lastColumn="0" w:noHBand="0" w:noVBand="1"/>
      </w:tblPr>
      <w:tblGrid>
        <w:gridCol w:w="1005"/>
        <w:gridCol w:w="908"/>
        <w:gridCol w:w="2410"/>
        <w:gridCol w:w="2268"/>
        <w:gridCol w:w="1463"/>
      </w:tblGrid>
      <w:tr w:rsidR="00E76FD6" w:rsidRPr="0080446A" w14:paraId="3FAA95FC" w14:textId="77777777" w:rsidTr="002E48E2">
        <w:trPr>
          <w:trHeight w:val="646"/>
          <w:tblHeader/>
        </w:trPr>
        <w:tc>
          <w:tcPr>
            <w:tcW w:w="0" w:type="auto"/>
            <w:gridSpan w:val="5"/>
            <w:shd w:val="clear" w:color="auto" w:fill="FF00FF"/>
            <w:vAlign w:val="center"/>
          </w:tcPr>
          <w:p w14:paraId="15AE72B5"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 xml:space="preserve">LISTA DEFINITIVA </w:t>
            </w:r>
          </w:p>
          <w:p w14:paraId="60733AFB"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PRD</w:t>
            </w:r>
          </w:p>
        </w:tc>
      </w:tr>
      <w:tr w:rsidR="00E76FD6" w:rsidRPr="0080446A" w14:paraId="17F3248E" w14:textId="77777777" w:rsidTr="002E48E2">
        <w:trPr>
          <w:tblHeader/>
        </w:trPr>
        <w:tc>
          <w:tcPr>
            <w:tcW w:w="1005" w:type="dxa"/>
            <w:shd w:val="clear" w:color="auto" w:fill="FF00FF"/>
            <w:vAlign w:val="center"/>
          </w:tcPr>
          <w:p w14:paraId="0E48C67B"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Fórmula</w:t>
            </w:r>
          </w:p>
        </w:tc>
        <w:tc>
          <w:tcPr>
            <w:tcW w:w="908" w:type="dxa"/>
            <w:shd w:val="clear" w:color="auto" w:fill="FF00FF"/>
            <w:vAlign w:val="center"/>
          </w:tcPr>
          <w:p w14:paraId="18F31FAC"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Sexo</w:t>
            </w:r>
          </w:p>
        </w:tc>
        <w:tc>
          <w:tcPr>
            <w:tcW w:w="2410" w:type="dxa"/>
            <w:shd w:val="clear" w:color="auto" w:fill="FF00FF"/>
            <w:vAlign w:val="center"/>
          </w:tcPr>
          <w:p w14:paraId="4212CBCC"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Candidatura propietaria</w:t>
            </w:r>
          </w:p>
        </w:tc>
        <w:tc>
          <w:tcPr>
            <w:tcW w:w="2268" w:type="dxa"/>
            <w:shd w:val="clear" w:color="auto" w:fill="FF00FF"/>
            <w:vAlign w:val="center"/>
          </w:tcPr>
          <w:p w14:paraId="6621216E"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Candidatura suplente</w:t>
            </w:r>
          </w:p>
        </w:tc>
        <w:tc>
          <w:tcPr>
            <w:tcW w:w="1463" w:type="dxa"/>
            <w:shd w:val="clear" w:color="auto" w:fill="FF00FF"/>
            <w:vAlign w:val="center"/>
          </w:tcPr>
          <w:p w14:paraId="200C6E60"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Lista de origen y lugar</w:t>
            </w:r>
          </w:p>
        </w:tc>
      </w:tr>
      <w:tr w:rsidR="00E76FD6" w:rsidRPr="0080446A" w14:paraId="6A88CEFF" w14:textId="77777777" w:rsidTr="002E48E2">
        <w:tc>
          <w:tcPr>
            <w:tcW w:w="1005" w:type="dxa"/>
            <w:shd w:val="clear" w:color="auto" w:fill="auto"/>
            <w:vAlign w:val="center"/>
          </w:tcPr>
          <w:p w14:paraId="65CE2098" w14:textId="77777777" w:rsidR="00E76FD6" w:rsidRPr="0080446A" w:rsidRDefault="00E76FD6" w:rsidP="00E76FD6">
            <w:pPr>
              <w:widowControl w:val="0"/>
              <w:numPr>
                <w:ilvl w:val="0"/>
                <w:numId w:val="43"/>
              </w:numPr>
              <w:spacing w:before="240" w:line="240" w:lineRule="auto"/>
              <w:jc w:val="both"/>
              <w:rPr>
                <w:rFonts w:ascii="Arial" w:eastAsia="Calibri" w:hAnsi="Arial" w:cs="Arial"/>
                <w:b/>
                <w:sz w:val="20"/>
                <w:szCs w:val="20"/>
              </w:rPr>
            </w:pPr>
          </w:p>
        </w:tc>
        <w:tc>
          <w:tcPr>
            <w:tcW w:w="908" w:type="dxa"/>
            <w:shd w:val="clear" w:color="auto" w:fill="auto"/>
            <w:vAlign w:val="center"/>
          </w:tcPr>
          <w:p w14:paraId="2FC54C39"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H</w:t>
            </w:r>
          </w:p>
        </w:tc>
        <w:tc>
          <w:tcPr>
            <w:tcW w:w="2410" w:type="dxa"/>
            <w:shd w:val="clear" w:color="auto" w:fill="auto"/>
            <w:vAlign w:val="center"/>
          </w:tcPr>
          <w:p w14:paraId="3F09FADA" w14:textId="77777777" w:rsidR="00E76FD6" w:rsidRPr="0080446A" w:rsidRDefault="00E76FD6" w:rsidP="002E48E2">
            <w:pPr>
              <w:spacing w:before="240"/>
              <w:jc w:val="center"/>
              <w:rPr>
                <w:rFonts w:ascii="Arial" w:eastAsia="Calibri" w:hAnsi="Arial" w:cs="Arial"/>
                <w:sz w:val="20"/>
                <w:szCs w:val="20"/>
              </w:rPr>
            </w:pPr>
            <w:r w:rsidRPr="0080446A">
              <w:rPr>
                <w:rFonts w:ascii="Arial" w:hAnsi="Arial" w:cs="Arial"/>
                <w:sz w:val="20"/>
                <w:szCs w:val="20"/>
              </w:rPr>
              <w:t>Víctor Hugo Lobo Román</w:t>
            </w:r>
          </w:p>
        </w:tc>
        <w:tc>
          <w:tcPr>
            <w:tcW w:w="2268" w:type="dxa"/>
            <w:shd w:val="clear" w:color="auto" w:fill="auto"/>
            <w:vAlign w:val="center"/>
          </w:tcPr>
          <w:p w14:paraId="7CE9565B" w14:textId="77777777" w:rsidR="00E76FD6" w:rsidRPr="0080446A" w:rsidRDefault="00E76FD6" w:rsidP="002E48E2">
            <w:pPr>
              <w:spacing w:before="240"/>
              <w:jc w:val="center"/>
              <w:rPr>
                <w:rFonts w:ascii="Arial" w:eastAsia="Calibri" w:hAnsi="Arial" w:cs="Arial"/>
                <w:sz w:val="20"/>
                <w:szCs w:val="20"/>
              </w:rPr>
            </w:pPr>
            <w:r w:rsidRPr="0080446A">
              <w:rPr>
                <w:rFonts w:ascii="Arial" w:hAnsi="Arial" w:cs="Arial"/>
                <w:sz w:val="20"/>
                <w:szCs w:val="20"/>
              </w:rPr>
              <w:t>Esteban Mario Torres Ruiz</w:t>
            </w:r>
          </w:p>
        </w:tc>
        <w:tc>
          <w:tcPr>
            <w:tcW w:w="1463" w:type="dxa"/>
            <w:shd w:val="clear" w:color="auto" w:fill="auto"/>
            <w:vAlign w:val="center"/>
          </w:tcPr>
          <w:p w14:paraId="1EA2E71C"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1A</w:t>
            </w:r>
          </w:p>
        </w:tc>
      </w:tr>
      <w:tr w:rsidR="00E76FD6" w:rsidRPr="0080446A" w14:paraId="4BCC491F" w14:textId="77777777" w:rsidTr="002E48E2">
        <w:tc>
          <w:tcPr>
            <w:tcW w:w="1005" w:type="dxa"/>
            <w:shd w:val="clear" w:color="auto" w:fill="auto"/>
            <w:vAlign w:val="center"/>
          </w:tcPr>
          <w:p w14:paraId="1D7A04D3" w14:textId="77777777" w:rsidR="00E76FD6" w:rsidRPr="0080446A" w:rsidRDefault="00E76FD6" w:rsidP="00E76FD6">
            <w:pPr>
              <w:widowControl w:val="0"/>
              <w:numPr>
                <w:ilvl w:val="0"/>
                <w:numId w:val="43"/>
              </w:numPr>
              <w:spacing w:before="240" w:line="240" w:lineRule="auto"/>
              <w:jc w:val="both"/>
              <w:rPr>
                <w:rFonts w:ascii="Arial" w:eastAsia="Calibri" w:hAnsi="Arial" w:cs="Arial"/>
                <w:b/>
                <w:sz w:val="20"/>
                <w:szCs w:val="20"/>
              </w:rPr>
            </w:pPr>
          </w:p>
        </w:tc>
        <w:tc>
          <w:tcPr>
            <w:tcW w:w="908" w:type="dxa"/>
            <w:shd w:val="clear" w:color="auto" w:fill="auto"/>
            <w:vAlign w:val="center"/>
          </w:tcPr>
          <w:p w14:paraId="6D17D39D"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M</w:t>
            </w:r>
          </w:p>
        </w:tc>
        <w:tc>
          <w:tcPr>
            <w:tcW w:w="2410" w:type="dxa"/>
            <w:shd w:val="clear" w:color="auto" w:fill="auto"/>
            <w:vAlign w:val="center"/>
          </w:tcPr>
          <w:p w14:paraId="461E1A62" w14:textId="77777777" w:rsidR="00E76FD6" w:rsidRPr="0080446A" w:rsidRDefault="00E76FD6" w:rsidP="002E48E2">
            <w:pPr>
              <w:pStyle w:val="Default"/>
              <w:spacing w:before="240" w:after="200"/>
              <w:jc w:val="center"/>
              <w:rPr>
                <w:sz w:val="20"/>
                <w:szCs w:val="20"/>
              </w:rPr>
            </w:pPr>
            <w:proofErr w:type="spellStart"/>
            <w:r w:rsidRPr="0080446A">
              <w:rPr>
                <w:sz w:val="20"/>
                <w:szCs w:val="20"/>
              </w:rPr>
              <w:t>Desiree</w:t>
            </w:r>
            <w:proofErr w:type="spellEnd"/>
            <w:r w:rsidRPr="0080446A">
              <w:rPr>
                <w:sz w:val="20"/>
                <w:szCs w:val="20"/>
              </w:rPr>
              <w:t xml:space="preserve"> Guadalupe Navarro López</w:t>
            </w:r>
          </w:p>
          <w:p w14:paraId="0BE6EE42" w14:textId="77777777" w:rsidR="00E76FD6" w:rsidRPr="0080446A" w:rsidRDefault="00E76FD6" w:rsidP="002E48E2">
            <w:pPr>
              <w:spacing w:before="240"/>
              <w:jc w:val="center"/>
              <w:rPr>
                <w:rFonts w:ascii="Arial" w:eastAsia="Calibri" w:hAnsi="Arial" w:cs="Arial"/>
                <w:sz w:val="20"/>
                <w:szCs w:val="20"/>
              </w:rPr>
            </w:pPr>
          </w:p>
        </w:tc>
        <w:tc>
          <w:tcPr>
            <w:tcW w:w="2268" w:type="dxa"/>
            <w:shd w:val="clear" w:color="auto" w:fill="auto"/>
            <w:vAlign w:val="center"/>
          </w:tcPr>
          <w:p w14:paraId="354F067C" w14:textId="77777777" w:rsidR="00E76FD6" w:rsidRPr="0080446A" w:rsidRDefault="00E76FD6" w:rsidP="002E48E2">
            <w:pPr>
              <w:spacing w:before="240"/>
              <w:jc w:val="center"/>
              <w:rPr>
                <w:rFonts w:ascii="Arial" w:eastAsia="Calibri" w:hAnsi="Arial" w:cs="Arial"/>
                <w:sz w:val="20"/>
                <w:szCs w:val="20"/>
              </w:rPr>
            </w:pPr>
            <w:r w:rsidRPr="0080446A">
              <w:rPr>
                <w:rFonts w:ascii="Arial" w:hAnsi="Arial" w:cs="Arial"/>
                <w:sz w:val="20"/>
                <w:szCs w:val="20"/>
              </w:rPr>
              <w:t>Ileana Beatriz Pardo Hernández</w:t>
            </w:r>
          </w:p>
        </w:tc>
        <w:tc>
          <w:tcPr>
            <w:tcW w:w="1463" w:type="dxa"/>
            <w:shd w:val="clear" w:color="auto" w:fill="auto"/>
            <w:vAlign w:val="center"/>
          </w:tcPr>
          <w:p w14:paraId="33B898D7"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1B</w:t>
            </w:r>
          </w:p>
        </w:tc>
      </w:tr>
    </w:tbl>
    <w:p w14:paraId="771DFC01" w14:textId="77777777" w:rsidR="00E76FD6" w:rsidRDefault="00E76FD6" w:rsidP="00E76FD6">
      <w:pPr>
        <w:spacing w:before="240"/>
      </w:pPr>
    </w:p>
    <w:tbl>
      <w:tblPr>
        <w:tblStyle w:val="Tablaconcuadrcula511"/>
        <w:tblW w:w="8150" w:type="dxa"/>
        <w:tblInd w:w="-75" w:type="dxa"/>
        <w:tblLook w:val="04A0" w:firstRow="1" w:lastRow="0" w:firstColumn="1" w:lastColumn="0" w:noHBand="0" w:noVBand="1"/>
      </w:tblPr>
      <w:tblGrid>
        <w:gridCol w:w="1005"/>
        <w:gridCol w:w="908"/>
        <w:gridCol w:w="2410"/>
        <w:gridCol w:w="2268"/>
        <w:gridCol w:w="1559"/>
      </w:tblGrid>
      <w:tr w:rsidR="00E76FD6" w:rsidRPr="0080446A" w14:paraId="523989F3" w14:textId="77777777" w:rsidTr="002E48E2">
        <w:trPr>
          <w:trHeight w:val="958"/>
        </w:trPr>
        <w:tc>
          <w:tcPr>
            <w:tcW w:w="8150" w:type="dxa"/>
            <w:gridSpan w:val="5"/>
            <w:shd w:val="clear" w:color="auto" w:fill="FF00FF"/>
            <w:vAlign w:val="center"/>
          </w:tcPr>
          <w:p w14:paraId="5459B915"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 xml:space="preserve">LISTA DEFINITIVA </w:t>
            </w:r>
          </w:p>
          <w:p w14:paraId="111E4B40"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MOVIMIENTO CIUDADANO</w:t>
            </w:r>
          </w:p>
        </w:tc>
      </w:tr>
      <w:tr w:rsidR="00E76FD6" w:rsidRPr="0080446A" w14:paraId="2A38DBF3" w14:textId="77777777" w:rsidTr="002E48E2">
        <w:tc>
          <w:tcPr>
            <w:tcW w:w="1005" w:type="dxa"/>
            <w:shd w:val="clear" w:color="auto" w:fill="FF00FF"/>
            <w:vAlign w:val="center"/>
          </w:tcPr>
          <w:p w14:paraId="046E15DC"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Fórmula</w:t>
            </w:r>
          </w:p>
        </w:tc>
        <w:tc>
          <w:tcPr>
            <w:tcW w:w="908" w:type="dxa"/>
            <w:shd w:val="clear" w:color="auto" w:fill="FF00FF"/>
            <w:vAlign w:val="center"/>
          </w:tcPr>
          <w:p w14:paraId="0E493F97"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Sexo</w:t>
            </w:r>
          </w:p>
        </w:tc>
        <w:tc>
          <w:tcPr>
            <w:tcW w:w="2410" w:type="dxa"/>
            <w:shd w:val="clear" w:color="auto" w:fill="FF00FF"/>
            <w:vAlign w:val="center"/>
          </w:tcPr>
          <w:p w14:paraId="2B192CD8"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Candidatura propietaria</w:t>
            </w:r>
          </w:p>
        </w:tc>
        <w:tc>
          <w:tcPr>
            <w:tcW w:w="2268" w:type="dxa"/>
            <w:shd w:val="clear" w:color="auto" w:fill="FF00FF"/>
            <w:vAlign w:val="center"/>
          </w:tcPr>
          <w:p w14:paraId="7FDA1BA7"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Candidatura suplente</w:t>
            </w:r>
          </w:p>
        </w:tc>
        <w:tc>
          <w:tcPr>
            <w:tcW w:w="1559" w:type="dxa"/>
            <w:shd w:val="clear" w:color="auto" w:fill="FF00FF"/>
            <w:vAlign w:val="center"/>
          </w:tcPr>
          <w:p w14:paraId="6D63D6EB"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Lugar y lista de origen</w:t>
            </w:r>
          </w:p>
        </w:tc>
      </w:tr>
      <w:tr w:rsidR="00E76FD6" w:rsidRPr="0080446A" w14:paraId="26FCC180" w14:textId="77777777" w:rsidTr="002E48E2">
        <w:tc>
          <w:tcPr>
            <w:tcW w:w="1005" w:type="dxa"/>
            <w:shd w:val="clear" w:color="auto" w:fill="auto"/>
            <w:vAlign w:val="center"/>
          </w:tcPr>
          <w:p w14:paraId="625AC660" w14:textId="77777777" w:rsidR="00E76FD6" w:rsidRPr="0080446A" w:rsidRDefault="00E76FD6" w:rsidP="00E76FD6">
            <w:pPr>
              <w:widowControl w:val="0"/>
              <w:numPr>
                <w:ilvl w:val="0"/>
                <w:numId w:val="44"/>
              </w:numPr>
              <w:spacing w:before="240" w:line="240" w:lineRule="auto"/>
              <w:jc w:val="both"/>
              <w:rPr>
                <w:rFonts w:ascii="Arial" w:eastAsia="Calibri" w:hAnsi="Arial" w:cs="Arial"/>
                <w:b/>
                <w:sz w:val="20"/>
                <w:szCs w:val="20"/>
              </w:rPr>
            </w:pPr>
          </w:p>
        </w:tc>
        <w:tc>
          <w:tcPr>
            <w:tcW w:w="908" w:type="dxa"/>
            <w:shd w:val="clear" w:color="auto" w:fill="auto"/>
            <w:vAlign w:val="center"/>
          </w:tcPr>
          <w:p w14:paraId="4F794D8E" w14:textId="77777777" w:rsidR="00E76FD6" w:rsidRPr="0080446A" w:rsidRDefault="00E76FD6" w:rsidP="002E48E2">
            <w:pPr>
              <w:spacing w:before="240"/>
              <w:jc w:val="center"/>
              <w:rPr>
                <w:rFonts w:ascii="Arial" w:eastAsia="Calibri" w:hAnsi="Arial" w:cs="Arial"/>
                <w:b/>
                <w:sz w:val="20"/>
                <w:szCs w:val="20"/>
              </w:rPr>
            </w:pPr>
            <w:r w:rsidRPr="0080446A">
              <w:rPr>
                <w:rFonts w:ascii="Arial" w:eastAsia="Calibri" w:hAnsi="Arial" w:cs="Arial"/>
                <w:b/>
                <w:sz w:val="20"/>
                <w:szCs w:val="20"/>
              </w:rPr>
              <w:t>H</w:t>
            </w:r>
          </w:p>
        </w:tc>
        <w:tc>
          <w:tcPr>
            <w:tcW w:w="2410" w:type="dxa"/>
            <w:shd w:val="clear" w:color="auto" w:fill="auto"/>
            <w:vAlign w:val="center"/>
          </w:tcPr>
          <w:p w14:paraId="7BA12403" w14:textId="77777777" w:rsidR="00E76FD6" w:rsidRPr="0080446A" w:rsidRDefault="00E76FD6" w:rsidP="002E48E2">
            <w:pPr>
              <w:spacing w:before="240"/>
              <w:jc w:val="center"/>
              <w:rPr>
                <w:rFonts w:ascii="Arial" w:eastAsia="Calibri" w:hAnsi="Arial" w:cs="Arial"/>
                <w:sz w:val="20"/>
                <w:szCs w:val="20"/>
              </w:rPr>
            </w:pPr>
            <w:proofErr w:type="spellStart"/>
            <w:r w:rsidRPr="0080446A">
              <w:rPr>
                <w:rFonts w:ascii="Arial" w:eastAsia="Calibri" w:hAnsi="Arial" w:cs="Arial"/>
                <w:sz w:val="20"/>
                <w:szCs w:val="20"/>
              </w:rPr>
              <w:t>Royfid</w:t>
            </w:r>
            <w:proofErr w:type="spellEnd"/>
            <w:r w:rsidRPr="0080446A">
              <w:rPr>
                <w:rFonts w:ascii="Arial" w:eastAsia="Calibri" w:hAnsi="Arial" w:cs="Arial"/>
                <w:sz w:val="20"/>
                <w:szCs w:val="20"/>
              </w:rPr>
              <w:t xml:space="preserve"> Torres González</w:t>
            </w:r>
          </w:p>
        </w:tc>
        <w:tc>
          <w:tcPr>
            <w:tcW w:w="2268" w:type="dxa"/>
            <w:shd w:val="clear" w:color="auto" w:fill="auto"/>
            <w:vAlign w:val="center"/>
          </w:tcPr>
          <w:p w14:paraId="6FEF88B7"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Esteban Alejandro Barrales Magdaleno</w:t>
            </w:r>
          </w:p>
        </w:tc>
        <w:tc>
          <w:tcPr>
            <w:tcW w:w="1559" w:type="dxa"/>
            <w:shd w:val="clear" w:color="auto" w:fill="auto"/>
            <w:vAlign w:val="center"/>
          </w:tcPr>
          <w:p w14:paraId="535CB79C" w14:textId="77777777" w:rsidR="00E76FD6" w:rsidRPr="0080446A" w:rsidRDefault="00E76FD6" w:rsidP="002E48E2">
            <w:pPr>
              <w:spacing w:before="240"/>
              <w:jc w:val="center"/>
              <w:rPr>
                <w:rFonts w:ascii="Arial" w:eastAsia="Calibri" w:hAnsi="Arial" w:cs="Arial"/>
                <w:sz w:val="20"/>
                <w:szCs w:val="20"/>
              </w:rPr>
            </w:pPr>
            <w:r w:rsidRPr="0080446A">
              <w:rPr>
                <w:rFonts w:ascii="Arial" w:eastAsia="Calibri" w:hAnsi="Arial" w:cs="Arial"/>
                <w:sz w:val="20"/>
                <w:szCs w:val="20"/>
              </w:rPr>
              <w:t>1A</w:t>
            </w:r>
          </w:p>
        </w:tc>
      </w:tr>
    </w:tbl>
    <w:p w14:paraId="49981F92" w14:textId="77777777" w:rsidR="00E76FD6" w:rsidRDefault="00E76FD6" w:rsidP="00E76FD6">
      <w:pPr>
        <w:spacing w:before="240"/>
      </w:pPr>
      <w:r>
        <w:rPr>
          <w:noProof/>
        </w:rPr>
        <mc:AlternateContent>
          <mc:Choice Requires="wps">
            <w:drawing>
              <wp:anchor distT="0" distB="0" distL="114300" distR="114300" simplePos="0" relativeHeight="251662336" behindDoc="0" locked="0" layoutInCell="1" allowOverlap="1" wp14:anchorId="4B112D69" wp14:editId="6D07F56D">
                <wp:simplePos x="0" y="0"/>
                <wp:positionH relativeFrom="column">
                  <wp:posOffset>95522</wp:posOffset>
                </wp:positionH>
                <wp:positionV relativeFrom="paragraph">
                  <wp:posOffset>364959</wp:posOffset>
                </wp:positionV>
                <wp:extent cx="5071462" cy="1152605"/>
                <wp:effectExtent l="0" t="0" r="34290" b="28575"/>
                <wp:wrapNone/>
                <wp:docPr id="5" name="Conector recto 5"/>
                <wp:cNvGraphicFramePr/>
                <a:graphic xmlns:a="http://schemas.openxmlformats.org/drawingml/2006/main">
                  <a:graphicData uri="http://schemas.microsoft.com/office/word/2010/wordprocessingShape">
                    <wps:wsp>
                      <wps:cNvCnPr/>
                      <wps:spPr>
                        <a:xfrm>
                          <a:off x="0" y="0"/>
                          <a:ext cx="5071462" cy="11526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FC8074" id="Conector recto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5pt,28.75pt" to="406.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" strokecolor="black [3213]" strokeweight=".5pt">
                <v:stroke joinstyle="miter"/>
              </v:line>
            </w:pict>
          </mc:Fallback>
        </mc:AlternateContent>
      </w:r>
    </w:p>
    <w:p w14:paraId="6BFFF63C" w14:textId="77777777" w:rsidR="00E76FD6" w:rsidRDefault="00E76FD6" w:rsidP="00E76FD6">
      <w:pPr>
        <w:spacing w:before="240"/>
      </w:pPr>
    </w:p>
    <w:p w14:paraId="6C90044F" w14:textId="77777777" w:rsidR="00E76FD6" w:rsidRDefault="00E76FD6" w:rsidP="00E76FD6">
      <w:pPr>
        <w:spacing w:before="240"/>
      </w:pPr>
    </w:p>
    <w:tbl>
      <w:tblPr>
        <w:tblW w:w="8217" w:type="dxa"/>
        <w:tblCellMar>
          <w:left w:w="70" w:type="dxa"/>
          <w:right w:w="70" w:type="dxa"/>
        </w:tblCellMar>
        <w:tblLook w:val="04A0" w:firstRow="1" w:lastRow="0" w:firstColumn="1" w:lastColumn="0" w:noHBand="0" w:noVBand="1"/>
      </w:tblPr>
      <w:tblGrid>
        <w:gridCol w:w="1087"/>
        <w:gridCol w:w="1743"/>
        <w:gridCol w:w="4395"/>
        <w:gridCol w:w="992"/>
      </w:tblGrid>
      <w:tr w:rsidR="00E76FD6" w:rsidRPr="0080446A" w14:paraId="5FC81BDF" w14:textId="77777777" w:rsidTr="002E48E2">
        <w:trPr>
          <w:trHeight w:val="259"/>
        </w:trPr>
        <w:tc>
          <w:tcPr>
            <w:tcW w:w="8217" w:type="dxa"/>
            <w:gridSpan w:val="4"/>
            <w:tcBorders>
              <w:top w:val="single" w:sz="4" w:space="0" w:color="auto"/>
              <w:left w:val="single" w:sz="4" w:space="0" w:color="auto"/>
              <w:bottom w:val="single" w:sz="4" w:space="0" w:color="auto"/>
              <w:right w:val="single" w:sz="4" w:space="0" w:color="000000"/>
            </w:tcBorders>
            <w:shd w:val="clear" w:color="auto" w:fill="FF00FF"/>
            <w:noWrap/>
            <w:vAlign w:val="center"/>
            <w:hideMark/>
          </w:tcPr>
          <w:p w14:paraId="6C024AC0" w14:textId="77777777" w:rsidR="00E76FD6" w:rsidRPr="0080446A" w:rsidRDefault="00E76FD6" w:rsidP="002E48E2">
            <w:pPr>
              <w:spacing w:before="240" w:line="240" w:lineRule="auto"/>
              <w:jc w:val="center"/>
              <w:rPr>
                <w:rFonts w:ascii="Arial" w:eastAsia="Times New Roman" w:hAnsi="Arial" w:cs="Arial"/>
                <w:b/>
                <w:bCs/>
                <w:color w:val="000000"/>
                <w:sz w:val="20"/>
                <w:szCs w:val="20"/>
                <w:lang w:eastAsia="es-MX"/>
              </w:rPr>
            </w:pPr>
            <w:r w:rsidRPr="0080446A">
              <w:rPr>
                <w:rFonts w:ascii="Arial" w:eastAsia="Times New Roman" w:hAnsi="Arial" w:cs="Arial"/>
                <w:b/>
                <w:bCs/>
                <w:color w:val="000000"/>
                <w:sz w:val="20"/>
                <w:szCs w:val="20"/>
                <w:lang w:eastAsia="es-MX"/>
              </w:rPr>
              <w:t>LISTA DEFINITIVA</w:t>
            </w:r>
          </w:p>
          <w:p w14:paraId="2EFA9F90" w14:textId="77777777" w:rsidR="00E76FD6" w:rsidRPr="0080446A" w:rsidRDefault="00E76FD6" w:rsidP="002E48E2">
            <w:pPr>
              <w:spacing w:before="240" w:line="240" w:lineRule="auto"/>
              <w:jc w:val="center"/>
              <w:rPr>
                <w:rFonts w:ascii="Arial" w:eastAsia="Times New Roman" w:hAnsi="Arial" w:cs="Arial"/>
                <w:b/>
                <w:bCs/>
                <w:color w:val="000000"/>
                <w:sz w:val="20"/>
                <w:szCs w:val="20"/>
                <w:lang w:eastAsia="es-MX"/>
              </w:rPr>
            </w:pPr>
            <w:r w:rsidRPr="0080446A">
              <w:rPr>
                <w:rFonts w:ascii="Arial" w:eastAsia="Times New Roman" w:hAnsi="Arial" w:cs="Arial"/>
                <w:b/>
                <w:bCs/>
                <w:color w:val="000000"/>
                <w:sz w:val="20"/>
                <w:szCs w:val="20"/>
                <w:lang w:eastAsia="es-MX"/>
              </w:rPr>
              <w:t>PRI</w:t>
            </w:r>
          </w:p>
        </w:tc>
      </w:tr>
      <w:tr w:rsidR="00E76FD6" w:rsidRPr="0080446A" w14:paraId="0BD9E0AF" w14:textId="77777777" w:rsidTr="002E48E2">
        <w:trPr>
          <w:trHeight w:val="285"/>
        </w:trPr>
        <w:tc>
          <w:tcPr>
            <w:tcW w:w="1087" w:type="dxa"/>
            <w:tcBorders>
              <w:top w:val="nil"/>
              <w:left w:val="single" w:sz="4" w:space="0" w:color="auto"/>
              <w:bottom w:val="single" w:sz="4" w:space="0" w:color="auto"/>
              <w:right w:val="single" w:sz="4" w:space="0" w:color="auto"/>
            </w:tcBorders>
            <w:shd w:val="clear" w:color="auto" w:fill="FF00FF"/>
            <w:vAlign w:val="center"/>
            <w:hideMark/>
          </w:tcPr>
          <w:p w14:paraId="1AE21B92" w14:textId="77777777" w:rsidR="00E76FD6" w:rsidRPr="0080446A" w:rsidRDefault="00E76FD6" w:rsidP="002E48E2">
            <w:pPr>
              <w:spacing w:before="240" w:line="240" w:lineRule="auto"/>
              <w:jc w:val="center"/>
              <w:rPr>
                <w:rFonts w:ascii="Arial" w:eastAsia="Times New Roman" w:hAnsi="Arial" w:cs="Arial"/>
                <w:b/>
                <w:bCs/>
                <w:color w:val="000000"/>
                <w:sz w:val="20"/>
                <w:szCs w:val="20"/>
                <w:lang w:eastAsia="es-MX"/>
              </w:rPr>
            </w:pPr>
            <w:r w:rsidRPr="0080446A">
              <w:rPr>
                <w:rFonts w:ascii="Arial" w:eastAsia="Times New Roman" w:hAnsi="Arial" w:cs="Arial"/>
                <w:b/>
                <w:bCs/>
                <w:color w:val="000000"/>
                <w:sz w:val="20"/>
                <w:szCs w:val="20"/>
                <w:lang w:eastAsia="es-MX"/>
              </w:rPr>
              <w:t>Fórmula</w:t>
            </w:r>
          </w:p>
        </w:tc>
        <w:tc>
          <w:tcPr>
            <w:tcW w:w="1743" w:type="dxa"/>
            <w:tcBorders>
              <w:top w:val="single" w:sz="4" w:space="0" w:color="auto"/>
              <w:left w:val="nil"/>
              <w:bottom w:val="single" w:sz="4" w:space="0" w:color="auto"/>
              <w:right w:val="single" w:sz="4" w:space="0" w:color="000000"/>
            </w:tcBorders>
            <w:shd w:val="clear" w:color="auto" w:fill="FF00FF"/>
            <w:noWrap/>
            <w:vAlign w:val="center"/>
            <w:hideMark/>
          </w:tcPr>
          <w:p w14:paraId="6F48768B" w14:textId="77777777" w:rsidR="00E76FD6" w:rsidRPr="0080446A" w:rsidRDefault="00E76FD6" w:rsidP="002E48E2">
            <w:pPr>
              <w:spacing w:before="240" w:line="240" w:lineRule="auto"/>
              <w:jc w:val="center"/>
              <w:rPr>
                <w:rFonts w:ascii="Arial" w:eastAsia="Times New Roman" w:hAnsi="Arial" w:cs="Arial"/>
                <w:b/>
                <w:bCs/>
                <w:color w:val="000000"/>
                <w:sz w:val="20"/>
                <w:szCs w:val="20"/>
                <w:lang w:eastAsia="es-MX"/>
              </w:rPr>
            </w:pPr>
            <w:r w:rsidRPr="0080446A">
              <w:rPr>
                <w:rFonts w:ascii="Arial" w:eastAsia="Times New Roman" w:hAnsi="Arial" w:cs="Arial"/>
                <w:b/>
                <w:bCs/>
                <w:color w:val="000000"/>
                <w:sz w:val="20"/>
                <w:szCs w:val="20"/>
                <w:lang w:eastAsia="es-MX"/>
              </w:rPr>
              <w:t>Propietario</w:t>
            </w:r>
          </w:p>
        </w:tc>
        <w:tc>
          <w:tcPr>
            <w:tcW w:w="4395" w:type="dxa"/>
            <w:tcBorders>
              <w:top w:val="nil"/>
              <w:left w:val="nil"/>
              <w:bottom w:val="single" w:sz="4" w:space="0" w:color="auto"/>
              <w:right w:val="single" w:sz="4" w:space="0" w:color="auto"/>
            </w:tcBorders>
            <w:shd w:val="clear" w:color="auto" w:fill="FF00FF"/>
            <w:noWrap/>
            <w:vAlign w:val="center"/>
            <w:hideMark/>
          </w:tcPr>
          <w:p w14:paraId="49F8AFC7" w14:textId="77777777" w:rsidR="00E76FD6" w:rsidRPr="0080446A" w:rsidRDefault="00E76FD6" w:rsidP="002E48E2">
            <w:pPr>
              <w:spacing w:before="240" w:line="240" w:lineRule="auto"/>
              <w:jc w:val="center"/>
              <w:rPr>
                <w:rFonts w:ascii="Arial" w:eastAsia="Times New Roman" w:hAnsi="Arial" w:cs="Arial"/>
                <w:b/>
                <w:bCs/>
                <w:color w:val="000000"/>
                <w:sz w:val="20"/>
                <w:szCs w:val="20"/>
                <w:lang w:eastAsia="es-MX"/>
              </w:rPr>
            </w:pPr>
            <w:r w:rsidRPr="0080446A">
              <w:rPr>
                <w:rFonts w:ascii="Arial" w:eastAsia="Times New Roman" w:hAnsi="Arial" w:cs="Arial"/>
                <w:b/>
                <w:bCs/>
                <w:color w:val="000000"/>
                <w:sz w:val="20"/>
                <w:szCs w:val="20"/>
                <w:lang w:eastAsia="es-MX"/>
              </w:rPr>
              <w:t>Suplente</w:t>
            </w:r>
          </w:p>
        </w:tc>
        <w:tc>
          <w:tcPr>
            <w:tcW w:w="992" w:type="dxa"/>
            <w:tcBorders>
              <w:top w:val="nil"/>
              <w:left w:val="nil"/>
              <w:bottom w:val="single" w:sz="4" w:space="0" w:color="auto"/>
              <w:right w:val="single" w:sz="4" w:space="0" w:color="auto"/>
            </w:tcBorders>
            <w:shd w:val="clear" w:color="auto" w:fill="FF00FF"/>
            <w:vAlign w:val="center"/>
            <w:hideMark/>
          </w:tcPr>
          <w:p w14:paraId="647C33BE" w14:textId="77777777" w:rsidR="00E76FD6" w:rsidRPr="0080446A" w:rsidRDefault="00E76FD6" w:rsidP="002E48E2">
            <w:pPr>
              <w:spacing w:before="240" w:line="240" w:lineRule="auto"/>
              <w:jc w:val="center"/>
              <w:rPr>
                <w:rFonts w:ascii="Arial" w:eastAsia="Times New Roman" w:hAnsi="Arial" w:cs="Arial"/>
                <w:b/>
                <w:bCs/>
                <w:color w:val="000000"/>
                <w:sz w:val="20"/>
                <w:szCs w:val="20"/>
                <w:lang w:eastAsia="es-MX"/>
              </w:rPr>
            </w:pPr>
            <w:r w:rsidRPr="0080446A">
              <w:rPr>
                <w:rFonts w:ascii="Arial" w:eastAsia="Times New Roman" w:hAnsi="Arial" w:cs="Arial"/>
                <w:b/>
                <w:bCs/>
                <w:color w:val="000000"/>
                <w:sz w:val="20"/>
                <w:szCs w:val="20"/>
                <w:lang w:eastAsia="es-MX"/>
              </w:rPr>
              <w:t>Lista origen</w:t>
            </w:r>
          </w:p>
        </w:tc>
      </w:tr>
      <w:tr w:rsidR="00E76FD6" w:rsidRPr="0080446A" w14:paraId="3F98BB17" w14:textId="77777777" w:rsidTr="002E48E2">
        <w:trPr>
          <w:trHeight w:val="259"/>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408D5930" w14:textId="77777777" w:rsidR="00E76FD6" w:rsidRPr="0080446A" w:rsidRDefault="00E76FD6" w:rsidP="002E48E2">
            <w:pPr>
              <w:spacing w:before="240" w:line="240" w:lineRule="auto"/>
              <w:jc w:val="center"/>
              <w:rPr>
                <w:rFonts w:ascii="Arial" w:eastAsia="Times New Roman" w:hAnsi="Arial" w:cs="Arial"/>
                <w:b/>
                <w:bCs/>
                <w:color w:val="000000"/>
                <w:sz w:val="20"/>
                <w:szCs w:val="20"/>
                <w:lang w:eastAsia="es-MX"/>
              </w:rPr>
            </w:pPr>
            <w:r w:rsidRPr="0080446A">
              <w:rPr>
                <w:rFonts w:ascii="Arial" w:eastAsia="Times New Roman" w:hAnsi="Arial" w:cs="Arial"/>
                <w:b/>
                <w:bCs/>
                <w:color w:val="000000"/>
                <w:sz w:val="20"/>
                <w:szCs w:val="20"/>
                <w:lang w:eastAsia="es-MX"/>
              </w:rPr>
              <w:t>1</w:t>
            </w:r>
          </w:p>
        </w:tc>
        <w:tc>
          <w:tcPr>
            <w:tcW w:w="1743" w:type="dxa"/>
            <w:tcBorders>
              <w:top w:val="single" w:sz="4" w:space="0" w:color="auto"/>
              <w:left w:val="nil"/>
              <w:bottom w:val="single" w:sz="4" w:space="0" w:color="auto"/>
              <w:right w:val="single" w:sz="4" w:space="0" w:color="auto"/>
            </w:tcBorders>
            <w:shd w:val="clear" w:color="auto" w:fill="auto"/>
            <w:noWrap/>
            <w:vAlign w:val="center"/>
            <w:hideMark/>
          </w:tcPr>
          <w:p w14:paraId="09A36873" w14:textId="77777777" w:rsidR="00E76FD6" w:rsidRPr="0080446A" w:rsidRDefault="00E76FD6" w:rsidP="002E48E2">
            <w:pPr>
              <w:spacing w:before="240" w:line="240" w:lineRule="auto"/>
              <w:jc w:val="center"/>
              <w:rPr>
                <w:rFonts w:ascii="Arial" w:eastAsia="Times New Roman" w:hAnsi="Arial" w:cs="Arial"/>
                <w:color w:val="000000"/>
                <w:sz w:val="20"/>
                <w:szCs w:val="20"/>
                <w:lang w:eastAsia="es-MX"/>
              </w:rPr>
            </w:pPr>
            <w:r w:rsidRPr="0080446A">
              <w:rPr>
                <w:rFonts w:ascii="Arial" w:eastAsia="Times New Roman" w:hAnsi="Arial" w:cs="Arial"/>
                <w:color w:val="000000"/>
                <w:sz w:val="20"/>
                <w:szCs w:val="20"/>
                <w:lang w:eastAsia="es-MX"/>
              </w:rPr>
              <w:t>Carlos Joaquín Fernández Tinoco</w:t>
            </w:r>
          </w:p>
        </w:tc>
        <w:tc>
          <w:tcPr>
            <w:tcW w:w="4395" w:type="dxa"/>
            <w:tcBorders>
              <w:top w:val="nil"/>
              <w:left w:val="nil"/>
              <w:bottom w:val="single" w:sz="4" w:space="0" w:color="auto"/>
              <w:right w:val="single" w:sz="4" w:space="0" w:color="auto"/>
            </w:tcBorders>
            <w:shd w:val="clear" w:color="auto" w:fill="auto"/>
            <w:noWrap/>
            <w:vAlign w:val="center"/>
            <w:hideMark/>
          </w:tcPr>
          <w:p w14:paraId="5CEAA75E" w14:textId="77777777" w:rsidR="00E76FD6" w:rsidRPr="0080446A" w:rsidRDefault="00E76FD6" w:rsidP="002E48E2">
            <w:pPr>
              <w:spacing w:before="240" w:line="240" w:lineRule="auto"/>
              <w:jc w:val="center"/>
              <w:rPr>
                <w:rFonts w:ascii="Arial" w:eastAsia="Times New Roman" w:hAnsi="Arial" w:cs="Arial"/>
                <w:color w:val="000000"/>
                <w:sz w:val="20"/>
                <w:szCs w:val="20"/>
                <w:lang w:eastAsia="es-MX"/>
              </w:rPr>
            </w:pPr>
            <w:r w:rsidRPr="0080446A">
              <w:rPr>
                <w:rFonts w:ascii="Arial" w:eastAsia="Times New Roman" w:hAnsi="Arial" w:cs="Arial"/>
                <w:color w:val="000000"/>
                <w:sz w:val="20"/>
                <w:szCs w:val="20"/>
                <w:lang w:eastAsia="es-MX"/>
              </w:rPr>
              <w:t xml:space="preserve">Enrique Nieto </w:t>
            </w:r>
            <w:proofErr w:type="spellStart"/>
            <w:r w:rsidRPr="0080446A">
              <w:rPr>
                <w:rFonts w:ascii="Arial" w:eastAsia="Times New Roman" w:hAnsi="Arial" w:cs="Arial"/>
                <w:color w:val="000000"/>
                <w:sz w:val="20"/>
                <w:szCs w:val="20"/>
                <w:lang w:eastAsia="es-MX"/>
              </w:rPr>
              <w:t>Franzoni</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3123A5B4" w14:textId="77777777" w:rsidR="00E76FD6" w:rsidRPr="0080446A" w:rsidRDefault="00E76FD6" w:rsidP="002E48E2">
            <w:pPr>
              <w:spacing w:before="240" w:line="240" w:lineRule="auto"/>
              <w:jc w:val="center"/>
              <w:rPr>
                <w:rFonts w:ascii="Arial" w:eastAsia="Times New Roman" w:hAnsi="Arial" w:cs="Arial"/>
                <w:color w:val="000000"/>
                <w:sz w:val="20"/>
                <w:szCs w:val="20"/>
                <w:lang w:eastAsia="es-MX"/>
              </w:rPr>
            </w:pPr>
            <w:r w:rsidRPr="0080446A">
              <w:rPr>
                <w:rFonts w:ascii="Arial" w:eastAsia="Times New Roman" w:hAnsi="Arial" w:cs="Arial"/>
                <w:color w:val="000000"/>
                <w:sz w:val="20"/>
                <w:szCs w:val="20"/>
                <w:lang w:eastAsia="es-MX"/>
              </w:rPr>
              <w:t>1A</w:t>
            </w:r>
          </w:p>
        </w:tc>
      </w:tr>
      <w:tr w:rsidR="00E76FD6" w:rsidRPr="0080446A" w14:paraId="4843110A" w14:textId="77777777" w:rsidTr="002E48E2">
        <w:trPr>
          <w:trHeight w:val="259"/>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614E2CE2" w14:textId="77777777" w:rsidR="00E76FD6" w:rsidRPr="0080446A" w:rsidRDefault="00E76FD6" w:rsidP="002E48E2">
            <w:pPr>
              <w:spacing w:before="240" w:line="240" w:lineRule="auto"/>
              <w:jc w:val="center"/>
              <w:rPr>
                <w:rFonts w:ascii="Arial" w:eastAsia="Times New Roman" w:hAnsi="Arial" w:cs="Arial"/>
                <w:b/>
                <w:bCs/>
                <w:color w:val="000000"/>
                <w:sz w:val="20"/>
                <w:szCs w:val="20"/>
                <w:lang w:eastAsia="es-MX"/>
              </w:rPr>
            </w:pPr>
            <w:r w:rsidRPr="0080446A">
              <w:rPr>
                <w:rFonts w:ascii="Arial" w:eastAsia="Times New Roman" w:hAnsi="Arial" w:cs="Arial"/>
                <w:b/>
                <w:bCs/>
                <w:color w:val="000000"/>
                <w:sz w:val="20"/>
                <w:szCs w:val="20"/>
                <w:lang w:eastAsia="es-MX"/>
              </w:rPr>
              <w:t>2</w:t>
            </w:r>
          </w:p>
        </w:tc>
        <w:tc>
          <w:tcPr>
            <w:tcW w:w="1743" w:type="dxa"/>
            <w:tcBorders>
              <w:top w:val="single" w:sz="4" w:space="0" w:color="auto"/>
              <w:left w:val="nil"/>
              <w:bottom w:val="single" w:sz="4" w:space="0" w:color="auto"/>
              <w:right w:val="single" w:sz="4" w:space="0" w:color="auto"/>
            </w:tcBorders>
            <w:shd w:val="clear" w:color="auto" w:fill="auto"/>
            <w:noWrap/>
            <w:vAlign w:val="center"/>
            <w:hideMark/>
          </w:tcPr>
          <w:p w14:paraId="0F1CB78A" w14:textId="77777777" w:rsidR="00E76FD6" w:rsidRPr="0080446A" w:rsidRDefault="00E76FD6" w:rsidP="002E48E2">
            <w:pPr>
              <w:spacing w:before="240" w:line="240" w:lineRule="auto"/>
              <w:jc w:val="center"/>
              <w:rPr>
                <w:rFonts w:ascii="Arial" w:eastAsia="Times New Roman" w:hAnsi="Arial" w:cs="Arial"/>
                <w:color w:val="000000"/>
                <w:sz w:val="20"/>
                <w:szCs w:val="20"/>
                <w:lang w:eastAsia="es-MX"/>
              </w:rPr>
            </w:pPr>
            <w:r w:rsidRPr="0080446A">
              <w:rPr>
                <w:rFonts w:ascii="Arial" w:eastAsia="Times New Roman" w:hAnsi="Arial" w:cs="Arial"/>
                <w:color w:val="000000"/>
                <w:sz w:val="20"/>
                <w:szCs w:val="20"/>
                <w:lang w:eastAsia="es-MX"/>
              </w:rPr>
              <w:t>Mónica Fernández César</w:t>
            </w:r>
          </w:p>
        </w:tc>
        <w:tc>
          <w:tcPr>
            <w:tcW w:w="4395" w:type="dxa"/>
            <w:tcBorders>
              <w:top w:val="nil"/>
              <w:left w:val="nil"/>
              <w:bottom w:val="single" w:sz="4" w:space="0" w:color="auto"/>
              <w:right w:val="single" w:sz="4" w:space="0" w:color="auto"/>
            </w:tcBorders>
            <w:shd w:val="clear" w:color="auto" w:fill="auto"/>
            <w:noWrap/>
            <w:vAlign w:val="center"/>
            <w:hideMark/>
          </w:tcPr>
          <w:p w14:paraId="5BB9F003" w14:textId="77777777" w:rsidR="00E76FD6" w:rsidRPr="0080446A" w:rsidRDefault="00E76FD6" w:rsidP="002E48E2">
            <w:pPr>
              <w:spacing w:before="240" w:line="240" w:lineRule="auto"/>
              <w:jc w:val="center"/>
              <w:rPr>
                <w:rFonts w:ascii="Arial" w:eastAsia="Times New Roman" w:hAnsi="Arial" w:cs="Arial"/>
                <w:color w:val="000000"/>
                <w:sz w:val="20"/>
                <w:szCs w:val="20"/>
                <w:lang w:eastAsia="es-MX"/>
              </w:rPr>
            </w:pPr>
            <w:r w:rsidRPr="0080446A">
              <w:rPr>
                <w:rFonts w:ascii="Arial" w:eastAsia="Times New Roman" w:hAnsi="Arial" w:cs="Arial"/>
                <w:color w:val="000000"/>
                <w:sz w:val="20"/>
                <w:szCs w:val="20"/>
                <w:lang w:eastAsia="es-MX"/>
              </w:rPr>
              <w:t>Yolanda Judith Téllez Barragán</w:t>
            </w:r>
          </w:p>
        </w:tc>
        <w:tc>
          <w:tcPr>
            <w:tcW w:w="992" w:type="dxa"/>
            <w:tcBorders>
              <w:top w:val="nil"/>
              <w:left w:val="nil"/>
              <w:bottom w:val="single" w:sz="4" w:space="0" w:color="auto"/>
              <w:right w:val="single" w:sz="4" w:space="0" w:color="auto"/>
            </w:tcBorders>
            <w:shd w:val="clear" w:color="auto" w:fill="auto"/>
            <w:noWrap/>
            <w:vAlign w:val="center"/>
            <w:hideMark/>
          </w:tcPr>
          <w:p w14:paraId="07399CDA" w14:textId="77777777" w:rsidR="00E76FD6" w:rsidRPr="0080446A" w:rsidRDefault="00E76FD6" w:rsidP="002E48E2">
            <w:pPr>
              <w:spacing w:before="240" w:line="240" w:lineRule="auto"/>
              <w:jc w:val="center"/>
              <w:rPr>
                <w:rFonts w:ascii="Arial" w:eastAsia="Times New Roman" w:hAnsi="Arial" w:cs="Arial"/>
                <w:color w:val="000000"/>
                <w:sz w:val="20"/>
                <w:szCs w:val="20"/>
                <w:lang w:eastAsia="es-MX"/>
              </w:rPr>
            </w:pPr>
            <w:r w:rsidRPr="0080446A">
              <w:rPr>
                <w:rFonts w:ascii="Arial" w:eastAsia="Times New Roman" w:hAnsi="Arial" w:cs="Arial"/>
                <w:color w:val="000000"/>
                <w:sz w:val="20"/>
                <w:szCs w:val="20"/>
                <w:lang w:eastAsia="es-MX"/>
              </w:rPr>
              <w:t>1B</w:t>
            </w:r>
          </w:p>
        </w:tc>
      </w:tr>
      <w:tr w:rsidR="00E76FD6" w:rsidRPr="0080446A" w14:paraId="761F68C9" w14:textId="77777777" w:rsidTr="002E48E2">
        <w:trPr>
          <w:trHeight w:val="259"/>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4FF18F2A" w14:textId="77777777" w:rsidR="00E76FD6" w:rsidRPr="0080446A" w:rsidRDefault="00E76FD6" w:rsidP="002E48E2">
            <w:pPr>
              <w:spacing w:before="240" w:line="240" w:lineRule="auto"/>
              <w:jc w:val="center"/>
              <w:rPr>
                <w:rFonts w:ascii="Arial" w:eastAsia="Times New Roman" w:hAnsi="Arial" w:cs="Arial"/>
                <w:b/>
                <w:bCs/>
                <w:color w:val="000000"/>
                <w:sz w:val="20"/>
                <w:szCs w:val="20"/>
                <w:lang w:eastAsia="es-MX"/>
              </w:rPr>
            </w:pPr>
            <w:r w:rsidRPr="0080446A">
              <w:rPr>
                <w:rFonts w:ascii="Arial" w:eastAsia="Times New Roman" w:hAnsi="Arial" w:cs="Arial"/>
                <w:b/>
                <w:bCs/>
                <w:color w:val="000000"/>
                <w:sz w:val="20"/>
                <w:szCs w:val="20"/>
                <w:lang w:eastAsia="es-MX"/>
              </w:rPr>
              <w:t>3</w:t>
            </w:r>
          </w:p>
        </w:tc>
        <w:tc>
          <w:tcPr>
            <w:tcW w:w="1743" w:type="dxa"/>
            <w:tcBorders>
              <w:top w:val="nil"/>
              <w:left w:val="nil"/>
              <w:bottom w:val="single" w:sz="4" w:space="0" w:color="auto"/>
              <w:right w:val="single" w:sz="4" w:space="0" w:color="auto"/>
            </w:tcBorders>
            <w:shd w:val="clear" w:color="auto" w:fill="auto"/>
            <w:noWrap/>
            <w:vAlign w:val="center"/>
            <w:hideMark/>
          </w:tcPr>
          <w:p w14:paraId="010E12A2" w14:textId="77777777" w:rsidR="00E76FD6" w:rsidRPr="0080446A" w:rsidRDefault="00E76FD6" w:rsidP="002E48E2">
            <w:pPr>
              <w:spacing w:before="240" w:line="240" w:lineRule="auto"/>
              <w:ind w:left="-199"/>
              <w:jc w:val="center"/>
              <w:rPr>
                <w:rFonts w:ascii="Arial" w:eastAsia="Times New Roman" w:hAnsi="Arial" w:cs="Arial"/>
                <w:color w:val="000000"/>
                <w:sz w:val="20"/>
                <w:szCs w:val="20"/>
                <w:lang w:eastAsia="es-MX"/>
              </w:rPr>
            </w:pPr>
            <w:r w:rsidRPr="0080446A">
              <w:rPr>
                <w:rFonts w:ascii="Arial" w:eastAsia="Times New Roman" w:hAnsi="Arial" w:cs="Arial"/>
                <w:color w:val="000000"/>
                <w:sz w:val="20"/>
                <w:szCs w:val="20"/>
                <w:lang w:eastAsia="es-MX"/>
              </w:rPr>
              <w:t>Tania Nanette Larios Pérez</w:t>
            </w:r>
          </w:p>
        </w:tc>
        <w:tc>
          <w:tcPr>
            <w:tcW w:w="4395" w:type="dxa"/>
            <w:tcBorders>
              <w:top w:val="nil"/>
              <w:left w:val="nil"/>
              <w:bottom w:val="single" w:sz="4" w:space="0" w:color="auto"/>
              <w:right w:val="single" w:sz="4" w:space="0" w:color="auto"/>
            </w:tcBorders>
            <w:shd w:val="clear" w:color="auto" w:fill="auto"/>
            <w:noWrap/>
            <w:vAlign w:val="center"/>
            <w:hideMark/>
          </w:tcPr>
          <w:p w14:paraId="13ED7233" w14:textId="77777777" w:rsidR="00E76FD6" w:rsidRPr="0080446A" w:rsidRDefault="00E76FD6" w:rsidP="002E48E2">
            <w:pPr>
              <w:spacing w:before="240" w:line="240" w:lineRule="auto"/>
              <w:jc w:val="center"/>
              <w:rPr>
                <w:rFonts w:ascii="Arial" w:eastAsia="Times New Roman" w:hAnsi="Arial" w:cs="Arial"/>
                <w:color w:val="000000"/>
                <w:sz w:val="20"/>
                <w:szCs w:val="20"/>
                <w:lang w:eastAsia="es-MX"/>
              </w:rPr>
            </w:pPr>
            <w:r w:rsidRPr="0080446A">
              <w:rPr>
                <w:rFonts w:ascii="Arial" w:eastAsia="Times New Roman" w:hAnsi="Arial" w:cs="Arial"/>
                <w:color w:val="000000"/>
                <w:sz w:val="20"/>
                <w:szCs w:val="20"/>
                <w:lang w:eastAsia="es-MX"/>
              </w:rPr>
              <w:t>Yessenia Celedonio Álvarez</w:t>
            </w:r>
          </w:p>
        </w:tc>
        <w:tc>
          <w:tcPr>
            <w:tcW w:w="992" w:type="dxa"/>
            <w:tcBorders>
              <w:top w:val="nil"/>
              <w:left w:val="nil"/>
              <w:bottom w:val="single" w:sz="4" w:space="0" w:color="auto"/>
              <w:right w:val="single" w:sz="4" w:space="0" w:color="auto"/>
            </w:tcBorders>
            <w:shd w:val="clear" w:color="auto" w:fill="auto"/>
            <w:noWrap/>
            <w:vAlign w:val="center"/>
            <w:hideMark/>
          </w:tcPr>
          <w:p w14:paraId="1742BB7D" w14:textId="77777777" w:rsidR="00E76FD6" w:rsidRPr="0080446A" w:rsidRDefault="00E76FD6" w:rsidP="002E48E2">
            <w:pPr>
              <w:spacing w:before="240" w:line="240" w:lineRule="auto"/>
              <w:jc w:val="center"/>
              <w:rPr>
                <w:rFonts w:ascii="Arial" w:eastAsia="Times New Roman" w:hAnsi="Arial" w:cs="Arial"/>
                <w:color w:val="000000"/>
                <w:sz w:val="20"/>
                <w:szCs w:val="20"/>
                <w:lang w:eastAsia="es-MX"/>
              </w:rPr>
            </w:pPr>
            <w:r w:rsidRPr="0080446A">
              <w:rPr>
                <w:rFonts w:ascii="Arial" w:eastAsia="Times New Roman" w:hAnsi="Arial" w:cs="Arial"/>
                <w:color w:val="000000"/>
                <w:sz w:val="20"/>
                <w:szCs w:val="20"/>
                <w:lang w:eastAsia="es-MX"/>
              </w:rPr>
              <w:t>2A</w:t>
            </w:r>
          </w:p>
        </w:tc>
      </w:tr>
      <w:tr w:rsidR="00E76FD6" w:rsidRPr="0080446A" w14:paraId="1C67C326" w14:textId="77777777" w:rsidTr="002E48E2">
        <w:trPr>
          <w:trHeight w:val="259"/>
        </w:trPr>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03DC52" w14:textId="77777777" w:rsidR="00E76FD6" w:rsidRPr="0080446A" w:rsidRDefault="00E76FD6" w:rsidP="002E48E2">
            <w:pPr>
              <w:spacing w:before="240" w:line="240" w:lineRule="auto"/>
              <w:jc w:val="center"/>
              <w:rPr>
                <w:rFonts w:ascii="Arial" w:eastAsia="Times New Roman" w:hAnsi="Arial" w:cs="Arial"/>
                <w:b/>
                <w:bCs/>
                <w:color w:val="000000"/>
                <w:sz w:val="20"/>
                <w:szCs w:val="20"/>
                <w:lang w:eastAsia="es-MX"/>
              </w:rPr>
            </w:pPr>
            <w:r w:rsidRPr="0080446A">
              <w:rPr>
                <w:rFonts w:ascii="Arial" w:eastAsia="Times New Roman" w:hAnsi="Arial" w:cs="Arial"/>
                <w:b/>
                <w:bCs/>
                <w:color w:val="000000"/>
                <w:sz w:val="20"/>
                <w:szCs w:val="20"/>
                <w:lang w:eastAsia="es-MX"/>
              </w:rPr>
              <w:t>4</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280A3B" w14:textId="77777777" w:rsidR="00E76FD6" w:rsidRPr="0080446A" w:rsidRDefault="00E76FD6" w:rsidP="002E48E2">
            <w:pPr>
              <w:spacing w:before="240" w:line="240" w:lineRule="auto"/>
              <w:jc w:val="center"/>
              <w:rPr>
                <w:rFonts w:ascii="Arial" w:eastAsia="Times New Roman" w:hAnsi="Arial" w:cs="Arial"/>
                <w:color w:val="000000"/>
                <w:sz w:val="20"/>
                <w:szCs w:val="20"/>
                <w:lang w:eastAsia="es-MX"/>
              </w:rPr>
            </w:pPr>
            <w:proofErr w:type="spellStart"/>
            <w:r w:rsidRPr="0080446A">
              <w:rPr>
                <w:rFonts w:ascii="Arial" w:eastAsia="Times New Roman" w:hAnsi="Arial" w:cs="Arial"/>
                <w:color w:val="000000"/>
                <w:sz w:val="20"/>
                <w:szCs w:val="20"/>
                <w:lang w:eastAsia="es-MX"/>
              </w:rPr>
              <w:t>Jhonatan</w:t>
            </w:r>
            <w:proofErr w:type="spellEnd"/>
            <w:r w:rsidRPr="0080446A">
              <w:rPr>
                <w:rFonts w:ascii="Arial" w:eastAsia="Times New Roman" w:hAnsi="Arial" w:cs="Arial"/>
                <w:color w:val="000000"/>
                <w:sz w:val="20"/>
                <w:szCs w:val="20"/>
                <w:lang w:eastAsia="es-MX"/>
              </w:rPr>
              <w:t xml:space="preserve"> Colmenares Rentería</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1D6E79" w14:textId="77777777" w:rsidR="00E76FD6" w:rsidRPr="0080446A" w:rsidRDefault="00E76FD6" w:rsidP="002E48E2">
            <w:pPr>
              <w:spacing w:before="240" w:line="240" w:lineRule="auto"/>
              <w:jc w:val="center"/>
              <w:rPr>
                <w:rFonts w:ascii="Arial" w:eastAsia="Times New Roman" w:hAnsi="Arial" w:cs="Arial"/>
                <w:color w:val="000000"/>
                <w:sz w:val="20"/>
                <w:szCs w:val="20"/>
                <w:lang w:eastAsia="es-MX"/>
              </w:rPr>
            </w:pPr>
            <w:r w:rsidRPr="0080446A">
              <w:rPr>
                <w:rFonts w:ascii="Arial" w:eastAsia="Times New Roman" w:hAnsi="Arial" w:cs="Arial"/>
                <w:color w:val="000000"/>
                <w:sz w:val="20"/>
                <w:szCs w:val="20"/>
                <w:lang w:eastAsia="es-MX"/>
              </w:rPr>
              <w:t xml:space="preserve">Jorge Bernardo Franco </w:t>
            </w:r>
            <w:proofErr w:type="spellStart"/>
            <w:r w:rsidRPr="0080446A">
              <w:rPr>
                <w:rFonts w:ascii="Arial" w:eastAsia="Times New Roman" w:hAnsi="Arial" w:cs="Arial"/>
                <w:color w:val="000000"/>
                <w:sz w:val="20"/>
                <w:szCs w:val="20"/>
                <w:lang w:eastAsia="es-MX"/>
              </w:rPr>
              <w:t>Asfura</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23E729" w14:textId="77777777" w:rsidR="00E76FD6" w:rsidRPr="0080446A" w:rsidRDefault="00E76FD6" w:rsidP="002E48E2">
            <w:pPr>
              <w:spacing w:before="240" w:line="240" w:lineRule="auto"/>
              <w:jc w:val="center"/>
              <w:rPr>
                <w:rFonts w:ascii="Arial" w:eastAsia="Times New Roman" w:hAnsi="Arial" w:cs="Arial"/>
                <w:color w:val="000000"/>
                <w:sz w:val="20"/>
                <w:szCs w:val="20"/>
                <w:lang w:eastAsia="es-MX"/>
              </w:rPr>
            </w:pPr>
            <w:r w:rsidRPr="0080446A">
              <w:rPr>
                <w:rFonts w:ascii="Arial" w:eastAsia="Times New Roman" w:hAnsi="Arial" w:cs="Arial"/>
                <w:color w:val="000000"/>
                <w:sz w:val="20"/>
                <w:szCs w:val="20"/>
                <w:lang w:eastAsia="es-MX"/>
              </w:rPr>
              <w:t>2B</w:t>
            </w:r>
          </w:p>
        </w:tc>
      </w:tr>
      <w:tr w:rsidR="00E76FD6" w:rsidRPr="0080446A" w14:paraId="6D44CF3B" w14:textId="77777777" w:rsidTr="002E48E2">
        <w:trPr>
          <w:trHeight w:val="259"/>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53B64592" w14:textId="77777777" w:rsidR="00E76FD6" w:rsidRPr="0080446A" w:rsidRDefault="00E76FD6" w:rsidP="002E48E2">
            <w:pPr>
              <w:spacing w:before="240" w:line="240" w:lineRule="auto"/>
              <w:jc w:val="center"/>
              <w:rPr>
                <w:rFonts w:ascii="Arial" w:eastAsia="Times New Roman" w:hAnsi="Arial" w:cs="Arial"/>
                <w:b/>
                <w:bCs/>
                <w:color w:val="000000"/>
                <w:sz w:val="20"/>
                <w:szCs w:val="20"/>
                <w:lang w:eastAsia="es-MX"/>
              </w:rPr>
            </w:pPr>
            <w:r w:rsidRPr="0080446A">
              <w:rPr>
                <w:rFonts w:ascii="Arial" w:eastAsia="Times New Roman" w:hAnsi="Arial" w:cs="Arial"/>
                <w:b/>
                <w:bCs/>
                <w:color w:val="000000"/>
                <w:sz w:val="20"/>
                <w:szCs w:val="20"/>
                <w:lang w:eastAsia="es-MX"/>
              </w:rPr>
              <w:t>5</w:t>
            </w:r>
          </w:p>
        </w:tc>
        <w:tc>
          <w:tcPr>
            <w:tcW w:w="1743" w:type="dxa"/>
            <w:tcBorders>
              <w:top w:val="nil"/>
              <w:left w:val="nil"/>
              <w:bottom w:val="single" w:sz="4" w:space="0" w:color="auto"/>
              <w:right w:val="single" w:sz="4" w:space="0" w:color="auto"/>
            </w:tcBorders>
            <w:shd w:val="clear" w:color="auto" w:fill="auto"/>
            <w:noWrap/>
            <w:vAlign w:val="center"/>
            <w:hideMark/>
          </w:tcPr>
          <w:p w14:paraId="1297D7CB" w14:textId="77777777" w:rsidR="00E76FD6" w:rsidRPr="0080446A" w:rsidRDefault="00E76FD6" w:rsidP="002E48E2">
            <w:pPr>
              <w:spacing w:before="240" w:line="240" w:lineRule="auto"/>
              <w:ind w:left="-199"/>
              <w:jc w:val="center"/>
              <w:rPr>
                <w:rFonts w:ascii="Arial" w:eastAsia="Times New Roman" w:hAnsi="Arial" w:cs="Arial"/>
                <w:color w:val="000000"/>
                <w:sz w:val="20"/>
                <w:szCs w:val="20"/>
                <w:lang w:eastAsia="es-MX"/>
              </w:rPr>
            </w:pPr>
            <w:r w:rsidRPr="0080446A">
              <w:rPr>
                <w:rFonts w:ascii="Arial" w:eastAsia="Times New Roman" w:hAnsi="Arial" w:cs="Arial"/>
                <w:color w:val="000000"/>
                <w:sz w:val="20"/>
                <w:szCs w:val="20"/>
                <w:lang w:eastAsia="es-MX"/>
              </w:rPr>
              <w:t>Fausto Manuel Zamorano Esparza</w:t>
            </w:r>
          </w:p>
        </w:tc>
        <w:tc>
          <w:tcPr>
            <w:tcW w:w="4395" w:type="dxa"/>
            <w:tcBorders>
              <w:top w:val="nil"/>
              <w:left w:val="nil"/>
              <w:bottom w:val="single" w:sz="4" w:space="0" w:color="auto"/>
              <w:right w:val="single" w:sz="4" w:space="0" w:color="auto"/>
            </w:tcBorders>
            <w:shd w:val="clear" w:color="auto" w:fill="auto"/>
            <w:noWrap/>
            <w:vAlign w:val="center"/>
            <w:hideMark/>
          </w:tcPr>
          <w:p w14:paraId="663E53D8" w14:textId="77777777" w:rsidR="00E76FD6" w:rsidRPr="0080446A" w:rsidRDefault="00E76FD6" w:rsidP="002E48E2">
            <w:pPr>
              <w:spacing w:before="240" w:line="240" w:lineRule="auto"/>
              <w:jc w:val="center"/>
              <w:rPr>
                <w:rFonts w:ascii="Arial" w:eastAsia="Times New Roman" w:hAnsi="Arial" w:cs="Arial"/>
                <w:color w:val="000000"/>
                <w:sz w:val="20"/>
                <w:szCs w:val="20"/>
                <w:lang w:eastAsia="es-MX"/>
              </w:rPr>
            </w:pPr>
            <w:r w:rsidRPr="0080446A">
              <w:rPr>
                <w:rFonts w:ascii="Arial" w:eastAsia="Times New Roman" w:hAnsi="Arial" w:cs="Arial"/>
                <w:color w:val="000000"/>
                <w:sz w:val="20"/>
                <w:szCs w:val="20"/>
                <w:lang w:eastAsia="es-MX"/>
              </w:rPr>
              <w:t>Mario Becerril Martínez</w:t>
            </w:r>
          </w:p>
        </w:tc>
        <w:tc>
          <w:tcPr>
            <w:tcW w:w="992" w:type="dxa"/>
            <w:tcBorders>
              <w:top w:val="nil"/>
              <w:left w:val="nil"/>
              <w:bottom w:val="single" w:sz="4" w:space="0" w:color="auto"/>
              <w:right w:val="single" w:sz="4" w:space="0" w:color="auto"/>
            </w:tcBorders>
            <w:shd w:val="clear" w:color="auto" w:fill="auto"/>
            <w:noWrap/>
            <w:vAlign w:val="center"/>
            <w:hideMark/>
          </w:tcPr>
          <w:p w14:paraId="00238227" w14:textId="77777777" w:rsidR="00E76FD6" w:rsidRPr="0080446A" w:rsidRDefault="00E76FD6" w:rsidP="002E48E2">
            <w:pPr>
              <w:spacing w:before="240" w:line="240" w:lineRule="auto"/>
              <w:jc w:val="center"/>
              <w:rPr>
                <w:rFonts w:ascii="Arial" w:eastAsia="Times New Roman" w:hAnsi="Arial" w:cs="Arial"/>
                <w:color w:val="000000"/>
                <w:sz w:val="20"/>
                <w:szCs w:val="20"/>
                <w:lang w:eastAsia="es-MX"/>
              </w:rPr>
            </w:pPr>
            <w:r w:rsidRPr="0080446A">
              <w:rPr>
                <w:rFonts w:ascii="Arial" w:eastAsia="Times New Roman" w:hAnsi="Arial" w:cs="Arial"/>
                <w:color w:val="000000"/>
                <w:sz w:val="20"/>
                <w:szCs w:val="20"/>
                <w:lang w:eastAsia="es-MX"/>
              </w:rPr>
              <w:t>3A</w:t>
            </w:r>
          </w:p>
        </w:tc>
      </w:tr>
    </w:tbl>
    <w:p w14:paraId="03CF0C11" w14:textId="77777777" w:rsidR="00E76FD6" w:rsidRDefault="00E76FD6" w:rsidP="00E76FD6">
      <w:pPr>
        <w:spacing w:before="240"/>
      </w:pPr>
    </w:p>
    <w:tbl>
      <w:tblPr>
        <w:tblStyle w:val="Tablaconcuadrcula"/>
        <w:tblW w:w="0" w:type="auto"/>
        <w:tblLook w:val="04A0" w:firstRow="1" w:lastRow="0" w:firstColumn="1" w:lastColumn="0" w:noHBand="0" w:noVBand="1"/>
      </w:tblPr>
      <w:tblGrid>
        <w:gridCol w:w="1938"/>
        <w:gridCol w:w="977"/>
        <w:gridCol w:w="1644"/>
        <w:gridCol w:w="1644"/>
        <w:gridCol w:w="2059"/>
      </w:tblGrid>
      <w:tr w:rsidR="00E76FD6" w:rsidRPr="0080446A" w14:paraId="055A27A6" w14:textId="77777777" w:rsidTr="002E48E2">
        <w:tc>
          <w:tcPr>
            <w:tcW w:w="8830" w:type="dxa"/>
            <w:gridSpan w:val="5"/>
            <w:shd w:val="clear" w:color="auto" w:fill="FF00FF"/>
          </w:tcPr>
          <w:p w14:paraId="390E8CD1" w14:textId="77777777" w:rsidR="00E76FD6" w:rsidRPr="0080446A" w:rsidRDefault="00E76FD6" w:rsidP="002E48E2">
            <w:pPr>
              <w:spacing w:before="240" w:line="240" w:lineRule="auto"/>
              <w:jc w:val="center"/>
              <w:rPr>
                <w:rFonts w:ascii="Arial" w:eastAsia="Times New Roman" w:hAnsi="Arial" w:cs="Arial"/>
                <w:b/>
                <w:bCs/>
                <w:color w:val="000000"/>
                <w:sz w:val="20"/>
                <w:szCs w:val="20"/>
                <w:lang w:eastAsia="es-MX"/>
              </w:rPr>
            </w:pPr>
            <w:r w:rsidRPr="0080446A">
              <w:rPr>
                <w:rFonts w:ascii="Arial" w:eastAsia="Times New Roman" w:hAnsi="Arial" w:cs="Arial"/>
                <w:b/>
                <w:bCs/>
                <w:color w:val="000000"/>
                <w:sz w:val="20"/>
                <w:szCs w:val="20"/>
                <w:lang w:eastAsia="es-MX"/>
              </w:rPr>
              <w:t>LISTA DEFINITIVA</w:t>
            </w:r>
          </w:p>
          <w:p w14:paraId="7E3D00F1" w14:textId="77777777" w:rsidR="00E76FD6" w:rsidRPr="0080446A" w:rsidRDefault="00E76FD6" w:rsidP="002E48E2">
            <w:pPr>
              <w:spacing w:before="240"/>
              <w:jc w:val="center"/>
              <w:rPr>
                <w:rFonts w:ascii="Arial" w:hAnsi="Arial" w:cs="Arial"/>
                <w:b/>
                <w:bCs/>
                <w:sz w:val="20"/>
                <w:szCs w:val="20"/>
              </w:rPr>
            </w:pPr>
            <w:r w:rsidRPr="0080446A">
              <w:rPr>
                <w:rFonts w:ascii="Arial" w:hAnsi="Arial" w:cs="Arial"/>
                <w:b/>
                <w:bCs/>
                <w:sz w:val="20"/>
                <w:szCs w:val="20"/>
              </w:rPr>
              <w:t>PVEM</w:t>
            </w:r>
          </w:p>
        </w:tc>
      </w:tr>
      <w:tr w:rsidR="00E76FD6" w:rsidRPr="0080446A" w14:paraId="70C3B7CA" w14:textId="77777777" w:rsidTr="002E48E2">
        <w:tc>
          <w:tcPr>
            <w:tcW w:w="2117" w:type="dxa"/>
            <w:shd w:val="clear" w:color="auto" w:fill="FF00FF"/>
          </w:tcPr>
          <w:p w14:paraId="6EAFB5C9" w14:textId="77777777" w:rsidR="00E76FD6" w:rsidRPr="0080446A" w:rsidRDefault="00E76FD6" w:rsidP="002E48E2">
            <w:pPr>
              <w:spacing w:before="240"/>
              <w:jc w:val="center"/>
              <w:rPr>
                <w:rFonts w:ascii="Arial" w:hAnsi="Arial" w:cs="Arial"/>
                <w:b/>
                <w:bCs/>
                <w:sz w:val="20"/>
                <w:szCs w:val="20"/>
              </w:rPr>
            </w:pPr>
            <w:r w:rsidRPr="0080446A">
              <w:rPr>
                <w:rFonts w:ascii="Arial" w:hAnsi="Arial" w:cs="Arial"/>
                <w:b/>
                <w:bCs/>
                <w:sz w:val="20"/>
                <w:szCs w:val="20"/>
              </w:rPr>
              <w:t>Fórmula</w:t>
            </w:r>
          </w:p>
        </w:tc>
        <w:tc>
          <w:tcPr>
            <w:tcW w:w="1031" w:type="dxa"/>
            <w:shd w:val="clear" w:color="auto" w:fill="FF00FF"/>
          </w:tcPr>
          <w:p w14:paraId="65DDDFD8" w14:textId="77777777" w:rsidR="00E76FD6" w:rsidRPr="0080446A" w:rsidRDefault="00E76FD6" w:rsidP="002E48E2">
            <w:pPr>
              <w:spacing w:before="240"/>
              <w:jc w:val="center"/>
              <w:rPr>
                <w:rFonts w:ascii="Arial" w:hAnsi="Arial" w:cs="Arial"/>
                <w:sz w:val="20"/>
                <w:szCs w:val="20"/>
              </w:rPr>
            </w:pPr>
            <w:r w:rsidRPr="0080446A">
              <w:rPr>
                <w:rFonts w:ascii="Arial" w:hAnsi="Arial" w:cs="Arial"/>
                <w:b/>
                <w:bCs/>
                <w:sz w:val="20"/>
                <w:szCs w:val="20"/>
              </w:rPr>
              <w:t>Sexo</w:t>
            </w:r>
          </w:p>
        </w:tc>
        <w:tc>
          <w:tcPr>
            <w:tcW w:w="1694" w:type="dxa"/>
            <w:shd w:val="clear" w:color="auto" w:fill="FF00FF"/>
          </w:tcPr>
          <w:p w14:paraId="0BE15D2E" w14:textId="77777777" w:rsidR="00E76FD6" w:rsidRPr="0080446A" w:rsidRDefault="00E76FD6" w:rsidP="002E48E2">
            <w:pPr>
              <w:spacing w:before="240"/>
              <w:jc w:val="center"/>
              <w:rPr>
                <w:rFonts w:ascii="Arial" w:hAnsi="Arial" w:cs="Arial"/>
                <w:sz w:val="20"/>
                <w:szCs w:val="20"/>
              </w:rPr>
            </w:pPr>
            <w:r w:rsidRPr="0080446A">
              <w:rPr>
                <w:rFonts w:ascii="Arial" w:hAnsi="Arial" w:cs="Arial"/>
                <w:b/>
                <w:bCs/>
                <w:sz w:val="20"/>
                <w:szCs w:val="20"/>
              </w:rPr>
              <w:t>Candidatura propietaria</w:t>
            </w:r>
          </w:p>
        </w:tc>
        <w:tc>
          <w:tcPr>
            <w:tcW w:w="1694" w:type="dxa"/>
            <w:shd w:val="clear" w:color="auto" w:fill="FF00FF"/>
          </w:tcPr>
          <w:p w14:paraId="5FC05CEA" w14:textId="77777777" w:rsidR="00E76FD6" w:rsidRPr="0080446A" w:rsidRDefault="00E76FD6" w:rsidP="002E48E2">
            <w:pPr>
              <w:spacing w:before="240"/>
              <w:jc w:val="center"/>
              <w:rPr>
                <w:rFonts w:ascii="Arial" w:hAnsi="Arial" w:cs="Arial"/>
                <w:sz w:val="20"/>
                <w:szCs w:val="20"/>
              </w:rPr>
            </w:pPr>
            <w:r w:rsidRPr="0080446A">
              <w:rPr>
                <w:rFonts w:ascii="Arial" w:hAnsi="Arial" w:cs="Arial"/>
                <w:b/>
                <w:bCs/>
                <w:sz w:val="20"/>
                <w:szCs w:val="20"/>
              </w:rPr>
              <w:t>Candidatura suplente</w:t>
            </w:r>
          </w:p>
        </w:tc>
        <w:tc>
          <w:tcPr>
            <w:tcW w:w="2294" w:type="dxa"/>
            <w:shd w:val="clear" w:color="auto" w:fill="FF00FF"/>
          </w:tcPr>
          <w:p w14:paraId="71B9677A" w14:textId="77777777" w:rsidR="00E76FD6" w:rsidRPr="0080446A" w:rsidRDefault="00E76FD6" w:rsidP="002E48E2">
            <w:pPr>
              <w:spacing w:before="240"/>
              <w:jc w:val="center"/>
              <w:rPr>
                <w:rFonts w:ascii="Arial" w:hAnsi="Arial" w:cs="Arial"/>
                <w:b/>
                <w:bCs/>
                <w:sz w:val="20"/>
                <w:szCs w:val="20"/>
              </w:rPr>
            </w:pPr>
            <w:r w:rsidRPr="0080446A">
              <w:rPr>
                <w:rFonts w:ascii="Arial" w:hAnsi="Arial" w:cs="Arial"/>
                <w:b/>
                <w:bCs/>
                <w:sz w:val="20"/>
                <w:szCs w:val="20"/>
              </w:rPr>
              <w:t xml:space="preserve">Lista de origen </w:t>
            </w:r>
          </w:p>
        </w:tc>
      </w:tr>
      <w:tr w:rsidR="00E76FD6" w:rsidRPr="0080446A" w14:paraId="0836E44A" w14:textId="77777777" w:rsidTr="002E48E2">
        <w:tc>
          <w:tcPr>
            <w:tcW w:w="2117" w:type="dxa"/>
          </w:tcPr>
          <w:p w14:paraId="1F6EC5FB" w14:textId="77777777" w:rsidR="00E76FD6" w:rsidRPr="0080446A" w:rsidRDefault="00E76FD6" w:rsidP="002E48E2">
            <w:pPr>
              <w:spacing w:before="240"/>
              <w:jc w:val="center"/>
              <w:rPr>
                <w:rFonts w:ascii="Arial" w:hAnsi="Arial" w:cs="Arial"/>
                <w:b/>
                <w:bCs/>
                <w:sz w:val="20"/>
                <w:szCs w:val="20"/>
              </w:rPr>
            </w:pPr>
            <w:r w:rsidRPr="0080446A">
              <w:rPr>
                <w:rFonts w:ascii="Arial" w:hAnsi="Arial" w:cs="Arial"/>
                <w:b/>
                <w:bCs/>
                <w:sz w:val="20"/>
                <w:szCs w:val="20"/>
              </w:rPr>
              <w:t>1</w:t>
            </w:r>
          </w:p>
        </w:tc>
        <w:tc>
          <w:tcPr>
            <w:tcW w:w="1031" w:type="dxa"/>
          </w:tcPr>
          <w:p w14:paraId="77AE02ED" w14:textId="77777777" w:rsidR="00E76FD6" w:rsidRPr="0080446A" w:rsidRDefault="00E76FD6" w:rsidP="002E48E2">
            <w:pPr>
              <w:spacing w:before="240"/>
              <w:jc w:val="center"/>
              <w:rPr>
                <w:rFonts w:ascii="Arial" w:hAnsi="Arial" w:cs="Arial"/>
                <w:sz w:val="20"/>
                <w:szCs w:val="20"/>
              </w:rPr>
            </w:pPr>
            <w:r w:rsidRPr="0080446A">
              <w:rPr>
                <w:rFonts w:ascii="Arial" w:hAnsi="Arial" w:cs="Arial"/>
                <w:sz w:val="20"/>
                <w:szCs w:val="20"/>
              </w:rPr>
              <w:t>H</w:t>
            </w:r>
          </w:p>
        </w:tc>
        <w:tc>
          <w:tcPr>
            <w:tcW w:w="1694" w:type="dxa"/>
          </w:tcPr>
          <w:p w14:paraId="69B328A5" w14:textId="77777777" w:rsidR="00E76FD6" w:rsidRPr="0080446A" w:rsidRDefault="00E76FD6" w:rsidP="002E48E2">
            <w:pPr>
              <w:spacing w:before="240"/>
              <w:jc w:val="center"/>
              <w:rPr>
                <w:rFonts w:ascii="Arial" w:hAnsi="Arial" w:cs="Arial"/>
                <w:sz w:val="20"/>
                <w:szCs w:val="20"/>
              </w:rPr>
            </w:pPr>
            <w:r w:rsidRPr="0080446A">
              <w:rPr>
                <w:rFonts w:ascii="Arial" w:hAnsi="Arial" w:cs="Arial"/>
                <w:sz w:val="20"/>
                <w:szCs w:val="20"/>
              </w:rPr>
              <w:t xml:space="preserve">Manuel </w:t>
            </w:r>
            <w:proofErr w:type="spellStart"/>
            <w:r w:rsidRPr="0080446A">
              <w:rPr>
                <w:rFonts w:ascii="Arial" w:hAnsi="Arial" w:cs="Arial"/>
                <w:sz w:val="20"/>
                <w:szCs w:val="20"/>
              </w:rPr>
              <w:t>Talayero</w:t>
            </w:r>
            <w:proofErr w:type="spellEnd"/>
            <w:r w:rsidRPr="0080446A">
              <w:rPr>
                <w:rFonts w:ascii="Arial" w:hAnsi="Arial" w:cs="Arial"/>
                <w:sz w:val="20"/>
                <w:szCs w:val="20"/>
              </w:rPr>
              <w:t xml:space="preserve"> Pariente</w:t>
            </w:r>
          </w:p>
        </w:tc>
        <w:tc>
          <w:tcPr>
            <w:tcW w:w="1694" w:type="dxa"/>
          </w:tcPr>
          <w:p w14:paraId="192B272C" w14:textId="77777777" w:rsidR="00E76FD6" w:rsidRPr="0080446A" w:rsidRDefault="00E76FD6" w:rsidP="002E48E2">
            <w:pPr>
              <w:spacing w:before="240"/>
              <w:jc w:val="center"/>
              <w:rPr>
                <w:rFonts w:ascii="Arial" w:hAnsi="Arial" w:cs="Arial"/>
                <w:sz w:val="20"/>
                <w:szCs w:val="20"/>
              </w:rPr>
            </w:pPr>
          </w:p>
        </w:tc>
        <w:tc>
          <w:tcPr>
            <w:tcW w:w="2294" w:type="dxa"/>
          </w:tcPr>
          <w:p w14:paraId="278A85AC" w14:textId="77777777" w:rsidR="00E76FD6" w:rsidRPr="0080446A" w:rsidRDefault="00E76FD6" w:rsidP="002E48E2">
            <w:pPr>
              <w:spacing w:before="240"/>
              <w:jc w:val="center"/>
              <w:rPr>
                <w:rFonts w:ascii="Arial" w:hAnsi="Arial" w:cs="Arial"/>
                <w:sz w:val="20"/>
                <w:szCs w:val="20"/>
              </w:rPr>
            </w:pPr>
            <w:r w:rsidRPr="0080446A">
              <w:rPr>
                <w:rFonts w:ascii="Arial" w:hAnsi="Arial" w:cs="Arial"/>
                <w:b/>
                <w:bCs/>
                <w:sz w:val="20"/>
                <w:szCs w:val="20"/>
              </w:rPr>
              <w:t>1A</w:t>
            </w:r>
          </w:p>
        </w:tc>
      </w:tr>
    </w:tbl>
    <w:p w14:paraId="3CE0A554" w14:textId="77777777" w:rsidR="00E76FD6" w:rsidRDefault="00E76FD6" w:rsidP="00E76FD6">
      <w:pPr>
        <w:spacing w:before="240" w:line="360" w:lineRule="auto"/>
        <w:ind w:right="51"/>
        <w:jc w:val="both"/>
        <w:rPr>
          <w:rFonts w:ascii="Arial" w:hAnsi="Arial" w:cs="Arial"/>
          <w:bCs/>
          <w:spacing w:val="4"/>
          <w:sz w:val="28"/>
          <w:szCs w:val="28"/>
        </w:rPr>
      </w:pPr>
    </w:p>
    <w:p w14:paraId="11335512" w14:textId="77777777" w:rsidR="00E76FD6" w:rsidRDefault="00E76FD6" w:rsidP="00E76FD6">
      <w:pPr>
        <w:spacing w:before="240" w:line="360" w:lineRule="auto"/>
        <w:ind w:right="51"/>
        <w:jc w:val="both"/>
        <w:rPr>
          <w:rFonts w:ascii="Arial" w:hAnsi="Arial" w:cs="Arial"/>
          <w:bCs/>
          <w:spacing w:val="4"/>
          <w:sz w:val="28"/>
          <w:szCs w:val="28"/>
        </w:rPr>
      </w:pPr>
      <w:r>
        <w:rPr>
          <w:rFonts w:ascii="Arial" w:hAnsi="Arial" w:cs="Arial"/>
          <w:bCs/>
          <w:spacing w:val="4"/>
          <w:sz w:val="28"/>
          <w:szCs w:val="28"/>
        </w:rPr>
        <w:t xml:space="preserve">De ahí que, los resolutivos </w:t>
      </w:r>
      <w:r w:rsidRPr="00C8238B">
        <w:rPr>
          <w:rFonts w:ascii="Arial" w:hAnsi="Arial" w:cs="Arial"/>
          <w:b/>
          <w:spacing w:val="4"/>
          <w:sz w:val="28"/>
          <w:szCs w:val="28"/>
        </w:rPr>
        <w:t>CUARTO</w:t>
      </w:r>
      <w:r>
        <w:rPr>
          <w:rFonts w:ascii="Arial" w:hAnsi="Arial" w:cs="Arial"/>
          <w:bCs/>
          <w:spacing w:val="4"/>
          <w:sz w:val="28"/>
          <w:szCs w:val="28"/>
        </w:rPr>
        <w:t xml:space="preserve">, y </w:t>
      </w:r>
      <w:r w:rsidRPr="00C8238B">
        <w:rPr>
          <w:rFonts w:ascii="Arial" w:hAnsi="Arial" w:cs="Arial"/>
          <w:b/>
          <w:spacing w:val="4"/>
          <w:sz w:val="28"/>
          <w:szCs w:val="28"/>
        </w:rPr>
        <w:t>SEXTO</w:t>
      </w:r>
      <w:r w:rsidRPr="00510DDA">
        <w:rPr>
          <w:rFonts w:ascii="Arial" w:hAnsi="Arial" w:cs="Arial"/>
          <w:bCs/>
          <w:spacing w:val="4"/>
          <w:sz w:val="28"/>
          <w:szCs w:val="28"/>
        </w:rPr>
        <w:t xml:space="preserve"> al</w:t>
      </w:r>
      <w:r>
        <w:rPr>
          <w:rFonts w:ascii="Arial" w:hAnsi="Arial" w:cs="Arial"/>
          <w:bCs/>
          <w:spacing w:val="4"/>
          <w:sz w:val="28"/>
          <w:szCs w:val="28"/>
        </w:rPr>
        <w:t xml:space="preserve"> </w:t>
      </w:r>
      <w:r w:rsidRPr="00C8238B">
        <w:rPr>
          <w:rFonts w:ascii="Arial" w:hAnsi="Arial" w:cs="Arial"/>
          <w:b/>
          <w:spacing w:val="4"/>
          <w:sz w:val="28"/>
          <w:szCs w:val="28"/>
        </w:rPr>
        <w:t>OCTAVO</w:t>
      </w:r>
      <w:r>
        <w:rPr>
          <w:rFonts w:ascii="Arial" w:hAnsi="Arial" w:cs="Arial"/>
          <w:bCs/>
          <w:spacing w:val="4"/>
          <w:sz w:val="28"/>
          <w:szCs w:val="28"/>
        </w:rPr>
        <w:t xml:space="preserve"> de la sentencia sean innecesarios, ya que no resulta procedente revocar constancias, ni ajustar asignación por paridad, dado que </w:t>
      </w:r>
      <w:r>
        <w:rPr>
          <w:rFonts w:ascii="Arial" w:hAnsi="Arial" w:cs="Arial"/>
          <w:bCs/>
          <w:spacing w:val="4"/>
          <w:sz w:val="28"/>
          <w:szCs w:val="28"/>
        </w:rPr>
        <w:lastRenderedPageBreak/>
        <w:t>el estudio que propongo concluye con una asignación paritaria entre mujeres y hombres, que además supera el trato diferenciado contenido en el artículo 24 fracción IV del Código Electoral.</w:t>
      </w:r>
    </w:p>
    <w:p w14:paraId="795346F0" w14:textId="77777777" w:rsidR="00E76FD6" w:rsidRDefault="00E76FD6" w:rsidP="00E76FD6">
      <w:pPr>
        <w:spacing w:before="240" w:line="360" w:lineRule="auto"/>
        <w:ind w:right="51"/>
        <w:jc w:val="both"/>
        <w:rPr>
          <w:rFonts w:ascii="Arial" w:hAnsi="Arial" w:cs="Arial"/>
          <w:bCs/>
          <w:spacing w:val="4"/>
          <w:sz w:val="28"/>
          <w:szCs w:val="28"/>
        </w:rPr>
      </w:pPr>
    </w:p>
    <w:p w14:paraId="0AD55642" w14:textId="77777777" w:rsidR="00E76FD6" w:rsidRPr="00525E3B" w:rsidRDefault="00E76FD6" w:rsidP="00E76FD6">
      <w:pPr>
        <w:spacing w:before="240" w:line="360" w:lineRule="auto"/>
        <w:ind w:right="51"/>
        <w:jc w:val="both"/>
        <w:rPr>
          <w:rFonts w:ascii="Arial" w:hAnsi="Arial" w:cs="Arial"/>
          <w:b/>
          <w:i/>
          <w:iCs/>
          <w:spacing w:val="4"/>
          <w:sz w:val="28"/>
          <w:szCs w:val="28"/>
        </w:rPr>
      </w:pPr>
      <w:r w:rsidRPr="00665992">
        <w:rPr>
          <w:rFonts w:ascii="Arial" w:hAnsi="Arial" w:cs="Arial"/>
          <w:b/>
          <w:i/>
          <w:iCs/>
          <w:spacing w:val="4"/>
          <w:sz w:val="28"/>
          <w:szCs w:val="28"/>
        </w:rPr>
        <w:t>B) Desvinculación de la Lista “A” Prima, de</w:t>
      </w:r>
      <w:r>
        <w:rPr>
          <w:rFonts w:ascii="Arial" w:hAnsi="Arial" w:cs="Arial"/>
          <w:b/>
          <w:i/>
          <w:iCs/>
          <w:spacing w:val="4"/>
          <w:sz w:val="28"/>
          <w:szCs w:val="28"/>
        </w:rPr>
        <w:t xml:space="preserve"> la Lista Definitiva.</w:t>
      </w:r>
    </w:p>
    <w:p w14:paraId="355AD933" w14:textId="77777777" w:rsidR="00E76FD6" w:rsidRPr="00665992" w:rsidRDefault="00E76FD6" w:rsidP="00E76FD6">
      <w:pPr>
        <w:spacing w:before="240" w:line="360" w:lineRule="auto"/>
        <w:ind w:right="51"/>
        <w:jc w:val="both"/>
        <w:rPr>
          <w:rFonts w:ascii="Arial" w:hAnsi="Arial" w:cs="Arial"/>
          <w:bCs/>
          <w:spacing w:val="4"/>
          <w:sz w:val="28"/>
          <w:szCs w:val="28"/>
        </w:rPr>
      </w:pPr>
      <w:r w:rsidRPr="00665992">
        <w:rPr>
          <w:rFonts w:ascii="Arial" w:hAnsi="Arial" w:cs="Arial"/>
          <w:bCs/>
          <w:spacing w:val="4"/>
          <w:sz w:val="28"/>
          <w:szCs w:val="28"/>
        </w:rPr>
        <w:t>Por otro lado, desde mi perspectiva la Lista “A” Prima, debió quedar integrada</w:t>
      </w:r>
      <w:r>
        <w:rPr>
          <w:rFonts w:ascii="Arial" w:hAnsi="Arial" w:cs="Arial"/>
          <w:bCs/>
          <w:spacing w:val="4"/>
          <w:sz w:val="28"/>
          <w:szCs w:val="28"/>
        </w:rPr>
        <w:t xml:space="preserve"> a</w:t>
      </w:r>
      <w:r w:rsidRPr="00665992">
        <w:rPr>
          <w:rFonts w:ascii="Arial" w:hAnsi="Arial" w:cs="Arial"/>
          <w:bCs/>
          <w:spacing w:val="4"/>
          <w:sz w:val="28"/>
          <w:szCs w:val="28"/>
        </w:rPr>
        <w:t xml:space="preserve"> la Lista Definitiva -y no desvincularse como fue aprobado en la sentencia- pues acorde a la normativa electoral, tanto la Lista “A”, como la Lista “A” Prima y la Lista “B” integrarán en su conjunto la Lista Definitiva de los partidos para efectos de asignar curules de representación proporcional.</w:t>
      </w:r>
    </w:p>
    <w:p w14:paraId="794B4E58" w14:textId="77777777" w:rsidR="00E76FD6" w:rsidRPr="00665992" w:rsidRDefault="00E76FD6" w:rsidP="00E76FD6">
      <w:pPr>
        <w:spacing w:before="240" w:line="360" w:lineRule="auto"/>
        <w:ind w:right="51"/>
        <w:jc w:val="both"/>
        <w:rPr>
          <w:rFonts w:ascii="Arial" w:hAnsi="Arial" w:cs="Arial"/>
          <w:bCs/>
          <w:spacing w:val="4"/>
          <w:sz w:val="28"/>
          <w:szCs w:val="28"/>
        </w:rPr>
      </w:pPr>
      <w:r w:rsidRPr="00665992">
        <w:rPr>
          <w:rFonts w:ascii="Arial" w:hAnsi="Arial" w:cs="Arial"/>
          <w:bCs/>
          <w:spacing w:val="4"/>
          <w:sz w:val="28"/>
          <w:szCs w:val="28"/>
        </w:rPr>
        <w:t>En efecto, acorde a lo señalado en el artículo 24 fracción III del Código Electoral, la Lista "A" se integrará con las diecisiete fórmulas de candidaturas propuestas por los partidos políticos a las diputaciones de representación proporcional, en orden de prelación, alternando fórmulas de género distinto de manera sucesiva.</w:t>
      </w:r>
    </w:p>
    <w:p w14:paraId="5909777C" w14:textId="77777777" w:rsidR="00E76FD6" w:rsidRPr="00665992" w:rsidRDefault="00E76FD6" w:rsidP="00E76FD6">
      <w:pPr>
        <w:spacing w:before="240" w:line="360" w:lineRule="auto"/>
        <w:ind w:right="51"/>
        <w:jc w:val="both"/>
        <w:rPr>
          <w:rFonts w:ascii="Arial" w:hAnsi="Arial" w:cs="Arial"/>
          <w:bCs/>
          <w:spacing w:val="4"/>
          <w:sz w:val="28"/>
          <w:szCs w:val="28"/>
        </w:rPr>
      </w:pPr>
      <w:r w:rsidRPr="00665992">
        <w:rPr>
          <w:rFonts w:ascii="Arial" w:hAnsi="Arial" w:cs="Arial"/>
          <w:bCs/>
          <w:spacing w:val="4"/>
          <w:sz w:val="28"/>
          <w:szCs w:val="28"/>
        </w:rPr>
        <w:t xml:space="preserve">Por su parte, el numeral 4 inciso c) fracción VI de los Lineamientos de Asignación emitidos por el Instituto Electoral, señala que </w:t>
      </w:r>
      <w:r w:rsidRPr="00665992">
        <w:rPr>
          <w:rFonts w:ascii="Arial" w:hAnsi="Arial" w:cs="Arial"/>
          <w:b/>
          <w:spacing w:val="4"/>
          <w:sz w:val="28"/>
          <w:szCs w:val="28"/>
        </w:rPr>
        <w:t>la Lista “A” Prima</w:t>
      </w:r>
      <w:r w:rsidRPr="00665992">
        <w:rPr>
          <w:rFonts w:ascii="Arial" w:hAnsi="Arial" w:cs="Arial"/>
          <w:bCs/>
          <w:spacing w:val="4"/>
          <w:sz w:val="28"/>
          <w:szCs w:val="28"/>
        </w:rPr>
        <w:t xml:space="preserve"> </w:t>
      </w:r>
      <w:r w:rsidRPr="00665992">
        <w:rPr>
          <w:rFonts w:ascii="Arial" w:hAnsi="Arial" w:cs="Arial"/>
          <w:b/>
          <w:spacing w:val="4"/>
          <w:sz w:val="28"/>
          <w:szCs w:val="28"/>
          <w:u w:val="single"/>
        </w:rPr>
        <w:t>constituye un apartado de la Lista “A”</w:t>
      </w:r>
      <w:r w:rsidRPr="00665992">
        <w:rPr>
          <w:rFonts w:ascii="Arial" w:hAnsi="Arial" w:cs="Arial"/>
          <w:b/>
          <w:spacing w:val="4"/>
          <w:sz w:val="28"/>
          <w:szCs w:val="28"/>
        </w:rPr>
        <w:t xml:space="preserve"> </w:t>
      </w:r>
      <w:r w:rsidRPr="00665992">
        <w:rPr>
          <w:rFonts w:ascii="Arial" w:hAnsi="Arial" w:cs="Arial"/>
          <w:bCs/>
          <w:spacing w:val="4"/>
          <w:sz w:val="28"/>
          <w:szCs w:val="28"/>
        </w:rPr>
        <w:t xml:space="preserve">que se integra con la fórmula de candidatura a la diputación migrante postulada por cada partido político, siendo ésta una persona residente en el extranjero con calidad de originaria de la Ciudad de México, para ocupar el cargo de </w:t>
      </w:r>
      <w:r w:rsidRPr="00665992">
        <w:rPr>
          <w:rFonts w:ascii="Arial" w:hAnsi="Arial" w:cs="Arial"/>
          <w:bCs/>
          <w:spacing w:val="4"/>
          <w:sz w:val="28"/>
          <w:szCs w:val="28"/>
        </w:rPr>
        <w:lastRenderedPageBreak/>
        <w:t xml:space="preserve">diputada por el principio de representación proporcional en el </w:t>
      </w:r>
      <w:r>
        <w:rPr>
          <w:rFonts w:ascii="Arial" w:hAnsi="Arial" w:cs="Arial"/>
          <w:bCs/>
          <w:spacing w:val="4"/>
          <w:sz w:val="28"/>
          <w:szCs w:val="28"/>
        </w:rPr>
        <w:t>C</w:t>
      </w:r>
      <w:r w:rsidRPr="00665992">
        <w:rPr>
          <w:rFonts w:ascii="Arial" w:hAnsi="Arial" w:cs="Arial"/>
          <w:bCs/>
          <w:spacing w:val="4"/>
          <w:sz w:val="28"/>
          <w:szCs w:val="28"/>
        </w:rPr>
        <w:t>ongreso local.</w:t>
      </w:r>
    </w:p>
    <w:p w14:paraId="5B39B114" w14:textId="77777777" w:rsidR="00E76FD6" w:rsidRPr="00665992" w:rsidRDefault="00E76FD6" w:rsidP="00E76FD6">
      <w:pPr>
        <w:spacing w:before="240" w:line="360" w:lineRule="auto"/>
        <w:ind w:right="51"/>
        <w:jc w:val="both"/>
        <w:rPr>
          <w:rFonts w:ascii="Arial" w:hAnsi="Arial" w:cs="Arial"/>
          <w:bCs/>
          <w:spacing w:val="4"/>
          <w:sz w:val="28"/>
          <w:szCs w:val="28"/>
        </w:rPr>
      </w:pPr>
      <w:r w:rsidRPr="00665992">
        <w:rPr>
          <w:rFonts w:ascii="Arial" w:hAnsi="Arial" w:cs="Arial"/>
          <w:bCs/>
          <w:spacing w:val="4"/>
          <w:sz w:val="28"/>
          <w:szCs w:val="28"/>
        </w:rPr>
        <w:t>Asimismo, conforme lo indica el artículo 24 fracción IV del Código Electoral local, la Lista "B" se integra con las diecisiete fórmulas de candidaturas a las diputaciones que no lograron el triunfo en la elección por el principio de mayoría relativa, pero que alcanzaron a nivel distrital los mayores porcentajes de la votación local emitida, comparados respecto de otras fórmulas de su propio partido en la elección correspondiente.</w:t>
      </w:r>
    </w:p>
    <w:p w14:paraId="4F4B2EB9" w14:textId="77777777" w:rsidR="00E76FD6" w:rsidRPr="00665992" w:rsidRDefault="00E76FD6" w:rsidP="00E76FD6">
      <w:pPr>
        <w:spacing w:before="240" w:line="360" w:lineRule="auto"/>
        <w:ind w:right="51"/>
        <w:jc w:val="both"/>
        <w:rPr>
          <w:rFonts w:ascii="Arial" w:hAnsi="Arial" w:cs="Arial"/>
          <w:bCs/>
          <w:spacing w:val="4"/>
          <w:sz w:val="28"/>
          <w:szCs w:val="28"/>
        </w:rPr>
      </w:pPr>
      <w:r w:rsidRPr="00665992">
        <w:rPr>
          <w:rFonts w:ascii="Arial" w:hAnsi="Arial" w:cs="Arial"/>
          <w:bCs/>
          <w:spacing w:val="4"/>
          <w:sz w:val="28"/>
          <w:szCs w:val="28"/>
        </w:rPr>
        <w:t xml:space="preserve">Finalmente, conforme lo señalan los artículos 24 fracción V del Código Electoral, y 4 inciso c) fracción VIII de los Lineamientos de Asignación emitidos por el Instituto Electoral, la Lista Definitiva será el resultado de intercalar las fórmulas de candidaturas provenientes de las Listas "A" y "B", y será encabezada siempre por la primera fórmula de la Lista "A", </w:t>
      </w:r>
      <w:r w:rsidRPr="00665992">
        <w:rPr>
          <w:rFonts w:ascii="Arial" w:hAnsi="Arial" w:cs="Arial"/>
          <w:b/>
          <w:spacing w:val="4"/>
          <w:sz w:val="28"/>
          <w:szCs w:val="28"/>
        </w:rPr>
        <w:t>excepto en el caso del partido que obtenga la diputación migrante, ya que en ese supuesto la Lista Definitiva se encabezará por la formula ganadora de la diputación migrante</w:t>
      </w:r>
      <w:r w:rsidRPr="00665992">
        <w:rPr>
          <w:rFonts w:ascii="Arial" w:hAnsi="Arial" w:cs="Arial"/>
          <w:bCs/>
          <w:spacing w:val="4"/>
          <w:sz w:val="28"/>
          <w:szCs w:val="28"/>
        </w:rPr>
        <w:t xml:space="preserve"> que, acorde a los numerales anteriores, </w:t>
      </w:r>
      <w:r w:rsidRPr="00665992">
        <w:rPr>
          <w:rFonts w:ascii="Arial" w:hAnsi="Arial" w:cs="Arial"/>
          <w:b/>
          <w:spacing w:val="4"/>
          <w:sz w:val="28"/>
          <w:szCs w:val="28"/>
        </w:rPr>
        <w:t>proviene de la Lista “A” Prima</w:t>
      </w:r>
      <w:r w:rsidRPr="00665992">
        <w:rPr>
          <w:rFonts w:ascii="Arial" w:hAnsi="Arial" w:cs="Arial"/>
          <w:bCs/>
          <w:spacing w:val="4"/>
          <w:sz w:val="28"/>
          <w:szCs w:val="28"/>
        </w:rPr>
        <w:t>.</w:t>
      </w:r>
    </w:p>
    <w:p w14:paraId="124C3C9C" w14:textId="77777777" w:rsidR="00E76FD6" w:rsidRDefault="00E76FD6" w:rsidP="00E76FD6">
      <w:pPr>
        <w:spacing w:before="240" w:line="360" w:lineRule="auto"/>
        <w:ind w:right="51"/>
        <w:jc w:val="both"/>
        <w:rPr>
          <w:rFonts w:ascii="Arial" w:hAnsi="Arial" w:cs="Arial"/>
          <w:bCs/>
          <w:spacing w:val="4"/>
          <w:sz w:val="28"/>
          <w:szCs w:val="28"/>
        </w:rPr>
      </w:pPr>
      <w:r w:rsidRPr="00665992">
        <w:rPr>
          <w:rFonts w:ascii="Arial" w:hAnsi="Arial" w:cs="Arial"/>
          <w:bCs/>
          <w:spacing w:val="4"/>
          <w:sz w:val="28"/>
          <w:szCs w:val="28"/>
        </w:rPr>
        <w:t xml:space="preserve">Así, conforme a lo señalado en los numerales anteriores, en mi consideración la Lista “A” </w:t>
      </w:r>
      <w:r w:rsidRPr="00D92ED5">
        <w:rPr>
          <w:rFonts w:ascii="Arial" w:hAnsi="Arial" w:cs="Arial"/>
          <w:bCs/>
          <w:spacing w:val="4"/>
          <w:sz w:val="28"/>
          <w:szCs w:val="28"/>
        </w:rPr>
        <w:t>Prima, del partido que ganó la diputación migrante, debe estar integrada en forma directa en el primer lugar de la conformación de la Lista Definitiva, es decir, aquella que contiene la suma de las Listas “A” Prima, “A” y “B” intercaladas</w:t>
      </w:r>
      <w:r w:rsidRPr="00665992">
        <w:rPr>
          <w:rFonts w:ascii="Arial" w:hAnsi="Arial" w:cs="Arial"/>
          <w:bCs/>
          <w:spacing w:val="4"/>
          <w:sz w:val="28"/>
          <w:szCs w:val="28"/>
        </w:rPr>
        <w:t>, logrando la alternancia, tal y como lo propongo en el apartado anterior.</w:t>
      </w:r>
    </w:p>
    <w:p w14:paraId="11BDF881" w14:textId="77777777" w:rsidR="00E76FD6" w:rsidRDefault="00E76FD6" w:rsidP="00E76FD6">
      <w:pPr>
        <w:spacing w:before="240" w:line="360" w:lineRule="auto"/>
        <w:ind w:right="51"/>
        <w:jc w:val="both"/>
        <w:rPr>
          <w:rFonts w:ascii="Arial" w:hAnsi="Arial" w:cs="Arial"/>
          <w:bCs/>
          <w:spacing w:val="4"/>
          <w:sz w:val="28"/>
          <w:szCs w:val="28"/>
        </w:rPr>
      </w:pPr>
      <w:r>
        <w:rPr>
          <w:rFonts w:ascii="Arial" w:hAnsi="Arial" w:cs="Arial"/>
          <w:bCs/>
          <w:spacing w:val="4"/>
          <w:sz w:val="28"/>
          <w:szCs w:val="28"/>
        </w:rPr>
        <w:lastRenderedPageBreak/>
        <w:t>Ello es así, ya que de la interpretación armónica de los artículos 24 fracción III, IV y V del Código Electoral local, en relación con el diverso 4 inciso c) fracciones VI y VIII de</w:t>
      </w:r>
      <w:r w:rsidRPr="0004344A">
        <w:rPr>
          <w:rFonts w:ascii="Arial" w:hAnsi="Arial" w:cs="Arial"/>
          <w:bCs/>
          <w:spacing w:val="4"/>
          <w:sz w:val="28"/>
          <w:szCs w:val="28"/>
        </w:rPr>
        <w:t xml:space="preserve"> los Lineamientos de Asignación </w:t>
      </w:r>
      <w:r>
        <w:rPr>
          <w:rFonts w:ascii="Arial" w:hAnsi="Arial" w:cs="Arial"/>
          <w:bCs/>
          <w:spacing w:val="4"/>
          <w:sz w:val="28"/>
          <w:szCs w:val="28"/>
        </w:rPr>
        <w:t xml:space="preserve">emitidos por el </w:t>
      </w:r>
      <w:r>
        <w:rPr>
          <w:rFonts w:ascii="Arial" w:hAnsi="Arial" w:cs="Arial"/>
          <w:bCs/>
          <w:i/>
          <w:iCs/>
          <w:spacing w:val="4"/>
          <w:sz w:val="28"/>
          <w:szCs w:val="28"/>
        </w:rPr>
        <w:t xml:space="preserve">Instituto Electoral, </w:t>
      </w:r>
      <w:r>
        <w:rPr>
          <w:rFonts w:ascii="Arial" w:hAnsi="Arial" w:cs="Arial"/>
          <w:bCs/>
          <w:spacing w:val="4"/>
          <w:sz w:val="28"/>
          <w:szCs w:val="28"/>
        </w:rPr>
        <w:t>la Lista “A</w:t>
      </w:r>
      <w:r w:rsidRPr="00665992">
        <w:rPr>
          <w:rFonts w:ascii="Arial" w:hAnsi="Arial" w:cs="Arial"/>
          <w:bCs/>
          <w:spacing w:val="4"/>
          <w:sz w:val="28"/>
          <w:szCs w:val="28"/>
        </w:rPr>
        <w:t>” Prima, forma</w:t>
      </w:r>
      <w:r>
        <w:rPr>
          <w:rFonts w:ascii="Arial" w:hAnsi="Arial" w:cs="Arial"/>
          <w:bCs/>
          <w:spacing w:val="4"/>
          <w:sz w:val="28"/>
          <w:szCs w:val="28"/>
        </w:rPr>
        <w:t xml:space="preserve"> parte de la lista definitiva</w:t>
      </w:r>
      <w:r w:rsidRPr="00D92ED5">
        <w:rPr>
          <w:rFonts w:ascii="Arial" w:hAnsi="Arial" w:cs="Arial"/>
          <w:bCs/>
          <w:spacing w:val="4"/>
          <w:sz w:val="28"/>
          <w:szCs w:val="28"/>
        </w:rPr>
        <w:t xml:space="preserve">, que es asignada en forma directa por el </w:t>
      </w:r>
      <w:r w:rsidRPr="00D92ED5">
        <w:rPr>
          <w:rFonts w:ascii="Arial" w:hAnsi="Arial" w:cs="Arial"/>
          <w:bCs/>
          <w:i/>
          <w:iCs/>
          <w:spacing w:val="4"/>
          <w:sz w:val="28"/>
          <w:szCs w:val="28"/>
        </w:rPr>
        <w:t>Instituto Electoral</w:t>
      </w:r>
      <w:r w:rsidRPr="00D92ED5">
        <w:rPr>
          <w:rFonts w:ascii="Arial" w:hAnsi="Arial" w:cs="Arial"/>
          <w:bCs/>
          <w:spacing w:val="4"/>
          <w:sz w:val="28"/>
          <w:szCs w:val="28"/>
        </w:rPr>
        <w:t xml:space="preserve"> como consecuencia</w:t>
      </w:r>
      <w:r>
        <w:rPr>
          <w:rFonts w:ascii="Arial" w:hAnsi="Arial" w:cs="Arial"/>
          <w:bCs/>
          <w:spacing w:val="4"/>
          <w:sz w:val="28"/>
          <w:szCs w:val="28"/>
        </w:rPr>
        <w:t xml:space="preserve"> de la implementación de la figura de la diputación migrante ordenada por la Sala Superior en el expediente </w:t>
      </w:r>
      <w:r w:rsidRPr="00C8238B">
        <w:rPr>
          <w:rFonts w:ascii="Arial" w:hAnsi="Arial" w:cs="Arial"/>
          <w:b/>
          <w:spacing w:val="4"/>
          <w:sz w:val="28"/>
          <w:szCs w:val="28"/>
        </w:rPr>
        <w:t>SUP-REC-088/2020</w:t>
      </w:r>
      <w:r>
        <w:rPr>
          <w:rFonts w:ascii="Arial" w:hAnsi="Arial" w:cs="Arial"/>
          <w:bCs/>
          <w:spacing w:val="4"/>
          <w:sz w:val="28"/>
          <w:szCs w:val="28"/>
        </w:rPr>
        <w:t>.</w:t>
      </w:r>
    </w:p>
    <w:p w14:paraId="3FF31972" w14:textId="77777777" w:rsidR="00E76FD6" w:rsidRPr="00681A0A" w:rsidRDefault="00E76FD6" w:rsidP="00E76FD6">
      <w:pPr>
        <w:spacing w:before="240" w:line="360" w:lineRule="auto"/>
        <w:ind w:right="51"/>
        <w:jc w:val="both"/>
        <w:rPr>
          <w:rFonts w:ascii="Arial" w:hAnsi="Arial" w:cs="Arial"/>
          <w:bCs/>
          <w:spacing w:val="4"/>
          <w:sz w:val="28"/>
          <w:szCs w:val="28"/>
        </w:rPr>
      </w:pPr>
      <w:r>
        <w:rPr>
          <w:rFonts w:ascii="Arial" w:hAnsi="Arial" w:cs="Arial"/>
          <w:bCs/>
          <w:spacing w:val="4"/>
          <w:sz w:val="28"/>
          <w:szCs w:val="28"/>
        </w:rPr>
        <w:t xml:space="preserve">En efecto, el numeral en comento </w:t>
      </w:r>
      <w:r w:rsidRPr="0004344A">
        <w:rPr>
          <w:rFonts w:ascii="Arial" w:hAnsi="Arial" w:cs="Arial"/>
          <w:bCs/>
          <w:spacing w:val="4"/>
          <w:sz w:val="28"/>
          <w:szCs w:val="28"/>
        </w:rPr>
        <w:t>señala que</w:t>
      </w:r>
      <w:r>
        <w:rPr>
          <w:rFonts w:ascii="Arial" w:hAnsi="Arial" w:cs="Arial"/>
          <w:bCs/>
          <w:spacing w:val="4"/>
          <w:sz w:val="28"/>
          <w:szCs w:val="28"/>
        </w:rPr>
        <w:t xml:space="preserve"> la </w:t>
      </w:r>
      <w:r w:rsidRPr="0004344A">
        <w:rPr>
          <w:rFonts w:ascii="Arial" w:hAnsi="Arial" w:cs="Arial"/>
          <w:bCs/>
          <w:spacing w:val="4"/>
          <w:sz w:val="28"/>
          <w:szCs w:val="28"/>
        </w:rPr>
        <w:t xml:space="preserve">Lista </w:t>
      </w:r>
      <w:r>
        <w:rPr>
          <w:rFonts w:ascii="Arial" w:hAnsi="Arial" w:cs="Arial"/>
          <w:bCs/>
          <w:spacing w:val="4"/>
          <w:sz w:val="28"/>
          <w:szCs w:val="28"/>
        </w:rPr>
        <w:t>D</w:t>
      </w:r>
      <w:r w:rsidRPr="0004344A">
        <w:rPr>
          <w:rFonts w:ascii="Arial" w:hAnsi="Arial" w:cs="Arial"/>
          <w:bCs/>
          <w:spacing w:val="4"/>
          <w:sz w:val="28"/>
          <w:szCs w:val="28"/>
        </w:rPr>
        <w:t xml:space="preserve">efinitiva es el resultado de intercalar las fórmulas de candidaturas de las Listas </w:t>
      </w:r>
      <w:r>
        <w:rPr>
          <w:rFonts w:ascii="Arial" w:hAnsi="Arial" w:cs="Arial"/>
          <w:bCs/>
          <w:spacing w:val="4"/>
          <w:sz w:val="28"/>
          <w:szCs w:val="28"/>
        </w:rPr>
        <w:t>“</w:t>
      </w:r>
      <w:r w:rsidRPr="0004344A">
        <w:rPr>
          <w:rFonts w:ascii="Arial" w:hAnsi="Arial" w:cs="Arial"/>
          <w:bCs/>
          <w:spacing w:val="4"/>
          <w:sz w:val="28"/>
          <w:szCs w:val="28"/>
        </w:rPr>
        <w:t>A</w:t>
      </w:r>
      <w:r>
        <w:rPr>
          <w:rFonts w:ascii="Arial" w:hAnsi="Arial" w:cs="Arial"/>
          <w:bCs/>
          <w:spacing w:val="4"/>
          <w:sz w:val="28"/>
          <w:szCs w:val="28"/>
        </w:rPr>
        <w:t>”</w:t>
      </w:r>
      <w:r w:rsidRPr="0004344A">
        <w:rPr>
          <w:rFonts w:ascii="Arial" w:hAnsi="Arial" w:cs="Arial"/>
          <w:bCs/>
          <w:spacing w:val="4"/>
          <w:sz w:val="28"/>
          <w:szCs w:val="28"/>
        </w:rPr>
        <w:t xml:space="preserve"> y </w:t>
      </w:r>
      <w:r>
        <w:rPr>
          <w:rFonts w:ascii="Arial" w:hAnsi="Arial" w:cs="Arial"/>
          <w:bCs/>
          <w:spacing w:val="4"/>
          <w:sz w:val="28"/>
          <w:szCs w:val="28"/>
        </w:rPr>
        <w:t>“</w:t>
      </w:r>
      <w:r w:rsidRPr="0004344A">
        <w:rPr>
          <w:rFonts w:ascii="Arial" w:hAnsi="Arial" w:cs="Arial"/>
          <w:bCs/>
          <w:spacing w:val="4"/>
          <w:sz w:val="28"/>
          <w:szCs w:val="28"/>
        </w:rPr>
        <w:t>B</w:t>
      </w:r>
      <w:r>
        <w:rPr>
          <w:rFonts w:ascii="Arial" w:hAnsi="Arial" w:cs="Arial"/>
          <w:bCs/>
          <w:spacing w:val="4"/>
          <w:sz w:val="28"/>
          <w:szCs w:val="28"/>
        </w:rPr>
        <w:t>”</w:t>
      </w:r>
      <w:r w:rsidRPr="0004344A">
        <w:rPr>
          <w:rFonts w:ascii="Arial" w:hAnsi="Arial" w:cs="Arial"/>
          <w:bCs/>
          <w:spacing w:val="4"/>
          <w:sz w:val="28"/>
          <w:szCs w:val="28"/>
        </w:rPr>
        <w:t xml:space="preserve">, que será encabezada siempre por la primera fórmula de la lista </w:t>
      </w:r>
      <w:r>
        <w:rPr>
          <w:rFonts w:ascii="Arial" w:hAnsi="Arial" w:cs="Arial"/>
          <w:bCs/>
          <w:spacing w:val="4"/>
          <w:sz w:val="28"/>
          <w:szCs w:val="28"/>
        </w:rPr>
        <w:t>“</w:t>
      </w:r>
      <w:r w:rsidRPr="0004344A">
        <w:rPr>
          <w:rFonts w:ascii="Arial" w:hAnsi="Arial" w:cs="Arial"/>
          <w:bCs/>
          <w:spacing w:val="4"/>
          <w:sz w:val="28"/>
          <w:szCs w:val="28"/>
        </w:rPr>
        <w:t>A</w:t>
      </w:r>
      <w:r>
        <w:rPr>
          <w:rFonts w:ascii="Arial" w:hAnsi="Arial" w:cs="Arial"/>
          <w:bCs/>
          <w:spacing w:val="4"/>
          <w:sz w:val="28"/>
          <w:szCs w:val="28"/>
        </w:rPr>
        <w:t>”</w:t>
      </w:r>
      <w:r w:rsidRPr="0004344A">
        <w:rPr>
          <w:rFonts w:ascii="Arial" w:hAnsi="Arial" w:cs="Arial"/>
          <w:bCs/>
          <w:spacing w:val="4"/>
          <w:sz w:val="28"/>
          <w:szCs w:val="28"/>
        </w:rPr>
        <w:t>,</w:t>
      </w:r>
      <w:r w:rsidRPr="0004344A">
        <w:rPr>
          <w:rFonts w:ascii="Arial" w:hAnsi="Arial" w:cs="Arial"/>
          <w:bCs/>
          <w:spacing w:val="4"/>
          <w:sz w:val="28"/>
          <w:szCs w:val="28"/>
          <w:u w:val="single"/>
        </w:rPr>
        <w:t xml:space="preserve"> </w:t>
      </w:r>
      <w:r w:rsidRPr="0004344A">
        <w:rPr>
          <w:rFonts w:ascii="Arial" w:hAnsi="Arial" w:cs="Arial"/>
          <w:b/>
          <w:i/>
          <w:iCs/>
          <w:spacing w:val="4"/>
          <w:sz w:val="28"/>
          <w:szCs w:val="28"/>
          <w:u w:val="single"/>
        </w:rPr>
        <w:t>salvo en el caso del partido que obtenga la diputación migrante, ya que, en ese supuesto, la lista definitiva estará encabezada por la fórmula en la que se postuló a la referida diputación migrante</w:t>
      </w:r>
      <w:r>
        <w:rPr>
          <w:rFonts w:ascii="Arial" w:hAnsi="Arial" w:cs="Arial"/>
          <w:b/>
          <w:i/>
          <w:iCs/>
          <w:spacing w:val="4"/>
          <w:sz w:val="28"/>
          <w:szCs w:val="28"/>
          <w:u w:val="single"/>
        </w:rPr>
        <w:t xml:space="preserve">, </w:t>
      </w:r>
      <w:r w:rsidRPr="00681A0A">
        <w:rPr>
          <w:rFonts w:ascii="Arial" w:hAnsi="Arial" w:cs="Arial"/>
          <w:bCs/>
          <w:spacing w:val="4"/>
          <w:sz w:val="28"/>
          <w:szCs w:val="28"/>
        </w:rPr>
        <w:t>es decir, la Lista “A” Prima.</w:t>
      </w:r>
    </w:p>
    <w:p w14:paraId="6C24072C" w14:textId="77777777" w:rsidR="00E76FD6" w:rsidRDefault="00E76FD6" w:rsidP="00E76FD6">
      <w:pPr>
        <w:spacing w:before="240" w:line="360" w:lineRule="auto"/>
        <w:ind w:right="51"/>
        <w:jc w:val="both"/>
        <w:rPr>
          <w:rFonts w:ascii="Arial" w:hAnsi="Arial" w:cs="Arial"/>
          <w:bCs/>
          <w:spacing w:val="4"/>
          <w:sz w:val="28"/>
          <w:szCs w:val="28"/>
        </w:rPr>
      </w:pPr>
      <w:r w:rsidRPr="00E63220">
        <w:rPr>
          <w:rFonts w:ascii="Arial" w:hAnsi="Arial" w:cs="Arial"/>
          <w:bCs/>
          <w:spacing w:val="4"/>
          <w:sz w:val="28"/>
          <w:szCs w:val="28"/>
        </w:rPr>
        <w:t>En tal sentido, dado que la normativa sí señala que la Lista “A” Prima, que contiene la diputación migrante conformará el primer lugar de la Lista Definitiva, dado que dicha lista Prima constituye un apartado de la Lista “A”, es que resulta injustificada la interpretación a la que se llega en la sentencia, al indicar que ambas listas son independientes, pues la norma es muy clara sobre el tratamiento que debe darse a la lista que contiene la diputación migrante, es decir, ubicarla en el primer lugar de la Lista Definitiva por formar parte de la Lista “A” pero en un apartado que contiene la fórmula de diputación migrante ganadora en la elección.</w:t>
      </w:r>
    </w:p>
    <w:p w14:paraId="3D341E3E" w14:textId="77777777" w:rsidR="00E76FD6" w:rsidRPr="008E229C" w:rsidRDefault="00E76FD6" w:rsidP="00E76FD6">
      <w:pPr>
        <w:spacing w:before="240" w:line="360" w:lineRule="auto"/>
        <w:ind w:right="51"/>
        <w:jc w:val="both"/>
        <w:rPr>
          <w:rFonts w:ascii="Arial" w:hAnsi="Arial" w:cs="Arial"/>
          <w:b/>
          <w:i/>
          <w:iCs/>
          <w:spacing w:val="4"/>
          <w:sz w:val="28"/>
          <w:szCs w:val="28"/>
        </w:rPr>
      </w:pPr>
      <w:r w:rsidRPr="008E229C">
        <w:rPr>
          <w:rFonts w:ascii="Arial" w:hAnsi="Arial" w:cs="Arial"/>
          <w:b/>
          <w:i/>
          <w:iCs/>
          <w:spacing w:val="4"/>
          <w:sz w:val="28"/>
          <w:szCs w:val="28"/>
        </w:rPr>
        <w:lastRenderedPageBreak/>
        <w:t xml:space="preserve">C) </w:t>
      </w:r>
      <w:proofErr w:type="spellStart"/>
      <w:r w:rsidRPr="008E229C">
        <w:rPr>
          <w:rFonts w:ascii="Arial" w:hAnsi="Arial" w:cs="Arial"/>
          <w:b/>
          <w:i/>
          <w:iCs/>
          <w:spacing w:val="4"/>
          <w:sz w:val="28"/>
          <w:szCs w:val="28"/>
        </w:rPr>
        <w:t>Sobrerepresentación</w:t>
      </w:r>
      <w:proofErr w:type="spellEnd"/>
      <w:r w:rsidRPr="008E229C">
        <w:rPr>
          <w:rFonts w:ascii="Arial" w:hAnsi="Arial" w:cs="Arial"/>
          <w:b/>
          <w:i/>
          <w:iCs/>
          <w:spacing w:val="4"/>
          <w:sz w:val="28"/>
          <w:szCs w:val="28"/>
        </w:rPr>
        <w:t xml:space="preserve"> femenina y subrepresentación masculina.</w:t>
      </w:r>
    </w:p>
    <w:p w14:paraId="137902B9" w14:textId="77777777" w:rsidR="00E76FD6" w:rsidRDefault="00E76FD6" w:rsidP="00E76FD6">
      <w:pPr>
        <w:spacing w:before="240" w:line="360" w:lineRule="auto"/>
        <w:ind w:right="51"/>
        <w:jc w:val="both"/>
        <w:rPr>
          <w:rFonts w:ascii="Arial" w:hAnsi="Arial" w:cs="Arial"/>
          <w:bCs/>
          <w:spacing w:val="4"/>
          <w:sz w:val="28"/>
          <w:szCs w:val="28"/>
        </w:rPr>
      </w:pPr>
      <w:r>
        <w:rPr>
          <w:rFonts w:ascii="Arial" w:hAnsi="Arial" w:cs="Arial"/>
          <w:bCs/>
          <w:spacing w:val="4"/>
          <w:sz w:val="28"/>
          <w:szCs w:val="28"/>
        </w:rPr>
        <w:t>En la sentencia aprobada por la mayoría se considera que, respecto del PAN, fue indebido la reconfiguración de su lista definitiva pues el Instituto Electoral no justificó dicha reconfiguración al considerarse que aplicar el principio de paridad de género en la lista definitiva era innecesario ya que las Listas “A” y “A</w:t>
      </w:r>
      <w:r w:rsidRPr="00E63220">
        <w:rPr>
          <w:rFonts w:ascii="Arial" w:hAnsi="Arial" w:cs="Arial"/>
          <w:bCs/>
          <w:spacing w:val="4"/>
          <w:sz w:val="28"/>
          <w:szCs w:val="28"/>
        </w:rPr>
        <w:t>” Prima, ya</w:t>
      </w:r>
      <w:r>
        <w:rPr>
          <w:rFonts w:ascii="Arial" w:hAnsi="Arial" w:cs="Arial"/>
          <w:bCs/>
          <w:spacing w:val="4"/>
          <w:sz w:val="28"/>
          <w:szCs w:val="28"/>
        </w:rPr>
        <w:t xml:space="preserve"> se encontraban integradas paritariamente, de ahí que lo procedente sea volver al estado en que se encontraba la lista original, lo que provocó que una mujer quedará fuera de la asignación de curules, pese a que el Instituto ya había determinado que con la reconfiguración se propiciaba una mejor integración con un número mayor de mujeres.</w:t>
      </w:r>
    </w:p>
    <w:p w14:paraId="246A30A6" w14:textId="77777777" w:rsidR="00E76FD6" w:rsidRPr="00E63220" w:rsidRDefault="00E76FD6" w:rsidP="00E76FD6">
      <w:pPr>
        <w:spacing w:before="240" w:line="360" w:lineRule="auto"/>
        <w:ind w:right="51"/>
        <w:jc w:val="both"/>
        <w:rPr>
          <w:rFonts w:ascii="Arial" w:hAnsi="Arial" w:cs="Arial"/>
          <w:bCs/>
          <w:spacing w:val="4"/>
          <w:sz w:val="28"/>
          <w:szCs w:val="28"/>
        </w:rPr>
      </w:pPr>
      <w:r>
        <w:rPr>
          <w:rFonts w:ascii="Arial" w:hAnsi="Arial" w:cs="Arial"/>
          <w:bCs/>
          <w:spacing w:val="4"/>
          <w:sz w:val="28"/>
          <w:szCs w:val="28"/>
        </w:rPr>
        <w:t xml:space="preserve">Asimismo, por cuanto hace al partido MORENA se considera que, al haber postulado un mayor número de mujeres por el principio de </w:t>
      </w:r>
      <w:r w:rsidRPr="00E63220">
        <w:rPr>
          <w:rFonts w:ascii="Arial" w:hAnsi="Arial" w:cs="Arial"/>
          <w:bCs/>
          <w:spacing w:val="4"/>
          <w:sz w:val="28"/>
          <w:szCs w:val="28"/>
        </w:rPr>
        <w:t>mayoría relativa, no resultaba procedente que la Lista Definitiva del partido quedara integrada por un mayor número de mujeres otra vez, ya que ello provocaría una subrepresentación del género masculino.</w:t>
      </w:r>
    </w:p>
    <w:p w14:paraId="18D9280C" w14:textId="77777777" w:rsidR="00E76FD6" w:rsidRDefault="00E76FD6" w:rsidP="00E76FD6">
      <w:pPr>
        <w:spacing w:before="240" w:line="360" w:lineRule="auto"/>
        <w:ind w:right="51"/>
        <w:jc w:val="both"/>
        <w:rPr>
          <w:rFonts w:ascii="Arial" w:hAnsi="Arial" w:cs="Arial"/>
          <w:bCs/>
          <w:spacing w:val="4"/>
          <w:sz w:val="28"/>
          <w:szCs w:val="28"/>
        </w:rPr>
      </w:pPr>
      <w:r w:rsidRPr="00E63220">
        <w:rPr>
          <w:rFonts w:ascii="Arial" w:hAnsi="Arial" w:cs="Arial"/>
          <w:bCs/>
          <w:spacing w:val="4"/>
          <w:sz w:val="28"/>
          <w:szCs w:val="28"/>
        </w:rPr>
        <w:t>El criterio tomado por el pleno de este Tribunal para bajar a la candidata del PAN, así como, a la candidata de MORENA, de las listas definitivas de representación proporcional de ambos partidos, desde mi perspectiva es totalmente contrario a la</w:t>
      </w:r>
      <w:r w:rsidRPr="008E229C">
        <w:rPr>
          <w:rFonts w:ascii="Arial" w:hAnsi="Arial" w:cs="Arial"/>
          <w:bCs/>
          <w:spacing w:val="4"/>
          <w:sz w:val="28"/>
          <w:szCs w:val="28"/>
        </w:rPr>
        <w:t xml:space="preserve"> jurisprudencia </w:t>
      </w:r>
      <w:r>
        <w:rPr>
          <w:rFonts w:ascii="Arial" w:hAnsi="Arial" w:cs="Arial"/>
          <w:bCs/>
          <w:spacing w:val="4"/>
          <w:sz w:val="28"/>
          <w:szCs w:val="28"/>
        </w:rPr>
        <w:t xml:space="preserve">sentada por la </w:t>
      </w:r>
      <w:r w:rsidRPr="008E229C">
        <w:rPr>
          <w:rFonts w:ascii="Arial" w:hAnsi="Arial" w:cs="Arial"/>
          <w:bCs/>
          <w:spacing w:val="4"/>
          <w:sz w:val="28"/>
          <w:szCs w:val="28"/>
        </w:rPr>
        <w:t>Sala Superior</w:t>
      </w:r>
      <w:r>
        <w:rPr>
          <w:rFonts w:ascii="Arial" w:hAnsi="Arial" w:cs="Arial"/>
          <w:bCs/>
          <w:spacing w:val="4"/>
          <w:sz w:val="28"/>
          <w:szCs w:val="28"/>
        </w:rPr>
        <w:t>, así como a los propios precedentes de este Tribunal.</w:t>
      </w:r>
    </w:p>
    <w:p w14:paraId="5DE222BC" w14:textId="77777777" w:rsidR="00E76FD6" w:rsidRDefault="00E76FD6" w:rsidP="00E76FD6">
      <w:pPr>
        <w:spacing w:before="240" w:line="360" w:lineRule="auto"/>
        <w:ind w:right="51"/>
        <w:jc w:val="both"/>
        <w:rPr>
          <w:rFonts w:ascii="Arial" w:hAnsi="Arial" w:cs="Arial"/>
          <w:bCs/>
          <w:spacing w:val="4"/>
          <w:sz w:val="28"/>
          <w:szCs w:val="28"/>
        </w:rPr>
      </w:pPr>
      <w:r>
        <w:rPr>
          <w:rFonts w:ascii="Arial" w:hAnsi="Arial" w:cs="Arial"/>
          <w:bCs/>
          <w:spacing w:val="4"/>
          <w:sz w:val="28"/>
          <w:szCs w:val="28"/>
        </w:rPr>
        <w:t xml:space="preserve">En efecto, sobre el tema de la </w:t>
      </w:r>
      <w:proofErr w:type="spellStart"/>
      <w:r>
        <w:rPr>
          <w:rFonts w:ascii="Arial" w:hAnsi="Arial" w:cs="Arial"/>
          <w:bCs/>
          <w:spacing w:val="4"/>
          <w:sz w:val="28"/>
          <w:szCs w:val="28"/>
        </w:rPr>
        <w:t>sobrerepresentación</w:t>
      </w:r>
      <w:proofErr w:type="spellEnd"/>
      <w:r>
        <w:rPr>
          <w:rFonts w:ascii="Arial" w:hAnsi="Arial" w:cs="Arial"/>
          <w:bCs/>
          <w:spacing w:val="4"/>
          <w:sz w:val="28"/>
          <w:szCs w:val="28"/>
        </w:rPr>
        <w:t xml:space="preserve"> del género femenino sobre el masculino en la integración de las listas de representación proporcional y los ajustes para lograrlo ha sido </w:t>
      </w:r>
      <w:r>
        <w:rPr>
          <w:rFonts w:ascii="Arial" w:hAnsi="Arial" w:cs="Arial"/>
          <w:bCs/>
          <w:spacing w:val="4"/>
          <w:sz w:val="28"/>
          <w:szCs w:val="28"/>
        </w:rPr>
        <w:lastRenderedPageBreak/>
        <w:t>criterio sostenido y claro del máximo órgano jurisdiccional en la materia que ello en forma alguna es contrario al principio de paridad, al constituir el género femenino el sector que históricamente siempre se ha visto obstaculizado en el acceso a los cargos públicos de elección popular.</w:t>
      </w:r>
    </w:p>
    <w:p w14:paraId="475B5FFC" w14:textId="77777777" w:rsidR="00E76FD6" w:rsidRDefault="00E76FD6" w:rsidP="00E76FD6">
      <w:pPr>
        <w:spacing w:before="240" w:line="360" w:lineRule="auto"/>
        <w:ind w:right="51"/>
        <w:jc w:val="both"/>
        <w:rPr>
          <w:rFonts w:ascii="Arial" w:hAnsi="Arial" w:cs="Arial"/>
          <w:bCs/>
          <w:spacing w:val="4"/>
          <w:sz w:val="28"/>
          <w:szCs w:val="28"/>
        </w:rPr>
      </w:pPr>
      <w:r w:rsidRPr="00284095">
        <w:rPr>
          <w:rFonts w:ascii="Arial" w:hAnsi="Arial" w:cs="Arial"/>
          <w:bCs/>
          <w:spacing w:val="4"/>
          <w:sz w:val="28"/>
          <w:szCs w:val="28"/>
        </w:rPr>
        <w:t xml:space="preserve">Lo anterior considerando, en principio, que las disposiciones normativas que incorporan el mandato de paridad de género deben interpretarse y aplicarse procurando el mayor beneficio de las mujeres, por ser medidas preferenciales a su favor, orientadas a desmantelar la exclusión de la que han sido objeto en el ámbito político. </w:t>
      </w:r>
    </w:p>
    <w:p w14:paraId="177E30A6" w14:textId="77777777" w:rsidR="00E76FD6" w:rsidRDefault="00E76FD6" w:rsidP="00E76FD6">
      <w:pPr>
        <w:spacing w:before="240" w:line="360" w:lineRule="auto"/>
        <w:ind w:right="51"/>
        <w:jc w:val="both"/>
        <w:rPr>
          <w:rFonts w:ascii="Arial" w:hAnsi="Arial" w:cs="Arial"/>
          <w:bCs/>
          <w:spacing w:val="4"/>
          <w:sz w:val="28"/>
          <w:szCs w:val="28"/>
        </w:rPr>
      </w:pPr>
      <w:r w:rsidRPr="00284095">
        <w:rPr>
          <w:rFonts w:ascii="Arial" w:hAnsi="Arial" w:cs="Arial"/>
          <w:bCs/>
          <w:spacing w:val="4"/>
          <w:sz w:val="28"/>
          <w:szCs w:val="28"/>
        </w:rPr>
        <w:t xml:space="preserve">Así, realizar ajustes en la asignación de cargos de representación proporcional </w:t>
      </w:r>
      <w:r>
        <w:rPr>
          <w:rFonts w:ascii="Arial" w:hAnsi="Arial" w:cs="Arial"/>
          <w:bCs/>
          <w:spacing w:val="4"/>
          <w:sz w:val="28"/>
          <w:szCs w:val="28"/>
        </w:rPr>
        <w:t xml:space="preserve">-como los que implementó el Consejo General del Instituto Electoral en las candidaturas del PAN- </w:t>
      </w:r>
      <w:r w:rsidRPr="00284095">
        <w:rPr>
          <w:rFonts w:ascii="Arial" w:hAnsi="Arial" w:cs="Arial"/>
          <w:bCs/>
          <w:spacing w:val="4"/>
          <w:sz w:val="28"/>
          <w:szCs w:val="28"/>
        </w:rPr>
        <w:t xml:space="preserve">de tal manera que se reduzca el número de mujeres dentro del órgano de gobierno implicaría que una medida que se implementó para su beneficio se traduzca en un límite a su participación por el acceso al poder público y, por tanto, sería una restricción injustificada de su derecho de ocupar cargos de elección popular. </w:t>
      </w:r>
    </w:p>
    <w:p w14:paraId="5F1D0B92" w14:textId="77777777" w:rsidR="00E76FD6" w:rsidRDefault="00E76FD6" w:rsidP="00E76FD6">
      <w:pPr>
        <w:spacing w:before="240" w:line="360" w:lineRule="auto"/>
        <w:ind w:right="51"/>
        <w:jc w:val="both"/>
        <w:rPr>
          <w:rFonts w:ascii="Arial" w:hAnsi="Arial" w:cs="Arial"/>
          <w:bCs/>
          <w:spacing w:val="4"/>
          <w:sz w:val="28"/>
          <w:szCs w:val="28"/>
        </w:rPr>
      </w:pPr>
      <w:r>
        <w:rPr>
          <w:rFonts w:ascii="Arial" w:hAnsi="Arial" w:cs="Arial"/>
          <w:bCs/>
          <w:spacing w:val="4"/>
          <w:sz w:val="28"/>
          <w:szCs w:val="28"/>
        </w:rPr>
        <w:t xml:space="preserve">Por ende, </w:t>
      </w:r>
      <w:r w:rsidRPr="00284095">
        <w:rPr>
          <w:rFonts w:ascii="Arial" w:hAnsi="Arial" w:cs="Arial"/>
          <w:bCs/>
          <w:spacing w:val="4"/>
          <w:sz w:val="28"/>
          <w:szCs w:val="28"/>
        </w:rPr>
        <w:t>en est</w:t>
      </w:r>
      <w:r>
        <w:rPr>
          <w:rFonts w:ascii="Arial" w:hAnsi="Arial" w:cs="Arial"/>
          <w:bCs/>
          <w:spacing w:val="4"/>
          <w:sz w:val="28"/>
          <w:szCs w:val="28"/>
        </w:rPr>
        <w:t xml:space="preserve">e caso era razonado y </w:t>
      </w:r>
      <w:r w:rsidRPr="00284095">
        <w:rPr>
          <w:rFonts w:ascii="Arial" w:hAnsi="Arial" w:cs="Arial"/>
          <w:bCs/>
          <w:spacing w:val="4"/>
          <w:sz w:val="28"/>
          <w:szCs w:val="28"/>
        </w:rPr>
        <w:t xml:space="preserve">apegado al principio de igualdad y no discriminación que </w:t>
      </w:r>
      <w:r>
        <w:rPr>
          <w:rFonts w:ascii="Arial" w:hAnsi="Arial" w:cs="Arial"/>
          <w:bCs/>
          <w:spacing w:val="4"/>
          <w:sz w:val="28"/>
          <w:szCs w:val="28"/>
        </w:rPr>
        <w:t xml:space="preserve">el Congreso de la Ciudad de México, segunda legislatura, </w:t>
      </w:r>
      <w:r w:rsidRPr="00284095">
        <w:rPr>
          <w:rFonts w:ascii="Arial" w:hAnsi="Arial" w:cs="Arial"/>
          <w:bCs/>
          <w:spacing w:val="4"/>
          <w:sz w:val="28"/>
          <w:szCs w:val="28"/>
        </w:rPr>
        <w:t>se integr</w:t>
      </w:r>
      <w:r>
        <w:rPr>
          <w:rFonts w:ascii="Arial" w:hAnsi="Arial" w:cs="Arial"/>
          <w:bCs/>
          <w:spacing w:val="4"/>
          <w:sz w:val="28"/>
          <w:szCs w:val="28"/>
        </w:rPr>
        <w:t xml:space="preserve">ara </w:t>
      </w:r>
      <w:r w:rsidRPr="00284095">
        <w:rPr>
          <w:rFonts w:ascii="Arial" w:hAnsi="Arial" w:cs="Arial"/>
          <w:bCs/>
          <w:spacing w:val="4"/>
          <w:sz w:val="28"/>
          <w:szCs w:val="28"/>
        </w:rPr>
        <w:t>por un número mayor de mujeres que de hombres</w:t>
      </w:r>
      <w:r>
        <w:rPr>
          <w:rFonts w:ascii="Arial" w:hAnsi="Arial" w:cs="Arial"/>
          <w:bCs/>
          <w:spacing w:val="4"/>
          <w:sz w:val="28"/>
          <w:szCs w:val="28"/>
        </w:rPr>
        <w:t xml:space="preserve"> respecto de las listas definitivas tanto del PAN como de MORENA, pues el hecho de que por los ajustes del Instituto Electoral, y de la decisión del partido MORENA de postular más mujeres para la integración del Congreso por la vía de la representación proporcional, en forma </w:t>
      </w:r>
      <w:r>
        <w:rPr>
          <w:rFonts w:ascii="Arial" w:hAnsi="Arial" w:cs="Arial"/>
          <w:bCs/>
          <w:spacing w:val="4"/>
          <w:sz w:val="28"/>
          <w:szCs w:val="28"/>
        </w:rPr>
        <w:lastRenderedPageBreak/>
        <w:t>alguna debe ser restringido con medidas regresivas como las sostenidas en la sentencia para dicho grupo vulnerable.</w:t>
      </w:r>
    </w:p>
    <w:p w14:paraId="7851D3E0" w14:textId="77777777" w:rsidR="00E76FD6" w:rsidRPr="008E229C" w:rsidRDefault="00E76FD6" w:rsidP="00E76FD6">
      <w:pPr>
        <w:spacing w:before="240" w:line="360" w:lineRule="auto"/>
        <w:ind w:right="51"/>
        <w:jc w:val="both"/>
        <w:rPr>
          <w:rFonts w:ascii="Arial" w:hAnsi="Arial" w:cs="Arial"/>
          <w:bCs/>
          <w:i/>
          <w:iCs/>
          <w:spacing w:val="4"/>
          <w:sz w:val="28"/>
          <w:szCs w:val="28"/>
        </w:rPr>
      </w:pPr>
      <w:r w:rsidRPr="00C8238B">
        <w:rPr>
          <w:rFonts w:ascii="Arial" w:hAnsi="Arial" w:cs="Arial"/>
          <w:spacing w:val="4"/>
          <w:sz w:val="28"/>
          <w:szCs w:val="28"/>
        </w:rPr>
        <w:t xml:space="preserve">Lo anterior, acorde con la </w:t>
      </w:r>
      <w:r w:rsidRPr="008E229C">
        <w:rPr>
          <w:rFonts w:ascii="Arial" w:hAnsi="Arial" w:cs="Arial"/>
          <w:b/>
          <w:bCs/>
          <w:spacing w:val="4"/>
          <w:sz w:val="28"/>
          <w:szCs w:val="28"/>
        </w:rPr>
        <w:t>Jurisprudencia 10/2021</w:t>
      </w:r>
      <w:r w:rsidRPr="008E229C">
        <w:rPr>
          <w:rFonts w:ascii="Arial" w:hAnsi="Arial" w:cs="Arial"/>
          <w:bCs/>
          <w:spacing w:val="4"/>
          <w:sz w:val="28"/>
          <w:szCs w:val="28"/>
        </w:rPr>
        <w:t xml:space="preserve">, </w:t>
      </w:r>
      <w:r>
        <w:rPr>
          <w:rFonts w:ascii="Arial" w:hAnsi="Arial" w:cs="Arial"/>
          <w:bCs/>
          <w:spacing w:val="4"/>
          <w:sz w:val="28"/>
          <w:szCs w:val="28"/>
        </w:rPr>
        <w:t xml:space="preserve">de rubro: </w:t>
      </w:r>
      <w:r w:rsidRPr="008E229C">
        <w:rPr>
          <w:rFonts w:ascii="Arial" w:hAnsi="Arial" w:cs="Arial"/>
          <w:bCs/>
          <w:i/>
          <w:iCs/>
          <w:spacing w:val="4"/>
          <w:sz w:val="28"/>
          <w:szCs w:val="28"/>
        </w:rPr>
        <w:t>“</w:t>
      </w:r>
      <w:r w:rsidRPr="008E229C">
        <w:rPr>
          <w:rFonts w:ascii="Arial" w:hAnsi="Arial" w:cs="Arial"/>
          <w:b/>
          <w:bCs/>
          <w:i/>
          <w:iCs/>
          <w:spacing w:val="4"/>
          <w:sz w:val="28"/>
          <w:szCs w:val="28"/>
        </w:rPr>
        <w:t>PARIDAD</w:t>
      </w:r>
      <w:r>
        <w:rPr>
          <w:rFonts w:ascii="Arial" w:hAnsi="Arial" w:cs="Arial"/>
          <w:b/>
          <w:bCs/>
          <w:i/>
          <w:iCs/>
          <w:spacing w:val="4"/>
          <w:sz w:val="28"/>
          <w:szCs w:val="28"/>
        </w:rPr>
        <w:t xml:space="preserve"> </w:t>
      </w:r>
      <w:r w:rsidRPr="008E229C">
        <w:rPr>
          <w:rFonts w:ascii="Arial" w:hAnsi="Arial" w:cs="Arial"/>
          <w:b/>
          <w:bCs/>
          <w:i/>
          <w:iCs/>
          <w:spacing w:val="4"/>
          <w:sz w:val="28"/>
          <w:szCs w:val="28"/>
        </w:rPr>
        <w:t>DE GÉNERO. LOS AJUSTES A LAS LISTAS DE REPRESENTACIÓN PROPORCIONAL SE JUSTIFICAN, SI SE ASEGURA EL ACCESO DE UN MAYOR NÚMERO DE MUJERES</w:t>
      </w:r>
      <w:r w:rsidRPr="008E229C">
        <w:rPr>
          <w:rFonts w:ascii="Arial" w:hAnsi="Arial" w:cs="Arial"/>
          <w:bCs/>
          <w:i/>
          <w:iCs/>
          <w:spacing w:val="4"/>
          <w:sz w:val="28"/>
          <w:szCs w:val="28"/>
        </w:rPr>
        <w:t>.”</w:t>
      </w:r>
    </w:p>
    <w:p w14:paraId="763A3188" w14:textId="77777777" w:rsidR="00E76FD6" w:rsidRDefault="00E76FD6" w:rsidP="00E76FD6">
      <w:pPr>
        <w:spacing w:before="240" w:line="360" w:lineRule="auto"/>
        <w:ind w:right="51"/>
        <w:jc w:val="both"/>
        <w:rPr>
          <w:rFonts w:ascii="Arial" w:hAnsi="Arial" w:cs="Arial"/>
          <w:bCs/>
          <w:i/>
          <w:iCs/>
          <w:spacing w:val="4"/>
          <w:sz w:val="28"/>
          <w:szCs w:val="28"/>
        </w:rPr>
      </w:pPr>
      <w:r>
        <w:rPr>
          <w:rFonts w:ascii="Arial" w:hAnsi="Arial" w:cs="Arial"/>
          <w:bCs/>
          <w:spacing w:val="4"/>
          <w:sz w:val="28"/>
          <w:szCs w:val="28"/>
        </w:rPr>
        <w:t xml:space="preserve">Con </w:t>
      </w:r>
      <w:r w:rsidRPr="008E229C">
        <w:rPr>
          <w:rFonts w:ascii="Arial" w:hAnsi="Arial" w:cs="Arial"/>
          <w:bCs/>
          <w:spacing w:val="4"/>
          <w:sz w:val="28"/>
          <w:szCs w:val="28"/>
        </w:rPr>
        <w:t>la</w:t>
      </w:r>
      <w:r>
        <w:rPr>
          <w:rFonts w:ascii="Arial" w:hAnsi="Arial" w:cs="Arial"/>
          <w:bCs/>
          <w:spacing w:val="4"/>
          <w:sz w:val="28"/>
          <w:szCs w:val="28"/>
        </w:rPr>
        <w:t xml:space="preserve"> diversa </w:t>
      </w:r>
      <w:r w:rsidRPr="008E229C">
        <w:rPr>
          <w:rFonts w:ascii="Arial" w:hAnsi="Arial" w:cs="Arial"/>
          <w:b/>
          <w:bCs/>
          <w:spacing w:val="4"/>
          <w:sz w:val="28"/>
          <w:szCs w:val="28"/>
        </w:rPr>
        <w:t>Jurisprudencia 9/2021</w:t>
      </w:r>
      <w:r w:rsidRPr="008E229C">
        <w:rPr>
          <w:rFonts w:ascii="Arial" w:hAnsi="Arial" w:cs="Arial"/>
          <w:bCs/>
          <w:spacing w:val="4"/>
          <w:sz w:val="28"/>
          <w:szCs w:val="28"/>
        </w:rPr>
        <w:t xml:space="preserve">, </w:t>
      </w:r>
      <w:r w:rsidRPr="008E229C">
        <w:rPr>
          <w:rFonts w:ascii="Arial" w:hAnsi="Arial" w:cs="Arial"/>
          <w:bCs/>
          <w:i/>
          <w:iCs/>
          <w:spacing w:val="4"/>
          <w:sz w:val="28"/>
          <w:szCs w:val="28"/>
        </w:rPr>
        <w:t>“</w:t>
      </w:r>
      <w:r w:rsidRPr="008E229C">
        <w:rPr>
          <w:rFonts w:ascii="Arial" w:hAnsi="Arial" w:cs="Arial"/>
          <w:b/>
          <w:bCs/>
          <w:i/>
          <w:iCs/>
          <w:spacing w:val="4"/>
          <w:sz w:val="28"/>
          <w:szCs w:val="28"/>
        </w:rPr>
        <w:t>PARIDAD</w:t>
      </w:r>
      <w:r>
        <w:rPr>
          <w:rFonts w:ascii="Arial" w:hAnsi="Arial" w:cs="Arial"/>
          <w:b/>
          <w:bCs/>
          <w:i/>
          <w:iCs/>
          <w:spacing w:val="4"/>
          <w:sz w:val="28"/>
          <w:szCs w:val="28"/>
        </w:rPr>
        <w:t xml:space="preserve"> </w:t>
      </w:r>
      <w:r w:rsidRPr="008E229C">
        <w:rPr>
          <w:rFonts w:ascii="Arial" w:hAnsi="Arial" w:cs="Arial"/>
          <w:b/>
          <w:bCs/>
          <w:i/>
          <w:iCs/>
          <w:spacing w:val="4"/>
          <w:sz w:val="28"/>
          <w:szCs w:val="28"/>
        </w:rPr>
        <w:t>DE GÉNERO. LAS AUTORIDADES ADMINISTRATIVAS ELECTORALES TIENEN FACULTADES PARA ADOPTAR MEDIDAS QUE GARANTICEN EL DERECHO DE LAS MUJERES AL ACCESO A CARGOS DE ELECCIÓN POPULAR EN CONDICIONES DE IGUALDAD</w:t>
      </w:r>
      <w:r w:rsidRPr="008E229C">
        <w:rPr>
          <w:rFonts w:ascii="Arial" w:hAnsi="Arial" w:cs="Arial"/>
          <w:bCs/>
          <w:i/>
          <w:iCs/>
          <w:spacing w:val="4"/>
          <w:sz w:val="28"/>
          <w:szCs w:val="28"/>
        </w:rPr>
        <w:t>.”</w:t>
      </w:r>
    </w:p>
    <w:p w14:paraId="318B23AC" w14:textId="77777777" w:rsidR="00E76FD6" w:rsidRPr="000734A3" w:rsidRDefault="00E76FD6" w:rsidP="00E76FD6">
      <w:pPr>
        <w:spacing w:before="240" w:line="360" w:lineRule="auto"/>
        <w:ind w:right="51"/>
        <w:jc w:val="both"/>
        <w:rPr>
          <w:rFonts w:ascii="Arial" w:hAnsi="Arial" w:cs="Arial"/>
          <w:b/>
          <w:spacing w:val="4"/>
          <w:sz w:val="28"/>
          <w:szCs w:val="28"/>
        </w:rPr>
      </w:pPr>
      <w:r w:rsidRPr="000734A3">
        <w:rPr>
          <w:rFonts w:ascii="Arial" w:hAnsi="Arial" w:cs="Arial"/>
          <w:bCs/>
          <w:spacing w:val="4"/>
          <w:sz w:val="28"/>
          <w:szCs w:val="28"/>
        </w:rPr>
        <w:t xml:space="preserve">Y con las sentencias dictadas por este Tribunal Electoral en los expedientes </w:t>
      </w:r>
      <w:r w:rsidRPr="000734A3">
        <w:rPr>
          <w:rFonts w:ascii="Arial" w:hAnsi="Arial" w:cs="Arial"/>
          <w:b/>
          <w:spacing w:val="4"/>
          <w:sz w:val="28"/>
          <w:szCs w:val="28"/>
        </w:rPr>
        <w:t>TECDMX-JLDC108/2018</w:t>
      </w:r>
      <w:r w:rsidRPr="000734A3">
        <w:rPr>
          <w:rFonts w:ascii="Arial" w:hAnsi="Arial" w:cs="Arial"/>
          <w:bCs/>
          <w:spacing w:val="4"/>
          <w:sz w:val="28"/>
          <w:szCs w:val="28"/>
        </w:rPr>
        <w:t>, y en el diverso</w:t>
      </w:r>
      <w:r w:rsidRPr="000734A3">
        <w:rPr>
          <w:rFonts w:ascii="Arial" w:hAnsi="Arial" w:cs="Arial"/>
          <w:b/>
          <w:spacing w:val="4"/>
          <w:sz w:val="28"/>
          <w:szCs w:val="28"/>
        </w:rPr>
        <w:t xml:space="preserve"> TECDMX-JLDC120/2018, </w:t>
      </w:r>
      <w:r w:rsidRPr="000734A3">
        <w:rPr>
          <w:rFonts w:ascii="Arial" w:hAnsi="Arial" w:cs="Arial"/>
          <w:bCs/>
          <w:spacing w:val="4"/>
          <w:sz w:val="28"/>
          <w:szCs w:val="28"/>
        </w:rPr>
        <w:t xml:space="preserve">este último confirmado en su criterio interpretativo primero por la Sala Regional Ciudad de México del Tribunal Electoral del Poder Judicial de la Federación en el expediente </w:t>
      </w:r>
      <w:r w:rsidRPr="000734A3">
        <w:rPr>
          <w:rFonts w:ascii="Arial" w:hAnsi="Arial" w:cs="Arial"/>
          <w:b/>
          <w:spacing w:val="4"/>
          <w:sz w:val="28"/>
          <w:szCs w:val="28"/>
        </w:rPr>
        <w:t>SCM-JDC-1082/2018</w:t>
      </w:r>
      <w:r w:rsidRPr="000734A3">
        <w:rPr>
          <w:rFonts w:ascii="Arial" w:hAnsi="Arial" w:cs="Arial"/>
          <w:bCs/>
          <w:spacing w:val="4"/>
          <w:sz w:val="28"/>
          <w:szCs w:val="28"/>
        </w:rPr>
        <w:t>, y posteriormente por la Sala Superior en el</w:t>
      </w:r>
      <w:r w:rsidRPr="000734A3">
        <w:rPr>
          <w:rFonts w:ascii="Arial" w:hAnsi="Arial" w:cs="Arial"/>
          <w:b/>
          <w:spacing w:val="4"/>
          <w:sz w:val="28"/>
          <w:szCs w:val="28"/>
        </w:rPr>
        <w:t xml:space="preserve"> SUP-REC-1366/2018.</w:t>
      </w:r>
    </w:p>
    <w:p w14:paraId="41E43B4D" w14:textId="77777777" w:rsidR="00E76FD6" w:rsidRDefault="00E76FD6" w:rsidP="00E76FD6">
      <w:pPr>
        <w:spacing w:before="240" w:line="360" w:lineRule="auto"/>
        <w:ind w:right="51"/>
        <w:jc w:val="both"/>
        <w:rPr>
          <w:rFonts w:ascii="Arial" w:hAnsi="Arial" w:cs="Arial"/>
          <w:bCs/>
          <w:spacing w:val="4"/>
          <w:sz w:val="28"/>
          <w:szCs w:val="28"/>
        </w:rPr>
      </w:pPr>
      <w:r w:rsidRPr="007D6AFC">
        <w:rPr>
          <w:rFonts w:ascii="Arial" w:hAnsi="Arial" w:cs="Arial"/>
          <w:bCs/>
          <w:spacing w:val="4"/>
          <w:sz w:val="28"/>
          <w:szCs w:val="28"/>
        </w:rPr>
        <w:t xml:space="preserve">Cabe mencionar que, si bien en la sentencia se citan los precedentes </w:t>
      </w:r>
      <w:r w:rsidRPr="007D6AFC">
        <w:rPr>
          <w:rFonts w:ascii="Arial" w:hAnsi="Arial" w:cs="Arial"/>
          <w:b/>
          <w:bCs/>
          <w:spacing w:val="4"/>
          <w:sz w:val="28"/>
          <w:szCs w:val="28"/>
        </w:rPr>
        <w:t xml:space="preserve">SUP-REC-675/2015 y SUP-REC-1176/2018, </w:t>
      </w:r>
      <w:r w:rsidRPr="007D6AFC">
        <w:rPr>
          <w:rFonts w:ascii="Arial" w:eastAsia="Calibri" w:hAnsi="Arial"/>
          <w:b/>
          <w:bCs/>
          <w:sz w:val="28"/>
        </w:rPr>
        <w:t>SUP-JRC-169/2018 y acumulados</w:t>
      </w:r>
      <w:r w:rsidRPr="007D6AFC">
        <w:rPr>
          <w:rFonts w:ascii="Arial" w:hAnsi="Arial" w:cs="Arial"/>
          <w:bCs/>
          <w:spacing w:val="4"/>
          <w:sz w:val="28"/>
          <w:szCs w:val="28"/>
        </w:rPr>
        <w:t xml:space="preserve"> y se señala que no es aplicable la jurisprudencia </w:t>
      </w:r>
      <w:r w:rsidRPr="007D6AFC">
        <w:rPr>
          <w:rFonts w:ascii="Arial" w:hAnsi="Arial" w:cs="Arial"/>
          <w:b/>
          <w:bCs/>
          <w:spacing w:val="4"/>
          <w:sz w:val="28"/>
          <w:szCs w:val="28"/>
        </w:rPr>
        <w:t xml:space="preserve">36/2015 </w:t>
      </w:r>
      <w:r w:rsidRPr="007D6AFC">
        <w:rPr>
          <w:rFonts w:ascii="Arial" w:hAnsi="Arial" w:cs="Arial"/>
          <w:bCs/>
          <w:spacing w:val="4"/>
          <w:sz w:val="28"/>
          <w:szCs w:val="28"/>
        </w:rPr>
        <w:t xml:space="preserve">de rubro: </w:t>
      </w:r>
      <w:r w:rsidRPr="007D6AFC">
        <w:rPr>
          <w:rFonts w:ascii="Arial" w:hAnsi="Arial" w:cs="Arial"/>
          <w:bCs/>
          <w:i/>
          <w:iCs/>
          <w:spacing w:val="4"/>
          <w:sz w:val="28"/>
          <w:szCs w:val="28"/>
        </w:rPr>
        <w:t>“</w:t>
      </w:r>
      <w:r w:rsidRPr="007D6AFC">
        <w:rPr>
          <w:rFonts w:ascii="Arial" w:hAnsi="Arial" w:cs="Arial"/>
          <w:b/>
          <w:bCs/>
          <w:i/>
          <w:iCs/>
          <w:spacing w:val="4"/>
          <w:sz w:val="28"/>
          <w:szCs w:val="28"/>
        </w:rPr>
        <w:t>REPRESENTACIÓN PROPORCIONAL. PARIDAD DE GÉNERO COMO SUPUESTO DE MODIFICACIÓN DEL ORDEN DE PRELACIÓN DE LA LISTA DE CANDIDATURAS REGISTRADA”</w:t>
      </w:r>
      <w:r w:rsidRPr="007D6AFC">
        <w:rPr>
          <w:rFonts w:ascii="Arial" w:hAnsi="Arial" w:cs="Arial"/>
          <w:bCs/>
          <w:spacing w:val="4"/>
          <w:sz w:val="28"/>
          <w:szCs w:val="28"/>
        </w:rPr>
        <w:t xml:space="preserve">, lo cierto es que dichos criterios han sido superados no sólo con las recientes </w:t>
      </w:r>
      <w:r w:rsidRPr="007D6AFC">
        <w:rPr>
          <w:rFonts w:ascii="Arial" w:hAnsi="Arial" w:cs="Arial"/>
          <w:b/>
          <w:spacing w:val="4"/>
          <w:sz w:val="28"/>
          <w:szCs w:val="28"/>
        </w:rPr>
        <w:lastRenderedPageBreak/>
        <w:t>Jurisprudencias 09/2021</w:t>
      </w:r>
      <w:r w:rsidRPr="007D6AFC">
        <w:rPr>
          <w:rFonts w:ascii="Arial" w:hAnsi="Arial" w:cs="Arial"/>
          <w:bCs/>
          <w:spacing w:val="4"/>
          <w:sz w:val="28"/>
          <w:szCs w:val="28"/>
        </w:rPr>
        <w:t xml:space="preserve"> y </w:t>
      </w:r>
      <w:r w:rsidRPr="007D6AFC">
        <w:rPr>
          <w:rFonts w:ascii="Arial" w:hAnsi="Arial" w:cs="Arial"/>
          <w:b/>
          <w:spacing w:val="4"/>
          <w:sz w:val="28"/>
          <w:szCs w:val="28"/>
        </w:rPr>
        <w:t>10/2021</w:t>
      </w:r>
      <w:r w:rsidRPr="007D6AFC">
        <w:rPr>
          <w:rFonts w:ascii="Arial" w:hAnsi="Arial" w:cs="Arial"/>
          <w:bCs/>
          <w:spacing w:val="4"/>
          <w:sz w:val="28"/>
          <w:szCs w:val="28"/>
        </w:rPr>
        <w:t xml:space="preserve"> citadas, sino por el hecho de que atienden a aspectos interpretativos en materia de paridad que son anteriores a las reformas constitucionales de dos mil diecinueve y dos mil veinte, en materia de paridad denominadas “Paridad en Todo”.</w:t>
      </w:r>
    </w:p>
    <w:p w14:paraId="6BC3CD31" w14:textId="77777777" w:rsidR="00E76FD6" w:rsidRDefault="00E76FD6" w:rsidP="00E76FD6">
      <w:pPr>
        <w:spacing w:before="240" w:line="360" w:lineRule="auto"/>
        <w:ind w:right="51"/>
        <w:jc w:val="both"/>
        <w:rPr>
          <w:rFonts w:ascii="Arial" w:hAnsi="Arial" w:cs="Arial"/>
          <w:bCs/>
          <w:spacing w:val="4"/>
          <w:sz w:val="28"/>
          <w:szCs w:val="28"/>
        </w:rPr>
      </w:pPr>
      <w:r w:rsidRPr="007D6AFC">
        <w:rPr>
          <w:rFonts w:ascii="Arial" w:hAnsi="Arial" w:cs="Arial"/>
          <w:bCs/>
          <w:spacing w:val="4"/>
          <w:sz w:val="28"/>
          <w:szCs w:val="28"/>
        </w:rPr>
        <w:t xml:space="preserve">De ahí que no resultaba procedente analizar el tema de la subrepresentación y </w:t>
      </w:r>
      <w:proofErr w:type="spellStart"/>
      <w:r w:rsidRPr="007D6AFC">
        <w:rPr>
          <w:rFonts w:ascii="Arial" w:hAnsi="Arial" w:cs="Arial"/>
          <w:bCs/>
          <w:spacing w:val="4"/>
          <w:sz w:val="28"/>
          <w:szCs w:val="28"/>
        </w:rPr>
        <w:t>sobrerepresentación</w:t>
      </w:r>
      <w:proofErr w:type="spellEnd"/>
      <w:r w:rsidRPr="007D6AFC">
        <w:rPr>
          <w:rFonts w:ascii="Arial" w:hAnsi="Arial" w:cs="Arial"/>
          <w:bCs/>
          <w:spacing w:val="4"/>
          <w:sz w:val="28"/>
          <w:szCs w:val="28"/>
        </w:rPr>
        <w:t xml:space="preserve"> paritaria de las diputaciones por representación proporcional del PAN y de MORENA utilizando criterios que no son acorde ni con la normativa constitucional vigente ni con la jurisprudencia más reciente sentada por la Sala Superior.</w:t>
      </w:r>
    </w:p>
    <w:p w14:paraId="51A3B0EF" w14:textId="77777777" w:rsidR="00E76FD6" w:rsidRPr="007D6AFC" w:rsidRDefault="00E76FD6" w:rsidP="00E76FD6">
      <w:pPr>
        <w:spacing w:before="240" w:line="360" w:lineRule="auto"/>
        <w:ind w:right="51"/>
        <w:jc w:val="both"/>
        <w:rPr>
          <w:rFonts w:ascii="Arial" w:hAnsi="Arial" w:cs="Arial"/>
          <w:bCs/>
          <w:spacing w:val="4"/>
          <w:sz w:val="28"/>
          <w:szCs w:val="28"/>
        </w:rPr>
      </w:pPr>
      <w:r w:rsidRPr="007D6AFC">
        <w:rPr>
          <w:rFonts w:ascii="Arial" w:hAnsi="Arial" w:cs="Arial"/>
          <w:bCs/>
          <w:spacing w:val="4"/>
          <w:sz w:val="28"/>
          <w:szCs w:val="28"/>
        </w:rPr>
        <w:t xml:space="preserve">Finalmente, respecto al tema de la curul que fue asignada al Partido Verde Ecologista de México en favor de Manuel </w:t>
      </w:r>
      <w:proofErr w:type="spellStart"/>
      <w:r w:rsidRPr="007D6AFC">
        <w:rPr>
          <w:rFonts w:ascii="Arial" w:hAnsi="Arial" w:cs="Arial"/>
          <w:bCs/>
          <w:spacing w:val="4"/>
          <w:sz w:val="28"/>
          <w:szCs w:val="28"/>
        </w:rPr>
        <w:t>Talayero</w:t>
      </w:r>
      <w:proofErr w:type="spellEnd"/>
      <w:r w:rsidRPr="007D6AFC">
        <w:rPr>
          <w:rFonts w:ascii="Arial" w:hAnsi="Arial" w:cs="Arial"/>
          <w:bCs/>
          <w:spacing w:val="4"/>
          <w:sz w:val="28"/>
          <w:szCs w:val="28"/>
        </w:rPr>
        <w:t xml:space="preserve"> Pariente, como consecuencia de que Jesús Sesma Suárez renunció a la fórmula de propietario de representación proporcional por haber sido electo en el distrito electoral uninominal en el que participó.</w:t>
      </w:r>
    </w:p>
    <w:p w14:paraId="0FC79C77" w14:textId="77777777" w:rsidR="00E76FD6" w:rsidRDefault="00E76FD6" w:rsidP="00E76FD6">
      <w:pPr>
        <w:spacing w:before="240" w:line="360" w:lineRule="auto"/>
        <w:ind w:right="51"/>
        <w:jc w:val="both"/>
        <w:rPr>
          <w:rFonts w:ascii="Arial" w:hAnsi="Arial" w:cs="Arial"/>
          <w:bCs/>
          <w:spacing w:val="4"/>
          <w:sz w:val="28"/>
          <w:szCs w:val="28"/>
        </w:rPr>
      </w:pPr>
      <w:r w:rsidRPr="007D6AFC">
        <w:rPr>
          <w:rFonts w:ascii="Arial" w:hAnsi="Arial" w:cs="Arial"/>
          <w:bCs/>
          <w:spacing w:val="4"/>
          <w:sz w:val="28"/>
          <w:szCs w:val="28"/>
        </w:rPr>
        <w:t>Conforme a mi criterio debió señalarse en la sentencia que, en caso de que dicho diputado renuncie o decline a su calidad de propietario, será la siguiente formula integrada por dos mujeres la que suba completa a sustituirlo, por no existir persona suplente en la formula del Partido Verde que quedó finalmente integrada.</w:t>
      </w:r>
    </w:p>
    <w:p w14:paraId="77CA3A53" w14:textId="77777777" w:rsidR="00E76FD6" w:rsidRDefault="00E76FD6" w:rsidP="00E76FD6">
      <w:pPr>
        <w:spacing w:before="240" w:line="360" w:lineRule="auto"/>
        <w:ind w:right="51"/>
        <w:jc w:val="both"/>
        <w:rPr>
          <w:rFonts w:ascii="Arial" w:hAnsi="Arial" w:cs="Arial"/>
          <w:bCs/>
          <w:spacing w:val="4"/>
          <w:sz w:val="28"/>
          <w:szCs w:val="28"/>
        </w:rPr>
      </w:pPr>
      <w:r w:rsidRPr="007D6AFC">
        <w:rPr>
          <w:rFonts w:ascii="Arial" w:hAnsi="Arial" w:cs="Arial"/>
          <w:bCs/>
          <w:spacing w:val="4"/>
          <w:sz w:val="28"/>
          <w:szCs w:val="28"/>
        </w:rPr>
        <w:t xml:space="preserve">Y si bien en la sentencia, como consecuencia de la </w:t>
      </w:r>
      <w:proofErr w:type="spellStart"/>
      <w:r w:rsidRPr="007D6AFC">
        <w:rPr>
          <w:rFonts w:ascii="Arial" w:hAnsi="Arial" w:cs="Arial"/>
          <w:bCs/>
          <w:spacing w:val="4"/>
          <w:sz w:val="28"/>
          <w:szCs w:val="28"/>
        </w:rPr>
        <w:t>sobrerepresentación</w:t>
      </w:r>
      <w:proofErr w:type="spellEnd"/>
      <w:r w:rsidRPr="007D6AFC">
        <w:rPr>
          <w:rFonts w:ascii="Arial" w:hAnsi="Arial" w:cs="Arial"/>
          <w:bCs/>
          <w:spacing w:val="4"/>
          <w:sz w:val="28"/>
          <w:szCs w:val="28"/>
        </w:rPr>
        <w:t xml:space="preserve"> del género masculino identificada por el Pleno, se baja a Manuel </w:t>
      </w:r>
      <w:proofErr w:type="spellStart"/>
      <w:r w:rsidRPr="007D6AFC">
        <w:rPr>
          <w:rFonts w:ascii="Arial" w:hAnsi="Arial" w:cs="Arial"/>
          <w:bCs/>
          <w:spacing w:val="4"/>
          <w:sz w:val="28"/>
          <w:szCs w:val="28"/>
        </w:rPr>
        <w:t>Talayero</w:t>
      </w:r>
      <w:proofErr w:type="spellEnd"/>
      <w:r w:rsidRPr="007D6AFC">
        <w:rPr>
          <w:rFonts w:ascii="Arial" w:hAnsi="Arial" w:cs="Arial"/>
          <w:bCs/>
          <w:spacing w:val="4"/>
          <w:sz w:val="28"/>
          <w:szCs w:val="28"/>
        </w:rPr>
        <w:t xml:space="preserve"> Pariente y se sube la formula completa del Partido Verde integrada por </w:t>
      </w:r>
      <w:r w:rsidRPr="007D6AFC">
        <w:rPr>
          <w:rFonts w:ascii="Arial" w:eastAsia="Calibri" w:hAnsi="Arial"/>
          <w:sz w:val="28"/>
          <w:szCs w:val="28"/>
        </w:rPr>
        <w:t>Elizabeth Mateos Hernández y Martha Patricia Aguilar Ramírez</w:t>
      </w:r>
      <w:r w:rsidRPr="007D6AFC">
        <w:rPr>
          <w:rFonts w:ascii="Arial" w:hAnsi="Arial" w:cs="Arial"/>
          <w:bCs/>
          <w:spacing w:val="4"/>
          <w:sz w:val="28"/>
          <w:szCs w:val="28"/>
        </w:rPr>
        <w:t xml:space="preserve">, lo cierto es que en mi perspectiva debió quedar asentado que este cambio se debe </w:t>
      </w:r>
      <w:r w:rsidRPr="007D6AFC">
        <w:rPr>
          <w:rFonts w:ascii="Arial" w:hAnsi="Arial" w:cs="Arial"/>
          <w:bCs/>
          <w:spacing w:val="4"/>
          <w:sz w:val="28"/>
          <w:szCs w:val="28"/>
        </w:rPr>
        <w:lastRenderedPageBreak/>
        <w:t>dar, a fin de que la formula siguiente a sustituir al candidato sea la integrada por dos mujeres, y con ello potencializar el acceso a las mujeres a los cargos de elección popular en cumplimiento al principio constitucional de la paridad de género.</w:t>
      </w:r>
    </w:p>
    <w:p w14:paraId="242C6BBA" w14:textId="77777777" w:rsidR="00E76FD6" w:rsidRPr="007D6AFC" w:rsidRDefault="00E76FD6" w:rsidP="00E76FD6">
      <w:pPr>
        <w:spacing w:before="240" w:line="360" w:lineRule="auto"/>
        <w:ind w:right="51"/>
        <w:jc w:val="both"/>
        <w:rPr>
          <w:rFonts w:ascii="Arial" w:hAnsi="Arial" w:cs="Arial"/>
          <w:b/>
          <w:i/>
          <w:iCs/>
          <w:spacing w:val="4"/>
          <w:sz w:val="28"/>
          <w:szCs w:val="28"/>
        </w:rPr>
      </w:pPr>
      <w:r w:rsidRPr="007D6AFC">
        <w:rPr>
          <w:rFonts w:ascii="Arial" w:hAnsi="Arial" w:cs="Arial"/>
          <w:b/>
          <w:i/>
          <w:iCs/>
          <w:spacing w:val="4"/>
          <w:sz w:val="28"/>
          <w:szCs w:val="28"/>
        </w:rPr>
        <w:t xml:space="preserve">D) </w:t>
      </w:r>
      <w:proofErr w:type="spellStart"/>
      <w:r w:rsidRPr="007D6AFC">
        <w:rPr>
          <w:rFonts w:ascii="Arial" w:hAnsi="Arial" w:cs="Arial"/>
          <w:b/>
          <w:i/>
          <w:iCs/>
          <w:spacing w:val="4"/>
          <w:sz w:val="28"/>
          <w:szCs w:val="28"/>
        </w:rPr>
        <w:t>Desechamiento</w:t>
      </w:r>
      <w:proofErr w:type="spellEnd"/>
      <w:r w:rsidRPr="007D6AFC">
        <w:rPr>
          <w:rFonts w:ascii="Arial" w:hAnsi="Arial" w:cs="Arial"/>
          <w:b/>
          <w:i/>
          <w:iCs/>
          <w:spacing w:val="4"/>
          <w:sz w:val="28"/>
          <w:szCs w:val="28"/>
        </w:rPr>
        <w:t xml:space="preserve"> del escrito de comparecencia de </w:t>
      </w:r>
      <w:proofErr w:type="spellStart"/>
      <w:r w:rsidRPr="007D6AFC">
        <w:rPr>
          <w:rFonts w:ascii="Arial" w:hAnsi="Arial" w:cs="Arial"/>
          <w:b/>
          <w:i/>
          <w:iCs/>
          <w:spacing w:val="4"/>
          <w:sz w:val="28"/>
          <w:szCs w:val="28"/>
        </w:rPr>
        <w:t>Jhonatan</w:t>
      </w:r>
      <w:proofErr w:type="spellEnd"/>
      <w:r w:rsidRPr="007D6AFC">
        <w:rPr>
          <w:rFonts w:ascii="Arial" w:hAnsi="Arial" w:cs="Arial"/>
          <w:b/>
          <w:i/>
          <w:iCs/>
          <w:spacing w:val="4"/>
          <w:sz w:val="28"/>
          <w:szCs w:val="28"/>
        </w:rPr>
        <w:t xml:space="preserve"> Colmenares Rentería.</w:t>
      </w:r>
    </w:p>
    <w:p w14:paraId="572D95DC" w14:textId="77777777" w:rsidR="00E76FD6" w:rsidRPr="005926AA" w:rsidRDefault="00E76FD6" w:rsidP="00E76FD6">
      <w:pPr>
        <w:spacing w:before="240" w:line="360" w:lineRule="auto"/>
        <w:ind w:right="51"/>
        <w:jc w:val="both"/>
        <w:rPr>
          <w:rFonts w:ascii="Arial" w:hAnsi="Arial" w:cs="Arial"/>
          <w:spacing w:val="4"/>
          <w:sz w:val="28"/>
          <w:szCs w:val="28"/>
        </w:rPr>
      </w:pPr>
      <w:r w:rsidRPr="007D6AFC">
        <w:rPr>
          <w:rFonts w:ascii="Arial" w:hAnsi="Arial" w:cs="Arial"/>
          <w:bCs/>
          <w:spacing w:val="4"/>
          <w:sz w:val="28"/>
          <w:szCs w:val="28"/>
        </w:rPr>
        <w:t xml:space="preserve">Otro de los motivos de disenso contenidos en la sentencia es la admisión y análisis del escrito de comparecencia de </w:t>
      </w:r>
      <w:proofErr w:type="spellStart"/>
      <w:r w:rsidRPr="007D6AFC">
        <w:rPr>
          <w:rFonts w:ascii="Arial" w:hAnsi="Arial" w:cs="Arial"/>
          <w:bCs/>
          <w:spacing w:val="4"/>
          <w:sz w:val="28"/>
          <w:szCs w:val="28"/>
        </w:rPr>
        <w:t>Jhonatan</w:t>
      </w:r>
      <w:proofErr w:type="spellEnd"/>
      <w:r w:rsidRPr="007D6AFC">
        <w:rPr>
          <w:rFonts w:ascii="Arial" w:hAnsi="Arial" w:cs="Arial"/>
          <w:bCs/>
          <w:spacing w:val="4"/>
          <w:sz w:val="28"/>
          <w:szCs w:val="28"/>
        </w:rPr>
        <w:t xml:space="preserve"> Colmenares Rentería como tercero interesado en el juicio de la ciudadanía </w:t>
      </w:r>
      <w:r w:rsidRPr="007D6AFC">
        <w:rPr>
          <w:rFonts w:ascii="Arial" w:hAnsi="Arial" w:cs="Arial"/>
          <w:b/>
          <w:bCs/>
          <w:sz w:val="28"/>
          <w:szCs w:val="28"/>
          <w:lang w:val="es-ES_tradnl"/>
        </w:rPr>
        <w:t xml:space="preserve">TECDMX-JLDC-090/2021, </w:t>
      </w:r>
      <w:r w:rsidRPr="007D6AFC">
        <w:rPr>
          <w:rFonts w:ascii="Arial" w:hAnsi="Arial" w:cs="Arial"/>
          <w:sz w:val="28"/>
          <w:szCs w:val="28"/>
          <w:lang w:val="es-ES_tradnl"/>
        </w:rPr>
        <w:t>pues desde mi perspectiva dicho escrito debió desecharse de plano al no contener firma autógrafa de quien comparece.</w:t>
      </w:r>
    </w:p>
    <w:p w14:paraId="0ADB0A38" w14:textId="77777777" w:rsidR="00E76FD6" w:rsidRDefault="00E76FD6" w:rsidP="00E76FD6">
      <w:pPr>
        <w:spacing w:before="240" w:line="360" w:lineRule="auto"/>
        <w:ind w:right="51"/>
        <w:jc w:val="both"/>
        <w:rPr>
          <w:rFonts w:ascii="Arial" w:hAnsi="Arial" w:cs="Arial"/>
          <w:bCs/>
          <w:spacing w:val="4"/>
          <w:sz w:val="28"/>
          <w:szCs w:val="28"/>
        </w:rPr>
      </w:pPr>
      <w:r w:rsidRPr="007D6AFC">
        <w:rPr>
          <w:rFonts w:ascii="Arial" w:hAnsi="Arial" w:cs="Arial"/>
          <w:bCs/>
          <w:spacing w:val="4"/>
          <w:sz w:val="28"/>
          <w:szCs w:val="28"/>
        </w:rPr>
        <w:t>En efecto, ha sido criterio de la Sala Superior que los escritos mediante los cuales las partes promueven y comparecen a juicio deben contar con la firma autógrafa, al ser el elemento esencial de la voluntad de quien comparece a defender sus derechos.</w:t>
      </w:r>
    </w:p>
    <w:p w14:paraId="1023AC09" w14:textId="77777777" w:rsidR="00E76FD6" w:rsidRPr="007D6AFC" w:rsidRDefault="00E76FD6" w:rsidP="00E76FD6">
      <w:pPr>
        <w:pStyle w:val="Transsent"/>
        <w:tabs>
          <w:tab w:val="left" w:pos="0"/>
        </w:tabs>
        <w:spacing w:before="240" w:after="240" w:line="360" w:lineRule="auto"/>
        <w:ind w:left="0" w:right="51"/>
        <w:rPr>
          <w:bCs w:val="0"/>
          <w:sz w:val="28"/>
        </w:rPr>
      </w:pPr>
      <w:r w:rsidRPr="007D6AFC">
        <w:rPr>
          <w:sz w:val="28"/>
        </w:rPr>
        <w:t xml:space="preserve">Lo anterior, acorde con la </w:t>
      </w:r>
      <w:r w:rsidRPr="007D6AFC">
        <w:rPr>
          <w:b/>
          <w:sz w:val="28"/>
        </w:rPr>
        <w:t>Jurisprudencia 12/2019</w:t>
      </w:r>
      <w:r w:rsidRPr="007D6AFC">
        <w:rPr>
          <w:sz w:val="28"/>
        </w:rPr>
        <w:t>, de rubro</w:t>
      </w:r>
      <w:r w:rsidRPr="007D6AFC">
        <w:rPr>
          <w:bCs w:val="0"/>
          <w:sz w:val="28"/>
        </w:rPr>
        <w:t>:</w:t>
      </w:r>
      <w:r w:rsidRPr="007D6AFC">
        <w:rPr>
          <w:sz w:val="28"/>
        </w:rPr>
        <w:t xml:space="preserve"> </w:t>
      </w:r>
      <w:r w:rsidRPr="007D6AFC">
        <w:rPr>
          <w:b/>
          <w:i/>
          <w:iCs/>
          <w:sz w:val="28"/>
        </w:rPr>
        <w:t xml:space="preserve">“DEMANDA. LA ENVIADA EN ARCHIVO DIGITAL A LOS CORREOS ELECTRÓNICOS DESTINADOS PARA LOS AVISOS DE INTERPOSICIÓN DE LOS MEDIOS DE IMPUGNACIÓN, </w:t>
      </w:r>
      <w:r w:rsidRPr="007D6AFC">
        <w:rPr>
          <w:b/>
          <w:i/>
          <w:iCs/>
          <w:sz w:val="28"/>
          <w:u w:val="single"/>
        </w:rPr>
        <w:t>NO EXIME AL ACTOR DE PRESENTARLA POR ESCRITO CON SU FIRMA AUTÓGRAFA</w:t>
      </w:r>
      <w:r w:rsidRPr="007D6AFC">
        <w:rPr>
          <w:b/>
          <w:i/>
          <w:iCs/>
          <w:sz w:val="28"/>
        </w:rPr>
        <w:t>”.</w:t>
      </w:r>
    </w:p>
    <w:p w14:paraId="438B96C2" w14:textId="77777777" w:rsidR="00E76FD6" w:rsidRDefault="00E76FD6" w:rsidP="00E76FD6">
      <w:pPr>
        <w:spacing w:before="240" w:line="360" w:lineRule="auto"/>
        <w:ind w:right="51"/>
        <w:jc w:val="both"/>
        <w:rPr>
          <w:rFonts w:ascii="Arial" w:hAnsi="Arial" w:cs="Arial"/>
          <w:sz w:val="28"/>
          <w:szCs w:val="28"/>
          <w:lang w:val="es-ES_tradnl"/>
        </w:rPr>
      </w:pPr>
      <w:r w:rsidRPr="007D6AFC">
        <w:rPr>
          <w:rFonts w:ascii="Arial" w:hAnsi="Arial" w:cs="Arial"/>
          <w:bCs/>
          <w:spacing w:val="4"/>
          <w:sz w:val="28"/>
          <w:szCs w:val="28"/>
        </w:rPr>
        <w:t xml:space="preserve">Ahora bien, en el caso, de la revisión a las constancias del </w:t>
      </w:r>
      <w:r w:rsidRPr="007D6AFC">
        <w:rPr>
          <w:rFonts w:ascii="Arial" w:hAnsi="Arial" w:cs="Arial"/>
          <w:b/>
          <w:bCs/>
          <w:sz w:val="28"/>
          <w:szCs w:val="28"/>
          <w:lang w:val="es-ES_tradnl"/>
        </w:rPr>
        <w:t xml:space="preserve">TECDMX-JLDC-090/2021 </w:t>
      </w:r>
      <w:r w:rsidRPr="007D6AFC">
        <w:rPr>
          <w:rFonts w:ascii="Arial" w:hAnsi="Arial" w:cs="Arial"/>
          <w:sz w:val="28"/>
          <w:szCs w:val="28"/>
          <w:lang w:val="es-ES_tradnl"/>
        </w:rPr>
        <w:t xml:space="preserve">se advierte claramente que carece por completo de la firma de su presunto suscriptor, sin que al efecto se haya acompañado algún otro documento del que se desprendiera </w:t>
      </w:r>
      <w:r w:rsidRPr="007D6AFC">
        <w:rPr>
          <w:rFonts w:ascii="Arial" w:hAnsi="Arial" w:cs="Arial"/>
          <w:sz w:val="28"/>
          <w:szCs w:val="28"/>
          <w:lang w:val="es-ES_tradnl"/>
        </w:rPr>
        <w:lastRenderedPageBreak/>
        <w:t>su voluntad para comparecer a defender sus derechos como lo sería, por ejemplo, un escrito de presentación.</w:t>
      </w:r>
    </w:p>
    <w:p w14:paraId="5D2360E0" w14:textId="77777777" w:rsidR="00E76FD6" w:rsidRPr="007D6AFC" w:rsidRDefault="00E76FD6" w:rsidP="00E76FD6">
      <w:pPr>
        <w:spacing w:before="240" w:line="360" w:lineRule="auto"/>
        <w:ind w:right="51"/>
        <w:jc w:val="both"/>
        <w:rPr>
          <w:rFonts w:ascii="Arial" w:hAnsi="Arial" w:cs="Arial"/>
          <w:sz w:val="28"/>
          <w:szCs w:val="28"/>
          <w:lang w:val="es-ES_tradnl"/>
        </w:rPr>
      </w:pPr>
      <w:r w:rsidRPr="007D6AFC">
        <w:rPr>
          <w:rFonts w:ascii="Arial" w:hAnsi="Arial" w:cs="Arial"/>
          <w:sz w:val="28"/>
          <w:szCs w:val="28"/>
          <w:lang w:val="es-ES_tradnl"/>
        </w:rPr>
        <w:t xml:space="preserve">En tales condiciones, dado que la firma constituye un requisito esencial para que este Tribunal Electoral pueda analizar un escrito de comparecencia de una persona tercera interesada, y en el caso no existe dicho elemento esencial de validez, lo procedente era desechar el escrito de </w:t>
      </w:r>
      <w:proofErr w:type="spellStart"/>
      <w:r w:rsidRPr="007D6AFC">
        <w:rPr>
          <w:rFonts w:ascii="Arial" w:hAnsi="Arial" w:cs="Arial"/>
          <w:bCs/>
          <w:spacing w:val="4"/>
          <w:sz w:val="28"/>
          <w:szCs w:val="28"/>
        </w:rPr>
        <w:t>Jhonatan</w:t>
      </w:r>
      <w:proofErr w:type="spellEnd"/>
      <w:r w:rsidRPr="007D6AFC">
        <w:rPr>
          <w:rFonts w:ascii="Arial" w:hAnsi="Arial" w:cs="Arial"/>
          <w:bCs/>
          <w:spacing w:val="4"/>
          <w:sz w:val="28"/>
          <w:szCs w:val="28"/>
        </w:rPr>
        <w:t xml:space="preserve"> Colmenares Rentería.</w:t>
      </w:r>
    </w:p>
    <w:p w14:paraId="31484765" w14:textId="77777777" w:rsidR="00E76FD6" w:rsidRPr="005926AA" w:rsidRDefault="00E76FD6" w:rsidP="00E76FD6">
      <w:pPr>
        <w:spacing w:before="240" w:line="360" w:lineRule="auto"/>
        <w:ind w:right="51"/>
        <w:jc w:val="both"/>
        <w:rPr>
          <w:rFonts w:ascii="Arial" w:hAnsi="Arial" w:cs="Arial"/>
          <w:spacing w:val="4"/>
          <w:sz w:val="28"/>
          <w:szCs w:val="28"/>
        </w:rPr>
      </w:pPr>
      <w:r w:rsidRPr="007D6AFC">
        <w:rPr>
          <w:rFonts w:ascii="Arial" w:hAnsi="Arial" w:cs="Arial"/>
          <w:spacing w:val="4"/>
          <w:sz w:val="28"/>
          <w:szCs w:val="28"/>
        </w:rPr>
        <w:t>Sin que pase inadvertido el hecho de que dicha persona haya acompañado a su escrito sin firma una copia de su credencial de elector, pues dicho documento en forma alguna puede generar certeza de la voluntad del presunto suscriptor y mucho menos puede ser un elemento para subsanar la falta de firma, como requisito esencial del escrito de comparecencia.</w:t>
      </w:r>
    </w:p>
    <w:p w14:paraId="3CE7B540" w14:textId="77777777" w:rsidR="00E76FD6" w:rsidRPr="007D6AFC" w:rsidRDefault="00E76FD6" w:rsidP="00E76FD6">
      <w:pPr>
        <w:spacing w:before="240" w:line="360" w:lineRule="auto"/>
        <w:ind w:right="51"/>
        <w:jc w:val="both"/>
        <w:rPr>
          <w:rFonts w:ascii="Arial" w:hAnsi="Arial" w:cs="Arial"/>
          <w:b/>
          <w:i/>
          <w:iCs/>
          <w:spacing w:val="4"/>
          <w:sz w:val="28"/>
          <w:szCs w:val="28"/>
        </w:rPr>
      </w:pPr>
      <w:r w:rsidRPr="007D6AFC">
        <w:rPr>
          <w:rFonts w:ascii="Arial" w:hAnsi="Arial" w:cs="Arial"/>
          <w:b/>
          <w:i/>
          <w:iCs/>
          <w:spacing w:val="4"/>
          <w:sz w:val="28"/>
          <w:szCs w:val="28"/>
        </w:rPr>
        <w:t xml:space="preserve">E) Análisis de la Violencia Política contra las Mujeres </w:t>
      </w:r>
      <w:proofErr w:type="gramStart"/>
      <w:r w:rsidRPr="007D6AFC">
        <w:rPr>
          <w:rFonts w:ascii="Arial" w:hAnsi="Arial" w:cs="Arial"/>
          <w:b/>
          <w:i/>
          <w:iCs/>
          <w:spacing w:val="4"/>
          <w:sz w:val="28"/>
          <w:szCs w:val="28"/>
        </w:rPr>
        <w:t>en razón de</w:t>
      </w:r>
      <w:proofErr w:type="gramEnd"/>
      <w:r w:rsidRPr="007D6AFC">
        <w:rPr>
          <w:rFonts w:ascii="Arial" w:hAnsi="Arial" w:cs="Arial"/>
          <w:b/>
          <w:i/>
          <w:iCs/>
          <w:spacing w:val="4"/>
          <w:sz w:val="28"/>
          <w:szCs w:val="28"/>
        </w:rPr>
        <w:t xml:space="preserve"> Género y vistas al IECM y al INE.</w:t>
      </w:r>
    </w:p>
    <w:p w14:paraId="20211DA3" w14:textId="77777777" w:rsidR="00E76FD6" w:rsidRPr="003D047A" w:rsidRDefault="00E76FD6" w:rsidP="00E76FD6">
      <w:pPr>
        <w:spacing w:before="240" w:line="360" w:lineRule="auto"/>
        <w:ind w:right="51"/>
        <w:jc w:val="both"/>
        <w:rPr>
          <w:rFonts w:ascii="Arial" w:eastAsia="Calibri" w:hAnsi="Arial"/>
          <w:sz w:val="28"/>
          <w:szCs w:val="28"/>
        </w:rPr>
      </w:pPr>
      <w:r w:rsidRPr="007D6AFC">
        <w:rPr>
          <w:rFonts w:ascii="Arial" w:hAnsi="Arial" w:cs="Arial"/>
          <w:bCs/>
          <w:spacing w:val="4"/>
          <w:sz w:val="28"/>
          <w:szCs w:val="28"/>
        </w:rPr>
        <w:t xml:space="preserve">En la sentencia aprobada, se analizan los agravios hechos valer por distintas mujeres en los expedientes </w:t>
      </w:r>
      <w:r w:rsidRPr="007D6AFC">
        <w:rPr>
          <w:rFonts w:ascii="Arial" w:hAnsi="Arial" w:cs="Arial"/>
          <w:b/>
          <w:bCs/>
          <w:spacing w:val="4"/>
          <w:sz w:val="28"/>
          <w:szCs w:val="28"/>
        </w:rPr>
        <w:t xml:space="preserve">TECDMX-JLDC-92/2021, TECDMX-JLDC-93/2021, TECDMX-JLDC-95/2021, TECDMX-96/2021 y TECDMX-JLDC-103/2021, </w:t>
      </w:r>
      <w:r w:rsidRPr="007D6AFC">
        <w:rPr>
          <w:rFonts w:ascii="Arial" w:hAnsi="Arial" w:cs="Arial"/>
          <w:spacing w:val="4"/>
          <w:sz w:val="28"/>
          <w:szCs w:val="28"/>
        </w:rPr>
        <w:t xml:space="preserve">pues en su consideración, el hecho de que hayan sido excluidas </w:t>
      </w:r>
      <w:r w:rsidRPr="007D6AFC">
        <w:rPr>
          <w:rFonts w:ascii="Arial" w:eastAsia="Calibri" w:hAnsi="Arial"/>
          <w:sz w:val="28"/>
          <w:szCs w:val="28"/>
        </w:rPr>
        <w:t>de la asignación de diputaciones por el principio de representación proporcional, propició actos de violencia política y de violencia política de género pues, en atención al principio de paridad de género, debió corresponderles un lugar.</w:t>
      </w:r>
      <w:r w:rsidRPr="003D047A">
        <w:rPr>
          <w:rFonts w:ascii="Arial" w:eastAsia="Calibri" w:hAnsi="Arial"/>
          <w:sz w:val="28"/>
          <w:szCs w:val="28"/>
        </w:rPr>
        <w:t xml:space="preserve"> </w:t>
      </w:r>
    </w:p>
    <w:p w14:paraId="317AB156" w14:textId="77777777" w:rsidR="00E76FD6" w:rsidRPr="007D6AFC" w:rsidRDefault="00E76FD6" w:rsidP="00E76FD6">
      <w:pPr>
        <w:spacing w:before="240" w:line="360" w:lineRule="auto"/>
        <w:ind w:right="51"/>
        <w:jc w:val="both"/>
        <w:rPr>
          <w:rFonts w:ascii="Arial" w:hAnsi="Arial" w:cs="Arial"/>
          <w:bCs/>
          <w:spacing w:val="4"/>
          <w:sz w:val="28"/>
          <w:szCs w:val="28"/>
        </w:rPr>
      </w:pPr>
      <w:r w:rsidRPr="007D6AFC">
        <w:rPr>
          <w:rFonts w:ascii="Arial" w:hAnsi="Arial" w:cs="Arial"/>
          <w:bCs/>
          <w:spacing w:val="4"/>
          <w:sz w:val="28"/>
          <w:szCs w:val="28"/>
        </w:rPr>
        <w:t xml:space="preserve">Al respecto, no estoy de acuerdo con la manera en que se analiza y aborda el estudio de los agravios de las partes promoventes en la sentencia, pues conforme a la legislación </w:t>
      </w:r>
      <w:r w:rsidRPr="007D6AFC">
        <w:rPr>
          <w:rFonts w:ascii="Arial" w:hAnsi="Arial" w:cs="Arial"/>
          <w:bCs/>
          <w:spacing w:val="4"/>
          <w:sz w:val="28"/>
          <w:szCs w:val="28"/>
        </w:rPr>
        <w:lastRenderedPageBreak/>
        <w:t xml:space="preserve">vigente en la Ciudad de México, y concretamente en el Código Electoral local, existe una diferencia muy marcada entre Violencia Política de Género y Violencia Política contra las Mujeres </w:t>
      </w:r>
      <w:proofErr w:type="gramStart"/>
      <w:r w:rsidRPr="007D6AFC">
        <w:rPr>
          <w:rFonts w:ascii="Arial" w:hAnsi="Arial" w:cs="Arial"/>
          <w:bCs/>
          <w:spacing w:val="4"/>
          <w:sz w:val="28"/>
          <w:szCs w:val="28"/>
        </w:rPr>
        <w:t>en razón de</w:t>
      </w:r>
      <w:proofErr w:type="gramEnd"/>
      <w:r w:rsidRPr="007D6AFC">
        <w:rPr>
          <w:rFonts w:ascii="Arial" w:hAnsi="Arial" w:cs="Arial"/>
          <w:bCs/>
          <w:spacing w:val="4"/>
          <w:sz w:val="28"/>
          <w:szCs w:val="28"/>
        </w:rPr>
        <w:t xml:space="preserve"> género.</w:t>
      </w:r>
    </w:p>
    <w:p w14:paraId="4AF1EFC8" w14:textId="77777777" w:rsidR="00E76FD6" w:rsidRPr="007D6AFC" w:rsidRDefault="00E76FD6" w:rsidP="00E76FD6">
      <w:pPr>
        <w:spacing w:before="240" w:line="360" w:lineRule="auto"/>
        <w:jc w:val="both"/>
        <w:rPr>
          <w:rFonts w:ascii="Arial" w:hAnsi="Arial" w:cs="Arial"/>
          <w:sz w:val="28"/>
          <w:szCs w:val="28"/>
          <w:lang w:val="es-ES" w:eastAsia="es-MX"/>
        </w:rPr>
      </w:pPr>
      <w:r w:rsidRPr="007D6AFC">
        <w:rPr>
          <w:rFonts w:ascii="Arial" w:hAnsi="Arial" w:cs="Arial"/>
          <w:sz w:val="28"/>
          <w:szCs w:val="28"/>
          <w:lang w:val="es-ES" w:eastAsia="es-MX"/>
        </w:rPr>
        <w:t>En efecto, de conformidad con el artículo 4 inciso c), fracciones VI y VII del Código Electoral local, no es lo mismo violencia política de género y violencia política de contra las mujeres en razón, pues:</w:t>
      </w:r>
    </w:p>
    <w:p w14:paraId="3E88A6B2" w14:textId="77777777" w:rsidR="00E76FD6" w:rsidRPr="007D6AFC" w:rsidRDefault="00E76FD6" w:rsidP="00E76FD6">
      <w:pPr>
        <w:spacing w:before="240" w:line="360" w:lineRule="auto"/>
        <w:jc w:val="both"/>
        <w:rPr>
          <w:rFonts w:ascii="Arial" w:hAnsi="Arial" w:cs="Arial"/>
          <w:sz w:val="28"/>
          <w:szCs w:val="28"/>
          <w:lang w:eastAsia="es-MX"/>
        </w:rPr>
      </w:pPr>
      <w:r w:rsidRPr="007D6AFC">
        <w:rPr>
          <w:rFonts w:ascii="Arial" w:hAnsi="Arial" w:cs="Arial"/>
          <w:b/>
          <w:sz w:val="28"/>
          <w:szCs w:val="28"/>
          <w:lang w:eastAsia="es-MX"/>
        </w:rPr>
        <w:t>-Violencia Política de género,</w:t>
      </w:r>
      <w:r w:rsidRPr="007D6AFC">
        <w:rPr>
          <w:rFonts w:ascii="Arial" w:hAnsi="Arial" w:cs="Arial"/>
          <w:bCs/>
          <w:sz w:val="28"/>
          <w:szCs w:val="28"/>
          <w:lang w:eastAsia="es-MX"/>
        </w:rPr>
        <w:t xml:space="preserve"> s</w:t>
      </w:r>
      <w:r w:rsidRPr="007D6AFC">
        <w:rPr>
          <w:rFonts w:ascii="Arial" w:hAnsi="Arial" w:cs="Arial"/>
          <w:sz w:val="28"/>
          <w:szCs w:val="28"/>
          <w:lang w:eastAsia="es-MX"/>
        </w:rPr>
        <w:t xml:space="preserve">on las acciones, conductas, y omisiones que violentan, transgreden normas electorales o derechos político electorales de la ciudadanía en procesos democráticos, electorales, de participación ciudadana o fuera de ellos, que conllevan </w:t>
      </w:r>
      <w:r w:rsidRPr="007D6AFC">
        <w:rPr>
          <w:rFonts w:ascii="Arial" w:hAnsi="Arial" w:cs="Arial"/>
          <w:b/>
          <w:bCs/>
          <w:sz w:val="28"/>
          <w:szCs w:val="28"/>
          <w:lang w:eastAsia="es-MX"/>
        </w:rPr>
        <w:t>un elemento discriminador por razones de género</w:t>
      </w:r>
      <w:r w:rsidRPr="007D6AFC">
        <w:rPr>
          <w:rFonts w:ascii="Arial" w:hAnsi="Arial" w:cs="Arial"/>
          <w:sz w:val="28"/>
          <w:szCs w:val="28"/>
          <w:lang w:eastAsia="es-MX"/>
        </w:rPr>
        <w:t xml:space="preserve">, como pueden ser patrones, roles, identidades, estereotipos, relaciones asimétricas de poder, condiciones de vulnerabilidad, exclusión, diferenciación no justificada o negación del reconocimiento de la igualdad de derechos y dignidad de todas las personas por cualquiera de las características inherentes a la condición humana. </w:t>
      </w:r>
    </w:p>
    <w:p w14:paraId="1B6FC8BE" w14:textId="77777777" w:rsidR="00E76FD6" w:rsidRPr="007D6AFC" w:rsidRDefault="00E76FD6" w:rsidP="00E76FD6">
      <w:pPr>
        <w:spacing w:before="240" w:line="360" w:lineRule="auto"/>
        <w:jc w:val="both"/>
        <w:rPr>
          <w:rFonts w:ascii="Arial" w:hAnsi="Arial" w:cs="Arial"/>
          <w:sz w:val="28"/>
          <w:szCs w:val="28"/>
          <w:lang w:val="es-ES" w:eastAsia="es-MX"/>
        </w:rPr>
      </w:pPr>
      <w:r w:rsidRPr="007D6AFC">
        <w:rPr>
          <w:rFonts w:ascii="Arial" w:hAnsi="Arial" w:cs="Arial"/>
          <w:sz w:val="28"/>
          <w:szCs w:val="28"/>
          <w:lang w:eastAsia="es-MX"/>
        </w:rPr>
        <w:t xml:space="preserve">Estas acciones u omisiones </w:t>
      </w:r>
      <w:r w:rsidRPr="007D6AFC">
        <w:rPr>
          <w:rFonts w:ascii="Arial" w:hAnsi="Arial" w:cs="Arial"/>
          <w:b/>
          <w:bCs/>
          <w:sz w:val="28"/>
          <w:szCs w:val="28"/>
          <w:lang w:eastAsia="es-MX"/>
        </w:rPr>
        <w:t>son ejercidas en contra de cualquier persona</w:t>
      </w:r>
      <w:r w:rsidRPr="007D6AFC">
        <w:rPr>
          <w:rFonts w:ascii="Arial" w:hAnsi="Arial" w:cs="Arial"/>
          <w:sz w:val="28"/>
          <w:szCs w:val="28"/>
          <w:lang w:eastAsia="es-MX"/>
        </w:rPr>
        <w:t xml:space="preserve">, particularmente </w:t>
      </w:r>
      <w:r w:rsidRPr="007D6AFC">
        <w:rPr>
          <w:rFonts w:ascii="Arial" w:hAnsi="Arial" w:cs="Arial"/>
          <w:b/>
          <w:sz w:val="28"/>
          <w:szCs w:val="28"/>
          <w:lang w:eastAsia="es-MX"/>
        </w:rPr>
        <w:t>en contra de aquellas en situación de vulnerabilida</w:t>
      </w:r>
      <w:r w:rsidRPr="007D6AFC">
        <w:rPr>
          <w:rFonts w:ascii="Arial" w:hAnsi="Arial" w:cs="Arial"/>
          <w:b/>
          <w:bCs/>
          <w:sz w:val="28"/>
          <w:szCs w:val="28"/>
          <w:lang w:eastAsia="es-MX"/>
        </w:rPr>
        <w:t>d</w:t>
      </w:r>
      <w:r w:rsidRPr="007D6AFC">
        <w:rPr>
          <w:rFonts w:ascii="Arial" w:hAnsi="Arial" w:cs="Arial"/>
          <w:sz w:val="28"/>
          <w:szCs w:val="28"/>
          <w:lang w:eastAsia="es-MX"/>
        </w:rPr>
        <w:t xml:space="preserve">, y tienen por objeto o resultado sesgar, condicionar, impedir, restringir, menoscabar, anular, obstaculizar, excluir o afectar el reconocimiento, goce y/o ejercicio de derechos </w:t>
      </w:r>
      <w:proofErr w:type="gramStart"/>
      <w:r w:rsidRPr="007D6AFC">
        <w:rPr>
          <w:rFonts w:ascii="Arial" w:hAnsi="Arial" w:cs="Arial"/>
          <w:sz w:val="28"/>
          <w:szCs w:val="28"/>
          <w:lang w:eastAsia="es-MX"/>
        </w:rPr>
        <w:t>político electorales</w:t>
      </w:r>
      <w:proofErr w:type="gramEnd"/>
      <w:r w:rsidRPr="007D6AFC">
        <w:rPr>
          <w:rFonts w:ascii="Arial" w:hAnsi="Arial" w:cs="Arial"/>
          <w:sz w:val="28"/>
          <w:szCs w:val="28"/>
          <w:lang w:eastAsia="es-MX"/>
        </w:rPr>
        <w:t xml:space="preserve"> o de las prerrogativas inherentes a un cargo público.</w:t>
      </w:r>
    </w:p>
    <w:p w14:paraId="2A74DED7" w14:textId="77777777" w:rsidR="00E76FD6" w:rsidRPr="007D6AFC" w:rsidRDefault="00E76FD6" w:rsidP="00E76FD6">
      <w:pPr>
        <w:spacing w:before="240" w:line="360" w:lineRule="auto"/>
        <w:jc w:val="both"/>
        <w:rPr>
          <w:rFonts w:ascii="Arial" w:hAnsi="Arial" w:cs="Arial"/>
          <w:sz w:val="28"/>
          <w:szCs w:val="28"/>
          <w:lang w:eastAsia="es-MX"/>
        </w:rPr>
      </w:pPr>
      <w:r w:rsidRPr="007D6AFC">
        <w:rPr>
          <w:rFonts w:ascii="Arial" w:hAnsi="Arial" w:cs="Arial"/>
          <w:sz w:val="28"/>
          <w:szCs w:val="28"/>
          <w:lang w:val="es-ES" w:eastAsia="es-MX"/>
        </w:rPr>
        <w:t xml:space="preserve">Mientras que </w:t>
      </w:r>
      <w:r w:rsidRPr="007D6AFC">
        <w:rPr>
          <w:rFonts w:ascii="Arial" w:hAnsi="Arial" w:cs="Arial"/>
          <w:b/>
          <w:bCs/>
          <w:sz w:val="28"/>
          <w:szCs w:val="28"/>
          <w:lang w:val="es-ES" w:eastAsia="es-MX"/>
        </w:rPr>
        <w:t xml:space="preserve">Violencia </w:t>
      </w:r>
      <w:r w:rsidRPr="007D6AFC">
        <w:rPr>
          <w:rFonts w:ascii="Arial" w:hAnsi="Arial" w:cs="Arial"/>
          <w:b/>
          <w:bCs/>
          <w:sz w:val="28"/>
          <w:szCs w:val="28"/>
          <w:lang w:eastAsia="es-MX"/>
        </w:rPr>
        <w:t>política contra las Mujeres en razón de género</w:t>
      </w:r>
      <w:r w:rsidRPr="007D6AFC">
        <w:rPr>
          <w:rFonts w:ascii="Arial" w:hAnsi="Arial" w:cs="Arial"/>
          <w:sz w:val="28"/>
          <w:szCs w:val="28"/>
          <w:lang w:eastAsia="es-MX"/>
        </w:rPr>
        <w:t xml:space="preserve">, es toda acción u omisión, incluida la tolerancia, basada en elementos de género y ejercida dentro de la esfera pública o privada, que tenga por objeto o resultado limitar, anular o </w:t>
      </w:r>
      <w:r w:rsidRPr="007D6AFC">
        <w:rPr>
          <w:rFonts w:ascii="Arial" w:hAnsi="Arial" w:cs="Arial"/>
          <w:sz w:val="28"/>
          <w:szCs w:val="28"/>
          <w:lang w:eastAsia="es-MX"/>
        </w:rPr>
        <w:lastRenderedPageBreak/>
        <w:t xml:space="preserve">menoscabar el ejercicio efectivo de los derechos políticos y electorales </w:t>
      </w:r>
      <w:r w:rsidRPr="007D6AFC">
        <w:rPr>
          <w:rFonts w:ascii="Arial" w:hAnsi="Arial" w:cs="Arial"/>
          <w:b/>
          <w:bCs/>
          <w:sz w:val="28"/>
          <w:szCs w:val="28"/>
          <w:lang w:eastAsia="es-MX"/>
        </w:rPr>
        <w:t>de una o varias mujeres,</w:t>
      </w:r>
      <w:r w:rsidRPr="007D6AFC">
        <w:rPr>
          <w:rFonts w:ascii="Arial" w:hAnsi="Arial" w:cs="Arial"/>
          <w:sz w:val="28"/>
          <w:szCs w:val="28"/>
          <w:lang w:eastAsia="es-MX"/>
        </w:rPr>
        <w:t xml:space="preserve"> el acceso al pleno ejercicio de las atribuciones inherentes a su cargo, labor o actividad, </w:t>
      </w:r>
      <w:r w:rsidRPr="007D6AFC">
        <w:rPr>
          <w:rFonts w:ascii="Arial" w:hAnsi="Arial" w:cs="Arial"/>
          <w:bCs/>
          <w:sz w:val="28"/>
          <w:szCs w:val="28"/>
          <w:lang w:eastAsia="es-MX"/>
        </w:rPr>
        <w:t>el libre desarrollo de la función pública,</w:t>
      </w:r>
      <w:r w:rsidRPr="007D6AFC">
        <w:rPr>
          <w:rFonts w:ascii="Arial" w:hAnsi="Arial" w:cs="Arial"/>
          <w:sz w:val="28"/>
          <w:szCs w:val="28"/>
          <w:lang w:eastAsia="es-MX"/>
        </w:rPr>
        <w:t xml:space="preserve"> la toma de decisiones, la libertad de organización, así como el acceso y ejercicio a las prerrogativas, tratándose de precandidaturas, candidaturas, funciones o cargos públicos del mismo tipo. </w:t>
      </w:r>
    </w:p>
    <w:p w14:paraId="6095B253" w14:textId="77777777" w:rsidR="00E76FD6" w:rsidRPr="007D6AFC" w:rsidRDefault="00E76FD6" w:rsidP="00E76FD6">
      <w:pPr>
        <w:spacing w:before="240" w:line="360" w:lineRule="auto"/>
        <w:jc w:val="both"/>
        <w:rPr>
          <w:rFonts w:ascii="Arial" w:hAnsi="Arial" w:cs="Arial"/>
          <w:sz w:val="28"/>
          <w:szCs w:val="28"/>
          <w:lang w:eastAsia="es-MX"/>
        </w:rPr>
      </w:pPr>
      <w:r w:rsidRPr="007D6AFC">
        <w:rPr>
          <w:rFonts w:ascii="Arial" w:hAnsi="Arial" w:cs="Arial"/>
          <w:sz w:val="28"/>
          <w:szCs w:val="28"/>
          <w:lang w:eastAsia="es-MX"/>
        </w:rPr>
        <w:t xml:space="preserve">Por ello, se entenderá que las acciones u omisiones se basan en elementos de género, </w:t>
      </w:r>
      <w:r w:rsidRPr="007D6AFC">
        <w:rPr>
          <w:rFonts w:ascii="Arial" w:hAnsi="Arial" w:cs="Arial"/>
          <w:b/>
          <w:sz w:val="28"/>
          <w:szCs w:val="28"/>
          <w:lang w:eastAsia="es-MX"/>
        </w:rPr>
        <w:t>cuando se dirijan a una mujer por ser mujer</w:t>
      </w:r>
      <w:r w:rsidRPr="007D6AFC">
        <w:rPr>
          <w:rFonts w:ascii="Arial" w:hAnsi="Arial" w:cs="Arial"/>
          <w:sz w:val="28"/>
          <w:szCs w:val="28"/>
          <w:lang w:eastAsia="es-MX"/>
        </w:rPr>
        <w:t xml:space="preserve">; le afecten desproporcionadamente o tengan un impacto diferenciado en ella. </w:t>
      </w:r>
    </w:p>
    <w:p w14:paraId="69E6FA48" w14:textId="77777777" w:rsidR="00E76FD6" w:rsidRDefault="00E76FD6" w:rsidP="00E76FD6">
      <w:pPr>
        <w:spacing w:before="240" w:line="360" w:lineRule="auto"/>
        <w:jc w:val="both"/>
        <w:rPr>
          <w:rFonts w:ascii="Arial" w:hAnsi="Arial" w:cs="Arial"/>
          <w:sz w:val="28"/>
          <w:szCs w:val="28"/>
          <w:lang w:val="es-ES" w:eastAsia="es-MX"/>
        </w:rPr>
      </w:pPr>
      <w:r w:rsidRPr="007D6AFC">
        <w:rPr>
          <w:rFonts w:ascii="Arial" w:hAnsi="Arial" w:cs="Arial"/>
          <w:sz w:val="28"/>
          <w:szCs w:val="28"/>
          <w:lang w:val="es-ES" w:eastAsia="es-MX"/>
        </w:rPr>
        <w:t>Así las cosas, en la sentencia aprobada por mis pares no se hace la distinción de cuál de los dos tipos de violencia política se está analizando, cuando ello era necesario a fin de deducir claramente los alcances de las pretensiones de las partes</w:t>
      </w:r>
      <w:r>
        <w:rPr>
          <w:rFonts w:ascii="Arial" w:hAnsi="Arial" w:cs="Arial"/>
          <w:sz w:val="28"/>
          <w:szCs w:val="28"/>
          <w:lang w:val="es-ES" w:eastAsia="es-MX"/>
        </w:rPr>
        <w:t>.</w:t>
      </w:r>
    </w:p>
    <w:p w14:paraId="5D1C9E15" w14:textId="77777777" w:rsidR="00E76FD6" w:rsidRDefault="00E76FD6" w:rsidP="00E76FD6">
      <w:pPr>
        <w:spacing w:before="240" w:line="360" w:lineRule="auto"/>
        <w:jc w:val="both"/>
        <w:rPr>
          <w:rFonts w:ascii="Arial" w:hAnsi="Arial" w:cs="Arial"/>
          <w:sz w:val="28"/>
          <w:szCs w:val="28"/>
          <w:lang w:val="es-ES" w:eastAsia="es-MX"/>
        </w:rPr>
      </w:pPr>
      <w:r>
        <w:rPr>
          <w:rFonts w:ascii="Arial" w:hAnsi="Arial" w:cs="Arial"/>
          <w:sz w:val="28"/>
          <w:szCs w:val="28"/>
          <w:lang w:val="es-ES" w:eastAsia="es-MX"/>
        </w:rPr>
        <w:t>A</w:t>
      </w:r>
      <w:r w:rsidRPr="007D6AFC">
        <w:rPr>
          <w:rFonts w:ascii="Arial" w:hAnsi="Arial" w:cs="Arial"/>
          <w:sz w:val="28"/>
          <w:szCs w:val="28"/>
          <w:lang w:val="es-ES" w:eastAsia="es-MX"/>
        </w:rPr>
        <w:t xml:space="preserve">unado a que, en mi estima, el supuesto en el que las partes promoventes querían encuadrar los actos de violencia que señalaban era en </w:t>
      </w:r>
      <w:r w:rsidRPr="007D6AFC">
        <w:rPr>
          <w:rFonts w:ascii="Arial" w:hAnsi="Arial" w:cs="Arial"/>
          <w:b/>
          <w:bCs/>
          <w:sz w:val="28"/>
          <w:szCs w:val="28"/>
          <w:lang w:val="es-ES" w:eastAsia="es-MX"/>
        </w:rPr>
        <w:t xml:space="preserve">violencia política contra las mujeres </w:t>
      </w:r>
      <w:proofErr w:type="gramStart"/>
      <w:r w:rsidRPr="007D6AFC">
        <w:rPr>
          <w:rFonts w:ascii="Arial" w:hAnsi="Arial" w:cs="Arial"/>
          <w:b/>
          <w:bCs/>
          <w:sz w:val="28"/>
          <w:szCs w:val="28"/>
          <w:lang w:val="es-ES" w:eastAsia="es-MX"/>
        </w:rPr>
        <w:t>en razón de</w:t>
      </w:r>
      <w:proofErr w:type="gramEnd"/>
      <w:r w:rsidRPr="007D6AFC">
        <w:rPr>
          <w:rFonts w:ascii="Arial" w:hAnsi="Arial" w:cs="Arial"/>
          <w:b/>
          <w:bCs/>
          <w:sz w:val="28"/>
          <w:szCs w:val="28"/>
          <w:lang w:val="es-ES" w:eastAsia="es-MX"/>
        </w:rPr>
        <w:t xml:space="preserve"> género</w:t>
      </w:r>
      <w:r w:rsidRPr="007D6AFC">
        <w:rPr>
          <w:rFonts w:ascii="Arial" w:hAnsi="Arial" w:cs="Arial"/>
          <w:sz w:val="28"/>
          <w:szCs w:val="28"/>
          <w:lang w:val="es-ES" w:eastAsia="es-MX"/>
        </w:rPr>
        <w:t>, pues su pretensión final era evidenciar que no se les permitió acceder a una curul por su condición de mujer, de ahí que el estudio de dicho aspecto debió partir de la identificación de cuál tipo de violencia se estaba denunciando, de ahí que no comparta el análisis.</w:t>
      </w:r>
    </w:p>
    <w:p w14:paraId="2DE9641F" w14:textId="77777777" w:rsidR="00E76FD6" w:rsidRDefault="00E76FD6" w:rsidP="00E76FD6">
      <w:pPr>
        <w:spacing w:before="240" w:line="360" w:lineRule="auto"/>
        <w:jc w:val="both"/>
        <w:rPr>
          <w:rFonts w:ascii="Arial" w:hAnsi="Arial" w:cs="Arial"/>
          <w:sz w:val="28"/>
          <w:szCs w:val="28"/>
          <w:lang w:val="es-ES" w:eastAsia="es-MX"/>
        </w:rPr>
      </w:pPr>
      <w:r w:rsidRPr="0022106E">
        <w:rPr>
          <w:rFonts w:ascii="Arial" w:hAnsi="Arial" w:cs="Arial"/>
          <w:sz w:val="28"/>
          <w:szCs w:val="28"/>
          <w:lang w:val="es-ES" w:eastAsia="es-MX"/>
        </w:rPr>
        <w:t xml:space="preserve">Finalmente, considero innecesario las vistas ordenadas tanto al Instituto Electoral local como al Instituto Nacional Electoral para que, en sus respectivos ámbitos competenciales, determinen lo que en derecho corresponda respecto a los actos de violencia política contra las mujeres </w:t>
      </w:r>
      <w:proofErr w:type="gramStart"/>
      <w:r w:rsidRPr="0022106E">
        <w:rPr>
          <w:rFonts w:ascii="Arial" w:hAnsi="Arial" w:cs="Arial"/>
          <w:sz w:val="28"/>
          <w:szCs w:val="28"/>
          <w:lang w:val="es-ES" w:eastAsia="es-MX"/>
        </w:rPr>
        <w:t>en razón de</w:t>
      </w:r>
      <w:proofErr w:type="gramEnd"/>
      <w:r w:rsidRPr="0022106E">
        <w:rPr>
          <w:rFonts w:ascii="Arial" w:hAnsi="Arial" w:cs="Arial"/>
          <w:sz w:val="28"/>
          <w:szCs w:val="28"/>
          <w:lang w:val="es-ES" w:eastAsia="es-MX"/>
        </w:rPr>
        <w:t xml:space="preserve"> género señalados por las partes </w:t>
      </w:r>
      <w:r w:rsidRPr="0022106E">
        <w:rPr>
          <w:rFonts w:ascii="Arial" w:hAnsi="Arial" w:cs="Arial"/>
          <w:sz w:val="28"/>
          <w:szCs w:val="28"/>
          <w:lang w:val="es-ES" w:eastAsia="es-MX"/>
        </w:rPr>
        <w:lastRenderedPageBreak/>
        <w:t>promoventes y sobre la fiscalización de los recursos del partido MORENA.</w:t>
      </w:r>
    </w:p>
    <w:p w14:paraId="6DB2C097" w14:textId="77777777" w:rsidR="00E76FD6" w:rsidRPr="00345291" w:rsidRDefault="00E76FD6" w:rsidP="00E76FD6">
      <w:pPr>
        <w:spacing w:before="240" w:line="360" w:lineRule="auto"/>
        <w:jc w:val="both"/>
        <w:rPr>
          <w:rFonts w:ascii="Arial" w:hAnsi="Arial" w:cs="Arial"/>
          <w:sz w:val="28"/>
          <w:szCs w:val="28"/>
          <w:lang w:val="es-ES" w:eastAsia="es-MX"/>
        </w:rPr>
      </w:pPr>
      <w:r w:rsidRPr="0022106E">
        <w:rPr>
          <w:rFonts w:ascii="Arial" w:hAnsi="Arial" w:cs="Arial"/>
          <w:sz w:val="28"/>
          <w:szCs w:val="28"/>
          <w:lang w:val="es-ES" w:eastAsia="es-MX"/>
        </w:rPr>
        <w:t>Lo anterior, ya que de las constancias que obran en los expedientes no se advierten indicios de que los actos que se denuncian ni pruebas mínimas para iniciar investigaciones sobre dichos aspectos, de ahí que resultaren innecesarias.</w:t>
      </w:r>
    </w:p>
    <w:p w14:paraId="7D935E0F" w14:textId="77777777" w:rsidR="00E76FD6" w:rsidRPr="0022106E" w:rsidRDefault="00E76FD6" w:rsidP="00E76FD6">
      <w:pPr>
        <w:spacing w:before="240" w:line="360" w:lineRule="auto"/>
        <w:ind w:right="51"/>
        <w:jc w:val="both"/>
        <w:rPr>
          <w:rFonts w:ascii="Arial" w:hAnsi="Arial" w:cs="Arial"/>
          <w:b/>
          <w:i/>
          <w:iCs/>
          <w:spacing w:val="4"/>
          <w:sz w:val="28"/>
          <w:szCs w:val="28"/>
        </w:rPr>
      </w:pPr>
      <w:r w:rsidRPr="0022106E">
        <w:rPr>
          <w:rFonts w:ascii="Arial" w:hAnsi="Arial" w:cs="Arial"/>
          <w:b/>
          <w:i/>
          <w:iCs/>
          <w:spacing w:val="4"/>
          <w:sz w:val="28"/>
          <w:szCs w:val="28"/>
        </w:rPr>
        <w:t>F) Bloques de dos candidaturas en Listas Definitivas no pueden aplicarse en perjuicio de la paridad de género.</w:t>
      </w:r>
    </w:p>
    <w:p w14:paraId="198C535F" w14:textId="77777777" w:rsidR="00E76FD6" w:rsidRDefault="00E76FD6" w:rsidP="00E76FD6">
      <w:pPr>
        <w:spacing w:before="240" w:line="360" w:lineRule="auto"/>
        <w:ind w:right="51"/>
        <w:jc w:val="both"/>
        <w:rPr>
          <w:rFonts w:ascii="Arial" w:hAnsi="Arial" w:cs="Arial"/>
          <w:bCs/>
          <w:spacing w:val="4"/>
          <w:sz w:val="28"/>
          <w:szCs w:val="28"/>
        </w:rPr>
      </w:pPr>
      <w:r w:rsidRPr="0022106E">
        <w:rPr>
          <w:rFonts w:ascii="Arial" w:hAnsi="Arial" w:cs="Arial"/>
          <w:bCs/>
          <w:spacing w:val="4"/>
          <w:sz w:val="28"/>
          <w:szCs w:val="28"/>
        </w:rPr>
        <w:t xml:space="preserve">En la sentencia aprobada por la mayoría del Pleno se analiza el planteamiento de diversas partes actoras respecto a que los artículos 4, fracciones V a VIII de los </w:t>
      </w:r>
      <w:r w:rsidRPr="0022106E">
        <w:rPr>
          <w:rFonts w:ascii="Arial" w:hAnsi="Arial" w:cs="Arial"/>
          <w:bCs/>
          <w:i/>
          <w:spacing w:val="4"/>
          <w:sz w:val="28"/>
          <w:szCs w:val="28"/>
        </w:rPr>
        <w:t xml:space="preserve">Lineamientos de asignación, </w:t>
      </w:r>
      <w:r w:rsidRPr="0022106E">
        <w:rPr>
          <w:rFonts w:ascii="Arial" w:hAnsi="Arial" w:cs="Arial"/>
          <w:bCs/>
          <w:spacing w:val="4"/>
          <w:sz w:val="28"/>
          <w:szCs w:val="28"/>
        </w:rPr>
        <w:t xml:space="preserve">y el artículo 24, fracción V, del Código Electoral local deben </w:t>
      </w:r>
      <w:proofErr w:type="spellStart"/>
      <w:r w:rsidRPr="0022106E">
        <w:rPr>
          <w:rFonts w:ascii="Arial" w:hAnsi="Arial" w:cs="Arial"/>
          <w:bCs/>
          <w:spacing w:val="4"/>
          <w:sz w:val="28"/>
          <w:szCs w:val="28"/>
        </w:rPr>
        <w:t>inaplicarse</w:t>
      </w:r>
      <w:proofErr w:type="spellEnd"/>
      <w:r w:rsidRPr="0022106E">
        <w:rPr>
          <w:rFonts w:ascii="Arial" w:hAnsi="Arial" w:cs="Arial"/>
          <w:bCs/>
          <w:spacing w:val="4"/>
          <w:sz w:val="28"/>
          <w:szCs w:val="28"/>
        </w:rPr>
        <w:t xml:space="preserve"> porque son contrarios al principio de paridad, debido a que permiten que la lista definitiva para la asignación de diputaciones de representación proporcional, se conforme con bloques de dos personas de un mismo género, y en el caso del PRD sólo se le asignaron dos curules y ambas fórmulas se encuentran integradas por hombres.</w:t>
      </w:r>
    </w:p>
    <w:p w14:paraId="376728F9" w14:textId="77777777" w:rsidR="00E76FD6" w:rsidRDefault="00E76FD6" w:rsidP="00E76FD6">
      <w:pPr>
        <w:spacing w:before="240" w:line="360" w:lineRule="auto"/>
        <w:ind w:right="51"/>
        <w:jc w:val="both"/>
        <w:rPr>
          <w:rFonts w:ascii="Arial" w:hAnsi="Arial" w:cs="Arial"/>
          <w:bCs/>
          <w:spacing w:val="4"/>
          <w:sz w:val="28"/>
          <w:szCs w:val="28"/>
        </w:rPr>
      </w:pPr>
      <w:r w:rsidRPr="0022106E">
        <w:rPr>
          <w:rFonts w:ascii="Arial" w:hAnsi="Arial" w:cs="Arial"/>
          <w:bCs/>
          <w:spacing w:val="4"/>
          <w:sz w:val="28"/>
          <w:szCs w:val="28"/>
        </w:rPr>
        <w:t>Al respecto, no estoy de acuerdo con el sentido de la sentencia, pues en ella se razona que</w:t>
      </w:r>
      <w:bookmarkStart w:id="70" w:name="_Hlk78759804"/>
      <w:r w:rsidRPr="0022106E">
        <w:rPr>
          <w:rFonts w:ascii="Arial" w:hAnsi="Arial" w:cs="Arial"/>
          <w:bCs/>
          <w:spacing w:val="4"/>
          <w:sz w:val="28"/>
          <w:szCs w:val="28"/>
        </w:rPr>
        <w:t xml:space="preserve">, </w:t>
      </w:r>
      <w:r w:rsidRPr="0022106E">
        <w:rPr>
          <w:rFonts w:ascii="Arial" w:hAnsi="Arial" w:cs="Arial"/>
          <w:sz w:val="28"/>
        </w:rPr>
        <w:t xml:space="preserve">si al PRD le correspondieron dos diputaciones de representación proporcional, la primera, debe ser asignada a la primera fórmula de la lista A y la segunda diputación a la primer fórmula de la lista B, </w:t>
      </w:r>
      <w:bookmarkEnd w:id="70"/>
      <w:r w:rsidRPr="0022106E">
        <w:rPr>
          <w:rFonts w:ascii="Arial" w:hAnsi="Arial" w:cs="Arial"/>
          <w:sz w:val="28"/>
        </w:rPr>
        <w:t xml:space="preserve">pues el artículo 24, fracción V, del </w:t>
      </w:r>
      <w:r w:rsidRPr="0022106E">
        <w:rPr>
          <w:rFonts w:ascii="Arial" w:hAnsi="Arial" w:cs="Arial"/>
          <w:i/>
          <w:sz w:val="28"/>
        </w:rPr>
        <w:t xml:space="preserve">Código local, </w:t>
      </w:r>
      <w:r w:rsidRPr="0022106E">
        <w:rPr>
          <w:rFonts w:ascii="Arial" w:hAnsi="Arial" w:cs="Arial"/>
          <w:sz w:val="28"/>
        </w:rPr>
        <w:t xml:space="preserve">autoriza que la lista definitiva se conforme por dos fórmulas del mismo género, </w:t>
      </w:r>
      <w:r w:rsidRPr="0022106E">
        <w:rPr>
          <w:rFonts w:ascii="Arial" w:hAnsi="Arial" w:cs="Arial"/>
          <w:bCs/>
          <w:spacing w:val="4"/>
          <w:sz w:val="28"/>
          <w:szCs w:val="28"/>
        </w:rPr>
        <w:t>cuando en el caso particular, la aplicación de la regla de bloques sí afecta la paridad de género.</w:t>
      </w:r>
    </w:p>
    <w:p w14:paraId="0B9B9A8C" w14:textId="77777777" w:rsidR="00E76FD6" w:rsidRPr="0022106E" w:rsidRDefault="00E76FD6" w:rsidP="00E76FD6">
      <w:pPr>
        <w:spacing w:before="240" w:line="360" w:lineRule="auto"/>
        <w:ind w:right="51"/>
        <w:jc w:val="both"/>
        <w:rPr>
          <w:rFonts w:ascii="Arial" w:hAnsi="Arial" w:cs="Arial"/>
          <w:bCs/>
          <w:spacing w:val="4"/>
          <w:sz w:val="28"/>
          <w:szCs w:val="28"/>
        </w:rPr>
      </w:pPr>
      <w:r w:rsidRPr="0022106E">
        <w:rPr>
          <w:rFonts w:ascii="Arial" w:hAnsi="Arial" w:cs="Arial"/>
          <w:bCs/>
          <w:spacing w:val="4"/>
          <w:sz w:val="28"/>
          <w:szCs w:val="28"/>
        </w:rPr>
        <w:lastRenderedPageBreak/>
        <w:t xml:space="preserve">En efecto, el artículo 24 fracción V del Código Electoral señala que, para efectos de integrar la Lista Definitiva de las personas a quienes se les asignarán curules por el principio de representación proporcional se deberán intercalar las fórmulas de candidaturas provenientes de las Listas "A" y "B", encabezando el primer sitio la primera fórmula de la Lista "A". </w:t>
      </w:r>
    </w:p>
    <w:p w14:paraId="6B84A846" w14:textId="77777777" w:rsidR="00E76FD6" w:rsidRPr="00D41287" w:rsidRDefault="00E76FD6" w:rsidP="00E76FD6">
      <w:pPr>
        <w:spacing w:before="240" w:line="360" w:lineRule="auto"/>
        <w:ind w:right="51"/>
        <w:jc w:val="both"/>
        <w:rPr>
          <w:rFonts w:ascii="Arial" w:hAnsi="Arial" w:cs="Arial"/>
          <w:bCs/>
          <w:spacing w:val="4"/>
          <w:sz w:val="28"/>
          <w:szCs w:val="28"/>
        </w:rPr>
      </w:pPr>
      <w:r w:rsidRPr="0022106E">
        <w:rPr>
          <w:rFonts w:ascii="Arial" w:hAnsi="Arial" w:cs="Arial"/>
          <w:bCs/>
          <w:spacing w:val="4"/>
          <w:sz w:val="28"/>
          <w:szCs w:val="28"/>
        </w:rPr>
        <w:t xml:space="preserve">Asimismo, el numeral en comento señala que, en la integración de la lista definitiva, el intercalado </w:t>
      </w:r>
      <w:r w:rsidRPr="0022106E">
        <w:rPr>
          <w:rFonts w:ascii="Arial" w:hAnsi="Arial" w:cs="Arial"/>
          <w:b/>
          <w:spacing w:val="4"/>
          <w:sz w:val="28"/>
          <w:szCs w:val="28"/>
        </w:rPr>
        <w:t>podrá generar bloques de hasta dos fórmulas del mismo género, pero de diferente lista de origen</w:t>
      </w:r>
      <w:r w:rsidRPr="0022106E">
        <w:rPr>
          <w:rFonts w:ascii="Arial" w:hAnsi="Arial" w:cs="Arial"/>
          <w:bCs/>
          <w:spacing w:val="4"/>
          <w:sz w:val="28"/>
          <w:szCs w:val="28"/>
        </w:rPr>
        <w:t>.</w:t>
      </w:r>
    </w:p>
    <w:p w14:paraId="5B388734" w14:textId="77777777" w:rsidR="00E76FD6" w:rsidRPr="00D41287" w:rsidRDefault="00E76FD6" w:rsidP="00E76FD6">
      <w:pPr>
        <w:spacing w:before="240" w:line="360" w:lineRule="auto"/>
        <w:ind w:right="51"/>
        <w:jc w:val="both"/>
        <w:rPr>
          <w:rFonts w:ascii="Arial" w:hAnsi="Arial" w:cs="Arial"/>
          <w:bCs/>
          <w:spacing w:val="4"/>
          <w:sz w:val="28"/>
          <w:szCs w:val="28"/>
        </w:rPr>
      </w:pPr>
      <w:r w:rsidRPr="0022106E">
        <w:rPr>
          <w:rFonts w:ascii="Arial" w:hAnsi="Arial" w:cs="Arial"/>
          <w:bCs/>
          <w:spacing w:val="4"/>
          <w:sz w:val="28"/>
          <w:szCs w:val="28"/>
        </w:rPr>
        <w:t>Desde mi perspectiva la interpretación a la que se arriba en la sentencia no es la correcta a la luz del principio de paridad de género, pues la regla de los bloques de género contenida en la normativa electoral no puede aplicarse en perjuicio del principio de la paridad de género y de alternancia, ya que dicha regla constituye una excepción de interpretación estricta.</w:t>
      </w:r>
    </w:p>
    <w:p w14:paraId="22A7C6CF" w14:textId="77777777" w:rsidR="00E76FD6" w:rsidRDefault="00E76FD6" w:rsidP="00E76FD6">
      <w:pPr>
        <w:spacing w:before="240" w:line="360" w:lineRule="auto"/>
        <w:ind w:right="51"/>
        <w:jc w:val="both"/>
        <w:rPr>
          <w:rFonts w:ascii="Arial" w:hAnsi="Arial" w:cs="Arial"/>
          <w:bCs/>
          <w:spacing w:val="4"/>
          <w:sz w:val="28"/>
          <w:szCs w:val="28"/>
        </w:rPr>
      </w:pPr>
      <w:r w:rsidRPr="0022106E">
        <w:rPr>
          <w:rFonts w:ascii="Arial" w:hAnsi="Arial" w:cs="Arial"/>
          <w:bCs/>
          <w:spacing w:val="4"/>
          <w:sz w:val="28"/>
          <w:szCs w:val="28"/>
        </w:rPr>
        <w:t>Lo anterior es así, pues en el caso del PRD solamente le fueron asignadas dos curules de representación proporcional, lo que propiciaba que, si la primera formula que proviniese de la Lista “A” fuera de hombres, la segunda formula que viniera de la Lista “B” necesariamente estuviera integrada por mujeres, sin aplicar en ese caso la excepción de la regla de integración de bloques por género.</w:t>
      </w:r>
    </w:p>
    <w:p w14:paraId="1982C2C7" w14:textId="77777777" w:rsidR="00E76FD6" w:rsidRDefault="00E76FD6" w:rsidP="00E76FD6">
      <w:pPr>
        <w:spacing w:before="240" w:line="360" w:lineRule="auto"/>
        <w:ind w:right="51"/>
        <w:jc w:val="both"/>
        <w:rPr>
          <w:rFonts w:ascii="Arial" w:hAnsi="Arial" w:cs="Arial"/>
          <w:bCs/>
          <w:spacing w:val="4"/>
          <w:sz w:val="28"/>
          <w:szCs w:val="28"/>
        </w:rPr>
      </w:pPr>
      <w:r w:rsidRPr="0022106E">
        <w:rPr>
          <w:rFonts w:ascii="Arial" w:hAnsi="Arial" w:cs="Arial"/>
          <w:bCs/>
          <w:spacing w:val="4"/>
          <w:sz w:val="28"/>
          <w:szCs w:val="28"/>
        </w:rPr>
        <w:t xml:space="preserve">Ello es así, ya que la finalidad de la regla es permitir -no así obligar- que, en la integración de la lista definitiva del partido, el Instituto Electoral pueda integrar hasta dos bloques del </w:t>
      </w:r>
      <w:r w:rsidRPr="00075BFA">
        <w:rPr>
          <w:rFonts w:ascii="Arial" w:hAnsi="Arial" w:cs="Arial"/>
          <w:bCs/>
          <w:spacing w:val="4"/>
          <w:sz w:val="28"/>
          <w:szCs w:val="28"/>
        </w:rPr>
        <w:t>mismo género,</w:t>
      </w:r>
      <w:r w:rsidRPr="0022106E">
        <w:rPr>
          <w:rFonts w:ascii="Arial" w:hAnsi="Arial" w:cs="Arial"/>
          <w:bCs/>
          <w:spacing w:val="4"/>
          <w:sz w:val="28"/>
          <w:szCs w:val="28"/>
        </w:rPr>
        <w:t xml:space="preserve"> permisión que no puede ser utilizada como un </w:t>
      </w:r>
      <w:r w:rsidRPr="0022106E">
        <w:rPr>
          <w:rFonts w:ascii="Arial" w:hAnsi="Arial" w:cs="Arial"/>
          <w:bCs/>
          <w:spacing w:val="4"/>
          <w:sz w:val="28"/>
          <w:szCs w:val="28"/>
        </w:rPr>
        <w:lastRenderedPageBreak/>
        <w:t>instrumento para incumplir con el principio de paridad y de alternancia en perjuicio de las mujeres.</w:t>
      </w:r>
    </w:p>
    <w:p w14:paraId="4876FC06" w14:textId="77777777" w:rsidR="00E76FD6" w:rsidRDefault="00E76FD6" w:rsidP="00E76FD6">
      <w:pPr>
        <w:spacing w:before="240" w:line="360" w:lineRule="auto"/>
        <w:ind w:right="51"/>
        <w:jc w:val="both"/>
        <w:rPr>
          <w:rFonts w:ascii="Arial" w:hAnsi="Arial" w:cs="Arial"/>
          <w:bCs/>
          <w:spacing w:val="4"/>
          <w:sz w:val="28"/>
          <w:szCs w:val="28"/>
        </w:rPr>
      </w:pPr>
      <w:r w:rsidRPr="0022106E">
        <w:rPr>
          <w:rFonts w:ascii="Arial" w:hAnsi="Arial" w:cs="Arial"/>
          <w:bCs/>
          <w:spacing w:val="4"/>
          <w:sz w:val="28"/>
          <w:szCs w:val="28"/>
        </w:rPr>
        <w:t xml:space="preserve">Pues la interpretación correcta de dicha regla lleva a concluir que su aplicación en la integración de la Lista Definitiva </w:t>
      </w:r>
      <w:r w:rsidRPr="0022106E">
        <w:rPr>
          <w:rFonts w:ascii="Arial" w:hAnsi="Arial" w:cs="Arial"/>
          <w:b/>
          <w:spacing w:val="4"/>
          <w:sz w:val="28"/>
          <w:szCs w:val="28"/>
        </w:rPr>
        <w:t>únicamente se actualizará cuando al partido le sean asignadas, cuando menos, cuatro curules de representación proporcional</w:t>
      </w:r>
      <w:r w:rsidRPr="0022106E">
        <w:rPr>
          <w:rFonts w:ascii="Arial" w:hAnsi="Arial" w:cs="Arial"/>
          <w:bCs/>
          <w:spacing w:val="4"/>
          <w:sz w:val="28"/>
          <w:szCs w:val="28"/>
        </w:rPr>
        <w:t>; ello ya que en este supuesto la regla de integración por bloques podrá atender al principio de paridad de género al aplicarse para beneficiar tanto al género masculino como al femenino, pues se insiste, una regla de esa naturaleza no puede ser aplicada en perjuicio del género históricamente más vulnerable ni como mecanismo para obviar el cumplimiento del principio constitucional de la paridad de género.</w:t>
      </w:r>
    </w:p>
    <w:p w14:paraId="17AF40B5" w14:textId="77777777" w:rsidR="00E76FD6" w:rsidRPr="0022106E" w:rsidRDefault="00E76FD6" w:rsidP="00E76FD6">
      <w:pPr>
        <w:spacing w:before="240" w:line="360" w:lineRule="auto"/>
        <w:ind w:right="51"/>
        <w:jc w:val="both"/>
        <w:rPr>
          <w:rFonts w:ascii="Arial" w:hAnsi="Arial" w:cs="Arial"/>
          <w:bCs/>
          <w:spacing w:val="4"/>
          <w:sz w:val="28"/>
          <w:szCs w:val="28"/>
        </w:rPr>
      </w:pPr>
      <w:r w:rsidRPr="0022106E">
        <w:rPr>
          <w:rFonts w:ascii="Arial" w:hAnsi="Arial" w:cs="Arial"/>
          <w:bCs/>
          <w:spacing w:val="4"/>
          <w:sz w:val="28"/>
          <w:szCs w:val="28"/>
        </w:rPr>
        <w:t xml:space="preserve">Cabe mencionar que la interpretación anterior solamente resulta aplicable a los razonamientos contenidos en la sentencia aprobada por la mayoría de mis pares (en donde se justifica en contra del principio de paridad de género que ambas curules del PRD se integren con fórmulas de hombres), pues acorde con mi propuesta de integración de todas las listas definitivas de los partidos, señaladas en el inciso </w:t>
      </w:r>
      <w:r w:rsidRPr="0022106E">
        <w:rPr>
          <w:rFonts w:ascii="Arial" w:hAnsi="Arial" w:cs="Arial"/>
          <w:b/>
          <w:i/>
          <w:iCs/>
          <w:spacing w:val="4"/>
          <w:sz w:val="28"/>
          <w:szCs w:val="28"/>
        </w:rPr>
        <w:t>A)</w:t>
      </w:r>
      <w:r w:rsidRPr="0022106E">
        <w:rPr>
          <w:rFonts w:ascii="Arial" w:hAnsi="Arial" w:cs="Arial"/>
          <w:bCs/>
          <w:spacing w:val="4"/>
          <w:sz w:val="28"/>
          <w:szCs w:val="28"/>
        </w:rPr>
        <w:t>, este aspecto queda superado al integrarse la lista definitiva del PRD con una fórmula paritaria de hombres y mujeres.</w:t>
      </w:r>
    </w:p>
    <w:p w14:paraId="39522104" w14:textId="77777777" w:rsidR="00E76FD6" w:rsidRDefault="00E76FD6" w:rsidP="00E76FD6">
      <w:pPr>
        <w:spacing w:before="240" w:line="360" w:lineRule="auto"/>
        <w:ind w:right="51"/>
        <w:jc w:val="both"/>
        <w:rPr>
          <w:rFonts w:ascii="Arial" w:hAnsi="Arial" w:cs="Arial"/>
          <w:bCs/>
          <w:spacing w:val="4"/>
          <w:sz w:val="28"/>
          <w:szCs w:val="28"/>
        </w:rPr>
      </w:pPr>
      <w:r w:rsidRPr="0022106E">
        <w:rPr>
          <w:rFonts w:ascii="Arial" w:hAnsi="Arial" w:cs="Arial"/>
          <w:bCs/>
          <w:spacing w:val="4"/>
          <w:sz w:val="28"/>
          <w:szCs w:val="28"/>
        </w:rPr>
        <w:t>De ahí que emita el presente voto concurrente y particular.</w:t>
      </w:r>
    </w:p>
    <w:p w14:paraId="1EC97850" w14:textId="77777777" w:rsidR="00E76FD6" w:rsidRPr="00637A1A" w:rsidRDefault="00E76FD6" w:rsidP="00E76FD6">
      <w:pPr>
        <w:spacing w:before="240" w:line="360" w:lineRule="auto"/>
        <w:jc w:val="both"/>
        <w:rPr>
          <w:rFonts w:ascii="Arial" w:hAnsi="Arial" w:cs="Arial"/>
          <w:b/>
          <w:bCs/>
          <w:sz w:val="28"/>
          <w:szCs w:val="28"/>
          <w:lang w:val="es-ES" w:eastAsia="es-MX"/>
        </w:rPr>
      </w:pPr>
      <w:r w:rsidRPr="0022106E">
        <w:rPr>
          <w:rFonts w:ascii="Arial" w:eastAsia="Calibri" w:hAnsi="Arial" w:cs="Arial"/>
          <w:b/>
          <w:sz w:val="28"/>
          <w:szCs w:val="28"/>
        </w:rPr>
        <w:t xml:space="preserve">CONCLUYE </w:t>
      </w:r>
      <w:r w:rsidRPr="00D8071A">
        <w:rPr>
          <w:rFonts w:ascii="Arial" w:hAnsi="Arial" w:cs="Arial"/>
          <w:b/>
          <w:bCs/>
          <w:sz w:val="28"/>
          <w:szCs w:val="28"/>
          <w:lang w:eastAsia="es-MX"/>
        </w:rPr>
        <w:t>VOTO CONCURRENTE Y PARTICULAR QUE CON</w:t>
      </w:r>
      <w:r w:rsidRPr="00707E9E">
        <w:rPr>
          <w:rFonts w:ascii="Arial" w:hAnsi="Arial" w:cs="Arial"/>
          <w:b/>
          <w:bCs/>
          <w:sz w:val="28"/>
          <w:szCs w:val="28"/>
          <w:lang w:eastAsia="es-MX"/>
        </w:rPr>
        <w:t xml:space="preserve"> FUNDAMENTO EN LOS ARTÍCULOS 185 FRACCIÓN VII DEL CÓDIGO DE INSTITUCIONES Y PROCEDIMIENTOS ELECTORALES DE LA CIUDAD DE MÉXICO; 9 PÁRRAFO PRIMERO y 100 FRACCI</w:t>
      </w:r>
      <w:r>
        <w:rPr>
          <w:rFonts w:ascii="Arial" w:hAnsi="Arial" w:cs="Arial"/>
          <w:b/>
          <w:bCs/>
          <w:sz w:val="28"/>
          <w:szCs w:val="28"/>
          <w:lang w:eastAsia="es-MX"/>
        </w:rPr>
        <w:t xml:space="preserve">ONES I Y </w:t>
      </w:r>
      <w:r w:rsidRPr="00707E9E">
        <w:rPr>
          <w:rFonts w:ascii="Arial" w:hAnsi="Arial" w:cs="Arial"/>
          <w:b/>
          <w:bCs/>
          <w:sz w:val="28"/>
          <w:szCs w:val="28"/>
          <w:lang w:eastAsia="es-MX"/>
        </w:rPr>
        <w:t>I</w:t>
      </w:r>
      <w:r>
        <w:rPr>
          <w:rFonts w:ascii="Arial" w:hAnsi="Arial" w:cs="Arial"/>
          <w:b/>
          <w:bCs/>
          <w:sz w:val="28"/>
          <w:szCs w:val="28"/>
          <w:lang w:eastAsia="es-MX"/>
        </w:rPr>
        <w:t xml:space="preserve">I </w:t>
      </w:r>
      <w:r w:rsidRPr="00707E9E">
        <w:rPr>
          <w:rFonts w:ascii="Arial" w:hAnsi="Arial" w:cs="Arial"/>
          <w:b/>
          <w:bCs/>
          <w:sz w:val="28"/>
          <w:szCs w:val="28"/>
          <w:lang w:eastAsia="es-MX"/>
        </w:rPr>
        <w:t xml:space="preserve">DEL REGLAMENTO </w:t>
      </w:r>
      <w:r w:rsidRPr="00707E9E">
        <w:rPr>
          <w:rFonts w:ascii="Arial" w:hAnsi="Arial" w:cs="Arial"/>
          <w:b/>
          <w:bCs/>
          <w:sz w:val="28"/>
          <w:szCs w:val="28"/>
          <w:lang w:eastAsia="es-MX"/>
        </w:rPr>
        <w:lastRenderedPageBreak/>
        <w:t>INTERIOR DEL TRIBUNAL ELECTORAL DE LA CIUDAD DE MÉXICO, FORMULA LA MAGISTRADA MARTHA ALEJANDRA CHÁVEZ CAMARENA</w:t>
      </w:r>
      <w:r w:rsidRPr="00637A1A">
        <w:rPr>
          <w:rFonts w:ascii="Arial" w:hAnsi="Arial" w:cs="Arial"/>
          <w:b/>
          <w:bCs/>
          <w:sz w:val="28"/>
          <w:szCs w:val="28"/>
          <w:lang w:val="es-ES" w:eastAsia="es-MX"/>
        </w:rPr>
        <w:t xml:space="preserve">, RESPECTO DEL JUICIO ELECTORAL IDENTIFICADO CON LA CLAVE </w:t>
      </w:r>
      <w:r w:rsidRPr="008A62B9">
        <w:rPr>
          <w:rFonts w:ascii="Arial" w:hAnsi="Arial" w:cs="Arial"/>
          <w:b/>
          <w:bCs/>
          <w:sz w:val="28"/>
          <w:szCs w:val="28"/>
          <w:lang w:val="es-ES_tradnl" w:eastAsia="es-MX"/>
        </w:rPr>
        <w:t>TECDMX-JEL-204/2021</w:t>
      </w:r>
      <w:r>
        <w:rPr>
          <w:rFonts w:ascii="Arial" w:hAnsi="Arial" w:cs="Arial"/>
          <w:b/>
          <w:bCs/>
          <w:sz w:val="28"/>
          <w:szCs w:val="28"/>
          <w:lang w:val="es-ES_tradnl" w:eastAsia="es-MX"/>
        </w:rPr>
        <w:t xml:space="preserve"> </w:t>
      </w:r>
      <w:r w:rsidRPr="008A62B9">
        <w:rPr>
          <w:rFonts w:ascii="Arial" w:hAnsi="Arial" w:cs="Arial"/>
          <w:b/>
          <w:bCs/>
          <w:sz w:val="28"/>
          <w:szCs w:val="28"/>
          <w:lang w:val="es-ES_tradnl" w:eastAsia="es-MX"/>
        </w:rPr>
        <w:t>Y ACUMULADOS</w:t>
      </w:r>
      <w:r w:rsidRPr="00637A1A">
        <w:rPr>
          <w:rFonts w:ascii="Arial" w:hAnsi="Arial" w:cs="Arial"/>
          <w:b/>
          <w:bCs/>
          <w:sz w:val="28"/>
          <w:szCs w:val="28"/>
          <w:lang w:val="es-ES" w:eastAsia="es-MX"/>
        </w:rPr>
        <w:t xml:space="preserve">. </w:t>
      </w:r>
    </w:p>
    <w:p w14:paraId="6291C6D8" w14:textId="77777777" w:rsidR="00E76FD6" w:rsidRDefault="00E76FD6" w:rsidP="00535A76">
      <w:pPr>
        <w:spacing w:after="0" w:line="360" w:lineRule="auto"/>
        <w:jc w:val="both"/>
        <w:rPr>
          <w:rFonts w:ascii="Arial" w:eastAsia="Calibri" w:hAnsi="Arial" w:cs="Arial"/>
          <w:b/>
          <w:sz w:val="28"/>
          <w:szCs w:val="28"/>
        </w:rPr>
      </w:pPr>
    </w:p>
    <w:p w14:paraId="5EF71D92" w14:textId="1F14230F" w:rsidR="00535A76" w:rsidRPr="00535A76" w:rsidRDefault="00535A76" w:rsidP="00535A76">
      <w:pPr>
        <w:spacing w:after="0" w:line="360" w:lineRule="auto"/>
        <w:jc w:val="both"/>
        <w:rPr>
          <w:rFonts w:ascii="Arial" w:eastAsia="Calibri" w:hAnsi="Arial" w:cs="Arial"/>
          <w:b/>
          <w:bCs/>
          <w:sz w:val="28"/>
          <w:szCs w:val="28"/>
        </w:rPr>
      </w:pPr>
      <w:r w:rsidRPr="00535A76">
        <w:rPr>
          <w:rFonts w:ascii="Arial" w:eastAsia="Calibri" w:hAnsi="Arial" w:cs="Arial"/>
          <w:b/>
          <w:sz w:val="28"/>
          <w:szCs w:val="28"/>
        </w:rPr>
        <w:t xml:space="preserve">INICIA </w:t>
      </w:r>
      <w:r w:rsidRPr="00535A76">
        <w:rPr>
          <w:rFonts w:ascii="Arial" w:eastAsia="Calibri" w:hAnsi="Arial" w:cs="Arial"/>
          <w:b/>
          <w:bCs/>
          <w:sz w:val="28"/>
          <w:szCs w:val="28"/>
        </w:rPr>
        <w:t>VOTO CONCURRENTE QUE FORMULA EL MAGISTRADO ELECTORAL JUAN CARLOS SÁNCHEZ LEÓN, EN EL JUICIO ELECTORAL TECDMX-JEL-204/2021 Y ACUMULADOS.</w:t>
      </w:r>
    </w:p>
    <w:p w14:paraId="4936570F" w14:textId="77777777" w:rsidR="00535A76" w:rsidRPr="00535A76" w:rsidRDefault="00535A76" w:rsidP="00535A76">
      <w:pPr>
        <w:spacing w:after="0" w:line="360" w:lineRule="auto"/>
        <w:jc w:val="both"/>
        <w:rPr>
          <w:rFonts w:ascii="Arial" w:eastAsia="Calibri" w:hAnsi="Arial" w:cs="Arial"/>
          <w:sz w:val="28"/>
          <w:szCs w:val="28"/>
        </w:rPr>
      </w:pPr>
    </w:p>
    <w:p w14:paraId="44B6BF4E" w14:textId="77777777" w:rsidR="00535A76" w:rsidRPr="00535A76" w:rsidRDefault="00535A76" w:rsidP="00535A76">
      <w:pPr>
        <w:spacing w:after="0" w:line="360" w:lineRule="auto"/>
        <w:jc w:val="both"/>
        <w:rPr>
          <w:rFonts w:ascii="Arial" w:eastAsia="Calibri" w:hAnsi="Arial" w:cs="Arial"/>
          <w:sz w:val="28"/>
          <w:szCs w:val="28"/>
        </w:rPr>
      </w:pPr>
      <w:r w:rsidRPr="00535A76">
        <w:rPr>
          <w:rFonts w:ascii="Arial" w:eastAsia="Calibri" w:hAnsi="Arial" w:cs="Arial"/>
          <w:sz w:val="28"/>
          <w:szCs w:val="28"/>
        </w:rPr>
        <w:t xml:space="preserve">Con el respeto que me merece la decisión de las Magistraturas integrantes de la mayoría en el Tribunal Pleno, en relación con la sentencia definitiva en comento, con fundamento en lo establecido en los artículos 185, fracción VII del Código de Instituciones y Procedimientos Electorales de la Ciudad de México; 87, fracción IV de la Ley Procesal Electoral de la Ciudad de México; 9, primero y segundo párrafo y, 100, párrafo segundo, fracción II del Reglamento Interior del Tribunal Electoral de la Ciudad de México; me permito emitir el presente </w:t>
      </w:r>
      <w:r w:rsidRPr="00535A76">
        <w:rPr>
          <w:rFonts w:ascii="Arial" w:eastAsia="Calibri" w:hAnsi="Arial" w:cs="Arial"/>
          <w:b/>
          <w:bCs/>
          <w:sz w:val="28"/>
          <w:szCs w:val="28"/>
        </w:rPr>
        <w:t>voto concurrente</w:t>
      </w:r>
      <w:r w:rsidRPr="00535A76">
        <w:rPr>
          <w:rFonts w:ascii="Arial" w:eastAsia="Calibri" w:hAnsi="Arial" w:cs="Arial"/>
          <w:sz w:val="28"/>
          <w:szCs w:val="28"/>
        </w:rPr>
        <w:t xml:space="preserve">, ya que si bien comparto el sentido, no así algunas de las consideraciones que sustentan la sentencia. </w:t>
      </w:r>
    </w:p>
    <w:p w14:paraId="31D5D98C" w14:textId="77777777" w:rsidR="00535A76" w:rsidRPr="00535A76" w:rsidRDefault="00535A76" w:rsidP="00535A76">
      <w:pPr>
        <w:spacing w:after="0" w:line="360" w:lineRule="auto"/>
        <w:jc w:val="both"/>
        <w:rPr>
          <w:rFonts w:ascii="Arial" w:eastAsia="Calibri" w:hAnsi="Arial" w:cs="Arial"/>
          <w:sz w:val="28"/>
          <w:szCs w:val="26"/>
        </w:rPr>
      </w:pPr>
    </w:p>
    <w:p w14:paraId="74078AE6" w14:textId="77777777" w:rsidR="00535A76" w:rsidRPr="00535A76" w:rsidRDefault="00535A76" w:rsidP="00535A76">
      <w:pPr>
        <w:spacing w:after="0" w:line="360" w:lineRule="auto"/>
        <w:jc w:val="both"/>
        <w:rPr>
          <w:rFonts w:ascii="Arial" w:eastAsia="Calibri" w:hAnsi="Arial" w:cs="Arial"/>
          <w:sz w:val="28"/>
          <w:szCs w:val="26"/>
        </w:rPr>
      </w:pPr>
      <w:r w:rsidRPr="00535A76">
        <w:rPr>
          <w:rFonts w:ascii="Arial" w:eastAsia="Calibri" w:hAnsi="Arial" w:cs="Arial"/>
          <w:sz w:val="28"/>
          <w:szCs w:val="26"/>
        </w:rPr>
        <w:t>Habida cuenta que, en mi concepto, lo procedente hubiese sido sobreseer el juicio de la ciudadanía TECDMX-JLDC-088/2021 al actualizarse la preclusión, derivado de que la parte actora hace valer la misma causa de inelegibilidad que argumentó en su escrito de demanda que dio origen al expediente TECDMX-JLDC-063/2021.</w:t>
      </w:r>
    </w:p>
    <w:p w14:paraId="60689EDA" w14:textId="77777777" w:rsidR="00535A76" w:rsidRPr="00535A76" w:rsidRDefault="00535A76" w:rsidP="00535A76">
      <w:pPr>
        <w:spacing w:after="0" w:line="360" w:lineRule="auto"/>
        <w:jc w:val="both"/>
        <w:rPr>
          <w:rFonts w:ascii="Arial" w:eastAsia="Calibri" w:hAnsi="Arial" w:cs="Arial"/>
          <w:sz w:val="28"/>
          <w:szCs w:val="26"/>
        </w:rPr>
      </w:pPr>
    </w:p>
    <w:p w14:paraId="28A2F06E" w14:textId="77777777" w:rsidR="00535A76" w:rsidRPr="00535A76" w:rsidRDefault="00535A76" w:rsidP="00535A76">
      <w:pPr>
        <w:spacing w:after="0" w:line="360" w:lineRule="auto"/>
        <w:jc w:val="both"/>
        <w:rPr>
          <w:rFonts w:ascii="Arial" w:eastAsia="Calibri" w:hAnsi="Arial" w:cs="Arial"/>
          <w:sz w:val="28"/>
          <w:szCs w:val="26"/>
        </w:rPr>
      </w:pPr>
      <w:r w:rsidRPr="00535A76">
        <w:rPr>
          <w:rFonts w:ascii="Arial" w:eastAsia="Calibri" w:hAnsi="Arial" w:cs="Arial"/>
          <w:sz w:val="28"/>
          <w:szCs w:val="26"/>
        </w:rPr>
        <w:t>En el expediente TECDMX-JLDC-063/2021, la parte actora hizo valer, entre otros agravios, el relativo a la inelegibilidad de Martín Padilla (José Martín Padilla Sánchez), al incumplir con lo dispuesto por el artículo 13 de los Estatutos de MORENA que establece la restricción de un diputado plurinominal de volverse a postular por la misma vía para otro cargo de manera consecutiva.</w:t>
      </w:r>
    </w:p>
    <w:p w14:paraId="0DEE80A2" w14:textId="77777777" w:rsidR="00535A76" w:rsidRPr="00535A76" w:rsidRDefault="00535A76" w:rsidP="00535A76">
      <w:pPr>
        <w:spacing w:after="0" w:line="360" w:lineRule="auto"/>
        <w:jc w:val="both"/>
        <w:rPr>
          <w:rFonts w:ascii="Arial" w:eastAsia="Calibri" w:hAnsi="Arial" w:cs="Arial"/>
          <w:sz w:val="28"/>
          <w:szCs w:val="26"/>
        </w:rPr>
      </w:pPr>
    </w:p>
    <w:p w14:paraId="11C98412" w14:textId="77777777" w:rsidR="00535A76" w:rsidRPr="00535A76" w:rsidRDefault="00535A76" w:rsidP="00535A76">
      <w:pPr>
        <w:spacing w:after="0" w:line="360" w:lineRule="auto"/>
        <w:jc w:val="both"/>
        <w:rPr>
          <w:rFonts w:ascii="Arial" w:eastAsia="Calibri" w:hAnsi="Arial" w:cs="Arial"/>
          <w:sz w:val="28"/>
          <w:szCs w:val="26"/>
        </w:rPr>
      </w:pPr>
      <w:r w:rsidRPr="00535A76">
        <w:rPr>
          <w:rFonts w:ascii="Arial" w:eastAsia="Calibri" w:hAnsi="Arial" w:cs="Arial"/>
          <w:sz w:val="28"/>
          <w:szCs w:val="26"/>
        </w:rPr>
        <w:t>Dicho juicio fue resuelto por este Tribunal el pasado trece de mayo del año en curso, en el sentido de desechar el escrito de demanda al haberse presentado de manera extemporánea.</w:t>
      </w:r>
    </w:p>
    <w:p w14:paraId="7ADC695F" w14:textId="77777777" w:rsidR="00535A76" w:rsidRPr="00535A76" w:rsidRDefault="00535A76" w:rsidP="00535A76">
      <w:pPr>
        <w:spacing w:after="0" w:line="360" w:lineRule="auto"/>
        <w:jc w:val="both"/>
        <w:rPr>
          <w:rFonts w:ascii="Arial" w:eastAsia="Calibri" w:hAnsi="Arial" w:cs="Arial"/>
          <w:sz w:val="28"/>
          <w:szCs w:val="26"/>
        </w:rPr>
      </w:pPr>
    </w:p>
    <w:p w14:paraId="74C3629C" w14:textId="77777777" w:rsidR="00535A76" w:rsidRPr="00535A76" w:rsidRDefault="00535A76" w:rsidP="00535A76">
      <w:pPr>
        <w:spacing w:after="0" w:line="360" w:lineRule="auto"/>
        <w:jc w:val="both"/>
        <w:rPr>
          <w:rFonts w:ascii="Arial" w:eastAsia="Calibri" w:hAnsi="Arial" w:cs="Arial"/>
          <w:sz w:val="28"/>
          <w:szCs w:val="26"/>
        </w:rPr>
      </w:pPr>
      <w:r w:rsidRPr="00535A76">
        <w:rPr>
          <w:rFonts w:ascii="Arial" w:eastAsia="Calibri" w:hAnsi="Arial" w:cs="Arial"/>
          <w:sz w:val="28"/>
          <w:szCs w:val="26"/>
        </w:rPr>
        <w:t>Por su parte, en el escrito de demanda que originó la integración del expediente TECDMX-JLDC-088/2021 -mismo que se acumuló en la presente sentencia-, la parte actora aduce que si el artículo 13 del Estatuto de MORENA prohibía la reelección para quienes ocupan cargos electos por el principio de representación proporcional, entonces el Instituto Electoral local debió declarar la inelegibilidad de José Martín Padilla Sánchez.</w:t>
      </w:r>
    </w:p>
    <w:p w14:paraId="06AAF9AE" w14:textId="77777777" w:rsidR="00535A76" w:rsidRPr="00535A76" w:rsidRDefault="00535A76" w:rsidP="00535A76">
      <w:pPr>
        <w:spacing w:after="0" w:line="360" w:lineRule="auto"/>
        <w:jc w:val="both"/>
        <w:rPr>
          <w:rFonts w:ascii="Arial" w:eastAsia="Calibri" w:hAnsi="Arial" w:cs="Arial"/>
          <w:sz w:val="28"/>
          <w:szCs w:val="26"/>
        </w:rPr>
      </w:pPr>
    </w:p>
    <w:p w14:paraId="68393730" w14:textId="77777777" w:rsidR="00535A76" w:rsidRPr="00535A76" w:rsidRDefault="00535A76" w:rsidP="00535A76">
      <w:pPr>
        <w:spacing w:after="0" w:line="360" w:lineRule="auto"/>
        <w:jc w:val="both"/>
        <w:rPr>
          <w:rFonts w:ascii="Arial" w:eastAsia="Calibri" w:hAnsi="Arial" w:cs="Arial"/>
          <w:sz w:val="28"/>
          <w:szCs w:val="26"/>
        </w:rPr>
      </w:pPr>
      <w:r w:rsidRPr="00535A76">
        <w:rPr>
          <w:rFonts w:ascii="Arial" w:eastAsia="Calibri" w:hAnsi="Arial" w:cs="Arial"/>
          <w:sz w:val="28"/>
          <w:szCs w:val="26"/>
        </w:rPr>
        <w:t>Como se aprecia, la pretensión de la parte actora en el juicio de la ciudadanía TECDMX-JLDC-063/2021, es idéntica a la que hace valer en el medio de impugnación que se resuelve acumulado en la presente sentencia, esto es, que se declare la inelegibilidad de la candidatura que denuncia.</w:t>
      </w:r>
    </w:p>
    <w:p w14:paraId="7607285E" w14:textId="77777777" w:rsidR="00535A76" w:rsidRPr="00535A76" w:rsidRDefault="00535A76" w:rsidP="00535A76">
      <w:pPr>
        <w:spacing w:after="0" w:line="360" w:lineRule="auto"/>
        <w:jc w:val="both"/>
        <w:rPr>
          <w:rFonts w:ascii="Arial" w:eastAsia="Calibri" w:hAnsi="Arial" w:cs="Arial"/>
          <w:sz w:val="28"/>
          <w:szCs w:val="26"/>
        </w:rPr>
      </w:pPr>
    </w:p>
    <w:p w14:paraId="0BA488A0" w14:textId="77777777" w:rsidR="00535A76" w:rsidRPr="00535A76" w:rsidRDefault="00535A76" w:rsidP="00535A76">
      <w:pPr>
        <w:spacing w:after="0" w:line="360" w:lineRule="auto"/>
        <w:jc w:val="both"/>
        <w:rPr>
          <w:rFonts w:ascii="Arial" w:eastAsia="Calibri" w:hAnsi="Arial" w:cs="Arial"/>
          <w:sz w:val="28"/>
          <w:szCs w:val="26"/>
        </w:rPr>
      </w:pPr>
      <w:r w:rsidRPr="00535A76">
        <w:rPr>
          <w:rFonts w:ascii="Arial" w:eastAsia="Calibri" w:hAnsi="Arial" w:cs="Arial"/>
          <w:sz w:val="28"/>
          <w:szCs w:val="26"/>
        </w:rPr>
        <w:t xml:space="preserve">En el caso, no comparto que se analicen los agravios hechos valer por la parte promovente y se declaren infundados, lo anterior, ya que desde mi perspectiva debió decretarse el sobreseimiento del escrito de demanda al actualizarse la preclusión, ya que la parte </w:t>
      </w:r>
      <w:r w:rsidRPr="00535A76">
        <w:rPr>
          <w:rFonts w:ascii="Arial" w:eastAsia="Calibri" w:hAnsi="Arial" w:cs="Arial"/>
          <w:sz w:val="28"/>
          <w:szCs w:val="26"/>
        </w:rPr>
        <w:lastRenderedPageBreak/>
        <w:t>actora de forma previa hizo valer idéntica causa de inelegibilidad en contra de la candidatura que controvierte.</w:t>
      </w:r>
    </w:p>
    <w:p w14:paraId="421A19F2" w14:textId="77777777" w:rsidR="00535A76" w:rsidRPr="00535A76" w:rsidRDefault="00535A76" w:rsidP="00535A76">
      <w:pPr>
        <w:spacing w:after="0" w:line="360" w:lineRule="auto"/>
        <w:jc w:val="both"/>
        <w:rPr>
          <w:rFonts w:ascii="Arial" w:eastAsia="Calibri" w:hAnsi="Arial" w:cs="Arial"/>
          <w:sz w:val="28"/>
          <w:szCs w:val="26"/>
        </w:rPr>
      </w:pPr>
    </w:p>
    <w:p w14:paraId="7E623F1D" w14:textId="77777777" w:rsidR="00535A76" w:rsidRPr="00535A76" w:rsidRDefault="00535A76" w:rsidP="00535A76">
      <w:pPr>
        <w:spacing w:after="0" w:line="360" w:lineRule="auto"/>
        <w:jc w:val="both"/>
        <w:rPr>
          <w:rFonts w:ascii="Arial" w:eastAsia="Calibri" w:hAnsi="Arial" w:cs="Arial"/>
          <w:sz w:val="28"/>
          <w:szCs w:val="26"/>
          <w:lang w:val="es-ES"/>
        </w:rPr>
      </w:pPr>
      <w:r w:rsidRPr="00535A76">
        <w:rPr>
          <w:rFonts w:ascii="Arial" w:eastAsia="Calibri" w:hAnsi="Arial" w:cs="Arial"/>
          <w:sz w:val="28"/>
          <w:szCs w:val="26"/>
        </w:rPr>
        <w:t xml:space="preserve">Lo anterior, guarda congruencia con el criterio sostenido por la Sala Superior del Tribunal Electoral del Poder Judicial de la Federación en la </w:t>
      </w:r>
      <w:r w:rsidRPr="00535A76">
        <w:rPr>
          <w:rFonts w:ascii="Arial" w:eastAsia="Calibri" w:hAnsi="Arial" w:cs="Arial"/>
          <w:sz w:val="28"/>
          <w:szCs w:val="26"/>
          <w:lang w:val="es-ES"/>
        </w:rPr>
        <w:t>Jurisprudencia 7/2004, de rubro: “</w:t>
      </w:r>
      <w:r w:rsidRPr="00535A76">
        <w:rPr>
          <w:rFonts w:ascii="Arial" w:eastAsia="Calibri" w:hAnsi="Arial" w:cs="Arial"/>
          <w:i/>
          <w:iCs/>
          <w:sz w:val="28"/>
          <w:szCs w:val="26"/>
          <w:lang w:val="es-ES"/>
        </w:rPr>
        <w:t>ELEGIBILIDAD. LOS MOMENTOS PARA SU IMPUGNACIÓN NO IMPLICAN DOBLE OPORTUNIDAD PARA CONTROVERTIRLA POR LAS MISMAS CAUSAS</w:t>
      </w:r>
      <w:r w:rsidRPr="00535A76">
        <w:rPr>
          <w:rFonts w:ascii="Arial" w:eastAsia="Calibri" w:hAnsi="Arial" w:cs="Arial"/>
          <w:sz w:val="28"/>
          <w:szCs w:val="26"/>
          <w:lang w:val="es-ES"/>
        </w:rPr>
        <w:t>”</w:t>
      </w:r>
      <w:r w:rsidRPr="00535A76">
        <w:rPr>
          <w:rFonts w:ascii="Arial" w:eastAsia="Calibri" w:hAnsi="Arial" w:cs="Arial"/>
          <w:sz w:val="28"/>
          <w:szCs w:val="26"/>
          <w:vertAlign w:val="superscript"/>
          <w:lang w:val="es-ES"/>
        </w:rPr>
        <w:footnoteReference w:id="63"/>
      </w:r>
      <w:r w:rsidRPr="00535A76">
        <w:rPr>
          <w:rFonts w:ascii="Arial" w:eastAsia="Calibri" w:hAnsi="Arial" w:cs="Arial"/>
          <w:sz w:val="28"/>
          <w:szCs w:val="26"/>
          <w:lang w:val="es-ES"/>
        </w:rPr>
        <w:t>.</w:t>
      </w:r>
    </w:p>
    <w:p w14:paraId="1A1C3273" w14:textId="77777777" w:rsidR="00535A76" w:rsidRPr="00535A76" w:rsidRDefault="00535A76" w:rsidP="00535A76">
      <w:pPr>
        <w:spacing w:after="0" w:line="360" w:lineRule="auto"/>
        <w:jc w:val="both"/>
        <w:rPr>
          <w:rFonts w:ascii="Arial" w:eastAsia="Calibri" w:hAnsi="Arial" w:cs="Arial"/>
          <w:sz w:val="28"/>
          <w:szCs w:val="26"/>
        </w:rPr>
      </w:pPr>
    </w:p>
    <w:p w14:paraId="46C82371" w14:textId="77777777" w:rsidR="00535A76" w:rsidRPr="00535A76" w:rsidRDefault="00535A76" w:rsidP="00535A76">
      <w:pPr>
        <w:spacing w:after="0" w:line="360" w:lineRule="auto"/>
        <w:jc w:val="both"/>
        <w:rPr>
          <w:rFonts w:ascii="Arial" w:eastAsia="Calibri" w:hAnsi="Arial" w:cs="Arial"/>
          <w:bCs/>
          <w:sz w:val="28"/>
          <w:szCs w:val="26"/>
          <w:lang w:val="es-ES"/>
        </w:rPr>
      </w:pPr>
      <w:r w:rsidRPr="00535A76">
        <w:rPr>
          <w:rFonts w:ascii="Arial" w:eastAsia="Calibri" w:hAnsi="Arial" w:cs="Arial"/>
          <w:sz w:val="28"/>
          <w:szCs w:val="26"/>
          <w:lang w:val="es-ES"/>
        </w:rPr>
        <w:t xml:space="preserve">La citada jurisprudencia establece </w:t>
      </w:r>
      <w:r w:rsidRPr="00535A76">
        <w:rPr>
          <w:rFonts w:ascii="Arial" w:eastAsia="Calibri" w:hAnsi="Arial" w:cs="Arial"/>
          <w:bCs/>
          <w:sz w:val="28"/>
          <w:szCs w:val="26"/>
          <w:lang w:val="es-ES"/>
        </w:rPr>
        <w:t xml:space="preserve">que no es admisible que las causas invocadas para sustentar la inelegibilidad de una candidatura que fue impugnada en el momento de su </w:t>
      </w:r>
      <w:proofErr w:type="gramStart"/>
      <w:r w:rsidRPr="00535A76">
        <w:rPr>
          <w:rFonts w:ascii="Arial" w:eastAsia="Calibri" w:hAnsi="Arial" w:cs="Arial"/>
          <w:bCs/>
          <w:sz w:val="28"/>
          <w:szCs w:val="26"/>
          <w:lang w:val="es-ES"/>
        </w:rPr>
        <w:t>registro,</w:t>
      </w:r>
      <w:proofErr w:type="gramEnd"/>
      <w:r w:rsidRPr="00535A76">
        <w:rPr>
          <w:rFonts w:ascii="Arial" w:eastAsia="Calibri" w:hAnsi="Arial" w:cs="Arial"/>
          <w:bCs/>
          <w:sz w:val="28"/>
          <w:szCs w:val="26"/>
          <w:lang w:val="es-ES"/>
        </w:rPr>
        <w:t xml:space="preserve"> vuelvan a ser planteadas en un ulterior medio de impugnación, interpuesto con motivo de la calificación de la elección. </w:t>
      </w:r>
    </w:p>
    <w:p w14:paraId="070492B3" w14:textId="77777777" w:rsidR="00535A76" w:rsidRPr="00535A76" w:rsidRDefault="00535A76" w:rsidP="00535A76">
      <w:pPr>
        <w:spacing w:after="0" w:line="360" w:lineRule="auto"/>
        <w:jc w:val="both"/>
        <w:rPr>
          <w:rFonts w:ascii="Arial" w:eastAsia="Calibri" w:hAnsi="Arial" w:cs="Arial"/>
          <w:bCs/>
          <w:sz w:val="28"/>
          <w:szCs w:val="26"/>
          <w:lang w:val="es-ES"/>
        </w:rPr>
      </w:pPr>
    </w:p>
    <w:p w14:paraId="557C9F0A" w14:textId="77777777" w:rsidR="00535A76" w:rsidRPr="00535A76" w:rsidRDefault="00535A76" w:rsidP="00535A76">
      <w:pPr>
        <w:spacing w:after="0" w:line="360" w:lineRule="auto"/>
        <w:jc w:val="both"/>
        <w:rPr>
          <w:rFonts w:ascii="Arial" w:eastAsia="Calibri" w:hAnsi="Arial" w:cs="Arial"/>
          <w:sz w:val="28"/>
          <w:szCs w:val="26"/>
        </w:rPr>
      </w:pPr>
      <w:r w:rsidRPr="00535A76">
        <w:rPr>
          <w:rFonts w:ascii="Arial" w:eastAsia="Calibri" w:hAnsi="Arial" w:cs="Arial"/>
          <w:sz w:val="28"/>
          <w:szCs w:val="26"/>
        </w:rPr>
        <w:t>Situación que se actualiza en el presente caso, ya que la parte actora hace valer la misma causa de inelegibilidad al momento del registro (TECDMX-JLDC-063/2021) así como al momento de decretarse la declaración de validez de la elección y la entrega de la constancia de mayoría (TECDMX-JLDC-088/2021).</w:t>
      </w:r>
    </w:p>
    <w:p w14:paraId="28EE1D73" w14:textId="77777777" w:rsidR="00535A76" w:rsidRPr="00535A76" w:rsidRDefault="00535A76" w:rsidP="00535A76">
      <w:pPr>
        <w:spacing w:after="0" w:line="360" w:lineRule="auto"/>
        <w:jc w:val="both"/>
        <w:rPr>
          <w:rFonts w:ascii="Arial" w:eastAsia="Calibri" w:hAnsi="Arial" w:cs="Arial"/>
          <w:sz w:val="28"/>
          <w:szCs w:val="26"/>
        </w:rPr>
      </w:pPr>
    </w:p>
    <w:p w14:paraId="51EC7DF2" w14:textId="77777777" w:rsidR="00535A76" w:rsidRPr="00535A76" w:rsidRDefault="00535A76" w:rsidP="00535A76">
      <w:pPr>
        <w:spacing w:after="0" w:line="360" w:lineRule="auto"/>
        <w:jc w:val="both"/>
        <w:rPr>
          <w:rFonts w:ascii="Arial" w:eastAsia="Calibri" w:hAnsi="Arial" w:cs="Arial"/>
          <w:sz w:val="28"/>
          <w:szCs w:val="26"/>
          <w:lang w:val="es-ES"/>
        </w:rPr>
      </w:pPr>
      <w:r w:rsidRPr="00535A76">
        <w:rPr>
          <w:rFonts w:ascii="Arial" w:eastAsia="Calibri" w:hAnsi="Arial" w:cs="Arial"/>
          <w:sz w:val="28"/>
          <w:szCs w:val="26"/>
          <w:lang w:val="es-ES"/>
        </w:rPr>
        <w:t xml:space="preserve">Por lo que, si la supuesta inelegibilidad de una candidatura fue objeto de estudio y pronunciamiento al resolverse un medio de impugnación previo (relacionado con el registro), no es admisible que la causa invocada para sustentar la pretendida inelegibilidad </w:t>
      </w:r>
      <w:r w:rsidRPr="00535A76">
        <w:rPr>
          <w:rFonts w:ascii="Arial" w:eastAsia="Calibri" w:hAnsi="Arial" w:cs="Arial"/>
          <w:sz w:val="28"/>
          <w:szCs w:val="26"/>
          <w:lang w:val="es-ES"/>
        </w:rPr>
        <w:lastRenderedPageBreak/>
        <w:t>vuelva a ser planteada ahora con motivo de la calificación de la elección y de la asignación de la candidatura respectiva.</w:t>
      </w:r>
    </w:p>
    <w:p w14:paraId="78A89D74" w14:textId="77777777" w:rsidR="00535A76" w:rsidRPr="00535A76" w:rsidRDefault="00535A76" w:rsidP="00535A76">
      <w:pPr>
        <w:spacing w:after="0" w:line="360" w:lineRule="auto"/>
        <w:jc w:val="both"/>
        <w:rPr>
          <w:rFonts w:ascii="Arial" w:eastAsia="Calibri" w:hAnsi="Arial" w:cs="Arial"/>
          <w:sz w:val="28"/>
          <w:szCs w:val="26"/>
          <w:lang w:val="es-ES"/>
        </w:rPr>
      </w:pPr>
    </w:p>
    <w:p w14:paraId="77AD6499" w14:textId="77777777" w:rsidR="00535A76" w:rsidRPr="00535A76" w:rsidRDefault="00535A76" w:rsidP="00535A76">
      <w:pPr>
        <w:spacing w:after="0" w:line="360" w:lineRule="auto"/>
        <w:jc w:val="both"/>
        <w:rPr>
          <w:rFonts w:ascii="Arial" w:eastAsia="Calibri" w:hAnsi="Arial" w:cs="Arial"/>
          <w:b/>
          <w:sz w:val="28"/>
          <w:szCs w:val="26"/>
          <w:lang w:val="es-ES"/>
        </w:rPr>
      </w:pPr>
      <w:bookmarkStart w:id="71" w:name="_Hlk40699970"/>
      <w:r w:rsidRPr="00535A76">
        <w:rPr>
          <w:rFonts w:ascii="Arial" w:eastAsia="Calibri" w:hAnsi="Arial" w:cs="Arial"/>
          <w:sz w:val="28"/>
          <w:szCs w:val="26"/>
          <w:lang w:val="es-ES"/>
        </w:rPr>
        <w:t xml:space="preserve">En ese sentido, al pretender nuevamente la parte actora impugnar la elegibilidad de la candidatura que denuncia, bajo las mismas consideraciones que en el primer medio de impugnación (TECDMX-JLDC-063/2020), </w:t>
      </w:r>
      <w:r w:rsidRPr="00535A76">
        <w:rPr>
          <w:rFonts w:ascii="Arial" w:eastAsia="Calibri" w:hAnsi="Arial" w:cs="Arial"/>
          <w:b/>
          <w:sz w:val="28"/>
          <w:szCs w:val="26"/>
          <w:lang w:val="es-ES"/>
        </w:rPr>
        <w:t>se</w:t>
      </w:r>
      <w:r w:rsidRPr="00535A76">
        <w:rPr>
          <w:rFonts w:ascii="Arial" w:eastAsia="Calibri" w:hAnsi="Arial" w:cs="Arial"/>
          <w:sz w:val="28"/>
          <w:szCs w:val="26"/>
          <w:lang w:val="es-ES"/>
        </w:rPr>
        <w:t xml:space="preserve"> </w:t>
      </w:r>
      <w:r w:rsidRPr="00535A76">
        <w:rPr>
          <w:rFonts w:ascii="Arial" w:eastAsia="Calibri" w:hAnsi="Arial" w:cs="Arial"/>
          <w:b/>
          <w:sz w:val="28"/>
          <w:szCs w:val="26"/>
          <w:lang w:val="es-ES"/>
        </w:rPr>
        <w:t>actualiza una nueva oportunidad para hacer valer la misma causa de inelegibilidad.</w:t>
      </w:r>
    </w:p>
    <w:p w14:paraId="51F92C5B" w14:textId="77777777" w:rsidR="00535A76" w:rsidRPr="00535A76" w:rsidRDefault="00535A76" w:rsidP="00535A76">
      <w:pPr>
        <w:spacing w:after="0" w:line="360" w:lineRule="auto"/>
        <w:jc w:val="both"/>
        <w:rPr>
          <w:rFonts w:ascii="Arial" w:eastAsia="Calibri" w:hAnsi="Arial" w:cs="Arial"/>
          <w:b/>
          <w:sz w:val="28"/>
          <w:szCs w:val="26"/>
          <w:lang w:val="es-ES"/>
        </w:rPr>
      </w:pPr>
    </w:p>
    <w:bookmarkEnd w:id="71"/>
    <w:p w14:paraId="5F2772C0" w14:textId="77777777" w:rsidR="00535A76" w:rsidRPr="00535A76" w:rsidRDefault="00535A76" w:rsidP="00535A76">
      <w:pPr>
        <w:spacing w:after="0" w:line="360" w:lineRule="auto"/>
        <w:jc w:val="both"/>
        <w:rPr>
          <w:rFonts w:ascii="Arial" w:eastAsia="Calibri" w:hAnsi="Arial" w:cs="Arial"/>
          <w:sz w:val="28"/>
          <w:szCs w:val="28"/>
        </w:rPr>
      </w:pPr>
      <w:r w:rsidRPr="00535A76">
        <w:rPr>
          <w:rFonts w:ascii="Arial" w:eastAsia="Calibri" w:hAnsi="Arial" w:cs="Arial"/>
          <w:sz w:val="28"/>
          <w:szCs w:val="28"/>
        </w:rPr>
        <w:t>Por los argumentos que expongo, es que a mi consideración no debieron analizarse los argumentos hechos valer en el juicio de la ciudadanía TECDMX-JLDC-088/2021 y, en consecuencia, el medio de impugnación debió sobreseerse al actualizarse la preclusión por haberse hecho valer la misma causal de inelegibilidad sobre la misma candidatura.</w:t>
      </w:r>
    </w:p>
    <w:p w14:paraId="076A2BD6" w14:textId="77777777" w:rsidR="00535A76" w:rsidRPr="00535A76" w:rsidRDefault="00535A76" w:rsidP="00535A76">
      <w:pPr>
        <w:spacing w:after="0" w:line="360" w:lineRule="auto"/>
        <w:jc w:val="both"/>
        <w:rPr>
          <w:rFonts w:ascii="Arial" w:eastAsia="Calibri" w:hAnsi="Arial" w:cs="Arial"/>
          <w:sz w:val="28"/>
          <w:szCs w:val="28"/>
        </w:rPr>
      </w:pPr>
    </w:p>
    <w:p w14:paraId="0F205C6E" w14:textId="77777777" w:rsidR="00535A76" w:rsidRPr="00535A76" w:rsidRDefault="00535A76" w:rsidP="00535A76">
      <w:pPr>
        <w:spacing w:after="0" w:line="360" w:lineRule="auto"/>
        <w:jc w:val="both"/>
        <w:rPr>
          <w:rFonts w:ascii="Arial" w:eastAsia="Calibri" w:hAnsi="Arial" w:cs="Arial"/>
          <w:b/>
          <w:bCs/>
          <w:sz w:val="28"/>
          <w:szCs w:val="28"/>
        </w:rPr>
      </w:pPr>
      <w:r w:rsidRPr="00535A76">
        <w:rPr>
          <w:rFonts w:ascii="Arial" w:eastAsia="Calibri" w:hAnsi="Arial" w:cs="Arial"/>
          <w:b/>
          <w:sz w:val="28"/>
          <w:szCs w:val="28"/>
        </w:rPr>
        <w:t>CONCLUYE</w:t>
      </w:r>
      <w:r w:rsidRPr="00535A76">
        <w:rPr>
          <w:rFonts w:ascii="Arial" w:eastAsia="Calibri" w:hAnsi="Arial" w:cs="Arial"/>
          <w:b/>
          <w:bCs/>
          <w:sz w:val="28"/>
          <w:szCs w:val="28"/>
        </w:rPr>
        <w:t xml:space="preserve"> VOTO CONCURRENTE QUE FORMULA EL MAGISTRADO ELECTORAL JUAN CARLOS SÁNCHEZ LEÓN, EN EL JUICIO ELECTORAL TECDMX-JEL-204/2021 Y ACUMULADOS.</w:t>
      </w:r>
    </w:p>
    <w:p w14:paraId="67869777" w14:textId="77777777" w:rsidR="00535A76" w:rsidRPr="00535A76" w:rsidRDefault="00535A76" w:rsidP="00535A76">
      <w:pPr>
        <w:spacing w:after="0" w:line="360" w:lineRule="auto"/>
        <w:jc w:val="both"/>
        <w:rPr>
          <w:rFonts w:ascii="Calibri" w:eastAsia="Calibri" w:hAnsi="Calibri" w:cs="Times New Roman"/>
          <w:sz w:val="28"/>
          <w:szCs w:val="28"/>
        </w:rPr>
      </w:pPr>
    </w:p>
    <w:p w14:paraId="316D9037" w14:textId="77777777" w:rsidR="00535A76" w:rsidRPr="00535A76" w:rsidRDefault="00535A76" w:rsidP="00535A76">
      <w:pPr>
        <w:spacing w:after="0" w:line="360" w:lineRule="auto"/>
        <w:jc w:val="both"/>
        <w:rPr>
          <w:rFonts w:ascii="Arial" w:eastAsia="Calibri" w:hAnsi="Arial" w:cs="Arial"/>
          <w:sz w:val="28"/>
          <w:szCs w:val="28"/>
        </w:rPr>
      </w:pPr>
      <w:r w:rsidRPr="00535A76">
        <w:rPr>
          <w:rFonts w:ascii="Arial" w:eastAsia="Calibri" w:hAnsi="Arial" w:cs="Arial"/>
          <w:b/>
          <w:sz w:val="28"/>
          <w:szCs w:val="28"/>
        </w:rPr>
        <w:t>INICIA VOTO CONCURRENTE RESPECTO DEL RESOLUTIVO SEGUNDO Y PARTICULAR RESPECTO DE LOS RESOLUTIVOS QUINTO Y SEXTO, QUE FORMULA EL MAGISTRADO ARMANDO AMBRIZ HERNÁNDEZ CON RELACIÓN AL JUICIO ELECTORAL TECDMX-JEL-204/2021 Y ACUMULADOS</w:t>
      </w:r>
      <w:r w:rsidRPr="00535A76">
        <w:rPr>
          <w:rFonts w:ascii="Arial" w:eastAsia="Calibri" w:hAnsi="Arial" w:cs="Arial"/>
          <w:sz w:val="28"/>
          <w:szCs w:val="28"/>
          <w:vertAlign w:val="superscript"/>
        </w:rPr>
        <w:footnoteReference w:id="64"/>
      </w:r>
      <w:r w:rsidRPr="00535A76">
        <w:rPr>
          <w:rFonts w:ascii="Arial" w:eastAsia="Calibri" w:hAnsi="Arial" w:cs="Arial"/>
          <w:sz w:val="28"/>
          <w:szCs w:val="28"/>
        </w:rPr>
        <w:t>.</w:t>
      </w:r>
    </w:p>
    <w:p w14:paraId="53425B9B" w14:textId="77777777" w:rsidR="00535A76" w:rsidRPr="00535A76" w:rsidRDefault="00535A76" w:rsidP="00535A76">
      <w:pPr>
        <w:spacing w:after="0" w:line="360" w:lineRule="auto"/>
        <w:jc w:val="both"/>
        <w:rPr>
          <w:rFonts w:ascii="Arial" w:eastAsia="Calibri" w:hAnsi="Arial" w:cs="Arial"/>
          <w:sz w:val="28"/>
          <w:szCs w:val="28"/>
        </w:rPr>
      </w:pPr>
      <w:bookmarkStart w:id="72" w:name="_Hlk31214722"/>
    </w:p>
    <w:p w14:paraId="33C12A0B" w14:textId="77777777" w:rsidR="00535A76" w:rsidRPr="00535A76" w:rsidRDefault="00535A76" w:rsidP="00535A76">
      <w:pPr>
        <w:spacing w:after="0" w:line="360" w:lineRule="auto"/>
        <w:jc w:val="both"/>
        <w:rPr>
          <w:rFonts w:ascii="Arial" w:eastAsia="Calibri" w:hAnsi="Arial" w:cs="Arial"/>
          <w:sz w:val="28"/>
          <w:szCs w:val="28"/>
        </w:rPr>
      </w:pPr>
      <w:r w:rsidRPr="00535A76">
        <w:rPr>
          <w:rFonts w:ascii="Arial" w:eastAsia="Calibri" w:hAnsi="Arial" w:cs="Arial"/>
          <w:sz w:val="28"/>
          <w:szCs w:val="28"/>
        </w:rPr>
        <w:t>Me permito disentir respetuosamente del criterio adoptado por la mayoría de quienes integramos el Pleno de este Tribunal Electoral.</w:t>
      </w:r>
    </w:p>
    <w:p w14:paraId="1476AE95" w14:textId="77777777" w:rsidR="00535A76" w:rsidRPr="00535A76" w:rsidRDefault="00535A76" w:rsidP="00535A76">
      <w:pPr>
        <w:spacing w:before="100" w:beforeAutospacing="1" w:after="100" w:afterAutospacing="1" w:line="360" w:lineRule="auto"/>
        <w:outlineLvl w:val="0"/>
        <w:rPr>
          <w:rFonts w:ascii="Arial" w:eastAsia="Calibri" w:hAnsi="Arial" w:cs="Arial"/>
          <w:bCs/>
          <w:sz w:val="28"/>
          <w:szCs w:val="28"/>
        </w:rPr>
      </w:pPr>
      <w:bookmarkStart w:id="73" w:name="_Toc47791487"/>
      <w:r w:rsidRPr="00535A76">
        <w:rPr>
          <w:rFonts w:ascii="Arial" w:eastAsia="Calibri" w:hAnsi="Arial" w:cs="Arial"/>
          <w:b/>
          <w:bCs/>
          <w:sz w:val="28"/>
          <w:szCs w:val="28"/>
        </w:rPr>
        <w:t>1. Sentido del voto.</w:t>
      </w:r>
      <w:bookmarkEnd w:id="73"/>
    </w:p>
    <w:p w14:paraId="281441A7" w14:textId="6003E6DF" w:rsidR="00535A76" w:rsidRDefault="00535A76" w:rsidP="00535A76">
      <w:pPr>
        <w:spacing w:before="100" w:beforeAutospacing="1" w:after="100" w:afterAutospacing="1" w:line="360" w:lineRule="auto"/>
        <w:contextualSpacing/>
        <w:jc w:val="both"/>
        <w:rPr>
          <w:rFonts w:ascii="Arial" w:eastAsia="Calibri" w:hAnsi="Arial" w:cs="Times New Roman"/>
          <w:sz w:val="28"/>
        </w:rPr>
      </w:pPr>
      <w:r w:rsidRPr="00535A76">
        <w:rPr>
          <w:rFonts w:ascii="Arial" w:eastAsia="Calibri" w:hAnsi="Arial" w:cs="Times New Roman"/>
          <w:bCs/>
          <w:sz w:val="28"/>
        </w:rPr>
        <w:t xml:space="preserve">Si bien coincido con el </w:t>
      </w:r>
      <w:r w:rsidRPr="00535A76">
        <w:rPr>
          <w:rFonts w:ascii="Arial" w:eastAsia="Calibri" w:hAnsi="Arial" w:cs="Times New Roman"/>
          <w:b/>
          <w:sz w:val="28"/>
        </w:rPr>
        <w:t>RESOLUTIVO SEGUNDO</w:t>
      </w:r>
      <w:r w:rsidRPr="00535A76">
        <w:rPr>
          <w:rFonts w:ascii="Arial" w:eastAsia="Calibri" w:hAnsi="Arial" w:cs="Times New Roman"/>
          <w:bCs/>
          <w:sz w:val="28"/>
        </w:rPr>
        <w:t xml:space="preserve"> respecto a la determinación de modificar el acuerdo </w:t>
      </w:r>
      <w:r w:rsidRPr="00535A76">
        <w:rPr>
          <w:rFonts w:ascii="Arial" w:eastAsia="Calibri" w:hAnsi="Arial" w:cs="Times New Roman"/>
          <w:b/>
          <w:bCs/>
          <w:sz w:val="28"/>
        </w:rPr>
        <w:t xml:space="preserve">IECM/ACU-CG-324/2021 </w:t>
      </w:r>
      <w:r w:rsidRPr="00535A76">
        <w:rPr>
          <w:rFonts w:ascii="Arial" w:eastAsia="Calibri" w:hAnsi="Arial" w:cs="Times New Roman"/>
          <w:bCs/>
          <w:sz w:val="28"/>
        </w:rPr>
        <w:t xml:space="preserve">me aparto de la consideración por la que la mayoría de mis pares consideraron confirmar </w:t>
      </w:r>
      <w:r w:rsidRPr="00535A76">
        <w:rPr>
          <w:rFonts w:ascii="Arial" w:eastAsia="Calibri" w:hAnsi="Arial" w:cs="Times New Roman"/>
          <w:sz w:val="28"/>
        </w:rPr>
        <w:t xml:space="preserve">el método que utilizó el Consejo General del Instituto Electoral para realizar la asignación de las Diputaciones al Congreso de la Ciudad de México electas por el principio de representación proporcional, específicamente respecto del siguiente apartado: </w:t>
      </w:r>
    </w:p>
    <w:p w14:paraId="10BCD5A0" w14:textId="77777777" w:rsidR="00535A76" w:rsidRPr="00535A76" w:rsidRDefault="00535A76" w:rsidP="00535A76">
      <w:pPr>
        <w:spacing w:before="100" w:beforeAutospacing="1" w:after="100" w:afterAutospacing="1" w:line="360" w:lineRule="auto"/>
        <w:contextualSpacing/>
        <w:jc w:val="both"/>
        <w:rPr>
          <w:rFonts w:ascii="Arial" w:eastAsia="Calibri" w:hAnsi="Arial" w:cs="Times New Roman"/>
          <w:sz w:val="28"/>
        </w:rPr>
      </w:pPr>
    </w:p>
    <w:p w14:paraId="2C276E00" w14:textId="77777777" w:rsidR="00535A76" w:rsidRPr="00535A76" w:rsidRDefault="00535A76" w:rsidP="009B6ED0">
      <w:pPr>
        <w:numPr>
          <w:ilvl w:val="0"/>
          <w:numId w:val="37"/>
        </w:numPr>
        <w:spacing w:before="100" w:beforeAutospacing="1" w:after="100" w:afterAutospacing="1" w:line="360" w:lineRule="auto"/>
        <w:jc w:val="both"/>
        <w:rPr>
          <w:rFonts w:ascii="Arial" w:eastAsia="Calibri" w:hAnsi="Arial" w:cs="Segoe UI"/>
          <w:sz w:val="28"/>
          <w:szCs w:val="18"/>
        </w:rPr>
      </w:pPr>
      <w:r w:rsidRPr="00535A76">
        <w:rPr>
          <w:rFonts w:ascii="Arial" w:eastAsia="Calibri" w:hAnsi="Arial" w:cs="Segoe UI"/>
          <w:b/>
          <w:bCs/>
          <w:sz w:val="28"/>
          <w:szCs w:val="18"/>
        </w:rPr>
        <w:t xml:space="preserve">Otorgamiento de las curules asignadas a MORENA, a las candidaturas con mayor votación provenientes de la lista B: </w:t>
      </w:r>
      <w:r w:rsidRPr="00535A76">
        <w:rPr>
          <w:rFonts w:ascii="Arial" w:eastAsia="Calibri" w:hAnsi="Arial" w:cs="Segoe UI"/>
          <w:sz w:val="28"/>
          <w:szCs w:val="18"/>
        </w:rPr>
        <w:t>en relación a la consideración de que</w:t>
      </w:r>
      <w:r w:rsidRPr="00535A76">
        <w:rPr>
          <w:rFonts w:ascii="Arial" w:eastAsia="Calibri" w:hAnsi="Arial" w:cs="Segoe UI"/>
          <w:b/>
          <w:bCs/>
          <w:sz w:val="28"/>
          <w:szCs w:val="18"/>
        </w:rPr>
        <w:t xml:space="preserve"> </w:t>
      </w:r>
      <w:r w:rsidRPr="00535A76">
        <w:rPr>
          <w:rFonts w:ascii="Arial" w:eastAsia="Calibri" w:hAnsi="Arial" w:cs="Segoe UI"/>
          <w:sz w:val="28"/>
          <w:szCs w:val="18"/>
        </w:rPr>
        <w:t>en la integración de candidatas, en la lista definitiva de MORENA, incumple con la obligación de equilibrar los principios democrático, de paridad y de alternancia, en la integración del último bloque de intercalación que alcanzó una asignación de representación proporcional en dicho partido político ─específicamente en la posición 14 de la lista definitiva─.</w:t>
      </w:r>
    </w:p>
    <w:p w14:paraId="7FB3B0AA" w14:textId="77777777" w:rsidR="00535A76" w:rsidRPr="00535A76" w:rsidRDefault="00535A76" w:rsidP="00535A76">
      <w:pPr>
        <w:spacing w:before="100" w:beforeAutospacing="1" w:after="100" w:afterAutospacing="1" w:line="360" w:lineRule="auto"/>
        <w:ind w:left="360"/>
        <w:jc w:val="both"/>
        <w:rPr>
          <w:rFonts w:ascii="Arial" w:eastAsia="Calibri" w:hAnsi="Arial" w:cs="Times New Roman"/>
          <w:sz w:val="28"/>
        </w:rPr>
      </w:pPr>
      <w:r w:rsidRPr="00535A76">
        <w:rPr>
          <w:rFonts w:ascii="Arial" w:eastAsia="Calibri" w:hAnsi="Arial" w:cs="Times New Roman"/>
          <w:bCs/>
          <w:sz w:val="28"/>
        </w:rPr>
        <w:t xml:space="preserve">Además, me aparto de lo resuelto </w:t>
      </w:r>
      <w:proofErr w:type="gramStart"/>
      <w:r w:rsidRPr="00535A76">
        <w:rPr>
          <w:rFonts w:ascii="Arial" w:eastAsia="Calibri" w:hAnsi="Arial" w:cs="Times New Roman"/>
          <w:bCs/>
          <w:sz w:val="28"/>
        </w:rPr>
        <w:t>en relación a</w:t>
      </w:r>
      <w:proofErr w:type="gramEnd"/>
      <w:r w:rsidRPr="00535A76">
        <w:rPr>
          <w:rFonts w:ascii="Arial" w:eastAsia="Calibri" w:hAnsi="Arial" w:cs="Times New Roman"/>
          <w:bCs/>
          <w:sz w:val="28"/>
        </w:rPr>
        <w:t xml:space="preserve"> los resolutivos </w:t>
      </w:r>
      <w:r w:rsidRPr="00535A76">
        <w:rPr>
          <w:rFonts w:ascii="Arial" w:eastAsia="Calibri" w:hAnsi="Arial" w:cs="Times New Roman"/>
          <w:b/>
          <w:sz w:val="28"/>
        </w:rPr>
        <w:t>QUINTO</w:t>
      </w:r>
      <w:r w:rsidRPr="00535A76">
        <w:rPr>
          <w:rFonts w:ascii="Arial" w:eastAsia="Calibri" w:hAnsi="Arial" w:cs="Times New Roman"/>
          <w:bCs/>
          <w:sz w:val="28"/>
        </w:rPr>
        <w:t xml:space="preserve"> y </w:t>
      </w:r>
      <w:r w:rsidRPr="00535A76">
        <w:rPr>
          <w:rFonts w:ascii="Arial" w:eastAsia="Calibri" w:hAnsi="Arial" w:cs="Times New Roman"/>
          <w:b/>
          <w:sz w:val="28"/>
        </w:rPr>
        <w:t>SEXTO</w:t>
      </w:r>
      <w:r w:rsidRPr="00535A76">
        <w:rPr>
          <w:rFonts w:ascii="Arial" w:eastAsia="Calibri" w:hAnsi="Arial" w:cs="Times New Roman"/>
          <w:bCs/>
          <w:sz w:val="28"/>
        </w:rPr>
        <w:t xml:space="preserve"> relativas a la consideración de otorgar el registro a José Luis Rodríguez Díaz de León, en perjuicio de Isabela Rosales Herrera, en relación al apartado siguiente:</w:t>
      </w:r>
    </w:p>
    <w:p w14:paraId="2B8D7294" w14:textId="77777777" w:rsidR="00535A76" w:rsidRPr="00535A76" w:rsidRDefault="00535A76" w:rsidP="009B6ED0">
      <w:pPr>
        <w:numPr>
          <w:ilvl w:val="0"/>
          <w:numId w:val="37"/>
        </w:numPr>
        <w:spacing w:before="100" w:beforeAutospacing="1" w:after="100" w:afterAutospacing="1" w:line="360" w:lineRule="auto"/>
        <w:jc w:val="both"/>
        <w:rPr>
          <w:rFonts w:ascii="Arial" w:eastAsia="Calibri" w:hAnsi="Arial" w:cs="Segoe UI"/>
          <w:sz w:val="28"/>
          <w:szCs w:val="18"/>
        </w:rPr>
      </w:pPr>
      <w:r w:rsidRPr="00535A76">
        <w:rPr>
          <w:rFonts w:ascii="Arial" w:eastAsia="Calibri" w:hAnsi="Arial" w:cs="Segoe UI"/>
          <w:b/>
          <w:bCs/>
          <w:sz w:val="28"/>
          <w:szCs w:val="18"/>
        </w:rPr>
        <w:lastRenderedPageBreak/>
        <w:t>Votación para integrar la lista B</w:t>
      </w:r>
      <w:r w:rsidRPr="00535A76">
        <w:rPr>
          <w:rFonts w:ascii="Arial" w:eastAsia="Calibri" w:hAnsi="Arial" w:cs="Segoe UI"/>
          <w:sz w:val="28"/>
          <w:szCs w:val="18"/>
        </w:rPr>
        <w:t>: debido a que, además de que utilizó la figura de “Votación Distrital Emitida” –la cual no fue prevista para la designación– aplicó una serie de pasos no contemplados por la normativa electoral para determinar el porcentaje de votación obtenido por las diputaciones que no obtuvieron el triunfo en la elección por el principio de mayoría relativa.  y,</w:t>
      </w:r>
    </w:p>
    <w:p w14:paraId="6C716550" w14:textId="77777777" w:rsidR="00535A76" w:rsidRPr="00535A76" w:rsidRDefault="00535A76" w:rsidP="00535A76">
      <w:pPr>
        <w:spacing w:before="100" w:beforeAutospacing="1" w:after="100" w:afterAutospacing="1" w:line="360" w:lineRule="auto"/>
        <w:jc w:val="both"/>
        <w:rPr>
          <w:rFonts w:ascii="Arial" w:eastAsia="Calibri" w:hAnsi="Arial" w:cs="Times New Roman"/>
          <w:b/>
          <w:bCs/>
          <w:sz w:val="28"/>
        </w:rPr>
      </w:pPr>
      <w:r w:rsidRPr="00535A76">
        <w:rPr>
          <w:rFonts w:ascii="Arial" w:eastAsia="Calibri" w:hAnsi="Arial" w:cs="Times New Roman"/>
          <w:b/>
          <w:bCs/>
          <w:sz w:val="28"/>
        </w:rPr>
        <w:t>2. Consideraciones del voto.</w:t>
      </w:r>
    </w:p>
    <w:p w14:paraId="5548AE30" w14:textId="77777777" w:rsidR="00535A76" w:rsidRPr="00535A76" w:rsidRDefault="00535A76" w:rsidP="00535A76">
      <w:pPr>
        <w:spacing w:before="100" w:beforeAutospacing="1" w:after="100" w:afterAutospacing="1" w:line="360" w:lineRule="auto"/>
        <w:jc w:val="both"/>
        <w:rPr>
          <w:rFonts w:ascii="Arial" w:eastAsia="Calibri" w:hAnsi="Arial" w:cs="Times New Roman"/>
          <w:b/>
          <w:bCs/>
          <w:sz w:val="28"/>
        </w:rPr>
      </w:pPr>
      <w:r w:rsidRPr="00535A76">
        <w:rPr>
          <w:rFonts w:ascii="Arial" w:eastAsia="Calibri" w:hAnsi="Arial" w:cs="Times New Roman"/>
          <w:b/>
          <w:bCs/>
          <w:sz w:val="28"/>
        </w:rPr>
        <w:t>Otorgamiento de las curules asignadas a MORENA, a las candidaturas con mayor votación provenientes de la lista B.</w:t>
      </w:r>
    </w:p>
    <w:p w14:paraId="604F58A7" w14:textId="77777777" w:rsidR="00535A76" w:rsidRPr="00535A76" w:rsidRDefault="00535A76" w:rsidP="009B6ED0">
      <w:pPr>
        <w:numPr>
          <w:ilvl w:val="0"/>
          <w:numId w:val="41"/>
        </w:numPr>
        <w:spacing w:before="100" w:beforeAutospacing="1" w:after="100" w:afterAutospacing="1" w:line="360" w:lineRule="auto"/>
        <w:ind w:left="714" w:hanging="357"/>
        <w:jc w:val="both"/>
        <w:rPr>
          <w:rFonts w:ascii="Arial" w:eastAsia="Calibri" w:hAnsi="Arial" w:cs="Arial"/>
          <w:b/>
          <w:bCs/>
          <w:sz w:val="28"/>
          <w:szCs w:val="28"/>
        </w:rPr>
      </w:pPr>
      <w:r w:rsidRPr="00535A76">
        <w:rPr>
          <w:rFonts w:ascii="Arial" w:eastAsia="Calibri" w:hAnsi="Arial" w:cs="Arial"/>
          <w:b/>
          <w:bCs/>
          <w:sz w:val="28"/>
          <w:szCs w:val="28"/>
        </w:rPr>
        <w:t>Decisión mayoritaria</w:t>
      </w:r>
    </w:p>
    <w:p w14:paraId="5F08EA1D"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 xml:space="preserve">La mayoría de quienes integramos el Pleno de este Tribunal Electoral, estimó, específicamente por lo que se refiere a la conclusión de que el planteamiento expuesto por José Luis Rodríguez Díaz de León resulta </w:t>
      </w:r>
      <w:r w:rsidRPr="00535A76">
        <w:rPr>
          <w:rFonts w:ascii="Arial" w:eastAsia="Calibri" w:hAnsi="Arial" w:cs="Arial"/>
          <w:b/>
          <w:bCs/>
          <w:sz w:val="28"/>
          <w:szCs w:val="28"/>
        </w:rPr>
        <w:t>fundado</w:t>
      </w:r>
      <w:r w:rsidRPr="00535A76">
        <w:rPr>
          <w:rFonts w:ascii="Arial" w:eastAsia="Calibri" w:hAnsi="Arial" w:cs="Arial"/>
          <w:sz w:val="28"/>
          <w:szCs w:val="28"/>
        </w:rPr>
        <w:t xml:space="preserve"> y suficiente para ordenar que les sea retirada la constancia de mayoría por el principio de representación proporcional a Isabela Rosales Herrera y Alicia Medina Hernández, fórmula de candidatas postuladas por MORENA y, en su lugar se ordene expedir la respectiva constancia de mayoría a la formula integrada por José Luis Rodríguez Díaz de León y Francisco Medina Padilla.</w:t>
      </w:r>
    </w:p>
    <w:p w14:paraId="740A4681"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 xml:space="preserve">Lo anterior, al considerar que, en la integración de las candidatas señaladas, en la lista definitiva de MORENA, incumple con la obligación de equilibrar los </w:t>
      </w:r>
      <w:proofErr w:type="gramStart"/>
      <w:r w:rsidRPr="00535A76">
        <w:rPr>
          <w:rFonts w:ascii="Arial" w:eastAsia="Calibri" w:hAnsi="Arial" w:cs="Arial"/>
          <w:sz w:val="28"/>
          <w:szCs w:val="28"/>
        </w:rPr>
        <w:t>principios democrático</w:t>
      </w:r>
      <w:proofErr w:type="gramEnd"/>
      <w:r w:rsidRPr="00535A76">
        <w:rPr>
          <w:rFonts w:ascii="Arial" w:eastAsia="Calibri" w:hAnsi="Arial" w:cs="Arial"/>
          <w:sz w:val="28"/>
          <w:szCs w:val="28"/>
        </w:rPr>
        <w:t>, de paridad y de alternancia, en la integración del último bloque de intercalación que alcanzó una asignación de representación proporcional en dicho partido político ─posición 14 de la respectiva lista definitiva─.</w:t>
      </w:r>
    </w:p>
    <w:p w14:paraId="493FB940"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lastRenderedPageBreak/>
        <w:t xml:space="preserve">De tal forma que, se sostenga que la modificación ordenada implica una adecuada convergencia de los mencionados principios en juego, pues se permite garantizar los principios de paridad, el democrático ─votación efectiva recibía por la fórmula correspondiente─, así como la alternancia de género. </w:t>
      </w:r>
    </w:p>
    <w:p w14:paraId="2CB2A5CA"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 xml:space="preserve">En ese sentido, se ordena que la modificación a la lista definitiva se realice en los siguientes términos: </w:t>
      </w:r>
    </w:p>
    <w:tbl>
      <w:tblPr>
        <w:tblW w:w="0" w:type="auto"/>
        <w:jc w:val="center"/>
        <w:tblLook w:val="04A0" w:firstRow="1" w:lastRow="0" w:firstColumn="1" w:lastColumn="0" w:noHBand="0" w:noVBand="1"/>
      </w:tblPr>
      <w:tblGrid>
        <w:gridCol w:w="533"/>
        <w:gridCol w:w="2605"/>
        <w:gridCol w:w="748"/>
        <w:gridCol w:w="1926"/>
        <w:gridCol w:w="1559"/>
      </w:tblGrid>
      <w:tr w:rsidR="00535A76" w:rsidRPr="00B63C50" w14:paraId="400D6150" w14:textId="77777777" w:rsidTr="00535A76">
        <w:trPr>
          <w:tblHeader/>
          <w:jc w:val="center"/>
        </w:trPr>
        <w:tc>
          <w:tcPr>
            <w:tcW w:w="533" w:type="dxa"/>
            <w:tcBorders>
              <w:bottom w:val="single" w:sz="4" w:space="0" w:color="auto"/>
            </w:tcBorders>
            <w:shd w:val="clear" w:color="auto" w:fill="7030A0"/>
          </w:tcPr>
          <w:p w14:paraId="7427FC9E" w14:textId="77777777" w:rsidR="00535A76" w:rsidRPr="00B63C50" w:rsidRDefault="00535A76" w:rsidP="00535A76">
            <w:pPr>
              <w:rPr>
                <w:rFonts w:eastAsia="Calibri"/>
                <w:b/>
                <w:color w:val="FFFFFF" w:themeColor="background1"/>
                <w:sz w:val="20"/>
                <w:szCs w:val="20"/>
              </w:rPr>
            </w:pPr>
            <w:r w:rsidRPr="00B63C50">
              <w:rPr>
                <w:rFonts w:eastAsia="Calibri"/>
                <w:b/>
                <w:color w:val="FFFFFF" w:themeColor="background1"/>
                <w:sz w:val="20"/>
                <w:szCs w:val="20"/>
              </w:rPr>
              <w:t>No</w:t>
            </w:r>
          </w:p>
        </w:tc>
        <w:tc>
          <w:tcPr>
            <w:tcW w:w="2605" w:type="dxa"/>
            <w:tcBorders>
              <w:bottom w:val="single" w:sz="4" w:space="0" w:color="auto"/>
            </w:tcBorders>
            <w:shd w:val="clear" w:color="auto" w:fill="7030A0"/>
          </w:tcPr>
          <w:p w14:paraId="3D131E54" w14:textId="77777777" w:rsidR="00535A76" w:rsidRPr="00B63C50" w:rsidRDefault="00535A76" w:rsidP="00535A76">
            <w:pPr>
              <w:rPr>
                <w:rFonts w:eastAsia="Calibri"/>
                <w:b/>
                <w:color w:val="FFFFFF" w:themeColor="background1"/>
                <w:sz w:val="20"/>
                <w:szCs w:val="20"/>
              </w:rPr>
            </w:pPr>
            <w:r w:rsidRPr="00B63C50">
              <w:rPr>
                <w:rFonts w:eastAsia="Calibri"/>
                <w:b/>
                <w:color w:val="FFFFFF" w:themeColor="background1"/>
                <w:sz w:val="20"/>
                <w:szCs w:val="20"/>
              </w:rPr>
              <w:t>Nombre (propietario)</w:t>
            </w:r>
          </w:p>
        </w:tc>
        <w:tc>
          <w:tcPr>
            <w:tcW w:w="748" w:type="dxa"/>
            <w:tcBorders>
              <w:bottom w:val="single" w:sz="4" w:space="0" w:color="auto"/>
            </w:tcBorders>
            <w:shd w:val="clear" w:color="auto" w:fill="7030A0"/>
          </w:tcPr>
          <w:p w14:paraId="217F49C5" w14:textId="77777777" w:rsidR="00535A76" w:rsidRPr="00B63C50" w:rsidRDefault="00535A76" w:rsidP="00535A76">
            <w:pPr>
              <w:rPr>
                <w:rFonts w:eastAsia="Calibri"/>
                <w:b/>
                <w:color w:val="FFFFFF" w:themeColor="background1"/>
                <w:sz w:val="20"/>
                <w:szCs w:val="20"/>
              </w:rPr>
            </w:pPr>
            <w:r w:rsidRPr="00B63C50">
              <w:rPr>
                <w:rFonts w:eastAsia="Calibri"/>
                <w:b/>
                <w:color w:val="FFFFFF" w:themeColor="background1"/>
                <w:sz w:val="20"/>
                <w:szCs w:val="20"/>
              </w:rPr>
              <w:t xml:space="preserve">Sexo </w:t>
            </w:r>
          </w:p>
        </w:tc>
        <w:tc>
          <w:tcPr>
            <w:tcW w:w="1926" w:type="dxa"/>
            <w:tcBorders>
              <w:bottom w:val="single" w:sz="4" w:space="0" w:color="auto"/>
            </w:tcBorders>
            <w:shd w:val="clear" w:color="auto" w:fill="7030A0"/>
            <w:vAlign w:val="center"/>
          </w:tcPr>
          <w:p w14:paraId="2B3DC875" w14:textId="5F7A1552" w:rsidR="00535A76" w:rsidRPr="00B63C50" w:rsidRDefault="00535A76" w:rsidP="00535A76">
            <w:pPr>
              <w:jc w:val="center"/>
              <w:rPr>
                <w:rFonts w:eastAsia="Calibri"/>
                <w:b/>
                <w:color w:val="FFFFFF" w:themeColor="background1"/>
                <w:sz w:val="20"/>
                <w:szCs w:val="20"/>
              </w:rPr>
            </w:pPr>
            <w:r w:rsidRPr="00B63C50">
              <w:rPr>
                <w:rFonts w:eastAsia="Calibri"/>
                <w:b/>
                <w:color w:val="FFFFFF" w:themeColor="background1"/>
                <w:sz w:val="20"/>
                <w:szCs w:val="20"/>
              </w:rPr>
              <w:t>Lugar y lista de la que proviene</w:t>
            </w:r>
          </w:p>
        </w:tc>
        <w:tc>
          <w:tcPr>
            <w:tcW w:w="1559" w:type="dxa"/>
            <w:tcBorders>
              <w:bottom w:val="single" w:sz="4" w:space="0" w:color="auto"/>
            </w:tcBorders>
            <w:shd w:val="clear" w:color="auto" w:fill="7030A0"/>
            <w:vAlign w:val="center"/>
          </w:tcPr>
          <w:p w14:paraId="7C400BB0" w14:textId="77777777" w:rsidR="00535A76" w:rsidRPr="00B63C50" w:rsidRDefault="00535A76" w:rsidP="00535A76">
            <w:pPr>
              <w:jc w:val="center"/>
              <w:rPr>
                <w:rFonts w:eastAsia="Calibri"/>
                <w:b/>
                <w:color w:val="FFFFFF" w:themeColor="background1"/>
                <w:sz w:val="20"/>
                <w:szCs w:val="20"/>
              </w:rPr>
            </w:pPr>
            <w:r w:rsidRPr="00B63C50">
              <w:rPr>
                <w:rFonts w:eastAsia="Calibri"/>
                <w:b/>
                <w:color w:val="FFFFFF" w:themeColor="background1"/>
                <w:sz w:val="20"/>
                <w:szCs w:val="20"/>
              </w:rPr>
              <w:t>Porcentaje de votación</w:t>
            </w:r>
          </w:p>
        </w:tc>
      </w:tr>
      <w:tr w:rsidR="00535A76" w:rsidRPr="003D047A" w14:paraId="597C6E3E" w14:textId="77777777" w:rsidTr="00535A76">
        <w:trPr>
          <w:trHeight w:val="533"/>
          <w:jc w:val="center"/>
        </w:trPr>
        <w:tc>
          <w:tcPr>
            <w:tcW w:w="533" w:type="dxa"/>
            <w:shd w:val="clear" w:color="auto" w:fill="FFFFFF" w:themeFill="background1"/>
            <w:vAlign w:val="center"/>
          </w:tcPr>
          <w:p w14:paraId="5C5B1600" w14:textId="77777777" w:rsidR="00535A76" w:rsidRPr="003D047A" w:rsidRDefault="00535A76" w:rsidP="00535A76">
            <w:pPr>
              <w:rPr>
                <w:rFonts w:eastAsia="Calibri"/>
                <w:sz w:val="20"/>
                <w:szCs w:val="20"/>
              </w:rPr>
            </w:pPr>
            <w:r w:rsidRPr="003D047A">
              <w:rPr>
                <w:rFonts w:eastAsia="Calibri"/>
                <w:sz w:val="20"/>
                <w:szCs w:val="20"/>
              </w:rPr>
              <w:t>10</w:t>
            </w:r>
          </w:p>
        </w:tc>
        <w:tc>
          <w:tcPr>
            <w:tcW w:w="2605" w:type="dxa"/>
            <w:shd w:val="clear" w:color="auto" w:fill="FFFFFF" w:themeFill="background1"/>
            <w:vAlign w:val="center"/>
          </w:tcPr>
          <w:p w14:paraId="2D67D2F8" w14:textId="77777777" w:rsidR="00535A76" w:rsidRPr="003D047A" w:rsidRDefault="00535A76" w:rsidP="00535A76">
            <w:pPr>
              <w:rPr>
                <w:rFonts w:eastAsia="Calibri"/>
                <w:sz w:val="20"/>
                <w:szCs w:val="20"/>
              </w:rPr>
            </w:pPr>
            <w:r w:rsidRPr="003D047A">
              <w:rPr>
                <w:rFonts w:eastAsia="Calibri"/>
                <w:sz w:val="20"/>
                <w:szCs w:val="20"/>
              </w:rPr>
              <w:t>Xóchitl Bravo Espinosa</w:t>
            </w:r>
          </w:p>
        </w:tc>
        <w:tc>
          <w:tcPr>
            <w:tcW w:w="748" w:type="dxa"/>
            <w:shd w:val="clear" w:color="auto" w:fill="FFFFFF" w:themeFill="background1"/>
            <w:vAlign w:val="center"/>
          </w:tcPr>
          <w:p w14:paraId="03154D30" w14:textId="77777777" w:rsidR="00535A76" w:rsidRPr="003D047A" w:rsidRDefault="00535A76" w:rsidP="00535A76">
            <w:pPr>
              <w:jc w:val="center"/>
              <w:rPr>
                <w:rFonts w:eastAsia="Calibri"/>
                <w:sz w:val="20"/>
                <w:szCs w:val="20"/>
              </w:rPr>
            </w:pPr>
            <w:r w:rsidRPr="003D047A">
              <w:rPr>
                <w:rFonts w:eastAsia="Calibri"/>
                <w:sz w:val="20"/>
                <w:szCs w:val="20"/>
              </w:rPr>
              <w:t>M</w:t>
            </w:r>
          </w:p>
        </w:tc>
        <w:tc>
          <w:tcPr>
            <w:tcW w:w="1926" w:type="dxa"/>
            <w:shd w:val="clear" w:color="auto" w:fill="FFFFFF" w:themeFill="background1"/>
            <w:vAlign w:val="center"/>
          </w:tcPr>
          <w:p w14:paraId="633EDCCA" w14:textId="77777777" w:rsidR="00535A76" w:rsidRPr="003D047A" w:rsidRDefault="00535A76" w:rsidP="00535A76">
            <w:pPr>
              <w:jc w:val="center"/>
              <w:rPr>
                <w:rFonts w:eastAsia="Calibri"/>
                <w:sz w:val="20"/>
                <w:szCs w:val="20"/>
              </w:rPr>
            </w:pPr>
            <w:r w:rsidRPr="003D047A">
              <w:rPr>
                <w:rFonts w:eastAsia="Calibri"/>
                <w:sz w:val="20"/>
                <w:szCs w:val="20"/>
              </w:rPr>
              <w:t>5 B</w:t>
            </w:r>
          </w:p>
        </w:tc>
        <w:tc>
          <w:tcPr>
            <w:tcW w:w="1559" w:type="dxa"/>
            <w:shd w:val="clear" w:color="auto" w:fill="FFFFFF" w:themeFill="background1"/>
            <w:vAlign w:val="center"/>
          </w:tcPr>
          <w:p w14:paraId="7DA90D9E" w14:textId="77777777" w:rsidR="00535A76" w:rsidRPr="003D047A" w:rsidRDefault="00535A76" w:rsidP="00535A76">
            <w:pPr>
              <w:jc w:val="center"/>
              <w:rPr>
                <w:rFonts w:eastAsia="Calibri"/>
                <w:sz w:val="20"/>
                <w:szCs w:val="20"/>
              </w:rPr>
            </w:pPr>
            <w:r w:rsidRPr="003D047A">
              <w:rPr>
                <w:rFonts w:eastAsia="Calibri"/>
                <w:sz w:val="20"/>
                <w:szCs w:val="20"/>
              </w:rPr>
              <w:t>34.53</w:t>
            </w:r>
          </w:p>
        </w:tc>
      </w:tr>
      <w:tr w:rsidR="00535A76" w:rsidRPr="003D047A" w14:paraId="434969FD" w14:textId="77777777" w:rsidTr="00535A76">
        <w:trPr>
          <w:trHeight w:val="533"/>
          <w:jc w:val="center"/>
        </w:trPr>
        <w:tc>
          <w:tcPr>
            <w:tcW w:w="533" w:type="dxa"/>
            <w:vAlign w:val="center"/>
          </w:tcPr>
          <w:p w14:paraId="159E2681" w14:textId="77777777" w:rsidR="00535A76" w:rsidRPr="003D047A" w:rsidRDefault="00535A76" w:rsidP="00535A76">
            <w:pPr>
              <w:rPr>
                <w:rFonts w:eastAsia="Calibri"/>
                <w:sz w:val="20"/>
                <w:szCs w:val="20"/>
              </w:rPr>
            </w:pPr>
            <w:r w:rsidRPr="003D047A">
              <w:rPr>
                <w:rFonts w:eastAsia="Calibri"/>
                <w:sz w:val="20"/>
                <w:szCs w:val="20"/>
              </w:rPr>
              <w:t>11</w:t>
            </w:r>
          </w:p>
        </w:tc>
        <w:tc>
          <w:tcPr>
            <w:tcW w:w="2605" w:type="dxa"/>
            <w:vAlign w:val="center"/>
          </w:tcPr>
          <w:p w14:paraId="6F37DE81" w14:textId="77777777" w:rsidR="00535A76" w:rsidRPr="003D047A" w:rsidRDefault="00535A76" w:rsidP="00535A76">
            <w:pPr>
              <w:rPr>
                <w:rFonts w:eastAsia="Calibri"/>
                <w:sz w:val="20"/>
                <w:szCs w:val="20"/>
              </w:rPr>
            </w:pPr>
            <w:r w:rsidRPr="003D047A">
              <w:rPr>
                <w:rFonts w:eastAsia="Calibri"/>
                <w:sz w:val="20"/>
                <w:szCs w:val="20"/>
              </w:rPr>
              <w:t>Alejandra Méndez Vicuña</w:t>
            </w:r>
          </w:p>
        </w:tc>
        <w:tc>
          <w:tcPr>
            <w:tcW w:w="748" w:type="dxa"/>
            <w:vAlign w:val="center"/>
          </w:tcPr>
          <w:p w14:paraId="4D5FEB2E" w14:textId="77777777" w:rsidR="00535A76" w:rsidRPr="003D047A" w:rsidRDefault="00535A76" w:rsidP="00535A76">
            <w:pPr>
              <w:jc w:val="center"/>
              <w:rPr>
                <w:rFonts w:eastAsia="Calibri"/>
                <w:sz w:val="20"/>
                <w:szCs w:val="20"/>
              </w:rPr>
            </w:pPr>
            <w:r w:rsidRPr="003D047A">
              <w:rPr>
                <w:rFonts w:eastAsia="Calibri"/>
                <w:sz w:val="20"/>
                <w:szCs w:val="20"/>
              </w:rPr>
              <w:t>M</w:t>
            </w:r>
          </w:p>
        </w:tc>
        <w:tc>
          <w:tcPr>
            <w:tcW w:w="1926" w:type="dxa"/>
            <w:vAlign w:val="center"/>
          </w:tcPr>
          <w:p w14:paraId="73CE2856" w14:textId="77777777" w:rsidR="00535A76" w:rsidRPr="003D047A" w:rsidRDefault="00535A76" w:rsidP="00535A76">
            <w:pPr>
              <w:jc w:val="center"/>
              <w:rPr>
                <w:rFonts w:eastAsia="Calibri"/>
                <w:sz w:val="20"/>
                <w:szCs w:val="20"/>
              </w:rPr>
            </w:pPr>
            <w:r w:rsidRPr="003D047A">
              <w:rPr>
                <w:rFonts w:eastAsia="Calibri"/>
                <w:sz w:val="20"/>
                <w:szCs w:val="20"/>
              </w:rPr>
              <w:t xml:space="preserve">6 </w:t>
            </w:r>
            <w:proofErr w:type="gramStart"/>
            <w:r w:rsidRPr="003D047A">
              <w:rPr>
                <w:rFonts w:eastAsia="Calibri"/>
                <w:sz w:val="20"/>
                <w:szCs w:val="20"/>
              </w:rPr>
              <w:t>A</w:t>
            </w:r>
            <w:proofErr w:type="gramEnd"/>
          </w:p>
        </w:tc>
        <w:tc>
          <w:tcPr>
            <w:tcW w:w="1559" w:type="dxa"/>
            <w:vAlign w:val="center"/>
          </w:tcPr>
          <w:p w14:paraId="46EE6946" w14:textId="3F589B02" w:rsidR="00535A76" w:rsidRPr="003D047A" w:rsidRDefault="00535A76" w:rsidP="00535A76">
            <w:pPr>
              <w:jc w:val="center"/>
              <w:rPr>
                <w:rFonts w:eastAsia="Calibri"/>
                <w:sz w:val="20"/>
                <w:szCs w:val="20"/>
              </w:rPr>
            </w:pPr>
            <w:r w:rsidRPr="003D047A">
              <w:rPr>
                <w:rFonts w:eastAsia="Calibri"/>
                <w:sz w:val="20"/>
                <w:szCs w:val="20"/>
              </w:rPr>
              <w:t>No aplica</w:t>
            </w:r>
          </w:p>
        </w:tc>
      </w:tr>
      <w:tr w:rsidR="00535A76" w:rsidRPr="003D047A" w14:paraId="32566593" w14:textId="77777777" w:rsidTr="00535A76">
        <w:trPr>
          <w:trHeight w:val="533"/>
          <w:jc w:val="center"/>
        </w:trPr>
        <w:tc>
          <w:tcPr>
            <w:tcW w:w="533" w:type="dxa"/>
            <w:tcBorders>
              <w:bottom w:val="single" w:sz="4" w:space="0" w:color="auto"/>
            </w:tcBorders>
            <w:vAlign w:val="center"/>
          </w:tcPr>
          <w:p w14:paraId="7273D44A" w14:textId="77777777" w:rsidR="00535A76" w:rsidRPr="003D047A" w:rsidRDefault="00535A76" w:rsidP="00535A76">
            <w:pPr>
              <w:rPr>
                <w:rFonts w:eastAsia="Calibri"/>
                <w:sz w:val="20"/>
                <w:szCs w:val="20"/>
              </w:rPr>
            </w:pPr>
            <w:r w:rsidRPr="003D047A">
              <w:rPr>
                <w:rFonts w:eastAsia="Calibri"/>
                <w:sz w:val="20"/>
                <w:szCs w:val="20"/>
              </w:rPr>
              <w:t>12</w:t>
            </w:r>
          </w:p>
        </w:tc>
        <w:tc>
          <w:tcPr>
            <w:tcW w:w="2605" w:type="dxa"/>
            <w:tcBorders>
              <w:bottom w:val="single" w:sz="4" w:space="0" w:color="auto"/>
            </w:tcBorders>
            <w:vAlign w:val="center"/>
          </w:tcPr>
          <w:p w14:paraId="60A422BA" w14:textId="77777777" w:rsidR="00535A76" w:rsidRPr="003D047A" w:rsidRDefault="00535A76" w:rsidP="00535A76">
            <w:pPr>
              <w:rPr>
                <w:rFonts w:eastAsia="Calibri"/>
                <w:sz w:val="20"/>
                <w:szCs w:val="20"/>
              </w:rPr>
            </w:pPr>
            <w:r w:rsidRPr="003D047A">
              <w:rPr>
                <w:rFonts w:eastAsia="Calibri"/>
                <w:sz w:val="20"/>
                <w:szCs w:val="20"/>
              </w:rPr>
              <w:t>Carlos Cervantes Godoy</w:t>
            </w:r>
          </w:p>
        </w:tc>
        <w:tc>
          <w:tcPr>
            <w:tcW w:w="748" w:type="dxa"/>
            <w:tcBorders>
              <w:bottom w:val="single" w:sz="4" w:space="0" w:color="auto"/>
            </w:tcBorders>
            <w:vAlign w:val="center"/>
          </w:tcPr>
          <w:p w14:paraId="13D51F8D" w14:textId="77777777" w:rsidR="00535A76" w:rsidRPr="003D047A" w:rsidRDefault="00535A76" w:rsidP="00535A76">
            <w:pPr>
              <w:jc w:val="center"/>
              <w:rPr>
                <w:rFonts w:eastAsia="Calibri"/>
                <w:sz w:val="20"/>
                <w:szCs w:val="20"/>
              </w:rPr>
            </w:pPr>
            <w:r w:rsidRPr="003D047A">
              <w:rPr>
                <w:rFonts w:eastAsia="Calibri"/>
                <w:sz w:val="20"/>
                <w:szCs w:val="20"/>
              </w:rPr>
              <w:t>H</w:t>
            </w:r>
          </w:p>
        </w:tc>
        <w:tc>
          <w:tcPr>
            <w:tcW w:w="1926" w:type="dxa"/>
            <w:tcBorders>
              <w:bottom w:val="single" w:sz="4" w:space="0" w:color="auto"/>
            </w:tcBorders>
            <w:vAlign w:val="center"/>
          </w:tcPr>
          <w:p w14:paraId="72281FDD" w14:textId="77777777" w:rsidR="00535A76" w:rsidRPr="003D047A" w:rsidRDefault="00535A76" w:rsidP="00535A76">
            <w:pPr>
              <w:jc w:val="center"/>
              <w:rPr>
                <w:rFonts w:eastAsia="Calibri"/>
                <w:sz w:val="20"/>
                <w:szCs w:val="20"/>
              </w:rPr>
            </w:pPr>
            <w:r w:rsidRPr="003D047A">
              <w:rPr>
                <w:rFonts w:eastAsia="Calibri"/>
                <w:sz w:val="20"/>
                <w:szCs w:val="20"/>
              </w:rPr>
              <w:t>6 B</w:t>
            </w:r>
          </w:p>
        </w:tc>
        <w:tc>
          <w:tcPr>
            <w:tcW w:w="1559" w:type="dxa"/>
            <w:tcBorders>
              <w:bottom w:val="single" w:sz="4" w:space="0" w:color="auto"/>
            </w:tcBorders>
            <w:vAlign w:val="center"/>
          </w:tcPr>
          <w:p w14:paraId="085B519B" w14:textId="77777777" w:rsidR="00535A76" w:rsidRPr="003D047A" w:rsidRDefault="00535A76" w:rsidP="00535A76">
            <w:pPr>
              <w:jc w:val="center"/>
              <w:rPr>
                <w:rFonts w:eastAsia="Calibri"/>
                <w:sz w:val="20"/>
                <w:szCs w:val="20"/>
              </w:rPr>
            </w:pPr>
            <w:r w:rsidRPr="003D047A">
              <w:rPr>
                <w:rFonts w:eastAsia="Calibri"/>
                <w:sz w:val="20"/>
                <w:szCs w:val="20"/>
              </w:rPr>
              <w:t>40.13</w:t>
            </w:r>
          </w:p>
        </w:tc>
      </w:tr>
      <w:tr w:rsidR="00535A76" w:rsidRPr="003D047A" w14:paraId="521E4C1E" w14:textId="77777777" w:rsidTr="00535A76">
        <w:trPr>
          <w:trHeight w:val="533"/>
          <w:jc w:val="center"/>
        </w:trPr>
        <w:tc>
          <w:tcPr>
            <w:tcW w:w="533" w:type="dxa"/>
            <w:shd w:val="clear" w:color="auto" w:fill="FFFFFF" w:themeFill="background1"/>
            <w:vAlign w:val="center"/>
          </w:tcPr>
          <w:p w14:paraId="37839012" w14:textId="77777777" w:rsidR="00535A76" w:rsidRPr="003D047A" w:rsidRDefault="00535A76" w:rsidP="00535A76">
            <w:pPr>
              <w:rPr>
                <w:rFonts w:eastAsia="Calibri"/>
                <w:sz w:val="20"/>
                <w:szCs w:val="20"/>
              </w:rPr>
            </w:pPr>
            <w:r w:rsidRPr="003D047A">
              <w:rPr>
                <w:rFonts w:eastAsia="Calibri"/>
                <w:sz w:val="20"/>
                <w:szCs w:val="20"/>
              </w:rPr>
              <w:t>13</w:t>
            </w:r>
          </w:p>
        </w:tc>
        <w:tc>
          <w:tcPr>
            <w:tcW w:w="2605" w:type="dxa"/>
            <w:shd w:val="clear" w:color="auto" w:fill="FFFFFF" w:themeFill="background1"/>
            <w:vAlign w:val="center"/>
          </w:tcPr>
          <w:p w14:paraId="4D3AC9F2" w14:textId="77777777" w:rsidR="00535A76" w:rsidRPr="003D047A" w:rsidRDefault="00535A76" w:rsidP="00535A76">
            <w:pPr>
              <w:rPr>
                <w:rFonts w:eastAsia="Calibri"/>
                <w:sz w:val="20"/>
                <w:szCs w:val="20"/>
              </w:rPr>
            </w:pPr>
            <w:r w:rsidRPr="003D047A">
              <w:rPr>
                <w:rFonts w:eastAsia="Calibri"/>
                <w:sz w:val="20"/>
                <w:szCs w:val="20"/>
              </w:rPr>
              <w:t>Christian Moctezuma González</w:t>
            </w:r>
          </w:p>
        </w:tc>
        <w:tc>
          <w:tcPr>
            <w:tcW w:w="748" w:type="dxa"/>
            <w:shd w:val="clear" w:color="auto" w:fill="FFFFFF" w:themeFill="background1"/>
            <w:vAlign w:val="center"/>
          </w:tcPr>
          <w:p w14:paraId="636226B9" w14:textId="77777777" w:rsidR="00535A76" w:rsidRPr="003D047A" w:rsidRDefault="00535A76" w:rsidP="00535A76">
            <w:pPr>
              <w:jc w:val="center"/>
              <w:rPr>
                <w:rFonts w:eastAsia="Calibri"/>
                <w:sz w:val="20"/>
                <w:szCs w:val="20"/>
              </w:rPr>
            </w:pPr>
            <w:r w:rsidRPr="003D047A">
              <w:rPr>
                <w:rFonts w:eastAsia="Calibri"/>
                <w:sz w:val="20"/>
                <w:szCs w:val="20"/>
              </w:rPr>
              <w:t>H</w:t>
            </w:r>
          </w:p>
        </w:tc>
        <w:tc>
          <w:tcPr>
            <w:tcW w:w="1926" w:type="dxa"/>
            <w:shd w:val="clear" w:color="auto" w:fill="FFFFFF" w:themeFill="background1"/>
            <w:vAlign w:val="center"/>
          </w:tcPr>
          <w:p w14:paraId="477470EE" w14:textId="77777777" w:rsidR="00535A76" w:rsidRPr="003D047A" w:rsidRDefault="00535A76" w:rsidP="00535A76">
            <w:pPr>
              <w:jc w:val="center"/>
              <w:rPr>
                <w:rFonts w:eastAsia="Calibri"/>
                <w:sz w:val="20"/>
                <w:szCs w:val="20"/>
              </w:rPr>
            </w:pPr>
            <w:r w:rsidRPr="003D047A">
              <w:rPr>
                <w:rFonts w:eastAsia="Calibri"/>
                <w:sz w:val="20"/>
                <w:szCs w:val="20"/>
              </w:rPr>
              <w:t xml:space="preserve">7 </w:t>
            </w:r>
            <w:proofErr w:type="gramStart"/>
            <w:r w:rsidRPr="003D047A">
              <w:rPr>
                <w:rFonts w:eastAsia="Calibri"/>
                <w:sz w:val="20"/>
                <w:szCs w:val="20"/>
              </w:rPr>
              <w:t>A</w:t>
            </w:r>
            <w:proofErr w:type="gramEnd"/>
          </w:p>
        </w:tc>
        <w:tc>
          <w:tcPr>
            <w:tcW w:w="1559" w:type="dxa"/>
            <w:shd w:val="clear" w:color="auto" w:fill="FFFFFF" w:themeFill="background1"/>
            <w:vAlign w:val="center"/>
          </w:tcPr>
          <w:p w14:paraId="591D3F9D" w14:textId="453F611C" w:rsidR="00535A76" w:rsidRPr="003D047A" w:rsidRDefault="00535A76" w:rsidP="00535A76">
            <w:pPr>
              <w:jc w:val="center"/>
              <w:rPr>
                <w:rFonts w:eastAsia="Calibri"/>
                <w:sz w:val="20"/>
                <w:szCs w:val="20"/>
              </w:rPr>
            </w:pPr>
            <w:r w:rsidRPr="003D047A">
              <w:rPr>
                <w:rFonts w:eastAsia="Calibri"/>
                <w:sz w:val="20"/>
                <w:szCs w:val="20"/>
              </w:rPr>
              <w:t>No aplica</w:t>
            </w:r>
          </w:p>
        </w:tc>
      </w:tr>
      <w:tr w:rsidR="00535A76" w:rsidRPr="003D047A" w14:paraId="718A4A0D" w14:textId="77777777" w:rsidTr="00535A76">
        <w:trPr>
          <w:trHeight w:val="427"/>
          <w:jc w:val="center"/>
        </w:trPr>
        <w:tc>
          <w:tcPr>
            <w:tcW w:w="533" w:type="dxa"/>
            <w:tcBorders>
              <w:bottom w:val="single" w:sz="4" w:space="0" w:color="auto"/>
            </w:tcBorders>
            <w:shd w:val="clear" w:color="auto" w:fill="FFFFFF" w:themeFill="background1"/>
            <w:vAlign w:val="center"/>
          </w:tcPr>
          <w:p w14:paraId="6F5AEBD2" w14:textId="77777777" w:rsidR="00535A76" w:rsidRPr="003D047A" w:rsidRDefault="00535A76" w:rsidP="00535A76">
            <w:pPr>
              <w:rPr>
                <w:rFonts w:eastAsia="Calibri"/>
                <w:b/>
                <w:bCs/>
                <w:sz w:val="20"/>
                <w:szCs w:val="20"/>
                <w:u w:val="single"/>
              </w:rPr>
            </w:pPr>
            <w:r w:rsidRPr="003D047A">
              <w:rPr>
                <w:rFonts w:eastAsia="Calibri"/>
                <w:b/>
                <w:bCs/>
                <w:sz w:val="20"/>
                <w:szCs w:val="20"/>
                <w:u w:val="single"/>
              </w:rPr>
              <w:t>14</w:t>
            </w:r>
          </w:p>
        </w:tc>
        <w:tc>
          <w:tcPr>
            <w:tcW w:w="2605" w:type="dxa"/>
            <w:tcBorders>
              <w:bottom w:val="single" w:sz="4" w:space="0" w:color="auto"/>
            </w:tcBorders>
            <w:shd w:val="clear" w:color="auto" w:fill="FFFFFF" w:themeFill="background1"/>
            <w:vAlign w:val="center"/>
          </w:tcPr>
          <w:p w14:paraId="0E15B7BA" w14:textId="77777777" w:rsidR="00535A76" w:rsidRPr="003D047A" w:rsidRDefault="00535A76" w:rsidP="00535A76">
            <w:pPr>
              <w:rPr>
                <w:rFonts w:eastAsia="Calibri"/>
                <w:b/>
                <w:bCs/>
                <w:sz w:val="20"/>
                <w:szCs w:val="20"/>
                <w:u w:val="single"/>
              </w:rPr>
            </w:pPr>
            <w:r w:rsidRPr="003D047A">
              <w:rPr>
                <w:rFonts w:eastAsia="Calibri"/>
                <w:b/>
                <w:bCs/>
                <w:sz w:val="20"/>
                <w:szCs w:val="20"/>
                <w:u w:val="single"/>
              </w:rPr>
              <w:t xml:space="preserve">José Luis Rodríguez Díaz de León </w:t>
            </w:r>
          </w:p>
        </w:tc>
        <w:tc>
          <w:tcPr>
            <w:tcW w:w="748" w:type="dxa"/>
            <w:tcBorders>
              <w:bottom w:val="single" w:sz="4" w:space="0" w:color="auto"/>
            </w:tcBorders>
            <w:shd w:val="clear" w:color="auto" w:fill="FFFFFF" w:themeFill="background1"/>
            <w:vAlign w:val="center"/>
          </w:tcPr>
          <w:p w14:paraId="7236055A" w14:textId="77777777" w:rsidR="00535A76" w:rsidRPr="003D047A" w:rsidRDefault="00535A76" w:rsidP="00535A76">
            <w:pPr>
              <w:jc w:val="center"/>
              <w:rPr>
                <w:rFonts w:eastAsia="Calibri"/>
                <w:b/>
                <w:bCs/>
                <w:sz w:val="20"/>
                <w:szCs w:val="20"/>
                <w:u w:val="single"/>
              </w:rPr>
            </w:pPr>
            <w:r w:rsidRPr="003D047A">
              <w:rPr>
                <w:rFonts w:eastAsia="Calibri"/>
                <w:b/>
                <w:bCs/>
                <w:sz w:val="20"/>
                <w:szCs w:val="20"/>
                <w:u w:val="single"/>
              </w:rPr>
              <w:t>H</w:t>
            </w:r>
          </w:p>
        </w:tc>
        <w:tc>
          <w:tcPr>
            <w:tcW w:w="1926" w:type="dxa"/>
            <w:tcBorders>
              <w:bottom w:val="single" w:sz="4" w:space="0" w:color="auto"/>
            </w:tcBorders>
            <w:shd w:val="clear" w:color="auto" w:fill="FFFFFF" w:themeFill="background1"/>
            <w:vAlign w:val="center"/>
          </w:tcPr>
          <w:p w14:paraId="1D784309" w14:textId="77777777" w:rsidR="00535A76" w:rsidRPr="003D047A" w:rsidRDefault="00535A76" w:rsidP="00535A76">
            <w:pPr>
              <w:jc w:val="center"/>
              <w:rPr>
                <w:rFonts w:eastAsia="Calibri"/>
                <w:b/>
                <w:bCs/>
                <w:sz w:val="20"/>
                <w:szCs w:val="20"/>
                <w:u w:val="single"/>
              </w:rPr>
            </w:pPr>
            <w:r w:rsidRPr="003D047A">
              <w:rPr>
                <w:rFonts w:eastAsia="Calibri"/>
                <w:b/>
                <w:bCs/>
                <w:sz w:val="20"/>
                <w:szCs w:val="20"/>
                <w:u w:val="single"/>
              </w:rPr>
              <w:t>8 B</w:t>
            </w:r>
          </w:p>
        </w:tc>
        <w:tc>
          <w:tcPr>
            <w:tcW w:w="1559" w:type="dxa"/>
            <w:tcBorders>
              <w:bottom w:val="single" w:sz="4" w:space="0" w:color="auto"/>
            </w:tcBorders>
            <w:shd w:val="clear" w:color="auto" w:fill="FFFFFF" w:themeFill="background1"/>
            <w:vAlign w:val="center"/>
          </w:tcPr>
          <w:p w14:paraId="29B07521" w14:textId="77777777" w:rsidR="00535A76" w:rsidRPr="003D047A" w:rsidRDefault="00535A76" w:rsidP="00535A76">
            <w:pPr>
              <w:jc w:val="center"/>
              <w:rPr>
                <w:rFonts w:eastAsia="Calibri"/>
                <w:b/>
                <w:bCs/>
                <w:sz w:val="20"/>
                <w:szCs w:val="20"/>
                <w:u w:val="single"/>
              </w:rPr>
            </w:pPr>
            <w:r w:rsidRPr="003D047A">
              <w:rPr>
                <w:rFonts w:eastAsia="Calibri"/>
                <w:b/>
                <w:bCs/>
                <w:sz w:val="20"/>
                <w:szCs w:val="20"/>
                <w:u w:val="single"/>
              </w:rPr>
              <w:t>35.27</w:t>
            </w:r>
          </w:p>
        </w:tc>
      </w:tr>
      <w:tr w:rsidR="00535A76" w:rsidRPr="003D047A" w14:paraId="236D69F0" w14:textId="77777777" w:rsidTr="00535A76">
        <w:trPr>
          <w:trHeight w:val="533"/>
          <w:jc w:val="center"/>
        </w:trPr>
        <w:tc>
          <w:tcPr>
            <w:tcW w:w="3138" w:type="dxa"/>
            <w:gridSpan w:val="2"/>
            <w:shd w:val="clear" w:color="auto" w:fill="FFFFFF" w:themeFill="background1"/>
            <w:vAlign w:val="center"/>
          </w:tcPr>
          <w:p w14:paraId="6147D779" w14:textId="77777777" w:rsidR="00535A76" w:rsidRPr="003D047A" w:rsidRDefault="00535A76" w:rsidP="00535A76">
            <w:pPr>
              <w:jc w:val="center"/>
              <w:rPr>
                <w:rFonts w:eastAsia="Calibri"/>
                <w:sz w:val="20"/>
                <w:szCs w:val="20"/>
              </w:rPr>
            </w:pPr>
            <w:r w:rsidRPr="003D047A">
              <w:rPr>
                <w:rFonts w:eastAsia="Calibri"/>
                <w:sz w:val="20"/>
                <w:szCs w:val="20"/>
              </w:rPr>
              <w:t>****Se sustituye a Isabela Rosales Herrera en la posición 14****</w:t>
            </w:r>
          </w:p>
        </w:tc>
        <w:tc>
          <w:tcPr>
            <w:tcW w:w="748" w:type="dxa"/>
            <w:shd w:val="clear" w:color="auto" w:fill="FFFFFF" w:themeFill="background1"/>
            <w:vAlign w:val="center"/>
          </w:tcPr>
          <w:p w14:paraId="1C221573" w14:textId="77777777" w:rsidR="00535A76" w:rsidRPr="003D047A" w:rsidRDefault="00535A76" w:rsidP="00535A76">
            <w:pPr>
              <w:jc w:val="center"/>
              <w:rPr>
                <w:rFonts w:eastAsia="Calibri"/>
                <w:sz w:val="20"/>
                <w:szCs w:val="20"/>
              </w:rPr>
            </w:pPr>
          </w:p>
        </w:tc>
        <w:tc>
          <w:tcPr>
            <w:tcW w:w="1926" w:type="dxa"/>
            <w:shd w:val="clear" w:color="auto" w:fill="FFFFFF" w:themeFill="background1"/>
            <w:vAlign w:val="center"/>
          </w:tcPr>
          <w:p w14:paraId="629DA41B" w14:textId="77777777" w:rsidR="00535A76" w:rsidRPr="003D047A" w:rsidRDefault="00535A76" w:rsidP="00535A76">
            <w:pPr>
              <w:jc w:val="center"/>
              <w:rPr>
                <w:rFonts w:eastAsia="Calibri"/>
                <w:sz w:val="20"/>
                <w:szCs w:val="20"/>
              </w:rPr>
            </w:pPr>
          </w:p>
        </w:tc>
        <w:tc>
          <w:tcPr>
            <w:tcW w:w="1559" w:type="dxa"/>
            <w:shd w:val="clear" w:color="auto" w:fill="FFFFFF" w:themeFill="background1"/>
            <w:vAlign w:val="center"/>
          </w:tcPr>
          <w:p w14:paraId="54AD9D03" w14:textId="77777777" w:rsidR="00535A76" w:rsidRPr="003D047A" w:rsidRDefault="00535A76" w:rsidP="00535A76">
            <w:pPr>
              <w:jc w:val="center"/>
              <w:rPr>
                <w:rFonts w:eastAsia="Calibri"/>
                <w:sz w:val="20"/>
                <w:szCs w:val="20"/>
              </w:rPr>
            </w:pPr>
          </w:p>
        </w:tc>
      </w:tr>
      <w:tr w:rsidR="00535A76" w:rsidRPr="003D047A" w14:paraId="229C35CE" w14:textId="77777777" w:rsidTr="00535A76">
        <w:trPr>
          <w:trHeight w:val="533"/>
          <w:jc w:val="center"/>
        </w:trPr>
        <w:tc>
          <w:tcPr>
            <w:tcW w:w="533" w:type="dxa"/>
            <w:vAlign w:val="center"/>
          </w:tcPr>
          <w:p w14:paraId="3785DA9B" w14:textId="77777777" w:rsidR="00535A76" w:rsidRPr="003D047A" w:rsidRDefault="00535A76" w:rsidP="00535A76">
            <w:pPr>
              <w:rPr>
                <w:rFonts w:eastAsia="Calibri"/>
                <w:sz w:val="20"/>
                <w:szCs w:val="20"/>
              </w:rPr>
            </w:pPr>
            <w:r w:rsidRPr="003D047A">
              <w:rPr>
                <w:rFonts w:eastAsia="Calibri"/>
                <w:sz w:val="20"/>
                <w:szCs w:val="20"/>
              </w:rPr>
              <w:t>15</w:t>
            </w:r>
          </w:p>
        </w:tc>
        <w:tc>
          <w:tcPr>
            <w:tcW w:w="2605" w:type="dxa"/>
            <w:vAlign w:val="center"/>
          </w:tcPr>
          <w:p w14:paraId="25202B8D" w14:textId="77777777" w:rsidR="00535A76" w:rsidRPr="003D047A" w:rsidRDefault="00535A76" w:rsidP="00535A76">
            <w:pPr>
              <w:rPr>
                <w:rFonts w:eastAsia="Calibri"/>
                <w:sz w:val="20"/>
                <w:szCs w:val="20"/>
              </w:rPr>
            </w:pPr>
            <w:proofErr w:type="spellStart"/>
            <w:r w:rsidRPr="003D047A">
              <w:rPr>
                <w:rFonts w:eastAsia="Calibri"/>
                <w:sz w:val="20"/>
                <w:szCs w:val="20"/>
              </w:rPr>
              <w:t>Maryel</w:t>
            </w:r>
            <w:proofErr w:type="spellEnd"/>
            <w:r w:rsidRPr="003D047A">
              <w:rPr>
                <w:rFonts w:eastAsia="Calibri"/>
                <w:sz w:val="20"/>
                <w:szCs w:val="20"/>
              </w:rPr>
              <w:t xml:space="preserve"> Alejandra Díaz Cavazos</w:t>
            </w:r>
          </w:p>
        </w:tc>
        <w:tc>
          <w:tcPr>
            <w:tcW w:w="748" w:type="dxa"/>
            <w:vAlign w:val="center"/>
          </w:tcPr>
          <w:p w14:paraId="5E337F63" w14:textId="77777777" w:rsidR="00535A76" w:rsidRPr="003D047A" w:rsidRDefault="00535A76" w:rsidP="00535A76">
            <w:pPr>
              <w:jc w:val="center"/>
              <w:rPr>
                <w:rFonts w:eastAsia="Calibri"/>
                <w:sz w:val="20"/>
                <w:szCs w:val="20"/>
              </w:rPr>
            </w:pPr>
            <w:r w:rsidRPr="003D047A">
              <w:rPr>
                <w:rFonts w:eastAsia="Calibri"/>
                <w:sz w:val="20"/>
                <w:szCs w:val="20"/>
              </w:rPr>
              <w:t>M</w:t>
            </w:r>
          </w:p>
        </w:tc>
        <w:tc>
          <w:tcPr>
            <w:tcW w:w="1926" w:type="dxa"/>
            <w:vAlign w:val="center"/>
          </w:tcPr>
          <w:p w14:paraId="78AAD785" w14:textId="77777777" w:rsidR="00535A76" w:rsidRPr="003D047A" w:rsidRDefault="00535A76" w:rsidP="00535A76">
            <w:pPr>
              <w:jc w:val="center"/>
              <w:rPr>
                <w:rFonts w:eastAsia="Calibri"/>
                <w:sz w:val="20"/>
                <w:szCs w:val="20"/>
              </w:rPr>
            </w:pPr>
            <w:r w:rsidRPr="003D047A">
              <w:rPr>
                <w:rFonts w:eastAsia="Calibri"/>
                <w:sz w:val="20"/>
                <w:szCs w:val="20"/>
              </w:rPr>
              <w:t xml:space="preserve">8 </w:t>
            </w:r>
            <w:proofErr w:type="gramStart"/>
            <w:r w:rsidRPr="003D047A">
              <w:rPr>
                <w:rFonts w:eastAsia="Calibri"/>
                <w:sz w:val="20"/>
                <w:szCs w:val="20"/>
              </w:rPr>
              <w:t>A</w:t>
            </w:r>
            <w:proofErr w:type="gramEnd"/>
          </w:p>
        </w:tc>
        <w:tc>
          <w:tcPr>
            <w:tcW w:w="1559" w:type="dxa"/>
            <w:vAlign w:val="center"/>
          </w:tcPr>
          <w:p w14:paraId="4D1B125C" w14:textId="2B7D50A8" w:rsidR="00535A76" w:rsidRPr="003D047A" w:rsidRDefault="00535A76" w:rsidP="00535A76">
            <w:pPr>
              <w:jc w:val="center"/>
              <w:rPr>
                <w:rFonts w:eastAsia="Calibri"/>
                <w:sz w:val="20"/>
                <w:szCs w:val="20"/>
              </w:rPr>
            </w:pPr>
            <w:r w:rsidRPr="003D047A">
              <w:rPr>
                <w:rFonts w:eastAsia="Calibri"/>
                <w:sz w:val="20"/>
                <w:szCs w:val="20"/>
              </w:rPr>
              <w:t>No aplica</w:t>
            </w:r>
          </w:p>
        </w:tc>
      </w:tr>
      <w:tr w:rsidR="00535A76" w:rsidRPr="003D047A" w14:paraId="0576290D" w14:textId="77777777" w:rsidTr="00535A76">
        <w:trPr>
          <w:trHeight w:val="533"/>
          <w:jc w:val="center"/>
        </w:trPr>
        <w:tc>
          <w:tcPr>
            <w:tcW w:w="533" w:type="dxa"/>
            <w:shd w:val="clear" w:color="auto" w:fill="D0CECE"/>
            <w:vAlign w:val="center"/>
          </w:tcPr>
          <w:p w14:paraId="5DC8E644" w14:textId="77777777" w:rsidR="00535A76" w:rsidRPr="003D047A" w:rsidRDefault="00535A76" w:rsidP="00535A76">
            <w:pPr>
              <w:rPr>
                <w:rFonts w:eastAsia="Calibri"/>
                <w:b/>
                <w:bCs/>
                <w:sz w:val="20"/>
                <w:szCs w:val="20"/>
                <w:u w:val="single"/>
              </w:rPr>
            </w:pPr>
            <w:r w:rsidRPr="003D047A">
              <w:rPr>
                <w:rFonts w:eastAsia="Calibri"/>
                <w:b/>
                <w:bCs/>
                <w:sz w:val="20"/>
                <w:szCs w:val="20"/>
                <w:u w:val="single"/>
              </w:rPr>
              <w:t>16</w:t>
            </w:r>
          </w:p>
        </w:tc>
        <w:tc>
          <w:tcPr>
            <w:tcW w:w="2605" w:type="dxa"/>
            <w:shd w:val="clear" w:color="auto" w:fill="D0CECE"/>
            <w:vAlign w:val="center"/>
          </w:tcPr>
          <w:p w14:paraId="7F36B503" w14:textId="77777777" w:rsidR="00535A76" w:rsidRPr="003D047A" w:rsidRDefault="00535A76" w:rsidP="00535A76">
            <w:pPr>
              <w:rPr>
                <w:rFonts w:eastAsia="Calibri"/>
                <w:b/>
                <w:bCs/>
                <w:sz w:val="20"/>
                <w:szCs w:val="20"/>
                <w:u w:val="single"/>
              </w:rPr>
            </w:pPr>
            <w:r w:rsidRPr="003D047A">
              <w:rPr>
                <w:rFonts w:eastAsia="Calibri"/>
                <w:b/>
                <w:bCs/>
                <w:sz w:val="20"/>
                <w:szCs w:val="20"/>
                <w:u w:val="single"/>
              </w:rPr>
              <w:t>Isabela Rosales Herrera</w:t>
            </w:r>
          </w:p>
        </w:tc>
        <w:tc>
          <w:tcPr>
            <w:tcW w:w="748" w:type="dxa"/>
            <w:shd w:val="clear" w:color="auto" w:fill="D0CECE"/>
            <w:vAlign w:val="center"/>
          </w:tcPr>
          <w:p w14:paraId="70CB2D05" w14:textId="77777777" w:rsidR="00535A76" w:rsidRPr="003D047A" w:rsidRDefault="00535A76" w:rsidP="00535A76">
            <w:pPr>
              <w:jc w:val="center"/>
              <w:rPr>
                <w:rFonts w:eastAsia="Calibri"/>
                <w:b/>
                <w:bCs/>
                <w:sz w:val="20"/>
                <w:szCs w:val="20"/>
                <w:u w:val="single"/>
              </w:rPr>
            </w:pPr>
            <w:r w:rsidRPr="003D047A">
              <w:rPr>
                <w:rFonts w:eastAsia="Calibri"/>
                <w:b/>
                <w:bCs/>
                <w:sz w:val="20"/>
                <w:szCs w:val="20"/>
                <w:u w:val="single"/>
              </w:rPr>
              <w:t>M</w:t>
            </w:r>
          </w:p>
        </w:tc>
        <w:tc>
          <w:tcPr>
            <w:tcW w:w="1926" w:type="dxa"/>
            <w:shd w:val="clear" w:color="auto" w:fill="D0CECE"/>
            <w:vAlign w:val="center"/>
          </w:tcPr>
          <w:p w14:paraId="3D8B1F9D" w14:textId="77777777" w:rsidR="00535A76" w:rsidRPr="003D047A" w:rsidRDefault="00535A76" w:rsidP="00535A76">
            <w:pPr>
              <w:jc w:val="center"/>
              <w:rPr>
                <w:rFonts w:eastAsia="Calibri"/>
                <w:b/>
                <w:bCs/>
                <w:sz w:val="20"/>
                <w:szCs w:val="20"/>
                <w:u w:val="single"/>
              </w:rPr>
            </w:pPr>
            <w:r w:rsidRPr="003D047A">
              <w:rPr>
                <w:rFonts w:eastAsia="Calibri"/>
                <w:b/>
                <w:bCs/>
                <w:sz w:val="20"/>
                <w:szCs w:val="20"/>
                <w:u w:val="single"/>
              </w:rPr>
              <w:t>7 B</w:t>
            </w:r>
          </w:p>
        </w:tc>
        <w:tc>
          <w:tcPr>
            <w:tcW w:w="1559" w:type="dxa"/>
            <w:shd w:val="clear" w:color="auto" w:fill="D0CECE"/>
            <w:vAlign w:val="center"/>
          </w:tcPr>
          <w:p w14:paraId="1D489B2F" w14:textId="77777777" w:rsidR="00535A76" w:rsidRPr="003D047A" w:rsidRDefault="00535A76" w:rsidP="00535A76">
            <w:pPr>
              <w:jc w:val="center"/>
              <w:rPr>
                <w:rFonts w:eastAsia="Calibri"/>
                <w:b/>
                <w:bCs/>
                <w:sz w:val="20"/>
                <w:szCs w:val="20"/>
                <w:u w:val="single"/>
              </w:rPr>
            </w:pPr>
            <w:r w:rsidRPr="003D047A">
              <w:rPr>
                <w:rFonts w:eastAsia="Calibri"/>
                <w:b/>
                <w:bCs/>
                <w:sz w:val="20"/>
                <w:szCs w:val="20"/>
                <w:u w:val="single"/>
              </w:rPr>
              <w:t>28.96</w:t>
            </w:r>
          </w:p>
        </w:tc>
      </w:tr>
    </w:tbl>
    <w:p w14:paraId="7D534014" w14:textId="77777777" w:rsidR="00535A76" w:rsidRPr="00535A76" w:rsidRDefault="00535A76" w:rsidP="00535A76">
      <w:pPr>
        <w:spacing w:after="0" w:line="360" w:lineRule="auto"/>
        <w:jc w:val="both"/>
        <w:rPr>
          <w:rFonts w:ascii="Arial" w:eastAsia="Calibri" w:hAnsi="Arial" w:cs="Arial"/>
          <w:sz w:val="28"/>
          <w:szCs w:val="28"/>
        </w:rPr>
      </w:pPr>
    </w:p>
    <w:p w14:paraId="04A36FFD" w14:textId="3C02D192" w:rsidR="00535A76" w:rsidRDefault="00535A76" w:rsidP="00535A76">
      <w:pPr>
        <w:spacing w:after="0" w:line="360" w:lineRule="auto"/>
        <w:jc w:val="both"/>
        <w:rPr>
          <w:rFonts w:ascii="Arial" w:eastAsia="Calibri" w:hAnsi="Arial" w:cs="Arial"/>
          <w:sz w:val="28"/>
          <w:szCs w:val="28"/>
        </w:rPr>
      </w:pPr>
      <w:r w:rsidRPr="00535A76">
        <w:rPr>
          <w:rFonts w:ascii="Arial" w:eastAsia="Calibri" w:hAnsi="Arial" w:cs="Arial"/>
          <w:sz w:val="28"/>
          <w:szCs w:val="28"/>
        </w:rPr>
        <w:t>Precisando que, conforme a dicha integración ordenada, se garantiza la confluencia armónica de todos los principios involucrados en la asignación de diputaciones plurinominales en el Congreso local:</w:t>
      </w:r>
    </w:p>
    <w:p w14:paraId="532EA40E" w14:textId="77777777" w:rsidR="00535A76" w:rsidRPr="00535A76" w:rsidRDefault="00535A76" w:rsidP="00535A76">
      <w:pPr>
        <w:spacing w:after="0" w:line="360" w:lineRule="auto"/>
        <w:jc w:val="both"/>
        <w:rPr>
          <w:rFonts w:ascii="Arial" w:eastAsia="Calibri" w:hAnsi="Arial" w:cs="Arial"/>
          <w:sz w:val="28"/>
          <w:szCs w:val="28"/>
        </w:rPr>
      </w:pPr>
    </w:p>
    <w:p w14:paraId="0D0BDDA8" w14:textId="77777777" w:rsidR="00535A76" w:rsidRPr="00535A76" w:rsidRDefault="00535A76" w:rsidP="00535A76">
      <w:pPr>
        <w:spacing w:after="0" w:line="360" w:lineRule="auto"/>
        <w:jc w:val="both"/>
        <w:rPr>
          <w:rFonts w:ascii="Arial" w:eastAsia="Calibri" w:hAnsi="Arial" w:cs="Arial"/>
          <w:sz w:val="28"/>
          <w:szCs w:val="28"/>
        </w:rPr>
      </w:pPr>
      <w:r w:rsidRPr="00535A76">
        <w:rPr>
          <w:rFonts w:ascii="Arial" w:eastAsia="Calibri" w:hAnsi="Arial" w:cs="Arial"/>
          <w:sz w:val="28"/>
          <w:szCs w:val="28"/>
        </w:rPr>
        <w:t xml:space="preserve">El </w:t>
      </w:r>
      <w:r w:rsidRPr="00535A76">
        <w:rPr>
          <w:rFonts w:ascii="Arial" w:eastAsia="Calibri" w:hAnsi="Arial" w:cs="Arial"/>
          <w:b/>
          <w:sz w:val="28"/>
          <w:szCs w:val="28"/>
        </w:rPr>
        <w:t>principio de autodeterminación</w:t>
      </w:r>
      <w:r w:rsidRPr="00535A76">
        <w:rPr>
          <w:rFonts w:ascii="Arial" w:eastAsia="Calibri" w:hAnsi="Arial" w:cs="Arial"/>
          <w:sz w:val="28"/>
          <w:szCs w:val="28"/>
        </w:rPr>
        <w:t xml:space="preserve">, porque se mantienen a las personas que designó el partido político en la lista A. </w:t>
      </w:r>
    </w:p>
    <w:p w14:paraId="1B4337F9" w14:textId="77777777" w:rsidR="00535A76" w:rsidRPr="00535A76" w:rsidRDefault="00535A76" w:rsidP="00535A76">
      <w:pPr>
        <w:spacing w:after="0" w:line="360" w:lineRule="auto"/>
        <w:jc w:val="both"/>
        <w:rPr>
          <w:rFonts w:ascii="Arial" w:eastAsia="Calibri" w:hAnsi="Arial" w:cs="Arial"/>
          <w:sz w:val="28"/>
          <w:szCs w:val="28"/>
        </w:rPr>
      </w:pPr>
    </w:p>
    <w:p w14:paraId="7CC6F8EF" w14:textId="77777777" w:rsidR="00535A76" w:rsidRPr="00535A76" w:rsidRDefault="00535A76" w:rsidP="00535A76">
      <w:pPr>
        <w:spacing w:after="0" w:line="360" w:lineRule="auto"/>
        <w:jc w:val="both"/>
        <w:rPr>
          <w:rFonts w:ascii="Arial" w:eastAsia="Calibri" w:hAnsi="Arial" w:cs="Arial"/>
          <w:sz w:val="28"/>
          <w:szCs w:val="28"/>
        </w:rPr>
      </w:pPr>
      <w:r w:rsidRPr="00535A76">
        <w:rPr>
          <w:rFonts w:ascii="Arial" w:eastAsia="Calibri" w:hAnsi="Arial" w:cs="Arial"/>
          <w:b/>
          <w:sz w:val="28"/>
          <w:szCs w:val="28"/>
        </w:rPr>
        <w:lastRenderedPageBreak/>
        <w:t>El principio de paridad</w:t>
      </w:r>
      <w:r w:rsidRPr="00535A76">
        <w:rPr>
          <w:rFonts w:ascii="Arial" w:eastAsia="Calibri" w:hAnsi="Arial" w:cs="Arial"/>
          <w:sz w:val="28"/>
          <w:szCs w:val="28"/>
        </w:rPr>
        <w:t>, pues debe considerarse que MORENA obtuvo en total treinta y dos diputaciones (32) tanto de mayoría relativa como de representación proporcional y de ellas, dieciocho (18) corresponden a mujeres y catorce (14) a hombres.</w:t>
      </w:r>
    </w:p>
    <w:p w14:paraId="7848F2D7" w14:textId="77777777" w:rsidR="00535A76" w:rsidRPr="00535A76" w:rsidRDefault="00535A76" w:rsidP="00535A76">
      <w:pPr>
        <w:spacing w:after="0" w:line="360" w:lineRule="auto"/>
        <w:jc w:val="both"/>
        <w:rPr>
          <w:rFonts w:ascii="Arial" w:eastAsia="Calibri" w:hAnsi="Arial" w:cs="Arial"/>
          <w:sz w:val="28"/>
          <w:szCs w:val="28"/>
        </w:rPr>
      </w:pPr>
    </w:p>
    <w:p w14:paraId="2199126D" w14:textId="77777777" w:rsidR="00535A76" w:rsidRPr="00535A76" w:rsidRDefault="00535A76" w:rsidP="00535A76">
      <w:pPr>
        <w:spacing w:after="0" w:line="360" w:lineRule="auto"/>
        <w:jc w:val="both"/>
        <w:rPr>
          <w:rFonts w:ascii="Arial" w:eastAsia="Calibri" w:hAnsi="Arial" w:cs="Arial"/>
          <w:sz w:val="28"/>
          <w:szCs w:val="28"/>
        </w:rPr>
      </w:pPr>
      <w:r w:rsidRPr="00535A76">
        <w:rPr>
          <w:rFonts w:ascii="Arial" w:eastAsia="Calibri" w:hAnsi="Arial" w:cs="Arial"/>
          <w:sz w:val="28"/>
          <w:szCs w:val="28"/>
        </w:rPr>
        <w:t xml:space="preserve">Por lo que, aun con dicha modificación, se asegura la paridad en beneficio de las mujeres, porque las diputaciones femeninas superan por cuatro (4) a las masculinas. </w:t>
      </w:r>
    </w:p>
    <w:p w14:paraId="08649DDE" w14:textId="77777777" w:rsidR="00535A76" w:rsidRPr="00535A76" w:rsidRDefault="00535A76" w:rsidP="00535A76">
      <w:pPr>
        <w:spacing w:after="0" w:line="360" w:lineRule="auto"/>
        <w:jc w:val="both"/>
        <w:rPr>
          <w:rFonts w:ascii="Arial" w:eastAsia="Calibri" w:hAnsi="Arial" w:cs="Arial"/>
          <w:sz w:val="28"/>
          <w:szCs w:val="28"/>
        </w:rPr>
      </w:pPr>
    </w:p>
    <w:p w14:paraId="1708FEF4" w14:textId="77777777" w:rsidR="00535A76" w:rsidRPr="00535A76" w:rsidRDefault="00535A76" w:rsidP="00535A76">
      <w:pPr>
        <w:spacing w:after="0" w:line="360" w:lineRule="auto"/>
        <w:jc w:val="both"/>
        <w:rPr>
          <w:rFonts w:ascii="Arial" w:eastAsia="Calibri" w:hAnsi="Arial" w:cs="Arial"/>
          <w:sz w:val="28"/>
          <w:szCs w:val="28"/>
        </w:rPr>
      </w:pPr>
      <w:r w:rsidRPr="00535A76">
        <w:rPr>
          <w:rFonts w:ascii="Arial" w:eastAsia="Calibri" w:hAnsi="Arial" w:cs="Arial"/>
          <w:sz w:val="28"/>
          <w:szCs w:val="28"/>
        </w:rPr>
        <w:t>El</w:t>
      </w:r>
      <w:r w:rsidRPr="00535A76">
        <w:rPr>
          <w:rFonts w:ascii="Arial" w:eastAsia="Calibri" w:hAnsi="Arial" w:cs="Arial"/>
          <w:b/>
          <w:sz w:val="28"/>
          <w:szCs w:val="28"/>
        </w:rPr>
        <w:t xml:space="preserve"> principio democrático</w:t>
      </w:r>
      <w:r w:rsidRPr="00535A76">
        <w:rPr>
          <w:rFonts w:ascii="Arial" w:eastAsia="Calibri" w:hAnsi="Arial" w:cs="Arial"/>
          <w:sz w:val="28"/>
          <w:szCs w:val="28"/>
        </w:rPr>
        <w:t>, porque se permite alcanzar una asignación, a una fórmula que obtuvo un mayor porcentaje de votación ─la encabezada por José Luis Rodríguez Díaz de León─.</w:t>
      </w:r>
    </w:p>
    <w:p w14:paraId="4F299E0C" w14:textId="77777777" w:rsidR="00535A76" w:rsidRPr="00535A76" w:rsidRDefault="00535A76" w:rsidP="00535A76">
      <w:pPr>
        <w:spacing w:after="0" w:line="360" w:lineRule="auto"/>
        <w:jc w:val="both"/>
        <w:rPr>
          <w:rFonts w:ascii="Arial" w:eastAsia="Calibri" w:hAnsi="Arial" w:cs="Arial"/>
          <w:sz w:val="28"/>
          <w:szCs w:val="28"/>
        </w:rPr>
      </w:pPr>
    </w:p>
    <w:p w14:paraId="0AA1102C" w14:textId="77777777" w:rsidR="00535A76" w:rsidRPr="00535A76" w:rsidRDefault="00535A76" w:rsidP="00535A76">
      <w:pPr>
        <w:spacing w:after="0" w:line="360" w:lineRule="auto"/>
        <w:jc w:val="both"/>
        <w:rPr>
          <w:rFonts w:ascii="Arial" w:eastAsia="Calibri" w:hAnsi="Arial" w:cs="Arial"/>
          <w:sz w:val="28"/>
          <w:szCs w:val="28"/>
        </w:rPr>
      </w:pPr>
      <w:r w:rsidRPr="00535A76">
        <w:rPr>
          <w:rFonts w:ascii="Arial" w:eastAsia="Calibri" w:hAnsi="Arial" w:cs="Arial"/>
          <w:sz w:val="28"/>
          <w:szCs w:val="28"/>
        </w:rPr>
        <w:t>Esto, en lugar de otra fórmula con un menor porcentaje ─la encabezada por Isabela Rosales Herrera─ propiciando que, en función de permitir la asignación de una candidatura que demostró contar con mayor representatividad, este principio se compense frente a los otros involucrados.</w:t>
      </w:r>
    </w:p>
    <w:p w14:paraId="5FF62B58" w14:textId="77777777" w:rsidR="00535A76" w:rsidRPr="00535A76" w:rsidRDefault="00535A76" w:rsidP="00535A76">
      <w:pPr>
        <w:spacing w:after="0" w:line="360" w:lineRule="auto"/>
        <w:jc w:val="both"/>
        <w:rPr>
          <w:rFonts w:ascii="Arial" w:eastAsia="Calibri" w:hAnsi="Arial" w:cs="Arial"/>
          <w:sz w:val="28"/>
          <w:szCs w:val="28"/>
        </w:rPr>
      </w:pPr>
    </w:p>
    <w:p w14:paraId="01E9B420" w14:textId="77777777" w:rsidR="00535A76" w:rsidRPr="00535A76" w:rsidRDefault="00535A76" w:rsidP="00535A76">
      <w:pPr>
        <w:spacing w:after="0" w:line="360" w:lineRule="auto"/>
        <w:jc w:val="both"/>
        <w:rPr>
          <w:rFonts w:ascii="Arial" w:eastAsia="Calibri" w:hAnsi="Arial" w:cs="Arial"/>
          <w:sz w:val="28"/>
          <w:szCs w:val="28"/>
        </w:rPr>
      </w:pPr>
      <w:r w:rsidRPr="00535A76">
        <w:rPr>
          <w:rFonts w:ascii="Arial" w:eastAsia="Calibri" w:hAnsi="Arial" w:cs="Arial"/>
          <w:sz w:val="28"/>
          <w:szCs w:val="28"/>
        </w:rPr>
        <w:t xml:space="preserve">Además, se garantiza el </w:t>
      </w:r>
      <w:r w:rsidRPr="00535A76">
        <w:rPr>
          <w:rFonts w:ascii="Arial" w:eastAsia="Calibri" w:hAnsi="Arial" w:cs="Arial"/>
          <w:b/>
          <w:sz w:val="28"/>
          <w:szCs w:val="28"/>
        </w:rPr>
        <w:t xml:space="preserve">principio de alternancia </w:t>
      </w:r>
      <w:r w:rsidRPr="00535A76">
        <w:rPr>
          <w:rFonts w:ascii="Arial" w:eastAsia="Calibri" w:hAnsi="Arial" w:cs="Arial"/>
          <w:sz w:val="28"/>
          <w:szCs w:val="28"/>
        </w:rPr>
        <w:t>porque de conformidad con el artículo 24 del Código local se pueden generar bloques de hasta dos fórmulas del mismo género, cuestión que se configura en este caso, pero que no representa una afectación desproporcionada a los otros principios y permite su subsistencia armónica.</w:t>
      </w:r>
    </w:p>
    <w:p w14:paraId="7DAFEB57" w14:textId="77777777" w:rsidR="00535A76" w:rsidRPr="00535A76" w:rsidRDefault="00535A76" w:rsidP="009B6ED0">
      <w:pPr>
        <w:numPr>
          <w:ilvl w:val="0"/>
          <w:numId w:val="41"/>
        </w:numPr>
        <w:spacing w:before="100" w:beforeAutospacing="1" w:after="100" w:afterAutospacing="1" w:line="360" w:lineRule="auto"/>
        <w:outlineLvl w:val="0"/>
        <w:rPr>
          <w:rFonts w:ascii="Arial" w:eastAsia="Calibri" w:hAnsi="Arial" w:cs="Arial"/>
          <w:b/>
          <w:sz w:val="28"/>
          <w:szCs w:val="28"/>
        </w:rPr>
      </w:pPr>
      <w:r w:rsidRPr="00535A76">
        <w:rPr>
          <w:rFonts w:ascii="Arial" w:eastAsia="Calibri" w:hAnsi="Arial" w:cs="Arial"/>
          <w:b/>
          <w:bCs/>
          <w:sz w:val="28"/>
          <w:szCs w:val="28"/>
        </w:rPr>
        <w:t>Marco normativo</w:t>
      </w:r>
    </w:p>
    <w:p w14:paraId="60E45FE4" w14:textId="77777777" w:rsidR="00535A76" w:rsidRPr="00535A76" w:rsidRDefault="00535A76" w:rsidP="00535A76">
      <w:pPr>
        <w:spacing w:line="360" w:lineRule="auto"/>
        <w:jc w:val="both"/>
        <w:rPr>
          <w:rFonts w:ascii="Arial" w:eastAsia="Calibri" w:hAnsi="Arial" w:cs="Times New Roman"/>
          <w:b/>
          <w:sz w:val="28"/>
        </w:rPr>
      </w:pPr>
      <w:r w:rsidRPr="00535A76">
        <w:rPr>
          <w:rFonts w:ascii="Arial" w:eastAsia="Calibri" w:hAnsi="Arial" w:cs="Times New Roman"/>
          <w:b/>
          <w:sz w:val="28"/>
        </w:rPr>
        <w:t>- Paridad de género</w:t>
      </w:r>
    </w:p>
    <w:p w14:paraId="343FA557"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lastRenderedPageBreak/>
        <w:t xml:space="preserve">La paridad de género ha sido reconocida por el legislador ordinario, además se ha convertido en un tema que ha sido objeto de análisis destacado por parte de los órganos jurisdiccionales. </w:t>
      </w:r>
    </w:p>
    <w:p w14:paraId="08B6C995"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Ello, tiene una razón de ser, y se basa, primordialmente, al reconocimiento de que históricamente las mujeres se han enfrentado a escenarios fácticos de desventaja, situaciones que han colocado a este grupo poblacional en condiciones de discriminación que termina en una abierta vulneración al principio de igualdad.</w:t>
      </w:r>
    </w:p>
    <w:p w14:paraId="67601DD6"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El derecho humano de igualdad está reconocido en la Constitución Federal, específicamente en los artículos 1, párrafo 1 y 5, así como el 4, párrafo 1, en donde se reconoce que todas las personas gozarán de los derechos humanos que contempla la misma Constitución, así como en los tratados internacionales que el Estado Mexicano haya ratificado prohibiendo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6D658A3C"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Este reconocimiento normativo del derecho de igualdad, desde el derecho nacional, así como en instrumentos internacionales, ha permitido que se vaya sustituyendo una concepción formalista de la misma, y se prevea, cada vez más, la necesidad de tomar acciones que permitan alcanzar la igualdad sustantiva.</w:t>
      </w:r>
    </w:p>
    <w:p w14:paraId="6B75046C"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lastRenderedPageBreak/>
        <w:t xml:space="preserve">En el ámbito internacional, puede destacarse la Relatoría sobre los derechos humanos de la mujer, a través de la cual, la Comisión Interamericana de Derechos Humanos ha destacado que, para lograr esa anhelada igualdad sustantiva, no basta el reconocimiento legal de la misma, sino que lo realmente trascedente es suprimir prácticas y conductas que continúen dejando en un papel de inferioridad a las mujeres. </w:t>
      </w:r>
    </w:p>
    <w:p w14:paraId="0337A158"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Ahora bien, en el derecho interno, la Suprema Corte de Justicia de la Nación</w:t>
      </w:r>
      <w:r w:rsidRPr="00535A76">
        <w:rPr>
          <w:rFonts w:ascii="Arial" w:eastAsia="Calibri" w:hAnsi="Arial" w:cs="Arial"/>
          <w:sz w:val="28"/>
          <w:szCs w:val="28"/>
          <w:vertAlign w:val="superscript"/>
        </w:rPr>
        <w:footnoteReference w:id="65"/>
      </w:r>
      <w:r w:rsidRPr="00535A76">
        <w:rPr>
          <w:rFonts w:ascii="Arial" w:eastAsia="Calibri" w:hAnsi="Arial" w:cs="Arial"/>
          <w:sz w:val="28"/>
          <w:szCs w:val="28"/>
        </w:rPr>
        <w:t xml:space="preserve">, ha establecido que el principio de igualdad se configura es uno de los valores superiores del orden jurídico, lo que significa que debe ser un criterio mínimo para la elaboración de leyes y su eventual aplicación por los operadores jurídicos, y si bien la igualdad debe entenderse como el hecho de colocar a todas las personas en posibilidades de acceder a derechos reconocidos constitucionalmente ─eliminando situaciones de abierta desigualdad─, esa circunstancia no implica que siempre todas las personas deban tratarse por igual, en todo. </w:t>
      </w:r>
    </w:p>
    <w:p w14:paraId="0835550F"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En ese sentido, la propia Suprema Corte</w:t>
      </w:r>
      <w:r w:rsidRPr="00535A76">
        <w:rPr>
          <w:rFonts w:ascii="Arial" w:eastAsia="Calibri" w:hAnsi="Arial" w:cs="Arial"/>
          <w:sz w:val="28"/>
          <w:szCs w:val="28"/>
          <w:vertAlign w:val="superscript"/>
        </w:rPr>
        <w:footnoteReference w:id="66"/>
      </w:r>
      <w:r w:rsidRPr="00535A76">
        <w:rPr>
          <w:rFonts w:ascii="Arial" w:eastAsia="Calibri" w:hAnsi="Arial" w:cs="Arial"/>
          <w:sz w:val="28"/>
          <w:szCs w:val="28"/>
        </w:rPr>
        <w:t xml:space="preserve"> ha reconocido que los operadores jurídicos tienen el deber de tomar medidas a fin de revertir los efectos de la marginación histórica o desigualdad estructural.</w:t>
      </w:r>
    </w:p>
    <w:p w14:paraId="010CDAC0" w14:textId="77777777" w:rsidR="00535A76" w:rsidRPr="00535A76" w:rsidRDefault="00535A76" w:rsidP="00535A76">
      <w:pPr>
        <w:spacing w:before="100" w:beforeAutospacing="1" w:after="100" w:afterAutospacing="1" w:line="360" w:lineRule="auto"/>
        <w:jc w:val="both"/>
        <w:rPr>
          <w:rFonts w:ascii="Arial" w:eastAsia="Calibri" w:hAnsi="Arial" w:cs="Arial"/>
          <w:color w:val="555555"/>
          <w:sz w:val="26"/>
          <w:szCs w:val="26"/>
        </w:rPr>
      </w:pPr>
      <w:r w:rsidRPr="00535A76">
        <w:rPr>
          <w:rFonts w:ascii="Arial" w:eastAsia="Calibri" w:hAnsi="Arial" w:cs="Arial"/>
          <w:sz w:val="28"/>
          <w:szCs w:val="28"/>
        </w:rPr>
        <w:t xml:space="preserve">Ahora bien, retomando el tema de paridad de género, en el ámbito de la política y de la conformación de órganos colegidos legislativos, debe ser entendido como una participación equilibrada de hombres y mujeres, en la conformación de los órganos de </w:t>
      </w:r>
      <w:r w:rsidRPr="00535A76">
        <w:rPr>
          <w:rFonts w:ascii="Arial" w:eastAsia="Calibri" w:hAnsi="Arial" w:cs="Arial"/>
          <w:sz w:val="28"/>
          <w:szCs w:val="28"/>
        </w:rPr>
        <w:lastRenderedPageBreak/>
        <w:t xml:space="preserve">Estado, de tal forma que ambos participen en la toma de decisiones trascendentes para la sociedad en la que se desenvuelven.    </w:t>
      </w:r>
      <w:r w:rsidRPr="00535A76">
        <w:rPr>
          <w:rFonts w:ascii="Arial" w:eastAsia="Calibri" w:hAnsi="Arial" w:cs="Arial"/>
          <w:color w:val="555555"/>
          <w:sz w:val="26"/>
          <w:szCs w:val="26"/>
        </w:rPr>
        <w:t> </w:t>
      </w:r>
    </w:p>
    <w:p w14:paraId="6530A7FE"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En este sentido, la Sala Regional Ciudad de México</w:t>
      </w:r>
      <w:r w:rsidRPr="00535A76">
        <w:rPr>
          <w:rFonts w:ascii="Arial" w:eastAsia="Calibri" w:hAnsi="Arial" w:cs="Arial"/>
          <w:sz w:val="28"/>
          <w:szCs w:val="28"/>
          <w:vertAlign w:val="superscript"/>
        </w:rPr>
        <w:footnoteReference w:id="67"/>
      </w:r>
      <w:r w:rsidRPr="00535A76">
        <w:rPr>
          <w:rFonts w:ascii="Arial" w:eastAsia="Calibri" w:hAnsi="Arial" w:cs="Arial"/>
          <w:sz w:val="28"/>
          <w:szCs w:val="28"/>
        </w:rPr>
        <w:t xml:space="preserve"> ha señalado que la paridad puede ser interpretada desde tres aristas: </w:t>
      </w:r>
    </w:p>
    <w:p w14:paraId="16A9AB53"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 Paridad como principio: constituye un parámetro de interpretación del principio de igualdad sustantiva que no admite pacto en contrario.</w:t>
      </w:r>
    </w:p>
    <w:p w14:paraId="061E445B"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 Paridad como derecho: constituye una norma jurídica concreta que las personas pueden hacer valer frente a los tribunales para evidenciar un trato discriminatorio que afecta sus derechos.</w:t>
      </w:r>
    </w:p>
    <w:p w14:paraId="5231092F"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 Paridad como regla procedimental: se traduce en la aplicación de criterios, reglas o procedimientos para cumplir con el mandato de igualdad sustantiva.</w:t>
      </w:r>
    </w:p>
    <w:p w14:paraId="3E3A3DC5"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 xml:space="preserve">En virtud de ello, es que el propio legislador local ha implementado normas y procedimientos a partir de los cuales se pretenda garantizar el principio de paridad en la postulación de las candidaturas a los cargos públicos. </w:t>
      </w:r>
    </w:p>
    <w:p w14:paraId="5B608568" w14:textId="77777777" w:rsidR="00535A76" w:rsidRPr="00535A76" w:rsidRDefault="00535A76" w:rsidP="00535A76">
      <w:pPr>
        <w:spacing w:before="100" w:beforeAutospacing="1" w:after="100" w:afterAutospacing="1" w:line="360" w:lineRule="auto"/>
        <w:jc w:val="both"/>
        <w:rPr>
          <w:rFonts w:ascii="Arial" w:eastAsia="Calibri" w:hAnsi="Arial" w:cs="Arial"/>
          <w:b/>
          <w:bCs/>
          <w:sz w:val="28"/>
          <w:szCs w:val="28"/>
        </w:rPr>
      </w:pPr>
      <w:r w:rsidRPr="00535A76">
        <w:rPr>
          <w:rFonts w:ascii="Arial" w:eastAsia="Calibri" w:hAnsi="Arial" w:cs="Arial"/>
          <w:b/>
          <w:bCs/>
          <w:sz w:val="28"/>
          <w:szCs w:val="28"/>
        </w:rPr>
        <w:t>- Paridad de género en asignación de diputaciones por representación proporcional</w:t>
      </w:r>
    </w:p>
    <w:p w14:paraId="20EAD4A1"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Así, en el caso concreto, tal como se ha señalado en la propia sentencia aprobada, en los artículos 24, fracciones III, IV y V, y 25, fracción I, del Código Electoral</w:t>
      </w:r>
      <w:r w:rsidRPr="00535A76">
        <w:rPr>
          <w:rFonts w:ascii="Arial" w:eastAsia="Calibri" w:hAnsi="Arial" w:cs="Arial"/>
          <w:sz w:val="28"/>
          <w:szCs w:val="28"/>
          <w:vertAlign w:val="superscript"/>
        </w:rPr>
        <w:footnoteReference w:id="68"/>
      </w:r>
      <w:r w:rsidRPr="00535A76">
        <w:rPr>
          <w:rFonts w:ascii="Arial" w:eastAsia="Calibri" w:hAnsi="Arial" w:cs="Arial"/>
          <w:sz w:val="28"/>
          <w:szCs w:val="28"/>
        </w:rPr>
        <w:t xml:space="preserve">, para la designación de </w:t>
      </w:r>
      <w:r w:rsidRPr="00535A76">
        <w:rPr>
          <w:rFonts w:ascii="Arial" w:eastAsia="Calibri" w:hAnsi="Arial" w:cs="Arial"/>
          <w:sz w:val="28"/>
          <w:szCs w:val="28"/>
        </w:rPr>
        <w:lastRenderedPageBreak/>
        <w:t>diputaciones por el principio de representación proporcional, establecen:</w:t>
      </w:r>
    </w:p>
    <w:p w14:paraId="6BEBE2E7"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 Una Lista “A” con diecisiete fórmulas de candidaturas a las diputaciones: propietario y suplente del mismo género.</w:t>
      </w:r>
    </w:p>
    <w:p w14:paraId="536C9D85"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 Una Lista “B” formada con diecisiete fórmulas, de candidaturas a las diputaciones que no lograron el triunfo en la elección por el principio de mayoría relativa del distrito en que participaron, pero que alcanzaron a nivel distrital los mayores porcentajes de la votación local emitida, comparados respecto de otras fórmulas de su propio partido en esa misma elección.</w:t>
      </w:r>
    </w:p>
    <w:p w14:paraId="08E3DCD9"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 Una Lista Definitiva constituida a partir del resultado de intercalar las fórmulas de candidatos de las Listas "A" y "B".</w:t>
      </w:r>
    </w:p>
    <w:p w14:paraId="289C2908"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Con la finalidad de garantizar la paridad de género en su integración, en esos mismos preceptos legales se establece que las citadas listas deberán integrarse bajo los parámetros siguientes:</w:t>
      </w:r>
    </w:p>
    <w:p w14:paraId="09DED43A"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-Lista “A”: las fórmulas deberán listarse en orden de prelación alternando fórmulas de género distinto de manera sucesiva, de las cuales 4 deberán estar integradas por jóvenes de dieciocho a treinta y cinco años.</w:t>
      </w:r>
    </w:p>
    <w:p w14:paraId="44807103"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 Lista “B”: una vez que se determinó el primer lugar de esta lista, el segundo lugar será ocupado por la fórmula del otro género con mayor porcentaje de la votación local emitida, e irán intercalando de esta manera hasta concluir la integración de la lista.</w:t>
      </w:r>
    </w:p>
    <w:p w14:paraId="0E7C65EC"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 xml:space="preserve">- Lista Definitiva: que será encabezada siempre por la primera fórmula de la Lista "A". Tal intercalado podrá generar bloques </w:t>
      </w:r>
      <w:r w:rsidRPr="00535A76">
        <w:rPr>
          <w:rFonts w:ascii="Arial" w:eastAsia="Calibri" w:hAnsi="Arial" w:cs="Arial"/>
          <w:b/>
          <w:bCs/>
          <w:sz w:val="28"/>
          <w:szCs w:val="28"/>
        </w:rPr>
        <w:t xml:space="preserve">de </w:t>
      </w:r>
      <w:r w:rsidRPr="00535A76">
        <w:rPr>
          <w:rFonts w:ascii="Arial" w:eastAsia="Calibri" w:hAnsi="Arial" w:cs="Arial"/>
          <w:b/>
          <w:bCs/>
          <w:sz w:val="28"/>
          <w:szCs w:val="28"/>
        </w:rPr>
        <w:lastRenderedPageBreak/>
        <w:t>hasta dos fórmulas del mismo género</w:t>
      </w:r>
      <w:r w:rsidRPr="00535A76">
        <w:rPr>
          <w:rFonts w:ascii="Arial" w:eastAsia="Calibri" w:hAnsi="Arial" w:cs="Arial"/>
          <w:sz w:val="28"/>
          <w:szCs w:val="28"/>
        </w:rPr>
        <w:t>, pero de diferente lista de origen.</w:t>
      </w:r>
    </w:p>
    <w:p w14:paraId="555EBC71"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Esto es, las listas de candidatos por el principio de representación proporcional, tanto “A” como “B”, se deben integrar con fórmulas compuestas, cada una, por un propietario y un suplente del mismo género, y se deben alternar estas fórmulas de distinto género, para garantizar el principio de paridad.</w:t>
      </w:r>
    </w:p>
    <w:p w14:paraId="2E700D40"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Por tanto, la lista definitiva de candidaturas a diputaciones de cada uno de los partidos políticos se conforma intercalando las fórmulas de candidaturas que constituyen las listas "A" y "B", iniciando con la primera fórmula registrada en la lista "A" (primera asignación), seguida por la primera fórmula de la lista "B" (segunda asignación); a continuación la segunda fórmula de la lista “A”; la asignación siguiente corresponde a la fórmula la lista “B”, con más alto porcentaje de votación, pero debe ser de género distinto a los integrantes de la misma fórmula “B” que recibió la primera asignación, segunda en la lista definitiva, y así sucesivamente, hasta agotar el número de diputaciones a asignar a cada partido político, pudiendo generar bloques de hasta dos fórmulas del mismo género, pero siempre de diferente lista de origen.</w:t>
      </w:r>
    </w:p>
    <w:p w14:paraId="1BB90DB2" w14:textId="77777777" w:rsidR="00535A76" w:rsidRPr="00535A76" w:rsidRDefault="00535A76" w:rsidP="009B6ED0">
      <w:pPr>
        <w:numPr>
          <w:ilvl w:val="0"/>
          <w:numId w:val="41"/>
        </w:numPr>
        <w:spacing w:after="160" w:line="360" w:lineRule="auto"/>
        <w:jc w:val="both"/>
        <w:rPr>
          <w:rFonts w:ascii="Arial" w:eastAsia="Calibri" w:hAnsi="Arial" w:cs="Segoe UI"/>
          <w:b/>
          <w:sz w:val="28"/>
          <w:szCs w:val="18"/>
        </w:rPr>
      </w:pPr>
      <w:r w:rsidRPr="00535A76">
        <w:rPr>
          <w:rFonts w:ascii="Arial" w:eastAsia="Calibri" w:hAnsi="Arial" w:cs="Segoe UI"/>
          <w:b/>
          <w:sz w:val="28"/>
          <w:szCs w:val="18"/>
        </w:rPr>
        <w:t>Caso concreto</w:t>
      </w:r>
    </w:p>
    <w:p w14:paraId="254F170B"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 xml:space="preserve">El diseño legal para el procedimiento de asignación de diputaciones por el principio de representación proporcional establece que la integración de la lista definitiva dependerá de la existencia de dos listas previas, la llamada Lista A y la diversa B, una de ellas depende de la determinación interna a la que tienen derecho los partidos políticos </w:t>
      </w:r>
      <w:r w:rsidRPr="00535A76">
        <w:rPr>
          <w:rFonts w:ascii="Arial" w:eastAsia="Calibri" w:hAnsi="Arial" w:cs="Arial"/>
          <w:bCs/>
          <w:sz w:val="28"/>
        </w:rPr>
        <w:t>─</w:t>
      </w:r>
      <w:r w:rsidRPr="00535A76">
        <w:rPr>
          <w:rFonts w:ascii="Arial" w:eastAsia="Calibri" w:hAnsi="Arial" w:cs="Times New Roman"/>
          <w:bCs/>
          <w:sz w:val="28"/>
        </w:rPr>
        <w:t>a partir de su derecho de autodeterminación</w:t>
      </w:r>
      <w:r w:rsidRPr="00535A76">
        <w:rPr>
          <w:rFonts w:ascii="Arial" w:eastAsia="Calibri" w:hAnsi="Arial" w:cs="Arial"/>
          <w:bCs/>
          <w:sz w:val="28"/>
        </w:rPr>
        <w:t>─</w:t>
      </w:r>
      <w:r w:rsidRPr="00535A76">
        <w:rPr>
          <w:rFonts w:ascii="Arial" w:eastAsia="Calibri" w:hAnsi="Arial" w:cs="Times New Roman"/>
          <w:bCs/>
          <w:sz w:val="28"/>
        </w:rPr>
        <w:t xml:space="preserve"> y la otra atiende el sentido del voto de la ciudadanía, de tal manera </w:t>
      </w:r>
      <w:r w:rsidRPr="00535A76">
        <w:rPr>
          <w:rFonts w:ascii="Arial" w:eastAsia="Calibri" w:hAnsi="Arial" w:cs="Times New Roman"/>
          <w:bCs/>
          <w:sz w:val="28"/>
        </w:rPr>
        <w:lastRenderedPageBreak/>
        <w:t xml:space="preserve">que aquellas persona candidatas que si bien no obtuvieron el primer lugar que les permitiera ocupar una diputación por el principio de mayoría relativa, lo cierto es que sí tienen un porcentaje de votación suficiente que les abre la posibilidad de integrar una diputación por el principio de representación proporcional, de tal forma que su integración alude a lo que la Sala Superior ha determinado como principio democrático. </w:t>
      </w:r>
    </w:p>
    <w:p w14:paraId="6633CF5E"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 xml:space="preserve">Las reglas para hacer esta tercera lista </w:t>
      </w:r>
      <w:r w:rsidRPr="00535A76">
        <w:rPr>
          <w:rFonts w:ascii="Arial" w:eastAsia="Calibri" w:hAnsi="Arial" w:cs="Arial"/>
          <w:bCs/>
          <w:sz w:val="28"/>
        </w:rPr>
        <w:t>─</w:t>
      </w:r>
      <w:r w:rsidRPr="00535A76">
        <w:rPr>
          <w:rFonts w:ascii="Arial" w:eastAsia="Calibri" w:hAnsi="Arial" w:cs="Times New Roman"/>
          <w:bCs/>
          <w:sz w:val="28"/>
        </w:rPr>
        <w:t>definitiva</w:t>
      </w:r>
      <w:r w:rsidRPr="00535A76">
        <w:rPr>
          <w:rFonts w:ascii="Arial" w:eastAsia="Calibri" w:hAnsi="Arial" w:cs="Arial"/>
          <w:bCs/>
          <w:sz w:val="28"/>
        </w:rPr>
        <w:t>─</w:t>
      </w:r>
      <w:r w:rsidRPr="00535A76">
        <w:rPr>
          <w:rFonts w:ascii="Arial" w:eastAsia="Calibri" w:hAnsi="Arial" w:cs="Times New Roman"/>
          <w:bCs/>
          <w:sz w:val="28"/>
        </w:rPr>
        <w:t xml:space="preserve"> han quedado explicadas con antelación, pero de manera destacada quiero mencionar que la ley señala, de forma textual:</w:t>
      </w:r>
    </w:p>
    <w:p w14:paraId="6CA74933" w14:textId="77777777" w:rsidR="00535A76" w:rsidRPr="00535A76" w:rsidRDefault="00535A76" w:rsidP="00535A76">
      <w:pPr>
        <w:ind w:left="567" w:right="533"/>
        <w:jc w:val="both"/>
        <w:rPr>
          <w:rFonts w:ascii="Arial" w:eastAsia="Calibri" w:hAnsi="Arial" w:cs="Times New Roman"/>
          <w:bCs/>
          <w:i/>
          <w:iCs/>
          <w:sz w:val="24"/>
          <w:szCs w:val="24"/>
        </w:rPr>
      </w:pPr>
      <w:r w:rsidRPr="00535A76">
        <w:rPr>
          <w:rFonts w:ascii="Arial" w:eastAsia="Calibri" w:hAnsi="Arial" w:cs="Times New Roman"/>
          <w:bCs/>
          <w:i/>
          <w:iCs/>
          <w:sz w:val="24"/>
          <w:szCs w:val="24"/>
        </w:rPr>
        <w:t>“Artículo 24. (…)</w:t>
      </w:r>
    </w:p>
    <w:p w14:paraId="68B013A0" w14:textId="77777777" w:rsidR="00535A76" w:rsidRPr="00535A76" w:rsidRDefault="00535A76" w:rsidP="00535A76">
      <w:pPr>
        <w:ind w:left="567" w:right="533"/>
        <w:jc w:val="both"/>
        <w:rPr>
          <w:rFonts w:ascii="Arial" w:eastAsia="Calibri" w:hAnsi="Arial" w:cs="Times New Roman"/>
          <w:bCs/>
          <w:i/>
          <w:iCs/>
          <w:sz w:val="24"/>
          <w:szCs w:val="24"/>
        </w:rPr>
      </w:pPr>
      <w:r w:rsidRPr="00535A76">
        <w:rPr>
          <w:rFonts w:ascii="Arial" w:eastAsia="Calibri" w:hAnsi="Arial" w:cs="Times New Roman"/>
          <w:b/>
          <w:i/>
          <w:iCs/>
          <w:sz w:val="24"/>
          <w:szCs w:val="24"/>
        </w:rPr>
        <w:t>IV. Lista “B”:</w:t>
      </w:r>
      <w:r w:rsidRPr="00535A76">
        <w:rPr>
          <w:rFonts w:ascii="Arial" w:eastAsia="Calibri" w:hAnsi="Arial" w:cs="Times New Roman"/>
          <w:bCs/>
          <w:i/>
          <w:iCs/>
          <w:sz w:val="24"/>
          <w:szCs w:val="24"/>
        </w:rPr>
        <w:t xml:space="preserve"> Relación de diecisiete fórmulas de candidaturas a las diputaciones que no lograron el triunfo en la elección por el principio de mayoría relativa del distrito en que participaron, pero que alcanzaron a nivel distrital los mayores porcentajes de la votación local emitida, comparados respecto de otras fórmulas de su propio partido en esa misma elección; con la finalidad de garantizar la paridad de género, una vez que se determinó el primer lugar de ésta lista, el segundo lugar será ocupado por la fórmula del otro género con mayor porcentaje de la votación local emitida, e irán intercalando de esta manera hasta concluir la integración de la lista.</w:t>
      </w:r>
    </w:p>
    <w:p w14:paraId="45EDC2C2" w14:textId="77777777" w:rsidR="00535A76" w:rsidRPr="00535A76" w:rsidRDefault="00535A76" w:rsidP="00535A76">
      <w:pPr>
        <w:ind w:left="567" w:right="533"/>
        <w:jc w:val="both"/>
        <w:rPr>
          <w:rFonts w:ascii="Arial" w:eastAsia="Calibri" w:hAnsi="Arial" w:cs="Times New Roman"/>
          <w:bCs/>
          <w:i/>
          <w:iCs/>
          <w:sz w:val="24"/>
          <w:szCs w:val="24"/>
        </w:rPr>
      </w:pPr>
      <w:r w:rsidRPr="00535A76">
        <w:rPr>
          <w:rFonts w:ascii="Arial" w:eastAsia="Calibri" w:hAnsi="Arial" w:cs="Times New Roman"/>
          <w:b/>
          <w:i/>
          <w:iCs/>
          <w:sz w:val="24"/>
          <w:szCs w:val="24"/>
        </w:rPr>
        <w:t>V. Lista Definitiva</w:t>
      </w:r>
      <w:r w:rsidRPr="00535A76">
        <w:rPr>
          <w:rFonts w:ascii="Arial" w:eastAsia="Calibri" w:hAnsi="Arial" w:cs="Times New Roman"/>
          <w:bCs/>
          <w:i/>
          <w:iCs/>
          <w:sz w:val="24"/>
          <w:szCs w:val="24"/>
        </w:rPr>
        <w:t xml:space="preserve">, es el resultado de intercalar las fórmulas de candidatos de las Listas "A" y "B", que será encabezada siempre por la primera fórmula de la Lista "A". Tal intercalado </w:t>
      </w:r>
      <w:r w:rsidRPr="00535A76">
        <w:rPr>
          <w:rFonts w:ascii="Arial" w:eastAsia="Calibri" w:hAnsi="Arial" w:cs="Times New Roman"/>
          <w:b/>
          <w:i/>
          <w:iCs/>
          <w:sz w:val="24"/>
          <w:szCs w:val="24"/>
        </w:rPr>
        <w:t>podrá generar bloques de hasta dos fórmulas del mismo género</w:t>
      </w:r>
      <w:r w:rsidRPr="00535A76">
        <w:rPr>
          <w:rFonts w:ascii="Arial" w:eastAsia="Calibri" w:hAnsi="Arial" w:cs="Times New Roman"/>
          <w:bCs/>
          <w:i/>
          <w:iCs/>
          <w:sz w:val="24"/>
          <w:szCs w:val="24"/>
        </w:rPr>
        <w:t>, pero de diferente lista de origen.</w:t>
      </w:r>
    </w:p>
    <w:p w14:paraId="4D5559F4" w14:textId="77777777" w:rsidR="00535A76" w:rsidRPr="00535A76" w:rsidRDefault="00535A76" w:rsidP="00535A76">
      <w:pPr>
        <w:ind w:left="567" w:right="533"/>
        <w:jc w:val="both"/>
        <w:rPr>
          <w:rFonts w:ascii="Arial" w:eastAsia="Calibri" w:hAnsi="Arial" w:cs="Times New Roman"/>
          <w:bCs/>
          <w:i/>
          <w:iCs/>
          <w:sz w:val="24"/>
          <w:szCs w:val="24"/>
        </w:rPr>
      </w:pPr>
      <w:r w:rsidRPr="00535A76">
        <w:rPr>
          <w:rFonts w:ascii="Arial" w:eastAsia="Calibri" w:hAnsi="Arial" w:cs="Times New Roman"/>
          <w:bCs/>
          <w:i/>
          <w:iCs/>
          <w:sz w:val="24"/>
          <w:szCs w:val="24"/>
        </w:rPr>
        <w:t>(…)”.</w:t>
      </w:r>
    </w:p>
    <w:p w14:paraId="5E68B86F" w14:textId="77777777" w:rsidR="00535A76" w:rsidRPr="00535A76" w:rsidRDefault="00535A76" w:rsidP="00535A76">
      <w:pPr>
        <w:ind w:left="567" w:right="533"/>
        <w:jc w:val="both"/>
        <w:rPr>
          <w:rFonts w:ascii="Arial" w:eastAsia="Calibri" w:hAnsi="Arial" w:cs="Times New Roman"/>
          <w:b/>
          <w:sz w:val="24"/>
          <w:szCs w:val="24"/>
        </w:rPr>
      </w:pPr>
      <w:r w:rsidRPr="00535A76">
        <w:rPr>
          <w:rFonts w:ascii="Arial" w:eastAsia="Calibri" w:hAnsi="Arial" w:cs="Times New Roman"/>
          <w:b/>
          <w:sz w:val="24"/>
          <w:szCs w:val="24"/>
        </w:rPr>
        <w:t>Énfasis añadido</w:t>
      </w:r>
    </w:p>
    <w:p w14:paraId="72786F82" w14:textId="77777777" w:rsidR="00535A76" w:rsidRPr="00535A76" w:rsidRDefault="00535A76" w:rsidP="00535A76">
      <w:pPr>
        <w:spacing w:line="360" w:lineRule="auto"/>
        <w:jc w:val="both"/>
        <w:rPr>
          <w:rFonts w:ascii="Arial" w:eastAsia="Calibri" w:hAnsi="Arial" w:cs="Times New Roman"/>
          <w:bCs/>
          <w:sz w:val="20"/>
          <w:szCs w:val="20"/>
        </w:rPr>
      </w:pPr>
    </w:p>
    <w:p w14:paraId="115AD1BB"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En ese sentido, en mi consideración, advierto que la generación de la lista definitiva correspondiente a MORENA por parte del Instituto Electoral se apegó a la disposición legal en comento, al haber contemplado esta distribución:</w:t>
      </w:r>
    </w:p>
    <w:tbl>
      <w:tblPr>
        <w:tblStyle w:val="Tablaconcuadrcula27"/>
        <w:tblW w:w="8359" w:type="dxa"/>
        <w:shd w:val="clear" w:color="auto" w:fill="7030A0"/>
        <w:tblLook w:val="04A0" w:firstRow="1" w:lastRow="0" w:firstColumn="1" w:lastColumn="0" w:noHBand="0" w:noVBand="1"/>
      </w:tblPr>
      <w:tblGrid>
        <w:gridCol w:w="1394"/>
        <w:gridCol w:w="739"/>
        <w:gridCol w:w="2394"/>
        <w:gridCol w:w="2438"/>
        <w:gridCol w:w="1394"/>
      </w:tblGrid>
      <w:tr w:rsidR="00535A76" w:rsidRPr="00535A76" w14:paraId="6A47668F" w14:textId="77777777" w:rsidTr="00535A76">
        <w:trPr>
          <w:tblHeader/>
        </w:trPr>
        <w:tc>
          <w:tcPr>
            <w:tcW w:w="8359" w:type="dxa"/>
            <w:gridSpan w:val="5"/>
            <w:shd w:val="clear" w:color="auto" w:fill="7030A0"/>
          </w:tcPr>
          <w:p w14:paraId="642C9E04" w14:textId="3921E3DC" w:rsidR="00535A76" w:rsidRDefault="00535A76" w:rsidP="00535A76">
            <w:pPr>
              <w:spacing w:after="0"/>
              <w:jc w:val="center"/>
              <w:rPr>
                <w:rFonts w:ascii="Arial" w:eastAsia="Calibri" w:hAnsi="Arial" w:cs="Arial"/>
                <w:b/>
                <w:bCs/>
                <w:color w:val="FFFFFF"/>
                <w:sz w:val="16"/>
                <w:szCs w:val="16"/>
              </w:rPr>
            </w:pPr>
            <w:r w:rsidRPr="00535A76">
              <w:rPr>
                <w:rFonts w:ascii="Arial" w:eastAsia="Calibri" w:hAnsi="Arial" w:cs="Arial"/>
                <w:b/>
                <w:bCs/>
                <w:color w:val="FFFFFF"/>
                <w:sz w:val="16"/>
                <w:szCs w:val="16"/>
              </w:rPr>
              <w:lastRenderedPageBreak/>
              <w:t>LISTA DEFINITIVA</w:t>
            </w:r>
          </w:p>
          <w:p w14:paraId="642F3CD9" w14:textId="77777777" w:rsidR="00535A76" w:rsidRPr="00535A76" w:rsidRDefault="00535A76" w:rsidP="00535A76">
            <w:pPr>
              <w:spacing w:after="0"/>
              <w:jc w:val="center"/>
              <w:rPr>
                <w:rFonts w:ascii="Arial" w:eastAsia="Calibri" w:hAnsi="Arial" w:cs="Arial"/>
                <w:b/>
                <w:bCs/>
                <w:color w:val="FFFFFF"/>
                <w:sz w:val="16"/>
                <w:szCs w:val="16"/>
              </w:rPr>
            </w:pPr>
          </w:p>
          <w:p w14:paraId="1EB6EA4E" w14:textId="77777777" w:rsidR="00535A76" w:rsidRPr="00535A76" w:rsidRDefault="00535A76" w:rsidP="00535A76">
            <w:pPr>
              <w:spacing w:after="0"/>
              <w:jc w:val="center"/>
              <w:rPr>
                <w:rFonts w:ascii="Arial" w:eastAsia="Calibri" w:hAnsi="Arial" w:cs="Arial"/>
                <w:b/>
                <w:bCs/>
                <w:color w:val="FFFFFF"/>
                <w:sz w:val="16"/>
                <w:szCs w:val="16"/>
              </w:rPr>
            </w:pPr>
            <w:r w:rsidRPr="00535A76">
              <w:rPr>
                <w:rFonts w:ascii="Arial" w:eastAsia="Calibri" w:hAnsi="Arial" w:cs="Arial"/>
                <w:b/>
                <w:bCs/>
                <w:color w:val="FFFFFF"/>
                <w:sz w:val="16"/>
                <w:szCs w:val="16"/>
              </w:rPr>
              <w:t>PARTIDO MORENA</w:t>
            </w:r>
          </w:p>
        </w:tc>
      </w:tr>
      <w:tr w:rsidR="00535A76" w:rsidRPr="00535A76" w14:paraId="1288B2BC" w14:textId="77777777" w:rsidTr="00535A76">
        <w:tblPrEx>
          <w:shd w:val="clear" w:color="auto" w:fill="auto"/>
        </w:tblPrEx>
        <w:trPr>
          <w:trHeight w:val="606"/>
          <w:tblHeader/>
        </w:trPr>
        <w:tc>
          <w:tcPr>
            <w:tcW w:w="1394" w:type="dxa"/>
            <w:shd w:val="clear" w:color="auto" w:fill="A6A6A6"/>
          </w:tcPr>
          <w:p w14:paraId="50366CF1" w14:textId="77777777" w:rsidR="00535A76" w:rsidRPr="00535A76" w:rsidRDefault="00535A76" w:rsidP="00535A76">
            <w:pPr>
              <w:jc w:val="center"/>
              <w:rPr>
                <w:rFonts w:ascii="Arial" w:eastAsia="Calibri" w:hAnsi="Arial" w:cs="Arial"/>
                <w:b/>
                <w:bCs/>
                <w:sz w:val="16"/>
                <w:szCs w:val="16"/>
              </w:rPr>
            </w:pPr>
            <w:r w:rsidRPr="00535A76">
              <w:rPr>
                <w:rFonts w:ascii="Arial" w:eastAsia="Calibri" w:hAnsi="Arial" w:cs="Arial"/>
                <w:b/>
                <w:bCs/>
                <w:sz w:val="16"/>
                <w:szCs w:val="16"/>
              </w:rPr>
              <w:t>FÓRMULA</w:t>
            </w:r>
          </w:p>
        </w:tc>
        <w:tc>
          <w:tcPr>
            <w:tcW w:w="739" w:type="dxa"/>
            <w:shd w:val="clear" w:color="auto" w:fill="A6A6A6"/>
          </w:tcPr>
          <w:p w14:paraId="52FE3018" w14:textId="77777777" w:rsidR="00535A76" w:rsidRPr="00535A76" w:rsidRDefault="00535A76" w:rsidP="00535A76">
            <w:pPr>
              <w:jc w:val="center"/>
              <w:rPr>
                <w:rFonts w:ascii="Arial" w:eastAsia="Calibri" w:hAnsi="Arial" w:cs="Arial"/>
                <w:b/>
                <w:bCs/>
                <w:sz w:val="16"/>
                <w:szCs w:val="16"/>
              </w:rPr>
            </w:pPr>
            <w:r w:rsidRPr="00535A76">
              <w:rPr>
                <w:rFonts w:ascii="Arial" w:eastAsia="Calibri" w:hAnsi="Arial" w:cs="Arial"/>
                <w:b/>
                <w:bCs/>
                <w:sz w:val="16"/>
                <w:szCs w:val="16"/>
              </w:rPr>
              <w:t>SEXO</w:t>
            </w:r>
          </w:p>
        </w:tc>
        <w:tc>
          <w:tcPr>
            <w:tcW w:w="2394" w:type="dxa"/>
            <w:shd w:val="clear" w:color="auto" w:fill="A6A6A6"/>
          </w:tcPr>
          <w:p w14:paraId="7C87DAB0" w14:textId="3913B0F8" w:rsidR="00535A76" w:rsidRDefault="00535A76" w:rsidP="00535A76">
            <w:pPr>
              <w:spacing w:after="0"/>
              <w:jc w:val="center"/>
              <w:rPr>
                <w:rFonts w:ascii="Arial" w:eastAsia="Calibri" w:hAnsi="Arial" w:cs="Arial"/>
                <w:b/>
                <w:bCs/>
                <w:sz w:val="16"/>
                <w:szCs w:val="16"/>
              </w:rPr>
            </w:pPr>
            <w:r w:rsidRPr="00535A76">
              <w:rPr>
                <w:rFonts w:ascii="Arial" w:eastAsia="Calibri" w:hAnsi="Arial" w:cs="Arial"/>
                <w:b/>
                <w:bCs/>
                <w:sz w:val="16"/>
                <w:szCs w:val="16"/>
              </w:rPr>
              <w:t>CANDIDATURAS</w:t>
            </w:r>
          </w:p>
          <w:p w14:paraId="4378FE7F" w14:textId="77777777" w:rsidR="00535A76" w:rsidRPr="00535A76" w:rsidRDefault="00535A76" w:rsidP="00535A76">
            <w:pPr>
              <w:spacing w:after="0"/>
              <w:jc w:val="center"/>
              <w:rPr>
                <w:rFonts w:ascii="Arial" w:eastAsia="Calibri" w:hAnsi="Arial" w:cs="Arial"/>
                <w:b/>
                <w:bCs/>
                <w:sz w:val="16"/>
                <w:szCs w:val="16"/>
              </w:rPr>
            </w:pPr>
          </w:p>
          <w:p w14:paraId="02DD8734" w14:textId="77777777" w:rsidR="00535A76" w:rsidRPr="00535A76" w:rsidRDefault="00535A76" w:rsidP="00535A76">
            <w:pPr>
              <w:spacing w:after="0"/>
              <w:jc w:val="center"/>
              <w:rPr>
                <w:rFonts w:ascii="Arial" w:eastAsia="Calibri" w:hAnsi="Arial" w:cs="Arial"/>
                <w:b/>
                <w:bCs/>
                <w:sz w:val="16"/>
                <w:szCs w:val="16"/>
              </w:rPr>
            </w:pPr>
            <w:r w:rsidRPr="00535A76">
              <w:rPr>
                <w:rFonts w:ascii="Arial" w:eastAsia="Calibri" w:hAnsi="Arial" w:cs="Arial"/>
                <w:b/>
                <w:bCs/>
                <w:sz w:val="16"/>
                <w:szCs w:val="16"/>
              </w:rPr>
              <w:t>PROPIETARIAS</w:t>
            </w:r>
          </w:p>
        </w:tc>
        <w:tc>
          <w:tcPr>
            <w:tcW w:w="2438" w:type="dxa"/>
            <w:shd w:val="clear" w:color="auto" w:fill="A6A6A6"/>
          </w:tcPr>
          <w:p w14:paraId="079893B6" w14:textId="13C83744" w:rsidR="00535A76" w:rsidRDefault="00535A76" w:rsidP="00535A76">
            <w:pPr>
              <w:spacing w:after="0"/>
              <w:jc w:val="center"/>
              <w:rPr>
                <w:rFonts w:ascii="Arial" w:eastAsia="Calibri" w:hAnsi="Arial" w:cs="Arial"/>
                <w:b/>
                <w:bCs/>
                <w:sz w:val="16"/>
                <w:szCs w:val="16"/>
              </w:rPr>
            </w:pPr>
            <w:r w:rsidRPr="00535A76">
              <w:rPr>
                <w:rFonts w:ascii="Arial" w:eastAsia="Calibri" w:hAnsi="Arial" w:cs="Arial"/>
                <w:b/>
                <w:bCs/>
                <w:sz w:val="16"/>
                <w:szCs w:val="16"/>
              </w:rPr>
              <w:t>CANDIDATURAS</w:t>
            </w:r>
          </w:p>
          <w:p w14:paraId="02FCD91D" w14:textId="77777777" w:rsidR="00535A76" w:rsidRPr="00535A76" w:rsidRDefault="00535A76" w:rsidP="00535A76">
            <w:pPr>
              <w:spacing w:after="0"/>
              <w:jc w:val="center"/>
              <w:rPr>
                <w:rFonts w:ascii="Arial" w:eastAsia="Calibri" w:hAnsi="Arial" w:cs="Arial"/>
                <w:b/>
                <w:bCs/>
                <w:sz w:val="16"/>
                <w:szCs w:val="16"/>
              </w:rPr>
            </w:pPr>
          </w:p>
          <w:p w14:paraId="03675AFB" w14:textId="77777777" w:rsidR="00535A76" w:rsidRPr="00535A76" w:rsidRDefault="00535A76" w:rsidP="00535A76">
            <w:pPr>
              <w:spacing w:after="0"/>
              <w:jc w:val="center"/>
              <w:rPr>
                <w:rFonts w:ascii="Arial" w:eastAsia="Calibri" w:hAnsi="Arial" w:cs="Arial"/>
                <w:b/>
                <w:bCs/>
                <w:sz w:val="16"/>
                <w:szCs w:val="16"/>
              </w:rPr>
            </w:pPr>
            <w:r w:rsidRPr="00535A76">
              <w:rPr>
                <w:rFonts w:ascii="Arial" w:eastAsia="Calibri" w:hAnsi="Arial" w:cs="Arial"/>
                <w:b/>
                <w:bCs/>
                <w:sz w:val="16"/>
                <w:szCs w:val="16"/>
              </w:rPr>
              <w:t>SUPLENTES</w:t>
            </w:r>
          </w:p>
        </w:tc>
        <w:tc>
          <w:tcPr>
            <w:tcW w:w="1394" w:type="dxa"/>
            <w:shd w:val="clear" w:color="auto" w:fill="A6A6A6"/>
          </w:tcPr>
          <w:p w14:paraId="2F19F996" w14:textId="77777777" w:rsidR="00535A76" w:rsidRPr="00535A76" w:rsidRDefault="00535A76" w:rsidP="00535A76">
            <w:pPr>
              <w:jc w:val="center"/>
              <w:rPr>
                <w:rFonts w:ascii="Arial" w:eastAsia="Calibri" w:hAnsi="Arial" w:cs="Arial"/>
                <w:b/>
                <w:bCs/>
                <w:sz w:val="16"/>
                <w:szCs w:val="16"/>
              </w:rPr>
            </w:pPr>
            <w:r w:rsidRPr="00535A76">
              <w:rPr>
                <w:rFonts w:ascii="Arial" w:eastAsia="Calibri" w:hAnsi="Arial" w:cs="Arial"/>
                <w:b/>
                <w:bCs/>
                <w:sz w:val="16"/>
                <w:szCs w:val="16"/>
              </w:rPr>
              <w:t>LISTA DE ORIGEN Y No. DE FÓRMULA</w:t>
            </w:r>
          </w:p>
        </w:tc>
      </w:tr>
      <w:tr w:rsidR="00535A76" w:rsidRPr="00535A76" w14:paraId="58A6A352" w14:textId="77777777" w:rsidTr="00535A76">
        <w:tblPrEx>
          <w:shd w:val="clear" w:color="auto" w:fill="auto"/>
        </w:tblPrEx>
        <w:tc>
          <w:tcPr>
            <w:tcW w:w="1394" w:type="dxa"/>
          </w:tcPr>
          <w:p w14:paraId="213D8E92"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1</w:t>
            </w:r>
          </w:p>
        </w:tc>
        <w:tc>
          <w:tcPr>
            <w:tcW w:w="739" w:type="dxa"/>
          </w:tcPr>
          <w:p w14:paraId="51933A53"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H</w:t>
            </w:r>
          </w:p>
        </w:tc>
        <w:tc>
          <w:tcPr>
            <w:tcW w:w="2394" w:type="dxa"/>
          </w:tcPr>
          <w:p w14:paraId="18316057"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José de Jesús del Campo Castañeda</w:t>
            </w:r>
          </w:p>
        </w:tc>
        <w:tc>
          <w:tcPr>
            <w:tcW w:w="2438" w:type="dxa"/>
          </w:tcPr>
          <w:p w14:paraId="3949A972"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Luis Bravo Pérez</w:t>
            </w:r>
          </w:p>
        </w:tc>
        <w:tc>
          <w:tcPr>
            <w:tcW w:w="1394" w:type="dxa"/>
          </w:tcPr>
          <w:p w14:paraId="59F64AF6"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1A</w:t>
            </w:r>
          </w:p>
        </w:tc>
      </w:tr>
      <w:tr w:rsidR="00535A76" w:rsidRPr="00535A76" w14:paraId="5B53CD2A" w14:textId="77777777" w:rsidTr="00535A76">
        <w:tblPrEx>
          <w:shd w:val="clear" w:color="auto" w:fill="auto"/>
        </w:tblPrEx>
        <w:tc>
          <w:tcPr>
            <w:tcW w:w="1394" w:type="dxa"/>
          </w:tcPr>
          <w:p w14:paraId="0BD46678"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2</w:t>
            </w:r>
          </w:p>
        </w:tc>
        <w:tc>
          <w:tcPr>
            <w:tcW w:w="739" w:type="dxa"/>
          </w:tcPr>
          <w:p w14:paraId="6E6BCFB9"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M</w:t>
            </w:r>
          </w:p>
        </w:tc>
        <w:tc>
          <w:tcPr>
            <w:tcW w:w="2394" w:type="dxa"/>
          </w:tcPr>
          <w:p w14:paraId="390CED02" w14:textId="77777777" w:rsidR="00535A76" w:rsidRPr="00535A76" w:rsidRDefault="00535A76" w:rsidP="00535A76">
            <w:pPr>
              <w:jc w:val="center"/>
              <w:rPr>
                <w:rFonts w:ascii="Arial" w:eastAsia="Calibri" w:hAnsi="Arial" w:cs="Arial"/>
                <w:sz w:val="16"/>
                <w:szCs w:val="16"/>
              </w:rPr>
            </w:pPr>
            <w:proofErr w:type="spellStart"/>
            <w:r w:rsidRPr="00535A76">
              <w:rPr>
                <w:rFonts w:ascii="Arial" w:eastAsia="Calibri" w:hAnsi="Arial" w:cs="Arial"/>
                <w:sz w:val="16"/>
                <w:szCs w:val="16"/>
              </w:rPr>
              <w:t>Yuriri</w:t>
            </w:r>
            <w:proofErr w:type="spellEnd"/>
            <w:r w:rsidRPr="00535A76">
              <w:rPr>
                <w:rFonts w:ascii="Arial" w:eastAsia="Calibri" w:hAnsi="Arial" w:cs="Arial"/>
                <w:sz w:val="16"/>
                <w:szCs w:val="16"/>
              </w:rPr>
              <w:t xml:space="preserve"> Ayala Zúñiga</w:t>
            </w:r>
          </w:p>
        </w:tc>
        <w:tc>
          <w:tcPr>
            <w:tcW w:w="2438" w:type="dxa"/>
          </w:tcPr>
          <w:p w14:paraId="3FED48DB"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Sandy Hernández Mercado</w:t>
            </w:r>
          </w:p>
        </w:tc>
        <w:tc>
          <w:tcPr>
            <w:tcW w:w="1394" w:type="dxa"/>
          </w:tcPr>
          <w:p w14:paraId="0D10DF51"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1B</w:t>
            </w:r>
          </w:p>
        </w:tc>
      </w:tr>
      <w:tr w:rsidR="00535A76" w:rsidRPr="00535A76" w14:paraId="454A658C" w14:textId="77777777" w:rsidTr="00535A76">
        <w:tblPrEx>
          <w:shd w:val="clear" w:color="auto" w:fill="auto"/>
        </w:tblPrEx>
        <w:tc>
          <w:tcPr>
            <w:tcW w:w="1394" w:type="dxa"/>
          </w:tcPr>
          <w:p w14:paraId="38F29A93"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3</w:t>
            </w:r>
          </w:p>
        </w:tc>
        <w:tc>
          <w:tcPr>
            <w:tcW w:w="739" w:type="dxa"/>
          </w:tcPr>
          <w:p w14:paraId="4E20DCD5"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M</w:t>
            </w:r>
          </w:p>
        </w:tc>
        <w:tc>
          <w:tcPr>
            <w:tcW w:w="2394" w:type="dxa"/>
          </w:tcPr>
          <w:p w14:paraId="5DC4B2A4"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Leticia Estrada Hernández</w:t>
            </w:r>
          </w:p>
        </w:tc>
        <w:tc>
          <w:tcPr>
            <w:tcW w:w="2438" w:type="dxa"/>
          </w:tcPr>
          <w:p w14:paraId="5E06208F"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Rosa Alejandra Rodríguez Díaz de León</w:t>
            </w:r>
          </w:p>
        </w:tc>
        <w:tc>
          <w:tcPr>
            <w:tcW w:w="1394" w:type="dxa"/>
          </w:tcPr>
          <w:p w14:paraId="2C1BE5C4"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2A</w:t>
            </w:r>
          </w:p>
        </w:tc>
      </w:tr>
      <w:tr w:rsidR="00535A76" w:rsidRPr="00535A76" w14:paraId="691D29EC" w14:textId="77777777" w:rsidTr="00535A76">
        <w:tblPrEx>
          <w:shd w:val="clear" w:color="auto" w:fill="auto"/>
        </w:tblPrEx>
        <w:tc>
          <w:tcPr>
            <w:tcW w:w="1394" w:type="dxa"/>
          </w:tcPr>
          <w:p w14:paraId="5226816D"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4</w:t>
            </w:r>
          </w:p>
        </w:tc>
        <w:tc>
          <w:tcPr>
            <w:tcW w:w="739" w:type="dxa"/>
          </w:tcPr>
          <w:p w14:paraId="2A401D13"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H</w:t>
            </w:r>
          </w:p>
        </w:tc>
        <w:tc>
          <w:tcPr>
            <w:tcW w:w="2394" w:type="dxa"/>
          </w:tcPr>
          <w:p w14:paraId="78A819A5"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Marco Antonio Temístocles Villanueva Ramos</w:t>
            </w:r>
          </w:p>
        </w:tc>
        <w:tc>
          <w:tcPr>
            <w:tcW w:w="2438" w:type="dxa"/>
          </w:tcPr>
          <w:p w14:paraId="63ECD489"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Miriam Elizabeth López Castellanos</w:t>
            </w:r>
          </w:p>
        </w:tc>
        <w:tc>
          <w:tcPr>
            <w:tcW w:w="1394" w:type="dxa"/>
          </w:tcPr>
          <w:p w14:paraId="0FA286E1"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2B</w:t>
            </w:r>
          </w:p>
        </w:tc>
      </w:tr>
      <w:tr w:rsidR="00535A76" w:rsidRPr="00535A76" w14:paraId="38CD9110" w14:textId="77777777" w:rsidTr="00535A76">
        <w:tblPrEx>
          <w:shd w:val="clear" w:color="auto" w:fill="auto"/>
        </w:tblPrEx>
        <w:tc>
          <w:tcPr>
            <w:tcW w:w="1394" w:type="dxa"/>
          </w:tcPr>
          <w:p w14:paraId="1EDE27D1"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5</w:t>
            </w:r>
          </w:p>
        </w:tc>
        <w:tc>
          <w:tcPr>
            <w:tcW w:w="739" w:type="dxa"/>
          </w:tcPr>
          <w:p w14:paraId="4BAA31AD"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H</w:t>
            </w:r>
          </w:p>
        </w:tc>
        <w:tc>
          <w:tcPr>
            <w:tcW w:w="2394" w:type="dxa"/>
          </w:tcPr>
          <w:p w14:paraId="5B408EE4"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Héctor Díaz Polanco</w:t>
            </w:r>
          </w:p>
        </w:tc>
        <w:tc>
          <w:tcPr>
            <w:tcW w:w="2438" w:type="dxa"/>
          </w:tcPr>
          <w:p w14:paraId="56B6A0E3"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Carlos Ortiz Chávez</w:t>
            </w:r>
          </w:p>
        </w:tc>
        <w:tc>
          <w:tcPr>
            <w:tcW w:w="1394" w:type="dxa"/>
          </w:tcPr>
          <w:p w14:paraId="3746F90F"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3A</w:t>
            </w:r>
          </w:p>
        </w:tc>
      </w:tr>
      <w:tr w:rsidR="00535A76" w:rsidRPr="00535A76" w14:paraId="69F3D32F" w14:textId="77777777" w:rsidTr="00535A76">
        <w:tblPrEx>
          <w:shd w:val="clear" w:color="auto" w:fill="auto"/>
        </w:tblPrEx>
        <w:tc>
          <w:tcPr>
            <w:tcW w:w="1394" w:type="dxa"/>
          </w:tcPr>
          <w:p w14:paraId="4142D9C5"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6</w:t>
            </w:r>
          </w:p>
        </w:tc>
        <w:tc>
          <w:tcPr>
            <w:tcW w:w="739" w:type="dxa"/>
          </w:tcPr>
          <w:p w14:paraId="3CA934EE"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M</w:t>
            </w:r>
          </w:p>
        </w:tc>
        <w:tc>
          <w:tcPr>
            <w:tcW w:w="2394" w:type="dxa"/>
          </w:tcPr>
          <w:p w14:paraId="42606A8C"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Valentina Valia Batres Guadarrama</w:t>
            </w:r>
          </w:p>
        </w:tc>
        <w:tc>
          <w:tcPr>
            <w:tcW w:w="2438" w:type="dxa"/>
          </w:tcPr>
          <w:p w14:paraId="07E45FC5"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Perla Guadalupe Robles Vázquez</w:t>
            </w:r>
          </w:p>
        </w:tc>
        <w:tc>
          <w:tcPr>
            <w:tcW w:w="1394" w:type="dxa"/>
          </w:tcPr>
          <w:p w14:paraId="5F3AB30D"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3B</w:t>
            </w:r>
          </w:p>
        </w:tc>
      </w:tr>
      <w:tr w:rsidR="00535A76" w:rsidRPr="00535A76" w14:paraId="62F5B046" w14:textId="77777777" w:rsidTr="00535A76">
        <w:tblPrEx>
          <w:shd w:val="clear" w:color="auto" w:fill="auto"/>
        </w:tblPrEx>
        <w:tc>
          <w:tcPr>
            <w:tcW w:w="1394" w:type="dxa"/>
          </w:tcPr>
          <w:p w14:paraId="49F9ADA1"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7</w:t>
            </w:r>
          </w:p>
        </w:tc>
        <w:tc>
          <w:tcPr>
            <w:tcW w:w="739" w:type="dxa"/>
          </w:tcPr>
          <w:p w14:paraId="0A86E77D"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M</w:t>
            </w:r>
          </w:p>
        </w:tc>
        <w:tc>
          <w:tcPr>
            <w:tcW w:w="2394" w:type="dxa"/>
          </w:tcPr>
          <w:p w14:paraId="746B4C65"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 xml:space="preserve">Ana Francis López </w:t>
            </w:r>
            <w:proofErr w:type="spellStart"/>
            <w:r w:rsidRPr="00535A76">
              <w:rPr>
                <w:rFonts w:ascii="Arial" w:eastAsia="Calibri" w:hAnsi="Arial" w:cs="Arial"/>
                <w:sz w:val="16"/>
                <w:szCs w:val="16"/>
              </w:rPr>
              <w:t>Bayghen</w:t>
            </w:r>
            <w:proofErr w:type="spellEnd"/>
          </w:p>
        </w:tc>
        <w:tc>
          <w:tcPr>
            <w:tcW w:w="2438" w:type="dxa"/>
          </w:tcPr>
          <w:p w14:paraId="535EC26A"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 xml:space="preserve">Lol </w:t>
            </w:r>
            <w:proofErr w:type="spellStart"/>
            <w:r w:rsidRPr="00535A76">
              <w:rPr>
                <w:rFonts w:ascii="Arial" w:eastAsia="Calibri" w:hAnsi="Arial" w:cs="Arial"/>
                <w:sz w:val="16"/>
                <w:szCs w:val="16"/>
              </w:rPr>
              <w:t>Kin</w:t>
            </w:r>
            <w:proofErr w:type="spellEnd"/>
            <w:r w:rsidRPr="00535A76">
              <w:rPr>
                <w:rFonts w:ascii="Arial" w:eastAsia="Calibri" w:hAnsi="Arial" w:cs="Arial"/>
                <w:sz w:val="16"/>
                <w:szCs w:val="16"/>
              </w:rPr>
              <w:t xml:space="preserve"> Castañeda Badillo</w:t>
            </w:r>
          </w:p>
        </w:tc>
        <w:tc>
          <w:tcPr>
            <w:tcW w:w="1394" w:type="dxa"/>
          </w:tcPr>
          <w:p w14:paraId="755542EF"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4A</w:t>
            </w:r>
          </w:p>
        </w:tc>
      </w:tr>
      <w:tr w:rsidR="00535A76" w:rsidRPr="00535A76" w14:paraId="06491A9B" w14:textId="77777777" w:rsidTr="00535A76">
        <w:tblPrEx>
          <w:shd w:val="clear" w:color="auto" w:fill="auto"/>
        </w:tblPrEx>
        <w:tc>
          <w:tcPr>
            <w:tcW w:w="1394" w:type="dxa"/>
          </w:tcPr>
          <w:p w14:paraId="06786B8A"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8</w:t>
            </w:r>
          </w:p>
        </w:tc>
        <w:tc>
          <w:tcPr>
            <w:tcW w:w="739" w:type="dxa"/>
          </w:tcPr>
          <w:p w14:paraId="54C23525"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H</w:t>
            </w:r>
          </w:p>
        </w:tc>
        <w:tc>
          <w:tcPr>
            <w:tcW w:w="2394" w:type="dxa"/>
          </w:tcPr>
          <w:p w14:paraId="397DA622"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 xml:space="preserve">José Fernando Mercado </w:t>
            </w:r>
            <w:proofErr w:type="spellStart"/>
            <w:r w:rsidRPr="00535A76">
              <w:rPr>
                <w:rFonts w:ascii="Arial" w:eastAsia="Calibri" w:hAnsi="Arial" w:cs="Arial"/>
                <w:sz w:val="16"/>
                <w:szCs w:val="16"/>
              </w:rPr>
              <w:t>Guaida</w:t>
            </w:r>
            <w:proofErr w:type="spellEnd"/>
          </w:p>
        </w:tc>
        <w:tc>
          <w:tcPr>
            <w:tcW w:w="2438" w:type="dxa"/>
          </w:tcPr>
          <w:p w14:paraId="245B2A17"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Óscar López Ramírez</w:t>
            </w:r>
          </w:p>
        </w:tc>
        <w:tc>
          <w:tcPr>
            <w:tcW w:w="1394" w:type="dxa"/>
          </w:tcPr>
          <w:p w14:paraId="586A6F9F"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4B</w:t>
            </w:r>
          </w:p>
        </w:tc>
      </w:tr>
      <w:tr w:rsidR="00535A76" w:rsidRPr="00535A76" w14:paraId="7693ACF4" w14:textId="77777777" w:rsidTr="00535A76">
        <w:tblPrEx>
          <w:shd w:val="clear" w:color="auto" w:fill="auto"/>
        </w:tblPrEx>
        <w:tc>
          <w:tcPr>
            <w:tcW w:w="1394" w:type="dxa"/>
          </w:tcPr>
          <w:p w14:paraId="3D8E58BE"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9</w:t>
            </w:r>
          </w:p>
        </w:tc>
        <w:tc>
          <w:tcPr>
            <w:tcW w:w="739" w:type="dxa"/>
          </w:tcPr>
          <w:p w14:paraId="18EF3FDA"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H</w:t>
            </w:r>
          </w:p>
        </w:tc>
        <w:tc>
          <w:tcPr>
            <w:tcW w:w="2394" w:type="dxa"/>
          </w:tcPr>
          <w:p w14:paraId="2D7144F8"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José Martín Padilla Sánchez</w:t>
            </w:r>
          </w:p>
        </w:tc>
        <w:tc>
          <w:tcPr>
            <w:tcW w:w="2438" w:type="dxa"/>
          </w:tcPr>
          <w:p w14:paraId="6D6FAF77"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Mucio Israel Hernández Guerrero</w:t>
            </w:r>
          </w:p>
        </w:tc>
        <w:tc>
          <w:tcPr>
            <w:tcW w:w="1394" w:type="dxa"/>
          </w:tcPr>
          <w:p w14:paraId="70AB4C1B"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5A</w:t>
            </w:r>
          </w:p>
        </w:tc>
      </w:tr>
      <w:tr w:rsidR="00535A76" w:rsidRPr="00535A76" w14:paraId="70B08501" w14:textId="77777777" w:rsidTr="00535A76">
        <w:tblPrEx>
          <w:shd w:val="clear" w:color="auto" w:fill="auto"/>
        </w:tblPrEx>
        <w:tc>
          <w:tcPr>
            <w:tcW w:w="1394" w:type="dxa"/>
          </w:tcPr>
          <w:p w14:paraId="1A5F044E"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10</w:t>
            </w:r>
          </w:p>
        </w:tc>
        <w:tc>
          <w:tcPr>
            <w:tcW w:w="739" w:type="dxa"/>
          </w:tcPr>
          <w:p w14:paraId="4A34DAF5"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M</w:t>
            </w:r>
          </w:p>
        </w:tc>
        <w:tc>
          <w:tcPr>
            <w:tcW w:w="2394" w:type="dxa"/>
          </w:tcPr>
          <w:p w14:paraId="68C0D2CD"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Xóchitl Bravo Espinosa</w:t>
            </w:r>
          </w:p>
        </w:tc>
        <w:tc>
          <w:tcPr>
            <w:tcW w:w="2438" w:type="dxa"/>
          </w:tcPr>
          <w:p w14:paraId="4863EE98"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 xml:space="preserve">Maribel Cruz </w:t>
            </w:r>
            <w:proofErr w:type="spellStart"/>
            <w:r w:rsidRPr="00535A76">
              <w:rPr>
                <w:rFonts w:ascii="Arial" w:eastAsia="Calibri" w:hAnsi="Arial" w:cs="Arial"/>
                <w:sz w:val="16"/>
                <w:szCs w:val="16"/>
              </w:rPr>
              <w:t>Cruz</w:t>
            </w:r>
            <w:proofErr w:type="spellEnd"/>
          </w:p>
        </w:tc>
        <w:tc>
          <w:tcPr>
            <w:tcW w:w="1394" w:type="dxa"/>
          </w:tcPr>
          <w:p w14:paraId="3CC51B2E"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5B</w:t>
            </w:r>
          </w:p>
        </w:tc>
      </w:tr>
      <w:tr w:rsidR="00535A76" w:rsidRPr="00535A76" w14:paraId="13A3AD31" w14:textId="77777777" w:rsidTr="00535A76">
        <w:tblPrEx>
          <w:shd w:val="clear" w:color="auto" w:fill="auto"/>
        </w:tblPrEx>
        <w:tc>
          <w:tcPr>
            <w:tcW w:w="1394" w:type="dxa"/>
          </w:tcPr>
          <w:p w14:paraId="3EEB7AA3"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11</w:t>
            </w:r>
          </w:p>
        </w:tc>
        <w:tc>
          <w:tcPr>
            <w:tcW w:w="739" w:type="dxa"/>
          </w:tcPr>
          <w:p w14:paraId="6ACCA20B"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M</w:t>
            </w:r>
          </w:p>
        </w:tc>
        <w:tc>
          <w:tcPr>
            <w:tcW w:w="2394" w:type="dxa"/>
          </w:tcPr>
          <w:p w14:paraId="4771703D"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Alejandra Méndez Vicuña</w:t>
            </w:r>
          </w:p>
        </w:tc>
        <w:tc>
          <w:tcPr>
            <w:tcW w:w="2438" w:type="dxa"/>
          </w:tcPr>
          <w:p w14:paraId="65EBB1E5"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Mariana Edith Rosas Monroy</w:t>
            </w:r>
          </w:p>
        </w:tc>
        <w:tc>
          <w:tcPr>
            <w:tcW w:w="1394" w:type="dxa"/>
          </w:tcPr>
          <w:p w14:paraId="1E1480F3"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6A</w:t>
            </w:r>
          </w:p>
        </w:tc>
      </w:tr>
      <w:tr w:rsidR="00535A76" w:rsidRPr="00535A76" w14:paraId="52F1DFE9" w14:textId="77777777" w:rsidTr="00535A76">
        <w:tblPrEx>
          <w:shd w:val="clear" w:color="auto" w:fill="auto"/>
        </w:tblPrEx>
        <w:tc>
          <w:tcPr>
            <w:tcW w:w="1394" w:type="dxa"/>
          </w:tcPr>
          <w:p w14:paraId="0937EC26"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12</w:t>
            </w:r>
          </w:p>
        </w:tc>
        <w:tc>
          <w:tcPr>
            <w:tcW w:w="739" w:type="dxa"/>
          </w:tcPr>
          <w:p w14:paraId="416B1BE3"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H</w:t>
            </w:r>
          </w:p>
        </w:tc>
        <w:tc>
          <w:tcPr>
            <w:tcW w:w="2394" w:type="dxa"/>
          </w:tcPr>
          <w:p w14:paraId="4519A224"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Carlos Cervantes Godoy</w:t>
            </w:r>
          </w:p>
        </w:tc>
        <w:tc>
          <w:tcPr>
            <w:tcW w:w="2438" w:type="dxa"/>
          </w:tcPr>
          <w:p w14:paraId="036E0E48"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Tito Emeterio Domínguez Cerón</w:t>
            </w:r>
          </w:p>
        </w:tc>
        <w:tc>
          <w:tcPr>
            <w:tcW w:w="1394" w:type="dxa"/>
          </w:tcPr>
          <w:p w14:paraId="30269369"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6B</w:t>
            </w:r>
          </w:p>
        </w:tc>
      </w:tr>
      <w:tr w:rsidR="00535A76" w:rsidRPr="00535A76" w14:paraId="167A40EE" w14:textId="77777777" w:rsidTr="00535A76">
        <w:tblPrEx>
          <w:shd w:val="clear" w:color="auto" w:fill="auto"/>
        </w:tblPrEx>
        <w:tc>
          <w:tcPr>
            <w:tcW w:w="1394" w:type="dxa"/>
          </w:tcPr>
          <w:p w14:paraId="2427D366"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13</w:t>
            </w:r>
          </w:p>
        </w:tc>
        <w:tc>
          <w:tcPr>
            <w:tcW w:w="739" w:type="dxa"/>
          </w:tcPr>
          <w:p w14:paraId="26E5BD28"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H</w:t>
            </w:r>
          </w:p>
        </w:tc>
        <w:tc>
          <w:tcPr>
            <w:tcW w:w="2394" w:type="dxa"/>
          </w:tcPr>
          <w:p w14:paraId="56967DD9"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Christian Moctezuma González</w:t>
            </w:r>
          </w:p>
        </w:tc>
        <w:tc>
          <w:tcPr>
            <w:tcW w:w="2438" w:type="dxa"/>
          </w:tcPr>
          <w:p w14:paraId="6666D143"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Gerardo Hernández Domínguez</w:t>
            </w:r>
          </w:p>
        </w:tc>
        <w:tc>
          <w:tcPr>
            <w:tcW w:w="1394" w:type="dxa"/>
          </w:tcPr>
          <w:p w14:paraId="1176D29B"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7A</w:t>
            </w:r>
          </w:p>
        </w:tc>
      </w:tr>
      <w:tr w:rsidR="00535A76" w:rsidRPr="00535A76" w14:paraId="7DB2ADEB" w14:textId="77777777" w:rsidTr="00535A76">
        <w:tblPrEx>
          <w:shd w:val="clear" w:color="auto" w:fill="auto"/>
        </w:tblPrEx>
        <w:tc>
          <w:tcPr>
            <w:tcW w:w="1394" w:type="dxa"/>
          </w:tcPr>
          <w:p w14:paraId="6B199BE9"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14</w:t>
            </w:r>
          </w:p>
        </w:tc>
        <w:tc>
          <w:tcPr>
            <w:tcW w:w="739" w:type="dxa"/>
          </w:tcPr>
          <w:p w14:paraId="507F355A"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M</w:t>
            </w:r>
          </w:p>
        </w:tc>
        <w:tc>
          <w:tcPr>
            <w:tcW w:w="2394" w:type="dxa"/>
          </w:tcPr>
          <w:p w14:paraId="3B2E9357"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Isabela Rosales Herrera</w:t>
            </w:r>
          </w:p>
        </w:tc>
        <w:tc>
          <w:tcPr>
            <w:tcW w:w="2438" w:type="dxa"/>
          </w:tcPr>
          <w:p w14:paraId="04D73BB0"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Alicia Medina Hernández</w:t>
            </w:r>
          </w:p>
        </w:tc>
        <w:tc>
          <w:tcPr>
            <w:tcW w:w="1394" w:type="dxa"/>
          </w:tcPr>
          <w:p w14:paraId="50198290"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7B</w:t>
            </w:r>
          </w:p>
        </w:tc>
      </w:tr>
      <w:tr w:rsidR="00535A76" w:rsidRPr="00535A76" w14:paraId="1706C752" w14:textId="77777777" w:rsidTr="00535A76">
        <w:tblPrEx>
          <w:shd w:val="clear" w:color="auto" w:fill="auto"/>
        </w:tblPrEx>
        <w:tc>
          <w:tcPr>
            <w:tcW w:w="1394" w:type="dxa"/>
          </w:tcPr>
          <w:p w14:paraId="4AC707E2"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15</w:t>
            </w:r>
          </w:p>
        </w:tc>
        <w:tc>
          <w:tcPr>
            <w:tcW w:w="739" w:type="dxa"/>
          </w:tcPr>
          <w:p w14:paraId="50863826"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M</w:t>
            </w:r>
          </w:p>
        </w:tc>
        <w:tc>
          <w:tcPr>
            <w:tcW w:w="2394" w:type="dxa"/>
          </w:tcPr>
          <w:p w14:paraId="4824FBD8" w14:textId="77777777" w:rsidR="00535A76" w:rsidRPr="00535A76" w:rsidRDefault="00535A76" w:rsidP="00535A76">
            <w:pPr>
              <w:jc w:val="center"/>
              <w:rPr>
                <w:rFonts w:ascii="Arial" w:eastAsia="Calibri" w:hAnsi="Arial" w:cs="Arial"/>
                <w:sz w:val="16"/>
                <w:szCs w:val="16"/>
              </w:rPr>
            </w:pPr>
            <w:proofErr w:type="spellStart"/>
            <w:r w:rsidRPr="00535A76">
              <w:rPr>
                <w:rFonts w:ascii="Arial" w:eastAsia="Calibri" w:hAnsi="Arial" w:cs="Arial"/>
                <w:sz w:val="16"/>
                <w:szCs w:val="16"/>
              </w:rPr>
              <w:t>Maryel</w:t>
            </w:r>
            <w:proofErr w:type="spellEnd"/>
            <w:r w:rsidRPr="00535A76">
              <w:rPr>
                <w:rFonts w:ascii="Arial" w:eastAsia="Calibri" w:hAnsi="Arial" w:cs="Arial"/>
                <w:sz w:val="16"/>
                <w:szCs w:val="16"/>
              </w:rPr>
              <w:t xml:space="preserve"> Alejandra Díaz Cavazos</w:t>
            </w:r>
          </w:p>
        </w:tc>
        <w:tc>
          <w:tcPr>
            <w:tcW w:w="2438" w:type="dxa"/>
          </w:tcPr>
          <w:p w14:paraId="4DDE78D7"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Guadalupe Adriana Ayala Márquez</w:t>
            </w:r>
          </w:p>
        </w:tc>
        <w:tc>
          <w:tcPr>
            <w:tcW w:w="1394" w:type="dxa"/>
          </w:tcPr>
          <w:p w14:paraId="6ACEB51B"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8A</w:t>
            </w:r>
          </w:p>
        </w:tc>
      </w:tr>
      <w:tr w:rsidR="00535A76" w:rsidRPr="00535A76" w14:paraId="1D74551D" w14:textId="77777777" w:rsidTr="00535A76">
        <w:tblPrEx>
          <w:shd w:val="clear" w:color="auto" w:fill="auto"/>
        </w:tblPrEx>
        <w:tc>
          <w:tcPr>
            <w:tcW w:w="1394" w:type="dxa"/>
          </w:tcPr>
          <w:p w14:paraId="7A1947AA"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16</w:t>
            </w:r>
          </w:p>
        </w:tc>
        <w:tc>
          <w:tcPr>
            <w:tcW w:w="739" w:type="dxa"/>
          </w:tcPr>
          <w:p w14:paraId="36DF2B69"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H</w:t>
            </w:r>
          </w:p>
        </w:tc>
        <w:tc>
          <w:tcPr>
            <w:tcW w:w="2394" w:type="dxa"/>
          </w:tcPr>
          <w:p w14:paraId="2A912F4A"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José Luis Rodríguez Díaz de León</w:t>
            </w:r>
          </w:p>
        </w:tc>
        <w:tc>
          <w:tcPr>
            <w:tcW w:w="2438" w:type="dxa"/>
          </w:tcPr>
          <w:p w14:paraId="1ED0030D"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Francisco Medina Padilla</w:t>
            </w:r>
          </w:p>
        </w:tc>
        <w:tc>
          <w:tcPr>
            <w:tcW w:w="1394" w:type="dxa"/>
          </w:tcPr>
          <w:p w14:paraId="2D11C30B"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8B</w:t>
            </w:r>
          </w:p>
        </w:tc>
      </w:tr>
      <w:tr w:rsidR="00535A76" w:rsidRPr="00535A76" w14:paraId="290E1F98" w14:textId="77777777" w:rsidTr="00535A76">
        <w:tblPrEx>
          <w:shd w:val="clear" w:color="auto" w:fill="auto"/>
        </w:tblPrEx>
        <w:tc>
          <w:tcPr>
            <w:tcW w:w="1394" w:type="dxa"/>
          </w:tcPr>
          <w:p w14:paraId="12F20464"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17</w:t>
            </w:r>
          </w:p>
        </w:tc>
        <w:tc>
          <w:tcPr>
            <w:tcW w:w="739" w:type="dxa"/>
          </w:tcPr>
          <w:p w14:paraId="699F3569"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H</w:t>
            </w:r>
          </w:p>
        </w:tc>
        <w:tc>
          <w:tcPr>
            <w:tcW w:w="2394" w:type="dxa"/>
          </w:tcPr>
          <w:p w14:paraId="1BD0E91E"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Luis Alberto Sánchez Molina</w:t>
            </w:r>
          </w:p>
        </w:tc>
        <w:tc>
          <w:tcPr>
            <w:tcW w:w="2438" w:type="dxa"/>
          </w:tcPr>
          <w:p w14:paraId="388BF3EC"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Cesar Balcázar Montes de Oca</w:t>
            </w:r>
          </w:p>
        </w:tc>
        <w:tc>
          <w:tcPr>
            <w:tcW w:w="1394" w:type="dxa"/>
          </w:tcPr>
          <w:p w14:paraId="6C197E45"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9A</w:t>
            </w:r>
          </w:p>
        </w:tc>
      </w:tr>
      <w:tr w:rsidR="00535A76" w:rsidRPr="00535A76" w14:paraId="4F24BE96" w14:textId="77777777" w:rsidTr="00535A76">
        <w:tblPrEx>
          <w:shd w:val="clear" w:color="auto" w:fill="auto"/>
        </w:tblPrEx>
        <w:tc>
          <w:tcPr>
            <w:tcW w:w="1394" w:type="dxa"/>
          </w:tcPr>
          <w:p w14:paraId="1DDECDE2"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18</w:t>
            </w:r>
          </w:p>
        </w:tc>
        <w:tc>
          <w:tcPr>
            <w:tcW w:w="739" w:type="dxa"/>
          </w:tcPr>
          <w:p w14:paraId="078D0B68"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M</w:t>
            </w:r>
          </w:p>
        </w:tc>
        <w:tc>
          <w:tcPr>
            <w:tcW w:w="2394" w:type="dxa"/>
          </w:tcPr>
          <w:p w14:paraId="48FB4004" w14:textId="77777777" w:rsidR="00535A76" w:rsidRPr="00535A76" w:rsidRDefault="00535A76" w:rsidP="00535A76">
            <w:pPr>
              <w:jc w:val="center"/>
              <w:rPr>
                <w:rFonts w:ascii="Arial" w:eastAsia="Calibri" w:hAnsi="Arial" w:cs="Arial"/>
                <w:sz w:val="16"/>
                <w:szCs w:val="16"/>
              </w:rPr>
            </w:pPr>
            <w:proofErr w:type="spellStart"/>
            <w:r w:rsidRPr="00535A76">
              <w:rPr>
                <w:rFonts w:ascii="Arial" w:eastAsia="Calibri" w:hAnsi="Arial" w:cs="Arial"/>
                <w:sz w:val="16"/>
                <w:szCs w:val="16"/>
              </w:rPr>
              <w:t>Anthea</w:t>
            </w:r>
            <w:proofErr w:type="spellEnd"/>
            <w:r w:rsidRPr="00535A76">
              <w:rPr>
                <w:rFonts w:ascii="Arial" w:eastAsia="Calibri" w:hAnsi="Arial" w:cs="Arial"/>
                <w:sz w:val="16"/>
                <w:szCs w:val="16"/>
              </w:rPr>
              <w:t xml:space="preserve"> Terina Sansores Olvera</w:t>
            </w:r>
          </w:p>
        </w:tc>
        <w:tc>
          <w:tcPr>
            <w:tcW w:w="2438" w:type="dxa"/>
          </w:tcPr>
          <w:p w14:paraId="69D3ABDF"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Monserrat Adriana Bosque Sánchez</w:t>
            </w:r>
          </w:p>
        </w:tc>
        <w:tc>
          <w:tcPr>
            <w:tcW w:w="1394" w:type="dxa"/>
          </w:tcPr>
          <w:p w14:paraId="787582B8"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9B</w:t>
            </w:r>
          </w:p>
        </w:tc>
      </w:tr>
      <w:tr w:rsidR="00535A76" w:rsidRPr="00535A76" w14:paraId="2A68766C" w14:textId="77777777" w:rsidTr="00535A76">
        <w:tblPrEx>
          <w:shd w:val="clear" w:color="auto" w:fill="auto"/>
        </w:tblPrEx>
        <w:tc>
          <w:tcPr>
            <w:tcW w:w="1394" w:type="dxa"/>
          </w:tcPr>
          <w:p w14:paraId="4FB05024"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19</w:t>
            </w:r>
          </w:p>
        </w:tc>
        <w:tc>
          <w:tcPr>
            <w:tcW w:w="739" w:type="dxa"/>
          </w:tcPr>
          <w:p w14:paraId="39FF5224"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M</w:t>
            </w:r>
          </w:p>
        </w:tc>
        <w:tc>
          <w:tcPr>
            <w:tcW w:w="2394" w:type="dxa"/>
          </w:tcPr>
          <w:p w14:paraId="12FEF97C"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Erika Rojas Barraza</w:t>
            </w:r>
          </w:p>
        </w:tc>
        <w:tc>
          <w:tcPr>
            <w:tcW w:w="2438" w:type="dxa"/>
          </w:tcPr>
          <w:p w14:paraId="5AB5CBAF"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María Elena Báez Castro</w:t>
            </w:r>
          </w:p>
        </w:tc>
        <w:tc>
          <w:tcPr>
            <w:tcW w:w="1394" w:type="dxa"/>
          </w:tcPr>
          <w:p w14:paraId="0B53D6EA"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10A</w:t>
            </w:r>
          </w:p>
        </w:tc>
      </w:tr>
      <w:tr w:rsidR="00535A76" w:rsidRPr="00535A76" w14:paraId="6C6BAD7C" w14:textId="77777777" w:rsidTr="00535A76">
        <w:tblPrEx>
          <w:shd w:val="clear" w:color="auto" w:fill="auto"/>
        </w:tblPrEx>
        <w:tc>
          <w:tcPr>
            <w:tcW w:w="1394" w:type="dxa"/>
          </w:tcPr>
          <w:p w14:paraId="0493D58B"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20</w:t>
            </w:r>
          </w:p>
        </w:tc>
        <w:tc>
          <w:tcPr>
            <w:tcW w:w="739" w:type="dxa"/>
          </w:tcPr>
          <w:p w14:paraId="3673F3D6"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H</w:t>
            </w:r>
          </w:p>
        </w:tc>
        <w:tc>
          <w:tcPr>
            <w:tcW w:w="2394" w:type="dxa"/>
          </w:tcPr>
          <w:p w14:paraId="195E3761"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Sebastián Ramírez Mendoza</w:t>
            </w:r>
          </w:p>
        </w:tc>
        <w:tc>
          <w:tcPr>
            <w:tcW w:w="2438" w:type="dxa"/>
          </w:tcPr>
          <w:p w14:paraId="4E7F4786"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Roberto Alejandro Castillo Cruz</w:t>
            </w:r>
          </w:p>
        </w:tc>
        <w:tc>
          <w:tcPr>
            <w:tcW w:w="1394" w:type="dxa"/>
          </w:tcPr>
          <w:p w14:paraId="03E7BDDE"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10B</w:t>
            </w:r>
          </w:p>
        </w:tc>
      </w:tr>
      <w:tr w:rsidR="00535A76" w:rsidRPr="00535A76" w14:paraId="4932852B" w14:textId="77777777" w:rsidTr="00535A76">
        <w:tblPrEx>
          <w:shd w:val="clear" w:color="auto" w:fill="auto"/>
        </w:tblPrEx>
        <w:tc>
          <w:tcPr>
            <w:tcW w:w="1394" w:type="dxa"/>
          </w:tcPr>
          <w:p w14:paraId="79EB64F4"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21</w:t>
            </w:r>
          </w:p>
        </w:tc>
        <w:tc>
          <w:tcPr>
            <w:tcW w:w="739" w:type="dxa"/>
          </w:tcPr>
          <w:p w14:paraId="568CEF08"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H</w:t>
            </w:r>
          </w:p>
        </w:tc>
        <w:tc>
          <w:tcPr>
            <w:tcW w:w="2394" w:type="dxa"/>
          </w:tcPr>
          <w:p w14:paraId="77BAF2A0"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Abraham García Garate</w:t>
            </w:r>
          </w:p>
        </w:tc>
        <w:tc>
          <w:tcPr>
            <w:tcW w:w="2438" w:type="dxa"/>
          </w:tcPr>
          <w:p w14:paraId="59FAD378"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Brandon Aldair Guillén</w:t>
            </w:r>
          </w:p>
        </w:tc>
        <w:tc>
          <w:tcPr>
            <w:tcW w:w="1394" w:type="dxa"/>
          </w:tcPr>
          <w:p w14:paraId="068F7971"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11A</w:t>
            </w:r>
          </w:p>
        </w:tc>
      </w:tr>
      <w:tr w:rsidR="00535A76" w:rsidRPr="00535A76" w14:paraId="6F289E96" w14:textId="77777777" w:rsidTr="00535A76">
        <w:tblPrEx>
          <w:shd w:val="clear" w:color="auto" w:fill="auto"/>
        </w:tblPrEx>
        <w:tc>
          <w:tcPr>
            <w:tcW w:w="1394" w:type="dxa"/>
          </w:tcPr>
          <w:p w14:paraId="322BA767"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22</w:t>
            </w:r>
          </w:p>
        </w:tc>
        <w:tc>
          <w:tcPr>
            <w:tcW w:w="739" w:type="dxa"/>
          </w:tcPr>
          <w:p w14:paraId="4FC1D9A8"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M</w:t>
            </w:r>
          </w:p>
        </w:tc>
        <w:tc>
          <w:tcPr>
            <w:tcW w:w="2394" w:type="dxa"/>
          </w:tcPr>
          <w:p w14:paraId="5AC7E78F"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Leticia Esther Varela Martínez</w:t>
            </w:r>
          </w:p>
        </w:tc>
        <w:tc>
          <w:tcPr>
            <w:tcW w:w="2438" w:type="dxa"/>
          </w:tcPr>
          <w:p w14:paraId="420B3782"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Erika Mercedes Mayorga Basurto</w:t>
            </w:r>
          </w:p>
        </w:tc>
        <w:tc>
          <w:tcPr>
            <w:tcW w:w="1394" w:type="dxa"/>
          </w:tcPr>
          <w:p w14:paraId="435D58E8"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11B</w:t>
            </w:r>
          </w:p>
        </w:tc>
      </w:tr>
      <w:tr w:rsidR="00535A76" w:rsidRPr="00535A76" w14:paraId="0DA78A19" w14:textId="77777777" w:rsidTr="00535A76">
        <w:tblPrEx>
          <w:shd w:val="clear" w:color="auto" w:fill="auto"/>
        </w:tblPrEx>
        <w:tc>
          <w:tcPr>
            <w:tcW w:w="1394" w:type="dxa"/>
          </w:tcPr>
          <w:p w14:paraId="0458C653"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23</w:t>
            </w:r>
          </w:p>
        </w:tc>
        <w:tc>
          <w:tcPr>
            <w:tcW w:w="739" w:type="dxa"/>
          </w:tcPr>
          <w:p w14:paraId="5CBD0BEF"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M</w:t>
            </w:r>
          </w:p>
        </w:tc>
        <w:tc>
          <w:tcPr>
            <w:tcW w:w="2394" w:type="dxa"/>
          </w:tcPr>
          <w:p w14:paraId="5B7FA8FD"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Betsy Jenifer Olivares Salazar</w:t>
            </w:r>
          </w:p>
        </w:tc>
        <w:tc>
          <w:tcPr>
            <w:tcW w:w="2438" w:type="dxa"/>
          </w:tcPr>
          <w:p w14:paraId="4B82D198"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Tania Paola Ojeda Ávila</w:t>
            </w:r>
          </w:p>
        </w:tc>
        <w:tc>
          <w:tcPr>
            <w:tcW w:w="1394" w:type="dxa"/>
          </w:tcPr>
          <w:p w14:paraId="74AF8C55"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12A</w:t>
            </w:r>
          </w:p>
        </w:tc>
      </w:tr>
      <w:tr w:rsidR="00535A76" w:rsidRPr="00535A76" w14:paraId="1843CFB8" w14:textId="77777777" w:rsidTr="00535A76">
        <w:tblPrEx>
          <w:shd w:val="clear" w:color="auto" w:fill="auto"/>
        </w:tblPrEx>
        <w:tc>
          <w:tcPr>
            <w:tcW w:w="1394" w:type="dxa"/>
          </w:tcPr>
          <w:p w14:paraId="6F69A63D"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lastRenderedPageBreak/>
              <w:t>24</w:t>
            </w:r>
          </w:p>
        </w:tc>
        <w:tc>
          <w:tcPr>
            <w:tcW w:w="739" w:type="dxa"/>
          </w:tcPr>
          <w:p w14:paraId="431B651A"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H</w:t>
            </w:r>
          </w:p>
        </w:tc>
        <w:tc>
          <w:tcPr>
            <w:tcW w:w="2394" w:type="dxa"/>
          </w:tcPr>
          <w:p w14:paraId="0D026280"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Ulises Labrador Hernández</w:t>
            </w:r>
          </w:p>
        </w:tc>
        <w:tc>
          <w:tcPr>
            <w:tcW w:w="2438" w:type="dxa"/>
          </w:tcPr>
          <w:p w14:paraId="2F8989FD"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Yair Figueroa Sandoval</w:t>
            </w:r>
          </w:p>
        </w:tc>
        <w:tc>
          <w:tcPr>
            <w:tcW w:w="1394" w:type="dxa"/>
          </w:tcPr>
          <w:p w14:paraId="4A7F7F4F"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12B</w:t>
            </w:r>
          </w:p>
        </w:tc>
      </w:tr>
      <w:tr w:rsidR="00535A76" w:rsidRPr="00535A76" w14:paraId="0680E8FF" w14:textId="77777777" w:rsidTr="00535A76">
        <w:tblPrEx>
          <w:shd w:val="clear" w:color="auto" w:fill="auto"/>
        </w:tblPrEx>
        <w:tc>
          <w:tcPr>
            <w:tcW w:w="1394" w:type="dxa"/>
          </w:tcPr>
          <w:p w14:paraId="7C848D66"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25</w:t>
            </w:r>
          </w:p>
        </w:tc>
        <w:tc>
          <w:tcPr>
            <w:tcW w:w="739" w:type="dxa"/>
          </w:tcPr>
          <w:p w14:paraId="04316DCE"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H/M</w:t>
            </w:r>
          </w:p>
        </w:tc>
        <w:tc>
          <w:tcPr>
            <w:tcW w:w="2394" w:type="dxa"/>
          </w:tcPr>
          <w:p w14:paraId="774E331A"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Gerardo Vallejo Álvarez</w:t>
            </w:r>
          </w:p>
        </w:tc>
        <w:tc>
          <w:tcPr>
            <w:tcW w:w="2438" w:type="dxa"/>
          </w:tcPr>
          <w:p w14:paraId="0E0B604A"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Patricia Carranza Rodríguez</w:t>
            </w:r>
          </w:p>
        </w:tc>
        <w:tc>
          <w:tcPr>
            <w:tcW w:w="1394" w:type="dxa"/>
          </w:tcPr>
          <w:p w14:paraId="6579A377"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13A</w:t>
            </w:r>
          </w:p>
        </w:tc>
      </w:tr>
      <w:tr w:rsidR="00535A76" w:rsidRPr="00535A76" w14:paraId="28DB6607" w14:textId="77777777" w:rsidTr="00535A76">
        <w:tblPrEx>
          <w:shd w:val="clear" w:color="auto" w:fill="auto"/>
        </w:tblPrEx>
        <w:tc>
          <w:tcPr>
            <w:tcW w:w="1394" w:type="dxa"/>
          </w:tcPr>
          <w:p w14:paraId="1A772D2B"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26</w:t>
            </w:r>
          </w:p>
        </w:tc>
        <w:tc>
          <w:tcPr>
            <w:tcW w:w="739" w:type="dxa"/>
          </w:tcPr>
          <w:p w14:paraId="690C9CBE"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M</w:t>
            </w:r>
          </w:p>
        </w:tc>
        <w:tc>
          <w:tcPr>
            <w:tcW w:w="2394" w:type="dxa"/>
          </w:tcPr>
          <w:p w14:paraId="23E601DD"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 xml:space="preserve">Renata Turrent </w:t>
            </w:r>
            <w:proofErr w:type="spellStart"/>
            <w:r w:rsidRPr="00535A76">
              <w:rPr>
                <w:rFonts w:ascii="Arial" w:eastAsia="Calibri" w:hAnsi="Arial" w:cs="Arial"/>
                <w:sz w:val="16"/>
                <w:szCs w:val="16"/>
              </w:rPr>
              <w:t>Hegewisch</w:t>
            </w:r>
            <w:proofErr w:type="spellEnd"/>
          </w:p>
        </w:tc>
        <w:tc>
          <w:tcPr>
            <w:tcW w:w="2438" w:type="dxa"/>
          </w:tcPr>
          <w:p w14:paraId="49E230C9" w14:textId="77777777" w:rsidR="00535A76" w:rsidRPr="00535A76" w:rsidRDefault="00535A76" w:rsidP="00535A76">
            <w:pPr>
              <w:jc w:val="center"/>
              <w:rPr>
                <w:rFonts w:ascii="Arial" w:eastAsia="Calibri" w:hAnsi="Arial" w:cs="Arial"/>
                <w:sz w:val="16"/>
                <w:szCs w:val="16"/>
              </w:rPr>
            </w:pPr>
            <w:proofErr w:type="spellStart"/>
            <w:r w:rsidRPr="00535A76">
              <w:rPr>
                <w:rFonts w:ascii="Arial" w:eastAsia="Calibri" w:hAnsi="Arial" w:cs="Arial"/>
                <w:sz w:val="16"/>
                <w:szCs w:val="16"/>
              </w:rPr>
              <w:t>Zianya</w:t>
            </w:r>
            <w:proofErr w:type="spellEnd"/>
            <w:r w:rsidRPr="00535A76">
              <w:rPr>
                <w:rFonts w:ascii="Arial" w:eastAsia="Calibri" w:hAnsi="Arial" w:cs="Arial"/>
                <w:sz w:val="16"/>
                <w:szCs w:val="16"/>
              </w:rPr>
              <w:t xml:space="preserve"> Martínez </w:t>
            </w:r>
            <w:proofErr w:type="spellStart"/>
            <w:r w:rsidRPr="00535A76">
              <w:rPr>
                <w:rFonts w:ascii="Arial" w:eastAsia="Calibri" w:hAnsi="Arial" w:cs="Arial"/>
                <w:sz w:val="16"/>
                <w:szCs w:val="16"/>
              </w:rPr>
              <w:t>Nataret</w:t>
            </w:r>
            <w:proofErr w:type="spellEnd"/>
          </w:p>
        </w:tc>
        <w:tc>
          <w:tcPr>
            <w:tcW w:w="1394" w:type="dxa"/>
          </w:tcPr>
          <w:p w14:paraId="05765D06"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13B</w:t>
            </w:r>
          </w:p>
        </w:tc>
      </w:tr>
      <w:tr w:rsidR="00535A76" w:rsidRPr="00535A76" w14:paraId="2D55F19B" w14:textId="77777777" w:rsidTr="00535A76">
        <w:tblPrEx>
          <w:shd w:val="clear" w:color="auto" w:fill="auto"/>
        </w:tblPrEx>
        <w:tc>
          <w:tcPr>
            <w:tcW w:w="1394" w:type="dxa"/>
          </w:tcPr>
          <w:p w14:paraId="03E5F2E3"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27</w:t>
            </w:r>
          </w:p>
        </w:tc>
        <w:tc>
          <w:tcPr>
            <w:tcW w:w="739" w:type="dxa"/>
          </w:tcPr>
          <w:p w14:paraId="27A3A7DD"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M</w:t>
            </w:r>
          </w:p>
        </w:tc>
        <w:tc>
          <w:tcPr>
            <w:tcW w:w="2394" w:type="dxa"/>
          </w:tcPr>
          <w:p w14:paraId="4C6B8201"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Rubí Espinosa Yáñez</w:t>
            </w:r>
          </w:p>
        </w:tc>
        <w:tc>
          <w:tcPr>
            <w:tcW w:w="2438" w:type="dxa"/>
          </w:tcPr>
          <w:p w14:paraId="53674D75"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Jaira Patricia Villegas Ortega</w:t>
            </w:r>
          </w:p>
        </w:tc>
        <w:tc>
          <w:tcPr>
            <w:tcW w:w="1394" w:type="dxa"/>
          </w:tcPr>
          <w:p w14:paraId="3D136D54"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14A</w:t>
            </w:r>
          </w:p>
        </w:tc>
      </w:tr>
      <w:tr w:rsidR="00535A76" w:rsidRPr="00535A76" w14:paraId="7868F13E" w14:textId="77777777" w:rsidTr="00535A76">
        <w:tblPrEx>
          <w:shd w:val="clear" w:color="auto" w:fill="auto"/>
        </w:tblPrEx>
        <w:tc>
          <w:tcPr>
            <w:tcW w:w="1394" w:type="dxa"/>
          </w:tcPr>
          <w:p w14:paraId="552282BA"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28</w:t>
            </w:r>
          </w:p>
        </w:tc>
        <w:tc>
          <w:tcPr>
            <w:tcW w:w="739" w:type="dxa"/>
          </w:tcPr>
          <w:p w14:paraId="27FDF4FC"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H</w:t>
            </w:r>
          </w:p>
        </w:tc>
        <w:tc>
          <w:tcPr>
            <w:tcW w:w="2394" w:type="dxa"/>
          </w:tcPr>
          <w:p w14:paraId="54AC3219"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Gustavo Isaí Nava Rodríguez</w:t>
            </w:r>
          </w:p>
        </w:tc>
        <w:tc>
          <w:tcPr>
            <w:tcW w:w="2438" w:type="dxa"/>
          </w:tcPr>
          <w:p w14:paraId="6D0ADF04"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Amaury Ramírez Castro</w:t>
            </w:r>
          </w:p>
        </w:tc>
        <w:tc>
          <w:tcPr>
            <w:tcW w:w="1394" w:type="dxa"/>
          </w:tcPr>
          <w:p w14:paraId="551A98E8"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 xml:space="preserve">15A </w:t>
            </w:r>
          </w:p>
        </w:tc>
      </w:tr>
      <w:tr w:rsidR="00535A76" w:rsidRPr="00535A76" w14:paraId="1CC82964" w14:textId="77777777" w:rsidTr="00535A76">
        <w:tblPrEx>
          <w:shd w:val="clear" w:color="auto" w:fill="auto"/>
        </w:tblPrEx>
        <w:tc>
          <w:tcPr>
            <w:tcW w:w="1394" w:type="dxa"/>
          </w:tcPr>
          <w:p w14:paraId="6CFBC61D"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29</w:t>
            </w:r>
          </w:p>
        </w:tc>
        <w:tc>
          <w:tcPr>
            <w:tcW w:w="739" w:type="dxa"/>
          </w:tcPr>
          <w:p w14:paraId="11EC4AA3"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M</w:t>
            </w:r>
          </w:p>
        </w:tc>
        <w:tc>
          <w:tcPr>
            <w:tcW w:w="2394" w:type="dxa"/>
          </w:tcPr>
          <w:p w14:paraId="30F80BAF"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María Claudia Palomino Velázquez</w:t>
            </w:r>
          </w:p>
        </w:tc>
        <w:tc>
          <w:tcPr>
            <w:tcW w:w="2438" w:type="dxa"/>
          </w:tcPr>
          <w:p w14:paraId="36E50274"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Catalina Alanís Villegas</w:t>
            </w:r>
          </w:p>
        </w:tc>
        <w:tc>
          <w:tcPr>
            <w:tcW w:w="1394" w:type="dxa"/>
          </w:tcPr>
          <w:p w14:paraId="0A9BF9BB" w14:textId="77777777" w:rsidR="00535A76" w:rsidRPr="00535A76" w:rsidRDefault="00535A76" w:rsidP="00535A76">
            <w:pPr>
              <w:jc w:val="center"/>
              <w:rPr>
                <w:rFonts w:ascii="Arial" w:eastAsia="Calibri" w:hAnsi="Arial" w:cs="Arial"/>
                <w:sz w:val="16"/>
                <w:szCs w:val="16"/>
              </w:rPr>
            </w:pPr>
            <w:r w:rsidRPr="00535A76">
              <w:rPr>
                <w:rFonts w:ascii="Arial" w:eastAsia="Calibri" w:hAnsi="Arial" w:cs="Arial"/>
                <w:sz w:val="16"/>
                <w:szCs w:val="16"/>
              </w:rPr>
              <w:t>16A</w:t>
            </w:r>
          </w:p>
        </w:tc>
      </w:tr>
    </w:tbl>
    <w:p w14:paraId="45E8AC7B" w14:textId="77777777" w:rsidR="00535A76" w:rsidRPr="00535A76" w:rsidRDefault="00535A76" w:rsidP="00535A76">
      <w:pPr>
        <w:spacing w:line="360" w:lineRule="auto"/>
        <w:jc w:val="both"/>
        <w:rPr>
          <w:rFonts w:ascii="Arial" w:eastAsia="Calibri" w:hAnsi="Arial" w:cs="Times New Roman"/>
          <w:bCs/>
          <w:sz w:val="28"/>
        </w:rPr>
      </w:pPr>
    </w:p>
    <w:p w14:paraId="0A2DCBA5"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 xml:space="preserve">A partir de esta información, se puede advertir con claridad que la asignación de las diputaciones por el principio de representación proporcional atendía la disposición legal que señala la posibilidad de que, en la lista definitiva se agregaran bloques de un mismo género, de </w:t>
      </w:r>
      <w:r w:rsidRPr="00535A76">
        <w:rPr>
          <w:rFonts w:ascii="Arial" w:eastAsia="Calibri" w:hAnsi="Arial" w:cs="Times New Roman"/>
          <w:b/>
          <w:sz w:val="28"/>
        </w:rPr>
        <w:t>hasta</w:t>
      </w:r>
      <w:r w:rsidRPr="00535A76">
        <w:rPr>
          <w:rFonts w:ascii="Arial" w:eastAsia="Calibri" w:hAnsi="Arial" w:cs="Times New Roman"/>
          <w:bCs/>
          <w:sz w:val="28"/>
        </w:rPr>
        <w:t xml:space="preserve"> dos fórmulas. </w:t>
      </w:r>
    </w:p>
    <w:p w14:paraId="19EA2E11" w14:textId="77777777" w:rsidR="00535A76" w:rsidRPr="00535A76" w:rsidRDefault="00535A76" w:rsidP="00535A76">
      <w:pPr>
        <w:spacing w:line="360" w:lineRule="auto"/>
        <w:jc w:val="both"/>
        <w:rPr>
          <w:rFonts w:ascii="Arial" w:eastAsia="Calibri" w:hAnsi="Arial" w:cs="Arial"/>
          <w:bCs/>
          <w:sz w:val="28"/>
        </w:rPr>
      </w:pPr>
      <w:r w:rsidRPr="00535A76">
        <w:rPr>
          <w:rFonts w:ascii="Arial" w:eastAsia="Calibri" w:hAnsi="Arial" w:cs="Times New Roman"/>
          <w:bCs/>
          <w:sz w:val="28"/>
        </w:rPr>
        <w:t xml:space="preserve">Es decir, se advierte que el Código Electoral otorga la potestad a la autoridad administrativa electoral de generar esa tercera lista integrada, ordenando que deberá estar encabezada por la primera fórmula obtenida de Lista A </w:t>
      </w:r>
      <w:r w:rsidRPr="00535A76">
        <w:rPr>
          <w:rFonts w:ascii="Arial" w:eastAsia="Calibri" w:hAnsi="Arial" w:cs="Arial"/>
          <w:bCs/>
          <w:sz w:val="28"/>
        </w:rPr>
        <w:t>─</w:t>
      </w:r>
      <w:r w:rsidRPr="00535A76">
        <w:rPr>
          <w:rFonts w:ascii="Arial" w:eastAsia="Calibri" w:hAnsi="Arial" w:cs="Times New Roman"/>
          <w:bCs/>
          <w:sz w:val="28"/>
        </w:rPr>
        <w:t>atendiendo el principio de autodeterminación de los partidos políticos</w:t>
      </w:r>
      <w:r w:rsidRPr="00535A76">
        <w:rPr>
          <w:rFonts w:ascii="Arial" w:eastAsia="Calibri" w:hAnsi="Arial" w:cs="Arial"/>
          <w:bCs/>
          <w:sz w:val="28"/>
        </w:rPr>
        <w:t xml:space="preserve">─, y a partir de ese primer género, se debía asignar el resto, procurando la alternancia de género ─principio paritario─, así como la mejor votación recibida por cada una de las fórmulas ─principio democrático─. </w:t>
      </w:r>
    </w:p>
    <w:p w14:paraId="47F613B3" w14:textId="77777777" w:rsidR="00535A76" w:rsidRPr="00535A76" w:rsidRDefault="00535A76" w:rsidP="00535A76">
      <w:pPr>
        <w:spacing w:line="360" w:lineRule="auto"/>
        <w:jc w:val="both"/>
        <w:rPr>
          <w:rFonts w:ascii="Arial" w:eastAsia="Calibri" w:hAnsi="Arial" w:cs="Arial"/>
          <w:bCs/>
          <w:sz w:val="28"/>
        </w:rPr>
      </w:pPr>
      <w:r w:rsidRPr="00535A76">
        <w:rPr>
          <w:rFonts w:ascii="Arial" w:eastAsia="Calibri" w:hAnsi="Arial" w:cs="Arial"/>
          <w:bCs/>
          <w:sz w:val="28"/>
        </w:rPr>
        <w:t xml:space="preserve">De tal forma que se advierte que la asignación de los primeros lugares, por género, en un primer momento dependerá de la determinación partidista, así como a la formula mejor posicionada en porcentaje de votos recibidos, y de ahí el resto de la integración </w:t>
      </w:r>
      <w:r w:rsidRPr="00535A76">
        <w:rPr>
          <w:rFonts w:ascii="Arial" w:eastAsia="Calibri" w:hAnsi="Arial" w:cs="Arial"/>
          <w:b/>
          <w:sz w:val="28"/>
        </w:rPr>
        <w:t>deberá atender una condición expresa</w:t>
      </w:r>
      <w:r w:rsidRPr="00535A76">
        <w:rPr>
          <w:rFonts w:ascii="Arial" w:eastAsia="Calibri" w:hAnsi="Arial" w:cs="Arial"/>
          <w:bCs/>
          <w:sz w:val="28"/>
        </w:rPr>
        <w:t xml:space="preserve">, y que consiste en que la acción de intercalado debe incluir una fórmula de cada una de las </w:t>
      </w:r>
      <w:r w:rsidRPr="00535A76">
        <w:rPr>
          <w:rFonts w:ascii="Arial" w:eastAsia="Calibri" w:hAnsi="Arial" w:cs="Arial"/>
          <w:bCs/>
          <w:sz w:val="28"/>
        </w:rPr>
        <w:lastRenderedPageBreak/>
        <w:t xml:space="preserve">listas, así como la exigencia de </w:t>
      </w:r>
      <w:r w:rsidRPr="00535A76">
        <w:rPr>
          <w:rFonts w:ascii="Arial" w:eastAsia="Calibri" w:hAnsi="Arial" w:cs="Arial"/>
          <w:b/>
          <w:sz w:val="28"/>
        </w:rPr>
        <w:t>no exceder dos bloques de un mismo género</w:t>
      </w:r>
      <w:r w:rsidRPr="00535A76">
        <w:rPr>
          <w:rFonts w:ascii="Arial" w:eastAsia="Calibri" w:hAnsi="Arial" w:cs="Arial"/>
          <w:bCs/>
          <w:sz w:val="28"/>
        </w:rPr>
        <w:t>.</w:t>
      </w:r>
    </w:p>
    <w:p w14:paraId="465E857B" w14:textId="77777777" w:rsidR="00535A76" w:rsidRPr="00535A76" w:rsidRDefault="00535A76" w:rsidP="00535A76">
      <w:pPr>
        <w:spacing w:line="360" w:lineRule="auto"/>
        <w:jc w:val="both"/>
        <w:rPr>
          <w:rFonts w:ascii="Arial" w:eastAsia="Calibri" w:hAnsi="Arial" w:cs="Arial"/>
          <w:bCs/>
          <w:sz w:val="28"/>
        </w:rPr>
      </w:pPr>
      <w:r w:rsidRPr="00535A76">
        <w:rPr>
          <w:rFonts w:ascii="Arial" w:eastAsia="Calibri" w:hAnsi="Arial" w:cs="Arial"/>
          <w:bCs/>
          <w:sz w:val="28"/>
        </w:rPr>
        <w:t>En el caso concreto, en principio, es deber de este órgano jurisdiccional analizar si la integración de la Lista Definitiva fue apegada a Derecho.</w:t>
      </w:r>
    </w:p>
    <w:p w14:paraId="33339627"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 xml:space="preserve">Al respecto, la Sala Superior ha emitido la </w:t>
      </w:r>
      <w:r w:rsidRPr="00535A76">
        <w:rPr>
          <w:rFonts w:ascii="Arial" w:eastAsia="Calibri" w:hAnsi="Arial" w:cs="Times New Roman"/>
          <w:b/>
          <w:sz w:val="28"/>
        </w:rPr>
        <w:t xml:space="preserve">Jurisprudencia 9/2021 </w:t>
      </w:r>
      <w:r w:rsidRPr="00535A76">
        <w:rPr>
          <w:rFonts w:ascii="Arial" w:eastAsia="Calibri" w:hAnsi="Arial" w:cs="Times New Roman"/>
          <w:bCs/>
          <w:sz w:val="28"/>
        </w:rPr>
        <w:t xml:space="preserve">de rubro </w:t>
      </w:r>
      <w:r w:rsidRPr="00535A76">
        <w:rPr>
          <w:rFonts w:ascii="Arial" w:eastAsia="Calibri" w:hAnsi="Arial" w:cs="Times New Roman"/>
          <w:b/>
          <w:sz w:val="28"/>
        </w:rPr>
        <w:t>“PARIDAD DE GÉNERO. LAS AUTORIDADES ADMINISTRATIVAS ELECTORALES TIENEN FACULTADES PARA ADOPTAR MEDIDAS QUE GARANTICEN EL DERECHO DE LAS MUJERES AL ACCESO A CARGOS DE ELECCIÓN POPULAR EN CONDICIONES DE IGUALDAD”</w:t>
      </w:r>
      <w:r w:rsidRPr="00535A76">
        <w:rPr>
          <w:rFonts w:ascii="Arial" w:eastAsia="Calibri" w:hAnsi="Arial" w:cs="Times New Roman"/>
          <w:bCs/>
          <w:sz w:val="28"/>
        </w:rPr>
        <w:t>, a través de la cual, esencialmente se señala:</w:t>
      </w:r>
    </w:p>
    <w:p w14:paraId="5D14212B"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 xml:space="preserve">- Las autoridades administrativas electorales ─OPLE─, están obligadas a garantizar el derecho de las mujeres al acceso a cargos de elección popular en condiciones de igualdad. </w:t>
      </w:r>
    </w:p>
    <w:p w14:paraId="68496801"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 Ello presupone la facultad de adoptar los lineamientos generales que estime necesarios para hacer efectivo y concretar el principio de paridad de género, desarrollar, instrumentar y asegurar el cumplimiento de los preceptos legislativos en los que se contemplen acciones afirmativas y reglas específicas en la materia.</w:t>
      </w:r>
    </w:p>
    <w:p w14:paraId="6327D217"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 xml:space="preserve">Así, en el caso concreto, el suscrito advierte que dicha obligación fue cumplimentada por parte del OPLE, a través de la integración de la Lista Definitiva, pues a través de ella se procuró la aplicación puntual de los extremos que señala la Ley, en el sentido de gestionar la paridad, cuidando la alternancia y no excediendo la conformación de más de dos bloques del mismo género. </w:t>
      </w:r>
    </w:p>
    <w:p w14:paraId="09B3B37F"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lastRenderedPageBreak/>
        <w:t xml:space="preserve">En esa tesitura, la propuesta votada por mayoría de mis pares valida que desde la posición 12 de la Lista Definitiva y hasta la 14, se integre un </w:t>
      </w:r>
      <w:r w:rsidRPr="00535A76">
        <w:rPr>
          <w:rFonts w:ascii="Arial" w:eastAsia="Calibri" w:hAnsi="Arial" w:cs="Times New Roman"/>
          <w:b/>
          <w:sz w:val="28"/>
        </w:rPr>
        <w:t>grupo o</w:t>
      </w:r>
      <w:r w:rsidRPr="00535A76">
        <w:rPr>
          <w:rFonts w:ascii="Arial" w:eastAsia="Calibri" w:hAnsi="Arial" w:cs="Times New Roman"/>
          <w:bCs/>
          <w:sz w:val="28"/>
        </w:rPr>
        <w:t xml:space="preserve"> </w:t>
      </w:r>
      <w:r w:rsidRPr="00535A76">
        <w:rPr>
          <w:rFonts w:ascii="Arial" w:eastAsia="Calibri" w:hAnsi="Arial" w:cs="Times New Roman"/>
          <w:b/>
          <w:sz w:val="28"/>
        </w:rPr>
        <w:t>bloque de tres fórmulas del mismo género</w:t>
      </w:r>
      <w:r w:rsidRPr="00535A76">
        <w:rPr>
          <w:rFonts w:ascii="Arial" w:eastAsia="Calibri" w:hAnsi="Arial" w:cs="Times New Roman"/>
          <w:bCs/>
          <w:sz w:val="28"/>
        </w:rPr>
        <w:t xml:space="preserve">, circunstancia que es claramente contraria a la disposición legal mencionada. </w:t>
      </w:r>
    </w:p>
    <w:tbl>
      <w:tblPr>
        <w:tblW w:w="0" w:type="auto"/>
        <w:jc w:val="center"/>
        <w:tblLook w:val="04A0" w:firstRow="1" w:lastRow="0" w:firstColumn="1" w:lastColumn="0" w:noHBand="0" w:noVBand="1"/>
      </w:tblPr>
      <w:tblGrid>
        <w:gridCol w:w="527"/>
        <w:gridCol w:w="2527"/>
        <w:gridCol w:w="737"/>
        <w:gridCol w:w="2231"/>
        <w:gridCol w:w="2250"/>
      </w:tblGrid>
      <w:tr w:rsidR="00535A76" w:rsidRPr="00535A76" w14:paraId="66C9F4B4" w14:textId="77777777" w:rsidTr="00535A76">
        <w:trPr>
          <w:tblHeader/>
          <w:jc w:val="center"/>
        </w:trPr>
        <w:tc>
          <w:tcPr>
            <w:tcW w:w="533" w:type="dxa"/>
            <w:tcBorders>
              <w:bottom w:val="single" w:sz="4" w:space="0" w:color="auto"/>
            </w:tcBorders>
            <w:shd w:val="clear" w:color="auto" w:fill="7030A0"/>
            <w:vAlign w:val="center"/>
          </w:tcPr>
          <w:p w14:paraId="4DF9BB45" w14:textId="77777777" w:rsidR="00535A76" w:rsidRPr="00535A76" w:rsidRDefault="00535A76" w:rsidP="00535A76">
            <w:pPr>
              <w:jc w:val="center"/>
              <w:rPr>
                <w:rFonts w:eastAsia="Calibri"/>
                <w:b/>
                <w:color w:val="FFFFFF"/>
                <w:sz w:val="16"/>
                <w:szCs w:val="16"/>
              </w:rPr>
            </w:pPr>
            <w:r w:rsidRPr="00535A76">
              <w:rPr>
                <w:rFonts w:eastAsia="Calibri"/>
                <w:b/>
                <w:color w:val="FFFFFF"/>
                <w:sz w:val="16"/>
                <w:szCs w:val="16"/>
              </w:rPr>
              <w:t>No</w:t>
            </w:r>
          </w:p>
        </w:tc>
        <w:tc>
          <w:tcPr>
            <w:tcW w:w="2605" w:type="dxa"/>
            <w:tcBorders>
              <w:bottom w:val="single" w:sz="4" w:space="0" w:color="auto"/>
            </w:tcBorders>
            <w:shd w:val="clear" w:color="auto" w:fill="7030A0"/>
            <w:vAlign w:val="center"/>
          </w:tcPr>
          <w:p w14:paraId="00921F63" w14:textId="77777777" w:rsidR="00535A76" w:rsidRPr="00535A76" w:rsidRDefault="00535A76" w:rsidP="00535A76">
            <w:pPr>
              <w:jc w:val="center"/>
              <w:rPr>
                <w:rFonts w:eastAsia="Calibri"/>
                <w:b/>
                <w:color w:val="FFFFFF"/>
                <w:sz w:val="16"/>
                <w:szCs w:val="16"/>
              </w:rPr>
            </w:pPr>
            <w:r w:rsidRPr="00535A76">
              <w:rPr>
                <w:rFonts w:eastAsia="Calibri"/>
                <w:b/>
                <w:color w:val="FFFFFF"/>
                <w:sz w:val="16"/>
                <w:szCs w:val="16"/>
              </w:rPr>
              <w:t>Nombre (propietario)</w:t>
            </w:r>
          </w:p>
        </w:tc>
        <w:tc>
          <w:tcPr>
            <w:tcW w:w="748" w:type="dxa"/>
            <w:tcBorders>
              <w:bottom w:val="single" w:sz="4" w:space="0" w:color="auto"/>
            </w:tcBorders>
            <w:shd w:val="clear" w:color="auto" w:fill="7030A0"/>
            <w:vAlign w:val="center"/>
          </w:tcPr>
          <w:p w14:paraId="00CAB9DD" w14:textId="77777777" w:rsidR="00535A76" w:rsidRPr="00535A76" w:rsidRDefault="00535A76" w:rsidP="00535A76">
            <w:pPr>
              <w:jc w:val="center"/>
              <w:rPr>
                <w:rFonts w:eastAsia="Calibri"/>
                <w:b/>
                <w:color w:val="FFFFFF"/>
                <w:sz w:val="16"/>
                <w:szCs w:val="16"/>
              </w:rPr>
            </w:pPr>
            <w:r w:rsidRPr="00535A76">
              <w:rPr>
                <w:rFonts w:eastAsia="Calibri"/>
                <w:b/>
                <w:color w:val="FFFFFF"/>
                <w:sz w:val="16"/>
                <w:szCs w:val="16"/>
              </w:rPr>
              <w:t>Sexo</w:t>
            </w:r>
          </w:p>
        </w:tc>
        <w:tc>
          <w:tcPr>
            <w:tcW w:w="2307" w:type="dxa"/>
            <w:tcBorders>
              <w:bottom w:val="single" w:sz="4" w:space="0" w:color="auto"/>
            </w:tcBorders>
            <w:shd w:val="clear" w:color="auto" w:fill="7030A0"/>
            <w:vAlign w:val="center"/>
          </w:tcPr>
          <w:p w14:paraId="7C48FCCB" w14:textId="77777777" w:rsidR="00535A76" w:rsidRPr="00535A76" w:rsidRDefault="00535A76" w:rsidP="00535A76">
            <w:pPr>
              <w:jc w:val="center"/>
              <w:rPr>
                <w:rFonts w:eastAsia="Calibri"/>
                <w:b/>
                <w:color w:val="FFFFFF"/>
                <w:sz w:val="16"/>
                <w:szCs w:val="16"/>
              </w:rPr>
            </w:pPr>
            <w:r w:rsidRPr="00535A76">
              <w:rPr>
                <w:rFonts w:eastAsia="Calibri"/>
                <w:b/>
                <w:color w:val="FFFFFF"/>
                <w:sz w:val="16"/>
                <w:szCs w:val="16"/>
              </w:rPr>
              <w:t>Lugar y lista de la que proviene</w:t>
            </w:r>
          </w:p>
        </w:tc>
        <w:tc>
          <w:tcPr>
            <w:tcW w:w="2307" w:type="dxa"/>
            <w:tcBorders>
              <w:bottom w:val="single" w:sz="4" w:space="0" w:color="auto"/>
            </w:tcBorders>
            <w:shd w:val="clear" w:color="auto" w:fill="7030A0"/>
            <w:vAlign w:val="center"/>
          </w:tcPr>
          <w:p w14:paraId="1716F537" w14:textId="033E3E15" w:rsidR="00535A76" w:rsidRPr="00535A76" w:rsidRDefault="00535A76" w:rsidP="00535A76">
            <w:pPr>
              <w:jc w:val="center"/>
              <w:rPr>
                <w:rFonts w:eastAsia="Calibri"/>
                <w:b/>
                <w:color w:val="FFFFFF"/>
                <w:sz w:val="16"/>
                <w:szCs w:val="16"/>
              </w:rPr>
            </w:pPr>
            <w:r w:rsidRPr="00535A76">
              <w:rPr>
                <w:rFonts w:eastAsia="Calibri"/>
                <w:b/>
                <w:color w:val="FFFFFF"/>
                <w:sz w:val="16"/>
                <w:szCs w:val="16"/>
              </w:rPr>
              <w:t>Observaciones</w:t>
            </w:r>
          </w:p>
        </w:tc>
      </w:tr>
      <w:tr w:rsidR="00535A76" w:rsidRPr="00535A76" w14:paraId="454FC618" w14:textId="77777777" w:rsidTr="00535A76">
        <w:trPr>
          <w:trHeight w:val="533"/>
          <w:jc w:val="center"/>
        </w:trPr>
        <w:tc>
          <w:tcPr>
            <w:tcW w:w="533" w:type="dxa"/>
            <w:tcBorders>
              <w:bottom w:val="single" w:sz="4" w:space="0" w:color="auto"/>
            </w:tcBorders>
            <w:vAlign w:val="center"/>
          </w:tcPr>
          <w:p w14:paraId="6CBD804B" w14:textId="77777777" w:rsidR="00535A76" w:rsidRPr="00535A76" w:rsidRDefault="00535A76" w:rsidP="00535A76">
            <w:pPr>
              <w:rPr>
                <w:rFonts w:eastAsia="Calibri"/>
                <w:sz w:val="16"/>
                <w:szCs w:val="16"/>
              </w:rPr>
            </w:pPr>
            <w:r w:rsidRPr="00535A76">
              <w:rPr>
                <w:rFonts w:eastAsia="Calibri"/>
                <w:sz w:val="16"/>
                <w:szCs w:val="16"/>
              </w:rPr>
              <w:t>12</w:t>
            </w:r>
          </w:p>
        </w:tc>
        <w:tc>
          <w:tcPr>
            <w:tcW w:w="2605" w:type="dxa"/>
            <w:tcBorders>
              <w:bottom w:val="single" w:sz="4" w:space="0" w:color="auto"/>
            </w:tcBorders>
            <w:shd w:val="clear" w:color="auto" w:fill="BDD6EE"/>
            <w:vAlign w:val="center"/>
          </w:tcPr>
          <w:p w14:paraId="3CEFB475" w14:textId="77777777" w:rsidR="00535A76" w:rsidRPr="00535A76" w:rsidRDefault="00535A76" w:rsidP="00535A76">
            <w:pPr>
              <w:rPr>
                <w:rFonts w:eastAsia="Calibri"/>
                <w:sz w:val="16"/>
                <w:szCs w:val="16"/>
              </w:rPr>
            </w:pPr>
            <w:r w:rsidRPr="00535A76">
              <w:rPr>
                <w:rFonts w:eastAsia="Calibri"/>
                <w:sz w:val="16"/>
                <w:szCs w:val="16"/>
              </w:rPr>
              <w:t>Carlos Cervantes Godoy</w:t>
            </w:r>
          </w:p>
        </w:tc>
        <w:tc>
          <w:tcPr>
            <w:tcW w:w="748" w:type="dxa"/>
            <w:tcBorders>
              <w:bottom w:val="single" w:sz="4" w:space="0" w:color="auto"/>
            </w:tcBorders>
            <w:vAlign w:val="center"/>
          </w:tcPr>
          <w:p w14:paraId="52EAC60B" w14:textId="77777777" w:rsidR="00535A76" w:rsidRPr="00535A76" w:rsidRDefault="00535A76" w:rsidP="00535A76">
            <w:pPr>
              <w:jc w:val="center"/>
              <w:rPr>
                <w:rFonts w:eastAsia="Calibri"/>
                <w:sz w:val="16"/>
                <w:szCs w:val="16"/>
              </w:rPr>
            </w:pPr>
            <w:r w:rsidRPr="00535A76">
              <w:rPr>
                <w:rFonts w:eastAsia="Calibri"/>
                <w:sz w:val="16"/>
                <w:szCs w:val="16"/>
              </w:rPr>
              <w:t>H</w:t>
            </w:r>
          </w:p>
        </w:tc>
        <w:tc>
          <w:tcPr>
            <w:tcW w:w="2307" w:type="dxa"/>
            <w:tcBorders>
              <w:bottom w:val="single" w:sz="4" w:space="0" w:color="auto"/>
            </w:tcBorders>
            <w:vAlign w:val="center"/>
          </w:tcPr>
          <w:p w14:paraId="13BC7029" w14:textId="77777777" w:rsidR="00535A76" w:rsidRPr="00535A76" w:rsidRDefault="00535A76" w:rsidP="00535A76">
            <w:pPr>
              <w:jc w:val="center"/>
              <w:rPr>
                <w:rFonts w:eastAsia="Calibri"/>
                <w:sz w:val="16"/>
                <w:szCs w:val="16"/>
              </w:rPr>
            </w:pPr>
            <w:r w:rsidRPr="00535A76">
              <w:rPr>
                <w:rFonts w:eastAsia="Calibri"/>
                <w:sz w:val="16"/>
                <w:szCs w:val="16"/>
              </w:rPr>
              <w:t>6 B</w:t>
            </w:r>
          </w:p>
        </w:tc>
        <w:tc>
          <w:tcPr>
            <w:tcW w:w="2307" w:type="dxa"/>
            <w:vMerge w:val="restart"/>
            <w:shd w:val="clear" w:color="auto" w:fill="BDD6EE"/>
          </w:tcPr>
          <w:p w14:paraId="3F279868" w14:textId="77777777" w:rsidR="00535A76" w:rsidRPr="00535A76" w:rsidRDefault="00535A76" w:rsidP="00535A76">
            <w:pPr>
              <w:jc w:val="center"/>
              <w:rPr>
                <w:rFonts w:eastAsia="Calibri"/>
                <w:sz w:val="16"/>
                <w:szCs w:val="16"/>
              </w:rPr>
            </w:pPr>
          </w:p>
          <w:p w14:paraId="6D0E9A81" w14:textId="77777777" w:rsidR="00535A76" w:rsidRPr="00535A76" w:rsidRDefault="00535A76" w:rsidP="00535A76">
            <w:pPr>
              <w:jc w:val="center"/>
              <w:rPr>
                <w:rFonts w:eastAsia="Calibri"/>
                <w:sz w:val="16"/>
                <w:szCs w:val="16"/>
              </w:rPr>
            </w:pPr>
          </w:p>
          <w:p w14:paraId="644A4710" w14:textId="77777777" w:rsidR="00535A76" w:rsidRPr="00535A76" w:rsidRDefault="00535A76" w:rsidP="00535A76">
            <w:pPr>
              <w:jc w:val="center"/>
              <w:rPr>
                <w:rFonts w:eastAsia="Calibri"/>
                <w:sz w:val="16"/>
                <w:szCs w:val="16"/>
              </w:rPr>
            </w:pPr>
          </w:p>
          <w:p w14:paraId="109528ED" w14:textId="77777777" w:rsidR="00535A76" w:rsidRPr="00535A76" w:rsidRDefault="00535A76" w:rsidP="00535A76">
            <w:pPr>
              <w:rPr>
                <w:rFonts w:eastAsia="Calibri"/>
                <w:b/>
                <w:bCs/>
                <w:sz w:val="16"/>
                <w:szCs w:val="16"/>
              </w:rPr>
            </w:pPr>
            <w:r w:rsidRPr="00535A76">
              <w:rPr>
                <w:rFonts w:eastAsia="Calibri"/>
                <w:b/>
                <w:bCs/>
                <w:sz w:val="16"/>
                <w:szCs w:val="16"/>
              </w:rPr>
              <w:t>Bloque de 3 hombres</w:t>
            </w:r>
          </w:p>
        </w:tc>
      </w:tr>
      <w:tr w:rsidR="00535A76" w:rsidRPr="00535A76" w14:paraId="3BB07B0A" w14:textId="77777777" w:rsidTr="00535A76">
        <w:trPr>
          <w:trHeight w:val="533"/>
          <w:jc w:val="center"/>
        </w:trPr>
        <w:tc>
          <w:tcPr>
            <w:tcW w:w="533" w:type="dxa"/>
            <w:shd w:val="clear" w:color="auto" w:fill="FFFFFF"/>
            <w:vAlign w:val="center"/>
          </w:tcPr>
          <w:p w14:paraId="206F50D3" w14:textId="77777777" w:rsidR="00535A76" w:rsidRPr="00535A76" w:rsidRDefault="00535A76" w:rsidP="00535A76">
            <w:pPr>
              <w:rPr>
                <w:rFonts w:eastAsia="Calibri"/>
                <w:sz w:val="16"/>
                <w:szCs w:val="16"/>
              </w:rPr>
            </w:pPr>
            <w:r w:rsidRPr="00535A76">
              <w:rPr>
                <w:rFonts w:eastAsia="Calibri"/>
                <w:sz w:val="16"/>
                <w:szCs w:val="16"/>
              </w:rPr>
              <w:t>13</w:t>
            </w:r>
          </w:p>
        </w:tc>
        <w:tc>
          <w:tcPr>
            <w:tcW w:w="2605" w:type="dxa"/>
            <w:shd w:val="clear" w:color="auto" w:fill="BDD6EE"/>
            <w:vAlign w:val="center"/>
          </w:tcPr>
          <w:p w14:paraId="697C7AC7" w14:textId="77777777" w:rsidR="00535A76" w:rsidRPr="00535A76" w:rsidRDefault="00535A76" w:rsidP="00535A76">
            <w:pPr>
              <w:rPr>
                <w:rFonts w:eastAsia="Calibri"/>
                <w:sz w:val="16"/>
                <w:szCs w:val="16"/>
              </w:rPr>
            </w:pPr>
            <w:r w:rsidRPr="00535A76">
              <w:rPr>
                <w:rFonts w:eastAsia="Calibri"/>
                <w:sz w:val="16"/>
                <w:szCs w:val="16"/>
              </w:rPr>
              <w:t>Christian Moctezuma González</w:t>
            </w:r>
          </w:p>
        </w:tc>
        <w:tc>
          <w:tcPr>
            <w:tcW w:w="748" w:type="dxa"/>
            <w:shd w:val="clear" w:color="auto" w:fill="FFFFFF"/>
            <w:vAlign w:val="center"/>
          </w:tcPr>
          <w:p w14:paraId="677F131C" w14:textId="77777777" w:rsidR="00535A76" w:rsidRPr="00535A76" w:rsidRDefault="00535A76" w:rsidP="00535A76">
            <w:pPr>
              <w:jc w:val="center"/>
              <w:rPr>
                <w:rFonts w:eastAsia="Calibri"/>
                <w:sz w:val="16"/>
                <w:szCs w:val="16"/>
              </w:rPr>
            </w:pPr>
            <w:r w:rsidRPr="00535A76">
              <w:rPr>
                <w:rFonts w:eastAsia="Calibri"/>
                <w:sz w:val="16"/>
                <w:szCs w:val="16"/>
              </w:rPr>
              <w:t>H</w:t>
            </w:r>
          </w:p>
        </w:tc>
        <w:tc>
          <w:tcPr>
            <w:tcW w:w="2307" w:type="dxa"/>
            <w:shd w:val="clear" w:color="auto" w:fill="FFFFFF"/>
            <w:vAlign w:val="center"/>
          </w:tcPr>
          <w:p w14:paraId="110D0BD1" w14:textId="77777777" w:rsidR="00535A76" w:rsidRPr="00535A76" w:rsidRDefault="00535A76" w:rsidP="00535A76">
            <w:pPr>
              <w:jc w:val="center"/>
              <w:rPr>
                <w:rFonts w:eastAsia="Calibri"/>
                <w:sz w:val="16"/>
                <w:szCs w:val="16"/>
              </w:rPr>
            </w:pPr>
            <w:r w:rsidRPr="00535A76">
              <w:rPr>
                <w:rFonts w:eastAsia="Calibri"/>
                <w:sz w:val="16"/>
                <w:szCs w:val="16"/>
              </w:rPr>
              <w:t xml:space="preserve">7 </w:t>
            </w:r>
            <w:proofErr w:type="gramStart"/>
            <w:r w:rsidRPr="00535A76">
              <w:rPr>
                <w:rFonts w:eastAsia="Calibri"/>
                <w:sz w:val="16"/>
                <w:szCs w:val="16"/>
              </w:rPr>
              <w:t>A</w:t>
            </w:r>
            <w:proofErr w:type="gramEnd"/>
          </w:p>
        </w:tc>
        <w:tc>
          <w:tcPr>
            <w:tcW w:w="2307" w:type="dxa"/>
            <w:vMerge/>
            <w:shd w:val="clear" w:color="auto" w:fill="BDD6EE"/>
          </w:tcPr>
          <w:p w14:paraId="3C8B00F5" w14:textId="77777777" w:rsidR="00535A76" w:rsidRPr="00535A76" w:rsidRDefault="00535A76" w:rsidP="00535A76">
            <w:pPr>
              <w:jc w:val="center"/>
              <w:rPr>
                <w:rFonts w:eastAsia="Calibri"/>
                <w:sz w:val="16"/>
                <w:szCs w:val="16"/>
              </w:rPr>
            </w:pPr>
          </w:p>
        </w:tc>
      </w:tr>
      <w:tr w:rsidR="00535A76" w:rsidRPr="00535A76" w14:paraId="62414AB0" w14:textId="77777777" w:rsidTr="00535A76">
        <w:trPr>
          <w:trHeight w:val="427"/>
          <w:jc w:val="center"/>
        </w:trPr>
        <w:tc>
          <w:tcPr>
            <w:tcW w:w="533" w:type="dxa"/>
            <w:tcBorders>
              <w:bottom w:val="single" w:sz="4" w:space="0" w:color="auto"/>
            </w:tcBorders>
            <w:shd w:val="clear" w:color="auto" w:fill="FFFFFF"/>
            <w:vAlign w:val="center"/>
          </w:tcPr>
          <w:p w14:paraId="7C6D05C5" w14:textId="77777777" w:rsidR="00535A76" w:rsidRPr="00535A76" w:rsidRDefault="00535A76" w:rsidP="00535A76">
            <w:pPr>
              <w:rPr>
                <w:rFonts w:eastAsia="Calibri"/>
                <w:b/>
                <w:bCs/>
                <w:sz w:val="16"/>
                <w:szCs w:val="16"/>
                <w:u w:val="single"/>
              </w:rPr>
            </w:pPr>
            <w:r w:rsidRPr="00535A76">
              <w:rPr>
                <w:rFonts w:eastAsia="Calibri"/>
                <w:b/>
                <w:bCs/>
                <w:sz w:val="16"/>
                <w:szCs w:val="16"/>
                <w:u w:val="single"/>
              </w:rPr>
              <w:t>14</w:t>
            </w:r>
          </w:p>
        </w:tc>
        <w:tc>
          <w:tcPr>
            <w:tcW w:w="2605" w:type="dxa"/>
            <w:tcBorders>
              <w:bottom w:val="single" w:sz="4" w:space="0" w:color="auto"/>
            </w:tcBorders>
            <w:shd w:val="clear" w:color="auto" w:fill="BDD6EE"/>
            <w:vAlign w:val="center"/>
          </w:tcPr>
          <w:p w14:paraId="7D836048" w14:textId="77777777" w:rsidR="00535A76" w:rsidRPr="00535A76" w:rsidRDefault="00535A76" w:rsidP="00535A76">
            <w:pPr>
              <w:rPr>
                <w:rFonts w:eastAsia="Calibri"/>
                <w:b/>
                <w:bCs/>
                <w:sz w:val="16"/>
                <w:szCs w:val="16"/>
                <w:u w:val="single"/>
              </w:rPr>
            </w:pPr>
            <w:r w:rsidRPr="00535A76">
              <w:rPr>
                <w:rFonts w:eastAsia="Calibri"/>
                <w:b/>
                <w:bCs/>
                <w:sz w:val="16"/>
                <w:szCs w:val="16"/>
                <w:u w:val="single"/>
              </w:rPr>
              <w:t xml:space="preserve">José Luis Rodríguez Díaz de León </w:t>
            </w:r>
          </w:p>
        </w:tc>
        <w:tc>
          <w:tcPr>
            <w:tcW w:w="748" w:type="dxa"/>
            <w:tcBorders>
              <w:bottom w:val="single" w:sz="4" w:space="0" w:color="auto"/>
            </w:tcBorders>
            <w:shd w:val="clear" w:color="auto" w:fill="FFFFFF"/>
            <w:vAlign w:val="center"/>
          </w:tcPr>
          <w:p w14:paraId="3411A4F7" w14:textId="77777777" w:rsidR="00535A76" w:rsidRPr="00535A76" w:rsidRDefault="00535A76" w:rsidP="00535A76">
            <w:pPr>
              <w:jc w:val="center"/>
              <w:rPr>
                <w:rFonts w:eastAsia="Calibri"/>
                <w:b/>
                <w:bCs/>
                <w:sz w:val="16"/>
                <w:szCs w:val="16"/>
                <w:u w:val="single"/>
              </w:rPr>
            </w:pPr>
            <w:r w:rsidRPr="00535A76">
              <w:rPr>
                <w:rFonts w:eastAsia="Calibri"/>
                <w:b/>
                <w:bCs/>
                <w:sz w:val="16"/>
                <w:szCs w:val="16"/>
                <w:u w:val="single"/>
              </w:rPr>
              <w:t>H</w:t>
            </w:r>
          </w:p>
        </w:tc>
        <w:tc>
          <w:tcPr>
            <w:tcW w:w="2307" w:type="dxa"/>
            <w:tcBorders>
              <w:bottom w:val="single" w:sz="4" w:space="0" w:color="auto"/>
            </w:tcBorders>
            <w:shd w:val="clear" w:color="auto" w:fill="FFFFFF"/>
            <w:vAlign w:val="center"/>
          </w:tcPr>
          <w:p w14:paraId="23F2667B" w14:textId="77777777" w:rsidR="00535A76" w:rsidRPr="00535A76" w:rsidRDefault="00535A76" w:rsidP="00535A76">
            <w:pPr>
              <w:jc w:val="center"/>
              <w:rPr>
                <w:rFonts w:eastAsia="Calibri"/>
                <w:b/>
                <w:bCs/>
                <w:sz w:val="16"/>
                <w:szCs w:val="16"/>
                <w:u w:val="single"/>
              </w:rPr>
            </w:pPr>
            <w:r w:rsidRPr="00535A76">
              <w:rPr>
                <w:rFonts w:eastAsia="Calibri"/>
                <w:b/>
                <w:bCs/>
                <w:sz w:val="16"/>
                <w:szCs w:val="16"/>
                <w:u w:val="single"/>
              </w:rPr>
              <w:t>8 B</w:t>
            </w:r>
          </w:p>
        </w:tc>
        <w:tc>
          <w:tcPr>
            <w:tcW w:w="2307" w:type="dxa"/>
            <w:vMerge/>
            <w:tcBorders>
              <w:bottom w:val="single" w:sz="4" w:space="0" w:color="auto"/>
            </w:tcBorders>
            <w:shd w:val="clear" w:color="auto" w:fill="BDD6EE"/>
          </w:tcPr>
          <w:p w14:paraId="255252DA" w14:textId="77777777" w:rsidR="00535A76" w:rsidRPr="00535A76" w:rsidRDefault="00535A76" w:rsidP="00535A76">
            <w:pPr>
              <w:jc w:val="center"/>
              <w:rPr>
                <w:rFonts w:eastAsia="Calibri"/>
                <w:b/>
                <w:bCs/>
                <w:sz w:val="16"/>
                <w:szCs w:val="16"/>
                <w:u w:val="single"/>
              </w:rPr>
            </w:pPr>
          </w:p>
        </w:tc>
      </w:tr>
      <w:tr w:rsidR="00535A76" w:rsidRPr="00535A76" w14:paraId="5215FDA7" w14:textId="77777777" w:rsidTr="00535A76">
        <w:trPr>
          <w:trHeight w:val="533"/>
          <w:jc w:val="center"/>
        </w:trPr>
        <w:tc>
          <w:tcPr>
            <w:tcW w:w="3138" w:type="dxa"/>
            <w:gridSpan w:val="2"/>
            <w:shd w:val="clear" w:color="auto" w:fill="FFFFFF"/>
            <w:vAlign w:val="center"/>
          </w:tcPr>
          <w:p w14:paraId="7DDB2570" w14:textId="77777777" w:rsidR="00535A76" w:rsidRPr="00535A76" w:rsidRDefault="00535A76" w:rsidP="00535A76">
            <w:pPr>
              <w:jc w:val="center"/>
              <w:rPr>
                <w:rFonts w:eastAsia="Calibri"/>
                <w:sz w:val="16"/>
                <w:szCs w:val="16"/>
              </w:rPr>
            </w:pPr>
            <w:r w:rsidRPr="00535A76">
              <w:rPr>
                <w:rFonts w:eastAsia="Calibri"/>
                <w:sz w:val="16"/>
                <w:szCs w:val="16"/>
              </w:rPr>
              <w:t>Sustituye a Isabela Rosales Herrera en la posición 14</w:t>
            </w:r>
          </w:p>
        </w:tc>
        <w:tc>
          <w:tcPr>
            <w:tcW w:w="748" w:type="dxa"/>
            <w:shd w:val="clear" w:color="auto" w:fill="FFFFFF"/>
            <w:vAlign w:val="center"/>
          </w:tcPr>
          <w:p w14:paraId="5B384248" w14:textId="77777777" w:rsidR="00535A76" w:rsidRPr="00535A76" w:rsidRDefault="00535A76" w:rsidP="00535A76">
            <w:pPr>
              <w:jc w:val="center"/>
              <w:rPr>
                <w:rFonts w:eastAsia="Calibri"/>
                <w:sz w:val="16"/>
                <w:szCs w:val="16"/>
              </w:rPr>
            </w:pPr>
          </w:p>
        </w:tc>
        <w:tc>
          <w:tcPr>
            <w:tcW w:w="2307" w:type="dxa"/>
            <w:shd w:val="clear" w:color="auto" w:fill="FFFFFF"/>
            <w:vAlign w:val="center"/>
          </w:tcPr>
          <w:p w14:paraId="1853A318" w14:textId="77777777" w:rsidR="00535A76" w:rsidRPr="00535A76" w:rsidRDefault="00535A76" w:rsidP="00535A76">
            <w:pPr>
              <w:jc w:val="center"/>
              <w:rPr>
                <w:rFonts w:eastAsia="Calibri"/>
                <w:sz w:val="16"/>
                <w:szCs w:val="16"/>
              </w:rPr>
            </w:pPr>
          </w:p>
        </w:tc>
        <w:tc>
          <w:tcPr>
            <w:tcW w:w="2307" w:type="dxa"/>
            <w:shd w:val="clear" w:color="auto" w:fill="FFFFFF"/>
          </w:tcPr>
          <w:p w14:paraId="5BA48883" w14:textId="77777777" w:rsidR="00535A76" w:rsidRPr="00535A76" w:rsidRDefault="00535A76" w:rsidP="00535A76">
            <w:pPr>
              <w:jc w:val="center"/>
              <w:rPr>
                <w:rFonts w:eastAsia="Calibri"/>
                <w:sz w:val="16"/>
                <w:szCs w:val="16"/>
              </w:rPr>
            </w:pPr>
          </w:p>
        </w:tc>
      </w:tr>
    </w:tbl>
    <w:p w14:paraId="30B0D75F" w14:textId="77777777" w:rsidR="00535A76" w:rsidRPr="00535A76" w:rsidRDefault="00535A76" w:rsidP="00535A76">
      <w:pPr>
        <w:spacing w:line="360" w:lineRule="auto"/>
        <w:jc w:val="both"/>
        <w:rPr>
          <w:rFonts w:ascii="Arial" w:eastAsia="Calibri" w:hAnsi="Arial" w:cs="Times New Roman"/>
          <w:bCs/>
          <w:sz w:val="28"/>
        </w:rPr>
      </w:pPr>
    </w:p>
    <w:p w14:paraId="0B4319FA"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 xml:space="preserve">De lo anterior, en la sentencia aprobada se aduce que dicha modificación obedece a la prevalencia de una mejor votación recibida por la parte actora, respecto del índice que reporta la candidata sustituida. </w:t>
      </w:r>
    </w:p>
    <w:p w14:paraId="284843B8"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 xml:space="preserve">Dicha circunstancia, en mi consideración, vulnera el principio de paridad, máxime que la Sala Superior se ha pronunciado acerca de la constitucionalidad de ajustes a las listas de integración por el principio de representación proporcional. </w:t>
      </w:r>
    </w:p>
    <w:p w14:paraId="775AB0A6"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 xml:space="preserve">Así, el pasado treinta de junio del presente año, la Sala Superior aprobó la </w:t>
      </w:r>
      <w:r w:rsidRPr="00535A76">
        <w:rPr>
          <w:rFonts w:ascii="Arial" w:eastAsia="Calibri" w:hAnsi="Arial" w:cs="Times New Roman"/>
          <w:b/>
          <w:sz w:val="28"/>
        </w:rPr>
        <w:t>Jurisprudencia 10/2021</w:t>
      </w:r>
      <w:r w:rsidRPr="00535A76">
        <w:rPr>
          <w:rFonts w:ascii="Arial" w:eastAsia="Calibri" w:hAnsi="Arial" w:cs="Times New Roman"/>
          <w:bCs/>
          <w:sz w:val="28"/>
        </w:rPr>
        <w:t xml:space="preserve">, de rubro </w:t>
      </w:r>
      <w:r w:rsidRPr="00535A76">
        <w:rPr>
          <w:rFonts w:ascii="Arial" w:eastAsia="Calibri" w:hAnsi="Arial" w:cs="Times New Roman"/>
          <w:b/>
          <w:sz w:val="28"/>
        </w:rPr>
        <w:t>“PARIDAD DE GÉNERO. LOS AJUSTES A LAS LISTAS DE REPRESENTACIÓN PROPORCIONAL SE JUSTIFICAN, SI SE ASEGURA EL ACCESO DE UN MAYOR NÚMERO DE MUJERES”</w:t>
      </w:r>
      <w:r w:rsidRPr="00535A76">
        <w:rPr>
          <w:rFonts w:ascii="Arial" w:eastAsia="Calibri" w:hAnsi="Arial" w:cs="Times New Roman"/>
          <w:bCs/>
          <w:sz w:val="28"/>
        </w:rPr>
        <w:t xml:space="preserve">, en esta se determina, esencialmente: </w:t>
      </w:r>
    </w:p>
    <w:p w14:paraId="6D37C318"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lastRenderedPageBreak/>
        <w:t>- Aplicar reglas de ajuste a las listas de postulaciones bajo el sistema de RP, con el objeto de lograr la integración paritaria entre géneros en órganos legislativos o municipales, está justificada cuando se traduce en el acceso de un mayor número de mujeres.</w:t>
      </w:r>
    </w:p>
    <w:p w14:paraId="0F44540D"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 La normas que incorporan el mandato de paridad de género o medidas afirmativas deben interpretarse y aplicarse procurando el mayor beneficio de las mujeres, con la finalidad de reducir la brecha fáctica con los hombres.</w:t>
      </w:r>
    </w:p>
    <w:p w14:paraId="4B593297"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 Realizar ajustes en la asignación de cargos de RP, de tal manera que se reduzca el número de mujeres dentro del órgano de gobierno implicaría que una medida que se implementó para su beneficio se traduzca en un límite a su participación por el acceso al poder público y, por tanto, sería una restricción injustificada de su derecho de ocupar cargos de elección popular.</w:t>
      </w:r>
    </w:p>
    <w:p w14:paraId="37F6A9B7"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 Con base en lo razonado, en estos casos es apegado al principio de igualdad y no discriminación que los órganos legislativos y municipales se integren por un número mayor de mujeres que de hombres.</w:t>
      </w:r>
    </w:p>
    <w:p w14:paraId="0CD9A9AD"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 xml:space="preserve">Atendiendo los parámetros de la jurisprudencia citada, se advierte que, en el presente caso, el ajuste que se propone, si bien aduce una armonización de los principios de paridad, alternancia, autodeterminación y democrático ─según lo resuelto en el recurso de reconsideración SUP-REC-1176/2018─, en mi opinión, </w:t>
      </w:r>
      <w:r w:rsidRPr="00535A76">
        <w:rPr>
          <w:rFonts w:ascii="Arial" w:eastAsia="Calibri" w:hAnsi="Arial" w:cs="Times New Roman"/>
          <w:b/>
          <w:sz w:val="28"/>
        </w:rPr>
        <w:t>se aparta del criterio jurisprudencial</w:t>
      </w:r>
      <w:r w:rsidRPr="00535A76">
        <w:rPr>
          <w:rFonts w:ascii="Arial" w:eastAsia="Calibri" w:hAnsi="Arial" w:cs="Times New Roman"/>
          <w:bCs/>
          <w:sz w:val="28"/>
        </w:rPr>
        <w:t xml:space="preserve"> mencionado. </w:t>
      </w:r>
    </w:p>
    <w:p w14:paraId="154EFD4F"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 xml:space="preserve">Ello, porque la incorporación a la Lista definitiva, de una fórmula integrada por dos personas del género masculino, desplazando </w:t>
      </w:r>
      <w:r w:rsidRPr="00535A76">
        <w:rPr>
          <w:rFonts w:ascii="Arial" w:eastAsia="Calibri" w:hAnsi="Arial" w:cs="Times New Roman"/>
          <w:bCs/>
          <w:sz w:val="28"/>
        </w:rPr>
        <w:lastRenderedPageBreak/>
        <w:t>una formula conformada por mujeres</w:t>
      </w:r>
      <w:r w:rsidRPr="00535A76">
        <w:rPr>
          <w:rFonts w:ascii="Arial" w:eastAsia="Calibri" w:hAnsi="Arial" w:cs="Times New Roman"/>
          <w:bCs/>
          <w:sz w:val="28"/>
          <w:vertAlign w:val="superscript"/>
        </w:rPr>
        <w:footnoteReference w:id="69"/>
      </w:r>
      <w:r w:rsidRPr="00535A76">
        <w:rPr>
          <w:rFonts w:ascii="Arial" w:eastAsia="Calibri" w:hAnsi="Arial" w:cs="Times New Roman"/>
          <w:bCs/>
          <w:sz w:val="28"/>
        </w:rPr>
        <w:t xml:space="preserve">, en mi opinión, de facto, resulta ser un ajuste injustificado a la asignación de diputaciones por el principio de representación proporcional. </w:t>
      </w:r>
    </w:p>
    <w:p w14:paraId="125880AA"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 xml:space="preserve">Lo anterior, porque hacer depender la modificación propuesta, al número de votos que emitió la ciudadanía a favor de la parte actora, en realidad está generando un perjuicio al grupo históricamente vulnerado, como son las mujeres, porque reducir el número de ciudadanas que integran el cuerpo legislativo de la Ciudad de México, resulta una restricción injustificada al principio de igualdad sustantiva. </w:t>
      </w:r>
    </w:p>
    <w:p w14:paraId="684CBFBD"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Máxime cuando la Sala Superior ha reconocido abiertamente que la integración paritaria ─lo más apegado a la integración 50-50─, debe ser considerado el piso mínimo, no un techo, así que cualquier porcentaje por arriba de este 50-50, en favor de las mujeres, resulta ser apegado al principio de igualdad y no discriminación.</w:t>
      </w:r>
    </w:p>
    <w:p w14:paraId="6364A886"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De tal manera que, la presente propuesta demerita el principio de progresividad en perjuicio de las mujeres.</w:t>
      </w:r>
    </w:p>
    <w:p w14:paraId="27A207FB"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 xml:space="preserve">Al respecto, la SCJN señaló en la tesis jurisprudencial 42/2014 de rubro </w:t>
      </w:r>
      <w:r w:rsidRPr="00535A76">
        <w:rPr>
          <w:rFonts w:ascii="Arial" w:eastAsia="Calibri" w:hAnsi="Arial" w:cs="Times New Roman"/>
          <w:b/>
          <w:sz w:val="28"/>
        </w:rPr>
        <w:t xml:space="preserve">“PRINCIPIO DE PROGRESIVIDAD. LA APLICACIÓN DEL PLAZO DE OCHO AÑOS PARA IMPUGNAR EN AMPARO DIRECTO SENTENCIAS CONDENATORIAS QUE IMPONEN PENA DE PRISIÓN, DICTADAS ANTES DEL TRES DE ABRIL DE DOS MIL TRECE NO VULNERA AQUÉL, TOMANDO EN CUENTA EL PRINCIPIO DE INTERDEPENDENCIA, </w:t>
      </w:r>
      <w:r w:rsidRPr="00535A76">
        <w:rPr>
          <w:rFonts w:ascii="Arial" w:eastAsia="Calibri" w:hAnsi="Arial" w:cs="Times New Roman"/>
          <w:b/>
          <w:sz w:val="28"/>
        </w:rPr>
        <w:lastRenderedPageBreak/>
        <w:t>ESPECÍFICAMENTE LA QUE SE DA ENTRE LOS DERECHOS HUMANOS DE LOS SENTENCIADOS Y DE LAS VÍCTIMAS U OFENDIDOS (LEGISLACIÓN VIGENTE A PARTIR DEL TRES DE ABRIL DE DOS MIL TRECE).”</w:t>
      </w:r>
      <w:r w:rsidRPr="00535A76">
        <w:rPr>
          <w:rFonts w:ascii="Arial" w:eastAsia="Calibri" w:hAnsi="Arial" w:cs="Times New Roman"/>
          <w:bCs/>
          <w:sz w:val="28"/>
        </w:rPr>
        <w:t>, que para determinar si una norma general que conlleva una disminución al grado de tutela de un derecho respeta el principio de progresividad, en su vertiente de no regresividad, es necesario analizar si no se afecta la eficacia de la norma que se pretende inaplicar.</w:t>
      </w:r>
    </w:p>
    <w:p w14:paraId="0E18DFDC"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 xml:space="preserve">En ese sentido, el suscrito advierte que la determinación que se propone, en realidad, está implícitamente inaplicando la parte conducente del artículo 24 del Código Electoral, sin que al respecto se esté justificando, a través </w:t>
      </w:r>
      <w:proofErr w:type="gramStart"/>
      <w:r w:rsidRPr="00535A76">
        <w:rPr>
          <w:rFonts w:ascii="Arial" w:eastAsia="Calibri" w:hAnsi="Arial" w:cs="Times New Roman"/>
          <w:bCs/>
          <w:sz w:val="28"/>
        </w:rPr>
        <w:t xml:space="preserve">del </w:t>
      </w:r>
      <w:r w:rsidRPr="00535A76">
        <w:rPr>
          <w:rFonts w:ascii="Arial" w:eastAsia="Calibri" w:hAnsi="Arial" w:cs="Times New Roman"/>
          <w:bCs/>
          <w:i/>
          <w:iCs/>
          <w:sz w:val="28"/>
        </w:rPr>
        <w:t>test</w:t>
      </w:r>
      <w:proofErr w:type="gramEnd"/>
      <w:r w:rsidRPr="00535A76">
        <w:rPr>
          <w:rFonts w:ascii="Arial" w:eastAsia="Calibri" w:hAnsi="Arial" w:cs="Times New Roman"/>
          <w:bCs/>
          <w:i/>
          <w:iCs/>
          <w:sz w:val="28"/>
        </w:rPr>
        <w:t xml:space="preserve"> </w:t>
      </w:r>
      <w:r w:rsidRPr="00535A76">
        <w:rPr>
          <w:rFonts w:ascii="Arial" w:eastAsia="Calibri" w:hAnsi="Arial" w:cs="Times New Roman"/>
          <w:bCs/>
          <w:sz w:val="28"/>
        </w:rPr>
        <w:t>de proporcionalidad correspondiente a dicha inaplicación.</w:t>
      </w:r>
    </w:p>
    <w:p w14:paraId="6B50ACD2"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 xml:space="preserve">Afirmo dicha circunstancia porque de la Lista B que se reformula en la resolución mayoritaria, y que es integrada por los mejores índices de votación, se advierte la siguiente integración: </w:t>
      </w:r>
    </w:p>
    <w:tbl>
      <w:tblPr>
        <w:tblW w:w="0" w:type="auto"/>
        <w:tblLook w:val="04A0" w:firstRow="1" w:lastRow="0" w:firstColumn="1" w:lastColumn="0" w:noHBand="0" w:noVBand="1"/>
      </w:tblPr>
      <w:tblGrid>
        <w:gridCol w:w="533"/>
        <w:gridCol w:w="2605"/>
        <w:gridCol w:w="748"/>
        <w:gridCol w:w="2068"/>
        <w:gridCol w:w="1701"/>
      </w:tblGrid>
      <w:tr w:rsidR="00535A76" w:rsidRPr="00535A76" w14:paraId="05520456" w14:textId="77777777" w:rsidTr="009B6ED0">
        <w:trPr>
          <w:tblHeader/>
        </w:trPr>
        <w:tc>
          <w:tcPr>
            <w:tcW w:w="533" w:type="dxa"/>
            <w:tcBorders>
              <w:bottom w:val="single" w:sz="4" w:space="0" w:color="auto"/>
            </w:tcBorders>
            <w:shd w:val="clear" w:color="auto" w:fill="BFBFBF"/>
            <w:vAlign w:val="center"/>
          </w:tcPr>
          <w:p w14:paraId="1102F372" w14:textId="77777777" w:rsidR="00535A76" w:rsidRPr="00535A76" w:rsidRDefault="00535A76" w:rsidP="00535A76">
            <w:pPr>
              <w:jc w:val="center"/>
              <w:rPr>
                <w:rFonts w:eastAsia="Calibri"/>
                <w:b/>
                <w:sz w:val="20"/>
                <w:szCs w:val="20"/>
              </w:rPr>
            </w:pPr>
            <w:r w:rsidRPr="00535A76">
              <w:rPr>
                <w:rFonts w:eastAsia="Calibri"/>
                <w:b/>
                <w:sz w:val="20"/>
                <w:szCs w:val="20"/>
              </w:rPr>
              <w:t>No</w:t>
            </w:r>
          </w:p>
        </w:tc>
        <w:tc>
          <w:tcPr>
            <w:tcW w:w="2605" w:type="dxa"/>
            <w:tcBorders>
              <w:bottom w:val="single" w:sz="4" w:space="0" w:color="auto"/>
            </w:tcBorders>
            <w:shd w:val="clear" w:color="auto" w:fill="BFBFBF"/>
            <w:vAlign w:val="center"/>
          </w:tcPr>
          <w:p w14:paraId="39421955" w14:textId="77777777" w:rsidR="00535A76" w:rsidRPr="00535A76" w:rsidRDefault="00535A76" w:rsidP="00535A76">
            <w:pPr>
              <w:jc w:val="center"/>
              <w:rPr>
                <w:rFonts w:eastAsia="Calibri"/>
                <w:b/>
                <w:sz w:val="20"/>
                <w:szCs w:val="20"/>
              </w:rPr>
            </w:pPr>
            <w:r w:rsidRPr="00535A76">
              <w:rPr>
                <w:rFonts w:eastAsia="Calibri"/>
                <w:b/>
                <w:sz w:val="20"/>
                <w:szCs w:val="20"/>
              </w:rPr>
              <w:t>Nombre (propietario)</w:t>
            </w:r>
          </w:p>
        </w:tc>
        <w:tc>
          <w:tcPr>
            <w:tcW w:w="748" w:type="dxa"/>
            <w:tcBorders>
              <w:bottom w:val="single" w:sz="4" w:space="0" w:color="auto"/>
            </w:tcBorders>
            <w:shd w:val="clear" w:color="auto" w:fill="BFBFBF"/>
            <w:vAlign w:val="center"/>
          </w:tcPr>
          <w:p w14:paraId="37D29F35" w14:textId="05E058AA" w:rsidR="00535A76" w:rsidRPr="00535A76" w:rsidRDefault="00535A76" w:rsidP="00535A76">
            <w:pPr>
              <w:jc w:val="center"/>
              <w:rPr>
                <w:rFonts w:eastAsia="Calibri"/>
                <w:b/>
                <w:sz w:val="20"/>
                <w:szCs w:val="20"/>
              </w:rPr>
            </w:pPr>
            <w:r w:rsidRPr="00535A76">
              <w:rPr>
                <w:rFonts w:eastAsia="Calibri"/>
                <w:b/>
                <w:sz w:val="20"/>
                <w:szCs w:val="20"/>
              </w:rPr>
              <w:t>Sexo</w:t>
            </w:r>
          </w:p>
        </w:tc>
        <w:tc>
          <w:tcPr>
            <w:tcW w:w="2068" w:type="dxa"/>
            <w:tcBorders>
              <w:bottom w:val="single" w:sz="4" w:space="0" w:color="auto"/>
            </w:tcBorders>
            <w:shd w:val="clear" w:color="auto" w:fill="BFBFBF"/>
            <w:vAlign w:val="center"/>
          </w:tcPr>
          <w:p w14:paraId="2632791D" w14:textId="0AB62B9C" w:rsidR="00535A76" w:rsidRPr="00535A76" w:rsidRDefault="00535A76" w:rsidP="00535A76">
            <w:pPr>
              <w:jc w:val="center"/>
              <w:rPr>
                <w:rFonts w:eastAsia="Calibri"/>
                <w:b/>
                <w:sz w:val="20"/>
                <w:szCs w:val="20"/>
              </w:rPr>
            </w:pPr>
            <w:r w:rsidRPr="00535A76">
              <w:rPr>
                <w:rFonts w:eastAsia="Calibri"/>
                <w:b/>
                <w:sz w:val="20"/>
                <w:szCs w:val="20"/>
              </w:rPr>
              <w:t>Lugar y lista de la que proviene</w:t>
            </w:r>
          </w:p>
        </w:tc>
        <w:tc>
          <w:tcPr>
            <w:tcW w:w="1701" w:type="dxa"/>
            <w:tcBorders>
              <w:bottom w:val="single" w:sz="4" w:space="0" w:color="auto"/>
            </w:tcBorders>
            <w:shd w:val="clear" w:color="auto" w:fill="BFBFBF"/>
            <w:vAlign w:val="center"/>
          </w:tcPr>
          <w:p w14:paraId="795D2499" w14:textId="77777777" w:rsidR="00535A76" w:rsidRPr="00535A76" w:rsidRDefault="00535A76" w:rsidP="00535A76">
            <w:pPr>
              <w:jc w:val="center"/>
              <w:rPr>
                <w:rFonts w:eastAsia="Calibri"/>
                <w:b/>
                <w:sz w:val="20"/>
                <w:szCs w:val="20"/>
              </w:rPr>
            </w:pPr>
            <w:r w:rsidRPr="00535A76">
              <w:rPr>
                <w:rFonts w:eastAsia="Calibri"/>
                <w:b/>
                <w:sz w:val="20"/>
                <w:szCs w:val="20"/>
              </w:rPr>
              <w:t>Porcentaje de votación</w:t>
            </w:r>
          </w:p>
        </w:tc>
      </w:tr>
      <w:tr w:rsidR="00535A76" w:rsidRPr="00535A76" w14:paraId="7B23B6EB" w14:textId="77777777" w:rsidTr="009B6ED0">
        <w:trPr>
          <w:trHeight w:val="533"/>
        </w:trPr>
        <w:tc>
          <w:tcPr>
            <w:tcW w:w="533" w:type="dxa"/>
            <w:shd w:val="clear" w:color="auto" w:fill="D0CECE"/>
            <w:vAlign w:val="center"/>
          </w:tcPr>
          <w:p w14:paraId="367D095F" w14:textId="77777777" w:rsidR="00535A76" w:rsidRPr="00535A76" w:rsidRDefault="00535A76" w:rsidP="00535A76">
            <w:pPr>
              <w:jc w:val="center"/>
              <w:rPr>
                <w:rFonts w:eastAsia="Calibri"/>
                <w:sz w:val="20"/>
                <w:szCs w:val="20"/>
              </w:rPr>
            </w:pPr>
          </w:p>
        </w:tc>
        <w:tc>
          <w:tcPr>
            <w:tcW w:w="2605" w:type="dxa"/>
            <w:shd w:val="clear" w:color="auto" w:fill="D0CECE"/>
            <w:vAlign w:val="center"/>
          </w:tcPr>
          <w:p w14:paraId="75DD48D7" w14:textId="3B18DEC8" w:rsidR="00535A76" w:rsidRPr="00535A76" w:rsidRDefault="00535A76" w:rsidP="009B6ED0">
            <w:pPr>
              <w:jc w:val="center"/>
              <w:rPr>
                <w:rFonts w:eastAsia="Calibri"/>
                <w:sz w:val="20"/>
                <w:szCs w:val="20"/>
              </w:rPr>
            </w:pPr>
            <w:proofErr w:type="spellStart"/>
            <w:r w:rsidRPr="00535A76">
              <w:rPr>
                <w:rFonts w:eastAsia="Calibri"/>
                <w:sz w:val="20"/>
                <w:szCs w:val="20"/>
              </w:rPr>
              <w:t>Yuriri</w:t>
            </w:r>
            <w:proofErr w:type="spellEnd"/>
            <w:r w:rsidRPr="00535A76">
              <w:rPr>
                <w:rFonts w:eastAsia="Calibri"/>
                <w:sz w:val="20"/>
                <w:szCs w:val="20"/>
              </w:rPr>
              <w:t xml:space="preserve"> Ayala Zúñiga</w:t>
            </w:r>
          </w:p>
        </w:tc>
        <w:tc>
          <w:tcPr>
            <w:tcW w:w="748" w:type="dxa"/>
            <w:shd w:val="clear" w:color="auto" w:fill="D0CECE"/>
            <w:vAlign w:val="center"/>
          </w:tcPr>
          <w:p w14:paraId="45405D50" w14:textId="77777777" w:rsidR="00535A76" w:rsidRPr="00535A76" w:rsidRDefault="00535A76" w:rsidP="009B6ED0">
            <w:pPr>
              <w:jc w:val="center"/>
              <w:rPr>
                <w:rFonts w:eastAsia="Calibri"/>
                <w:sz w:val="20"/>
                <w:szCs w:val="20"/>
              </w:rPr>
            </w:pPr>
            <w:r w:rsidRPr="00535A76">
              <w:rPr>
                <w:rFonts w:eastAsia="Calibri"/>
                <w:sz w:val="20"/>
                <w:szCs w:val="20"/>
              </w:rPr>
              <w:t>M</w:t>
            </w:r>
          </w:p>
        </w:tc>
        <w:tc>
          <w:tcPr>
            <w:tcW w:w="2068" w:type="dxa"/>
            <w:shd w:val="clear" w:color="auto" w:fill="D0CECE"/>
            <w:vAlign w:val="center"/>
          </w:tcPr>
          <w:p w14:paraId="51488D9E" w14:textId="77777777" w:rsidR="00535A76" w:rsidRPr="00535A76" w:rsidRDefault="00535A76" w:rsidP="009B6ED0">
            <w:pPr>
              <w:jc w:val="center"/>
              <w:rPr>
                <w:rFonts w:eastAsia="Calibri"/>
                <w:sz w:val="20"/>
                <w:szCs w:val="20"/>
              </w:rPr>
            </w:pPr>
            <w:r w:rsidRPr="00535A76">
              <w:rPr>
                <w:rFonts w:eastAsia="Calibri"/>
                <w:sz w:val="20"/>
                <w:szCs w:val="20"/>
              </w:rPr>
              <w:t>1 B</w:t>
            </w:r>
          </w:p>
        </w:tc>
        <w:tc>
          <w:tcPr>
            <w:tcW w:w="1701" w:type="dxa"/>
            <w:shd w:val="clear" w:color="auto" w:fill="D0CECE"/>
            <w:vAlign w:val="center"/>
          </w:tcPr>
          <w:p w14:paraId="676DD225" w14:textId="77777777" w:rsidR="00535A76" w:rsidRPr="00535A76" w:rsidRDefault="00535A76" w:rsidP="009B6ED0">
            <w:pPr>
              <w:jc w:val="center"/>
              <w:rPr>
                <w:rFonts w:eastAsia="Calibri"/>
                <w:sz w:val="20"/>
                <w:szCs w:val="20"/>
              </w:rPr>
            </w:pPr>
            <w:r w:rsidRPr="00535A76">
              <w:rPr>
                <w:rFonts w:eastAsia="Calibri"/>
                <w:sz w:val="20"/>
                <w:szCs w:val="20"/>
              </w:rPr>
              <w:t>45.56</w:t>
            </w:r>
          </w:p>
        </w:tc>
      </w:tr>
      <w:tr w:rsidR="00535A76" w:rsidRPr="00535A76" w14:paraId="07F309F7" w14:textId="77777777" w:rsidTr="009B6ED0">
        <w:trPr>
          <w:trHeight w:val="533"/>
        </w:trPr>
        <w:tc>
          <w:tcPr>
            <w:tcW w:w="533" w:type="dxa"/>
            <w:tcBorders>
              <w:bottom w:val="single" w:sz="4" w:space="0" w:color="auto"/>
            </w:tcBorders>
            <w:vAlign w:val="center"/>
          </w:tcPr>
          <w:p w14:paraId="242D61A4" w14:textId="77777777" w:rsidR="00535A76" w:rsidRPr="00535A76" w:rsidRDefault="00535A76" w:rsidP="00535A76">
            <w:pPr>
              <w:jc w:val="center"/>
              <w:rPr>
                <w:rFonts w:eastAsia="Calibri"/>
                <w:sz w:val="20"/>
                <w:szCs w:val="20"/>
              </w:rPr>
            </w:pPr>
          </w:p>
        </w:tc>
        <w:tc>
          <w:tcPr>
            <w:tcW w:w="2605" w:type="dxa"/>
            <w:tcBorders>
              <w:bottom w:val="single" w:sz="4" w:space="0" w:color="auto"/>
            </w:tcBorders>
            <w:vAlign w:val="center"/>
          </w:tcPr>
          <w:p w14:paraId="7C078540" w14:textId="44277F2A" w:rsidR="00535A76" w:rsidRPr="00535A76" w:rsidRDefault="00535A76" w:rsidP="009B6ED0">
            <w:pPr>
              <w:jc w:val="center"/>
              <w:rPr>
                <w:rFonts w:eastAsia="Calibri"/>
                <w:sz w:val="20"/>
                <w:szCs w:val="20"/>
              </w:rPr>
            </w:pPr>
            <w:r w:rsidRPr="00535A76">
              <w:rPr>
                <w:rFonts w:eastAsia="Calibri"/>
                <w:sz w:val="20"/>
                <w:szCs w:val="20"/>
              </w:rPr>
              <w:t>Marco Antonio Temístocles Villanueva Ramos</w:t>
            </w:r>
          </w:p>
        </w:tc>
        <w:tc>
          <w:tcPr>
            <w:tcW w:w="748" w:type="dxa"/>
            <w:tcBorders>
              <w:bottom w:val="single" w:sz="4" w:space="0" w:color="auto"/>
            </w:tcBorders>
            <w:vAlign w:val="center"/>
          </w:tcPr>
          <w:p w14:paraId="478FDCB0" w14:textId="77777777" w:rsidR="00535A76" w:rsidRPr="00535A76" w:rsidRDefault="00535A76" w:rsidP="009B6ED0">
            <w:pPr>
              <w:jc w:val="center"/>
              <w:rPr>
                <w:rFonts w:eastAsia="Calibri"/>
                <w:sz w:val="20"/>
                <w:szCs w:val="20"/>
              </w:rPr>
            </w:pPr>
            <w:r w:rsidRPr="00535A76">
              <w:rPr>
                <w:rFonts w:eastAsia="Calibri"/>
                <w:sz w:val="20"/>
                <w:szCs w:val="20"/>
              </w:rPr>
              <w:t>H</w:t>
            </w:r>
          </w:p>
        </w:tc>
        <w:tc>
          <w:tcPr>
            <w:tcW w:w="2068" w:type="dxa"/>
            <w:tcBorders>
              <w:bottom w:val="single" w:sz="4" w:space="0" w:color="auto"/>
            </w:tcBorders>
            <w:vAlign w:val="center"/>
          </w:tcPr>
          <w:p w14:paraId="75123043" w14:textId="77777777" w:rsidR="00535A76" w:rsidRPr="00535A76" w:rsidRDefault="00535A76" w:rsidP="009B6ED0">
            <w:pPr>
              <w:jc w:val="center"/>
              <w:rPr>
                <w:rFonts w:eastAsia="Calibri"/>
                <w:sz w:val="20"/>
                <w:szCs w:val="20"/>
              </w:rPr>
            </w:pPr>
            <w:r w:rsidRPr="00535A76">
              <w:rPr>
                <w:rFonts w:eastAsia="Calibri"/>
                <w:sz w:val="20"/>
                <w:szCs w:val="20"/>
              </w:rPr>
              <w:t>2 B</w:t>
            </w:r>
          </w:p>
        </w:tc>
        <w:tc>
          <w:tcPr>
            <w:tcW w:w="1701" w:type="dxa"/>
            <w:tcBorders>
              <w:bottom w:val="single" w:sz="4" w:space="0" w:color="auto"/>
            </w:tcBorders>
            <w:vAlign w:val="center"/>
          </w:tcPr>
          <w:p w14:paraId="55D282DC" w14:textId="77777777" w:rsidR="00535A76" w:rsidRPr="00535A76" w:rsidRDefault="00535A76" w:rsidP="009B6ED0">
            <w:pPr>
              <w:jc w:val="center"/>
              <w:rPr>
                <w:rFonts w:eastAsia="Calibri"/>
                <w:sz w:val="20"/>
                <w:szCs w:val="20"/>
              </w:rPr>
            </w:pPr>
            <w:r w:rsidRPr="00535A76">
              <w:rPr>
                <w:rFonts w:eastAsia="Calibri"/>
                <w:sz w:val="20"/>
                <w:szCs w:val="20"/>
              </w:rPr>
              <w:t>42.02</w:t>
            </w:r>
          </w:p>
        </w:tc>
      </w:tr>
      <w:tr w:rsidR="00535A76" w:rsidRPr="00535A76" w14:paraId="627A9A94" w14:textId="77777777" w:rsidTr="009B6ED0">
        <w:trPr>
          <w:trHeight w:val="533"/>
        </w:trPr>
        <w:tc>
          <w:tcPr>
            <w:tcW w:w="533" w:type="dxa"/>
            <w:shd w:val="clear" w:color="auto" w:fill="D0CECE"/>
            <w:vAlign w:val="center"/>
          </w:tcPr>
          <w:p w14:paraId="11D20C9E" w14:textId="77777777" w:rsidR="00535A76" w:rsidRPr="00535A76" w:rsidRDefault="00535A76" w:rsidP="00535A76">
            <w:pPr>
              <w:jc w:val="center"/>
              <w:rPr>
                <w:rFonts w:eastAsia="Calibri"/>
                <w:sz w:val="20"/>
                <w:szCs w:val="20"/>
              </w:rPr>
            </w:pPr>
          </w:p>
        </w:tc>
        <w:tc>
          <w:tcPr>
            <w:tcW w:w="2605" w:type="dxa"/>
            <w:shd w:val="clear" w:color="auto" w:fill="D0CECE"/>
            <w:vAlign w:val="center"/>
          </w:tcPr>
          <w:p w14:paraId="423AD29B" w14:textId="77777777" w:rsidR="00535A76" w:rsidRPr="00535A76" w:rsidRDefault="00535A76" w:rsidP="009B6ED0">
            <w:pPr>
              <w:jc w:val="center"/>
              <w:rPr>
                <w:rFonts w:eastAsia="Calibri"/>
                <w:sz w:val="20"/>
                <w:szCs w:val="20"/>
              </w:rPr>
            </w:pPr>
            <w:r w:rsidRPr="00535A76">
              <w:rPr>
                <w:rFonts w:eastAsia="Calibri"/>
                <w:sz w:val="20"/>
                <w:szCs w:val="20"/>
              </w:rPr>
              <w:t>Valentina Valia Batres Guadarrama</w:t>
            </w:r>
          </w:p>
        </w:tc>
        <w:tc>
          <w:tcPr>
            <w:tcW w:w="748" w:type="dxa"/>
            <w:shd w:val="clear" w:color="auto" w:fill="D0CECE"/>
            <w:vAlign w:val="center"/>
          </w:tcPr>
          <w:p w14:paraId="65AE498A" w14:textId="77777777" w:rsidR="00535A76" w:rsidRPr="00535A76" w:rsidRDefault="00535A76" w:rsidP="009B6ED0">
            <w:pPr>
              <w:jc w:val="center"/>
              <w:rPr>
                <w:rFonts w:eastAsia="Calibri"/>
                <w:sz w:val="20"/>
                <w:szCs w:val="20"/>
              </w:rPr>
            </w:pPr>
            <w:r w:rsidRPr="00535A76">
              <w:rPr>
                <w:rFonts w:eastAsia="Calibri"/>
                <w:sz w:val="20"/>
                <w:szCs w:val="20"/>
              </w:rPr>
              <w:t>M</w:t>
            </w:r>
          </w:p>
        </w:tc>
        <w:tc>
          <w:tcPr>
            <w:tcW w:w="2068" w:type="dxa"/>
            <w:shd w:val="clear" w:color="auto" w:fill="D0CECE"/>
            <w:vAlign w:val="center"/>
          </w:tcPr>
          <w:p w14:paraId="6A482D0A" w14:textId="77777777" w:rsidR="00535A76" w:rsidRPr="00535A76" w:rsidRDefault="00535A76" w:rsidP="009B6ED0">
            <w:pPr>
              <w:jc w:val="center"/>
              <w:rPr>
                <w:rFonts w:eastAsia="Calibri"/>
                <w:sz w:val="20"/>
                <w:szCs w:val="20"/>
              </w:rPr>
            </w:pPr>
            <w:r w:rsidRPr="00535A76">
              <w:rPr>
                <w:rFonts w:eastAsia="Calibri"/>
                <w:sz w:val="20"/>
                <w:szCs w:val="20"/>
              </w:rPr>
              <w:t>3 B</w:t>
            </w:r>
          </w:p>
        </w:tc>
        <w:tc>
          <w:tcPr>
            <w:tcW w:w="1701" w:type="dxa"/>
            <w:shd w:val="clear" w:color="auto" w:fill="D0CECE"/>
            <w:vAlign w:val="center"/>
          </w:tcPr>
          <w:p w14:paraId="6DF4C6C6" w14:textId="77777777" w:rsidR="00535A76" w:rsidRPr="00535A76" w:rsidRDefault="00535A76" w:rsidP="009B6ED0">
            <w:pPr>
              <w:jc w:val="center"/>
              <w:rPr>
                <w:rFonts w:eastAsia="Calibri"/>
                <w:sz w:val="20"/>
                <w:szCs w:val="20"/>
              </w:rPr>
            </w:pPr>
            <w:r w:rsidRPr="00535A76">
              <w:rPr>
                <w:rFonts w:eastAsia="Calibri"/>
                <w:sz w:val="20"/>
                <w:szCs w:val="20"/>
              </w:rPr>
              <w:t>42.51</w:t>
            </w:r>
          </w:p>
        </w:tc>
      </w:tr>
      <w:tr w:rsidR="00535A76" w:rsidRPr="00535A76" w14:paraId="2BDAE34B" w14:textId="77777777" w:rsidTr="009B6ED0">
        <w:trPr>
          <w:trHeight w:val="533"/>
        </w:trPr>
        <w:tc>
          <w:tcPr>
            <w:tcW w:w="533" w:type="dxa"/>
            <w:tcBorders>
              <w:bottom w:val="single" w:sz="4" w:space="0" w:color="auto"/>
            </w:tcBorders>
            <w:vAlign w:val="center"/>
          </w:tcPr>
          <w:p w14:paraId="14891B53" w14:textId="77777777" w:rsidR="00535A76" w:rsidRPr="00535A76" w:rsidRDefault="00535A76" w:rsidP="00535A76">
            <w:pPr>
              <w:jc w:val="center"/>
              <w:rPr>
                <w:rFonts w:eastAsia="Calibri"/>
                <w:sz w:val="20"/>
                <w:szCs w:val="20"/>
              </w:rPr>
            </w:pPr>
          </w:p>
        </w:tc>
        <w:tc>
          <w:tcPr>
            <w:tcW w:w="2605" w:type="dxa"/>
            <w:tcBorders>
              <w:bottom w:val="single" w:sz="4" w:space="0" w:color="auto"/>
            </w:tcBorders>
            <w:vAlign w:val="center"/>
          </w:tcPr>
          <w:p w14:paraId="6AEA06C8" w14:textId="77777777" w:rsidR="00535A76" w:rsidRPr="00535A76" w:rsidRDefault="00535A76" w:rsidP="009B6ED0">
            <w:pPr>
              <w:jc w:val="center"/>
              <w:rPr>
                <w:rFonts w:eastAsia="Calibri"/>
                <w:sz w:val="20"/>
                <w:szCs w:val="20"/>
              </w:rPr>
            </w:pPr>
            <w:r w:rsidRPr="00535A76">
              <w:rPr>
                <w:rFonts w:eastAsia="Calibri"/>
                <w:sz w:val="20"/>
                <w:szCs w:val="20"/>
              </w:rPr>
              <w:t xml:space="preserve">José Fernando Mercado </w:t>
            </w:r>
            <w:proofErr w:type="spellStart"/>
            <w:r w:rsidRPr="00535A76">
              <w:rPr>
                <w:rFonts w:eastAsia="Calibri"/>
                <w:sz w:val="20"/>
                <w:szCs w:val="20"/>
              </w:rPr>
              <w:t>Guaida</w:t>
            </w:r>
            <w:proofErr w:type="spellEnd"/>
          </w:p>
        </w:tc>
        <w:tc>
          <w:tcPr>
            <w:tcW w:w="748" w:type="dxa"/>
            <w:tcBorders>
              <w:bottom w:val="single" w:sz="4" w:space="0" w:color="auto"/>
            </w:tcBorders>
            <w:vAlign w:val="center"/>
          </w:tcPr>
          <w:p w14:paraId="2F13195F" w14:textId="77777777" w:rsidR="00535A76" w:rsidRPr="00535A76" w:rsidRDefault="00535A76" w:rsidP="009B6ED0">
            <w:pPr>
              <w:jc w:val="center"/>
              <w:rPr>
                <w:rFonts w:eastAsia="Calibri"/>
                <w:sz w:val="20"/>
                <w:szCs w:val="20"/>
              </w:rPr>
            </w:pPr>
            <w:r w:rsidRPr="00535A76">
              <w:rPr>
                <w:rFonts w:eastAsia="Calibri"/>
                <w:sz w:val="20"/>
                <w:szCs w:val="20"/>
              </w:rPr>
              <w:t>H</w:t>
            </w:r>
          </w:p>
        </w:tc>
        <w:tc>
          <w:tcPr>
            <w:tcW w:w="2068" w:type="dxa"/>
            <w:tcBorders>
              <w:bottom w:val="single" w:sz="4" w:space="0" w:color="auto"/>
            </w:tcBorders>
            <w:vAlign w:val="center"/>
          </w:tcPr>
          <w:p w14:paraId="0AC12EF3" w14:textId="77777777" w:rsidR="00535A76" w:rsidRPr="00535A76" w:rsidRDefault="00535A76" w:rsidP="009B6ED0">
            <w:pPr>
              <w:jc w:val="center"/>
              <w:rPr>
                <w:rFonts w:eastAsia="Calibri"/>
                <w:sz w:val="20"/>
                <w:szCs w:val="20"/>
              </w:rPr>
            </w:pPr>
            <w:r w:rsidRPr="00535A76">
              <w:rPr>
                <w:rFonts w:eastAsia="Calibri"/>
                <w:sz w:val="20"/>
                <w:szCs w:val="20"/>
              </w:rPr>
              <w:t>4 B</w:t>
            </w:r>
          </w:p>
        </w:tc>
        <w:tc>
          <w:tcPr>
            <w:tcW w:w="1701" w:type="dxa"/>
            <w:tcBorders>
              <w:bottom w:val="single" w:sz="4" w:space="0" w:color="auto"/>
            </w:tcBorders>
            <w:vAlign w:val="center"/>
          </w:tcPr>
          <w:p w14:paraId="3032E729" w14:textId="77777777" w:rsidR="00535A76" w:rsidRPr="00535A76" w:rsidRDefault="00535A76" w:rsidP="009B6ED0">
            <w:pPr>
              <w:jc w:val="center"/>
              <w:rPr>
                <w:rFonts w:eastAsia="Calibri"/>
                <w:sz w:val="20"/>
                <w:szCs w:val="20"/>
              </w:rPr>
            </w:pPr>
            <w:r w:rsidRPr="00535A76">
              <w:rPr>
                <w:rFonts w:eastAsia="Calibri"/>
                <w:sz w:val="20"/>
                <w:szCs w:val="20"/>
              </w:rPr>
              <w:t>40.47</w:t>
            </w:r>
          </w:p>
        </w:tc>
      </w:tr>
      <w:tr w:rsidR="00535A76" w:rsidRPr="00535A76" w14:paraId="37D00E53" w14:textId="77777777" w:rsidTr="009B6ED0">
        <w:trPr>
          <w:trHeight w:val="533"/>
        </w:trPr>
        <w:tc>
          <w:tcPr>
            <w:tcW w:w="533" w:type="dxa"/>
            <w:shd w:val="clear" w:color="auto" w:fill="D0CECE"/>
            <w:vAlign w:val="center"/>
          </w:tcPr>
          <w:p w14:paraId="074E6E18" w14:textId="77777777" w:rsidR="00535A76" w:rsidRPr="00535A76" w:rsidRDefault="00535A76" w:rsidP="00535A76">
            <w:pPr>
              <w:jc w:val="center"/>
              <w:rPr>
                <w:rFonts w:eastAsia="Calibri"/>
                <w:sz w:val="20"/>
                <w:szCs w:val="20"/>
              </w:rPr>
            </w:pPr>
          </w:p>
        </w:tc>
        <w:tc>
          <w:tcPr>
            <w:tcW w:w="2605" w:type="dxa"/>
            <w:shd w:val="clear" w:color="auto" w:fill="D0CECE"/>
            <w:vAlign w:val="center"/>
          </w:tcPr>
          <w:p w14:paraId="66E24AE2" w14:textId="77777777" w:rsidR="00535A76" w:rsidRPr="00535A76" w:rsidRDefault="00535A76" w:rsidP="009B6ED0">
            <w:pPr>
              <w:jc w:val="center"/>
              <w:rPr>
                <w:rFonts w:eastAsia="Calibri"/>
                <w:sz w:val="20"/>
                <w:szCs w:val="20"/>
              </w:rPr>
            </w:pPr>
            <w:r w:rsidRPr="00535A76">
              <w:rPr>
                <w:rFonts w:eastAsia="Calibri"/>
                <w:sz w:val="20"/>
                <w:szCs w:val="20"/>
              </w:rPr>
              <w:t>Xóchitl Bravo Espinosa</w:t>
            </w:r>
          </w:p>
        </w:tc>
        <w:tc>
          <w:tcPr>
            <w:tcW w:w="748" w:type="dxa"/>
            <w:shd w:val="clear" w:color="auto" w:fill="D0CECE"/>
            <w:vAlign w:val="center"/>
          </w:tcPr>
          <w:p w14:paraId="125FBAD6" w14:textId="77777777" w:rsidR="00535A76" w:rsidRPr="00535A76" w:rsidRDefault="00535A76" w:rsidP="009B6ED0">
            <w:pPr>
              <w:jc w:val="center"/>
              <w:rPr>
                <w:rFonts w:eastAsia="Calibri"/>
                <w:sz w:val="20"/>
                <w:szCs w:val="20"/>
              </w:rPr>
            </w:pPr>
            <w:r w:rsidRPr="00535A76">
              <w:rPr>
                <w:rFonts w:eastAsia="Calibri"/>
                <w:sz w:val="20"/>
                <w:szCs w:val="20"/>
              </w:rPr>
              <w:t>M</w:t>
            </w:r>
          </w:p>
        </w:tc>
        <w:tc>
          <w:tcPr>
            <w:tcW w:w="2068" w:type="dxa"/>
            <w:shd w:val="clear" w:color="auto" w:fill="D0CECE"/>
            <w:vAlign w:val="center"/>
          </w:tcPr>
          <w:p w14:paraId="7D8F6B72" w14:textId="77777777" w:rsidR="00535A76" w:rsidRPr="00535A76" w:rsidRDefault="00535A76" w:rsidP="009B6ED0">
            <w:pPr>
              <w:jc w:val="center"/>
              <w:rPr>
                <w:rFonts w:eastAsia="Calibri"/>
                <w:sz w:val="20"/>
                <w:szCs w:val="20"/>
              </w:rPr>
            </w:pPr>
            <w:r w:rsidRPr="00535A76">
              <w:rPr>
                <w:rFonts w:eastAsia="Calibri"/>
                <w:sz w:val="20"/>
                <w:szCs w:val="20"/>
              </w:rPr>
              <w:t>5 B</w:t>
            </w:r>
          </w:p>
        </w:tc>
        <w:tc>
          <w:tcPr>
            <w:tcW w:w="1701" w:type="dxa"/>
            <w:shd w:val="clear" w:color="auto" w:fill="D0CECE"/>
            <w:vAlign w:val="center"/>
          </w:tcPr>
          <w:p w14:paraId="0219EE1A" w14:textId="77777777" w:rsidR="00535A76" w:rsidRPr="00535A76" w:rsidRDefault="00535A76" w:rsidP="009B6ED0">
            <w:pPr>
              <w:jc w:val="center"/>
              <w:rPr>
                <w:rFonts w:eastAsia="Calibri"/>
                <w:sz w:val="20"/>
                <w:szCs w:val="20"/>
              </w:rPr>
            </w:pPr>
            <w:r w:rsidRPr="00535A76">
              <w:rPr>
                <w:rFonts w:eastAsia="Calibri"/>
                <w:sz w:val="20"/>
                <w:szCs w:val="20"/>
              </w:rPr>
              <w:t>34.53</w:t>
            </w:r>
          </w:p>
        </w:tc>
      </w:tr>
      <w:tr w:rsidR="00535A76" w:rsidRPr="00535A76" w14:paraId="161C8257" w14:textId="77777777" w:rsidTr="009B6ED0">
        <w:trPr>
          <w:trHeight w:val="533"/>
        </w:trPr>
        <w:tc>
          <w:tcPr>
            <w:tcW w:w="533" w:type="dxa"/>
            <w:tcBorders>
              <w:bottom w:val="single" w:sz="4" w:space="0" w:color="auto"/>
            </w:tcBorders>
            <w:vAlign w:val="center"/>
          </w:tcPr>
          <w:p w14:paraId="43C24671" w14:textId="77777777" w:rsidR="00535A76" w:rsidRPr="00535A76" w:rsidRDefault="00535A76" w:rsidP="00535A76">
            <w:pPr>
              <w:jc w:val="center"/>
              <w:rPr>
                <w:rFonts w:eastAsia="Calibri"/>
                <w:sz w:val="20"/>
                <w:szCs w:val="20"/>
              </w:rPr>
            </w:pPr>
          </w:p>
        </w:tc>
        <w:tc>
          <w:tcPr>
            <w:tcW w:w="2605" w:type="dxa"/>
            <w:tcBorders>
              <w:bottom w:val="single" w:sz="4" w:space="0" w:color="auto"/>
            </w:tcBorders>
            <w:vAlign w:val="center"/>
          </w:tcPr>
          <w:p w14:paraId="0F15480D" w14:textId="77777777" w:rsidR="00535A76" w:rsidRPr="00535A76" w:rsidRDefault="00535A76" w:rsidP="009B6ED0">
            <w:pPr>
              <w:jc w:val="center"/>
              <w:rPr>
                <w:rFonts w:eastAsia="Calibri"/>
                <w:sz w:val="20"/>
                <w:szCs w:val="20"/>
              </w:rPr>
            </w:pPr>
            <w:r w:rsidRPr="00535A76">
              <w:rPr>
                <w:rFonts w:eastAsia="Calibri"/>
                <w:sz w:val="20"/>
                <w:szCs w:val="20"/>
              </w:rPr>
              <w:t>Carlos Cervantes Godoy</w:t>
            </w:r>
          </w:p>
        </w:tc>
        <w:tc>
          <w:tcPr>
            <w:tcW w:w="748" w:type="dxa"/>
            <w:tcBorders>
              <w:bottom w:val="single" w:sz="4" w:space="0" w:color="auto"/>
            </w:tcBorders>
            <w:vAlign w:val="center"/>
          </w:tcPr>
          <w:p w14:paraId="3E79DCE2" w14:textId="77777777" w:rsidR="00535A76" w:rsidRPr="00535A76" w:rsidRDefault="00535A76" w:rsidP="009B6ED0">
            <w:pPr>
              <w:jc w:val="center"/>
              <w:rPr>
                <w:rFonts w:eastAsia="Calibri"/>
                <w:sz w:val="20"/>
                <w:szCs w:val="20"/>
              </w:rPr>
            </w:pPr>
            <w:r w:rsidRPr="00535A76">
              <w:rPr>
                <w:rFonts w:eastAsia="Calibri"/>
                <w:sz w:val="20"/>
                <w:szCs w:val="20"/>
              </w:rPr>
              <w:t>H</w:t>
            </w:r>
          </w:p>
        </w:tc>
        <w:tc>
          <w:tcPr>
            <w:tcW w:w="2068" w:type="dxa"/>
            <w:tcBorders>
              <w:bottom w:val="single" w:sz="4" w:space="0" w:color="auto"/>
            </w:tcBorders>
            <w:vAlign w:val="center"/>
          </w:tcPr>
          <w:p w14:paraId="641BB2D9" w14:textId="77777777" w:rsidR="00535A76" w:rsidRPr="00535A76" w:rsidRDefault="00535A76" w:rsidP="009B6ED0">
            <w:pPr>
              <w:jc w:val="center"/>
              <w:rPr>
                <w:rFonts w:eastAsia="Calibri"/>
                <w:sz w:val="20"/>
                <w:szCs w:val="20"/>
              </w:rPr>
            </w:pPr>
            <w:r w:rsidRPr="00535A76">
              <w:rPr>
                <w:rFonts w:eastAsia="Calibri"/>
                <w:sz w:val="20"/>
                <w:szCs w:val="20"/>
              </w:rPr>
              <w:t>6 B</w:t>
            </w:r>
          </w:p>
        </w:tc>
        <w:tc>
          <w:tcPr>
            <w:tcW w:w="1701" w:type="dxa"/>
            <w:tcBorders>
              <w:bottom w:val="single" w:sz="4" w:space="0" w:color="auto"/>
            </w:tcBorders>
            <w:vAlign w:val="center"/>
          </w:tcPr>
          <w:p w14:paraId="15A92C7D" w14:textId="77777777" w:rsidR="00535A76" w:rsidRPr="00535A76" w:rsidRDefault="00535A76" w:rsidP="009B6ED0">
            <w:pPr>
              <w:jc w:val="center"/>
              <w:rPr>
                <w:rFonts w:eastAsia="Calibri"/>
                <w:sz w:val="20"/>
                <w:szCs w:val="20"/>
              </w:rPr>
            </w:pPr>
            <w:r w:rsidRPr="00535A76">
              <w:rPr>
                <w:rFonts w:eastAsia="Calibri"/>
                <w:sz w:val="20"/>
                <w:szCs w:val="20"/>
              </w:rPr>
              <w:t>40.13</w:t>
            </w:r>
          </w:p>
        </w:tc>
      </w:tr>
      <w:tr w:rsidR="00535A76" w:rsidRPr="00535A76" w14:paraId="53BFD8C2" w14:textId="77777777" w:rsidTr="009B6ED0">
        <w:trPr>
          <w:trHeight w:val="427"/>
        </w:trPr>
        <w:tc>
          <w:tcPr>
            <w:tcW w:w="533" w:type="dxa"/>
            <w:tcBorders>
              <w:bottom w:val="single" w:sz="4" w:space="0" w:color="auto"/>
            </w:tcBorders>
            <w:shd w:val="clear" w:color="auto" w:fill="D0CECE"/>
            <w:vAlign w:val="center"/>
          </w:tcPr>
          <w:p w14:paraId="5EC10FA8" w14:textId="77777777" w:rsidR="00535A76" w:rsidRPr="00535A76" w:rsidRDefault="00535A76" w:rsidP="00535A76">
            <w:pPr>
              <w:rPr>
                <w:rFonts w:eastAsia="Calibri"/>
                <w:b/>
                <w:bCs/>
                <w:sz w:val="20"/>
                <w:szCs w:val="20"/>
                <w:u w:val="single"/>
              </w:rPr>
            </w:pPr>
          </w:p>
        </w:tc>
        <w:tc>
          <w:tcPr>
            <w:tcW w:w="2605" w:type="dxa"/>
            <w:tcBorders>
              <w:bottom w:val="single" w:sz="4" w:space="0" w:color="auto"/>
            </w:tcBorders>
            <w:shd w:val="clear" w:color="auto" w:fill="D0CECE"/>
            <w:vAlign w:val="center"/>
          </w:tcPr>
          <w:p w14:paraId="2F8287E2" w14:textId="3A46464D" w:rsidR="00535A76" w:rsidRPr="00535A76" w:rsidRDefault="00535A76" w:rsidP="009B6ED0">
            <w:pPr>
              <w:jc w:val="center"/>
              <w:rPr>
                <w:rFonts w:eastAsia="Calibri"/>
                <w:b/>
                <w:bCs/>
                <w:sz w:val="20"/>
                <w:szCs w:val="20"/>
                <w:u w:val="single"/>
              </w:rPr>
            </w:pPr>
            <w:r w:rsidRPr="00535A76">
              <w:rPr>
                <w:rFonts w:eastAsia="Calibri"/>
                <w:b/>
                <w:bCs/>
                <w:sz w:val="20"/>
                <w:szCs w:val="20"/>
                <w:u w:val="single"/>
              </w:rPr>
              <w:t>José Luis Rodríguez Díaz de León</w:t>
            </w:r>
          </w:p>
        </w:tc>
        <w:tc>
          <w:tcPr>
            <w:tcW w:w="748" w:type="dxa"/>
            <w:tcBorders>
              <w:bottom w:val="single" w:sz="4" w:space="0" w:color="auto"/>
            </w:tcBorders>
            <w:shd w:val="clear" w:color="auto" w:fill="D0CECE"/>
            <w:vAlign w:val="center"/>
          </w:tcPr>
          <w:p w14:paraId="3DA3B980" w14:textId="77777777" w:rsidR="00535A76" w:rsidRPr="00535A76" w:rsidRDefault="00535A76" w:rsidP="009B6ED0">
            <w:pPr>
              <w:jc w:val="center"/>
              <w:rPr>
                <w:rFonts w:eastAsia="Calibri"/>
                <w:b/>
                <w:bCs/>
                <w:sz w:val="20"/>
                <w:szCs w:val="20"/>
                <w:u w:val="single"/>
              </w:rPr>
            </w:pPr>
            <w:r w:rsidRPr="00535A76">
              <w:rPr>
                <w:rFonts w:eastAsia="Calibri"/>
                <w:b/>
                <w:bCs/>
                <w:sz w:val="20"/>
                <w:szCs w:val="20"/>
                <w:u w:val="single"/>
              </w:rPr>
              <w:t>H</w:t>
            </w:r>
          </w:p>
        </w:tc>
        <w:tc>
          <w:tcPr>
            <w:tcW w:w="2068" w:type="dxa"/>
            <w:tcBorders>
              <w:bottom w:val="single" w:sz="4" w:space="0" w:color="auto"/>
            </w:tcBorders>
            <w:shd w:val="clear" w:color="auto" w:fill="D0CECE"/>
            <w:vAlign w:val="center"/>
          </w:tcPr>
          <w:p w14:paraId="4D103984" w14:textId="77777777" w:rsidR="00535A76" w:rsidRPr="00535A76" w:rsidRDefault="00535A76" w:rsidP="009B6ED0">
            <w:pPr>
              <w:jc w:val="center"/>
              <w:rPr>
                <w:rFonts w:eastAsia="Calibri"/>
                <w:b/>
                <w:bCs/>
                <w:sz w:val="20"/>
                <w:szCs w:val="20"/>
                <w:u w:val="single"/>
              </w:rPr>
            </w:pPr>
            <w:r w:rsidRPr="00535A76">
              <w:rPr>
                <w:rFonts w:eastAsia="Calibri"/>
                <w:b/>
                <w:bCs/>
                <w:sz w:val="20"/>
                <w:szCs w:val="20"/>
                <w:u w:val="single"/>
              </w:rPr>
              <w:t>7 B</w:t>
            </w:r>
          </w:p>
        </w:tc>
        <w:tc>
          <w:tcPr>
            <w:tcW w:w="1701" w:type="dxa"/>
            <w:tcBorders>
              <w:bottom w:val="single" w:sz="4" w:space="0" w:color="auto"/>
            </w:tcBorders>
            <w:shd w:val="clear" w:color="auto" w:fill="D0CECE"/>
            <w:vAlign w:val="center"/>
          </w:tcPr>
          <w:p w14:paraId="027B6AE1" w14:textId="77777777" w:rsidR="00535A76" w:rsidRPr="00535A76" w:rsidRDefault="00535A76" w:rsidP="009B6ED0">
            <w:pPr>
              <w:jc w:val="center"/>
              <w:rPr>
                <w:rFonts w:eastAsia="Calibri"/>
                <w:b/>
                <w:bCs/>
                <w:sz w:val="20"/>
                <w:szCs w:val="20"/>
                <w:u w:val="single"/>
              </w:rPr>
            </w:pPr>
            <w:r w:rsidRPr="00535A76">
              <w:rPr>
                <w:rFonts w:eastAsia="Calibri"/>
                <w:b/>
                <w:bCs/>
                <w:sz w:val="20"/>
                <w:szCs w:val="20"/>
                <w:u w:val="single"/>
              </w:rPr>
              <w:t>35.27</w:t>
            </w:r>
          </w:p>
        </w:tc>
      </w:tr>
      <w:tr w:rsidR="00535A76" w:rsidRPr="00535A76" w14:paraId="4C1346A1" w14:textId="77777777" w:rsidTr="009B6ED0">
        <w:trPr>
          <w:trHeight w:val="533"/>
        </w:trPr>
        <w:tc>
          <w:tcPr>
            <w:tcW w:w="533" w:type="dxa"/>
            <w:shd w:val="clear" w:color="auto" w:fill="D0CECE"/>
            <w:vAlign w:val="center"/>
          </w:tcPr>
          <w:p w14:paraId="01EB6BF7" w14:textId="77777777" w:rsidR="00535A76" w:rsidRPr="00535A76" w:rsidRDefault="00535A76" w:rsidP="00535A76">
            <w:pPr>
              <w:jc w:val="center"/>
              <w:rPr>
                <w:rFonts w:eastAsia="Calibri"/>
                <w:b/>
                <w:bCs/>
                <w:sz w:val="20"/>
                <w:szCs w:val="20"/>
                <w:u w:val="single"/>
              </w:rPr>
            </w:pPr>
          </w:p>
        </w:tc>
        <w:tc>
          <w:tcPr>
            <w:tcW w:w="2605" w:type="dxa"/>
            <w:shd w:val="clear" w:color="auto" w:fill="D0CECE"/>
            <w:vAlign w:val="center"/>
          </w:tcPr>
          <w:p w14:paraId="3F9992E9" w14:textId="77777777" w:rsidR="00535A76" w:rsidRPr="00535A76" w:rsidRDefault="00535A76" w:rsidP="009B6ED0">
            <w:pPr>
              <w:jc w:val="center"/>
              <w:rPr>
                <w:rFonts w:eastAsia="Calibri"/>
                <w:b/>
                <w:bCs/>
                <w:sz w:val="20"/>
                <w:szCs w:val="20"/>
                <w:u w:val="single"/>
              </w:rPr>
            </w:pPr>
            <w:r w:rsidRPr="00535A76">
              <w:rPr>
                <w:rFonts w:eastAsia="Calibri"/>
                <w:b/>
                <w:bCs/>
                <w:sz w:val="20"/>
                <w:szCs w:val="20"/>
                <w:u w:val="single"/>
              </w:rPr>
              <w:t>Isabela Rosales Herrera</w:t>
            </w:r>
          </w:p>
        </w:tc>
        <w:tc>
          <w:tcPr>
            <w:tcW w:w="748" w:type="dxa"/>
            <w:shd w:val="clear" w:color="auto" w:fill="D0CECE"/>
            <w:vAlign w:val="center"/>
          </w:tcPr>
          <w:p w14:paraId="01A5C69F" w14:textId="77777777" w:rsidR="00535A76" w:rsidRPr="00535A76" w:rsidRDefault="00535A76" w:rsidP="009B6ED0">
            <w:pPr>
              <w:jc w:val="center"/>
              <w:rPr>
                <w:rFonts w:eastAsia="Calibri"/>
                <w:b/>
                <w:bCs/>
                <w:sz w:val="20"/>
                <w:szCs w:val="20"/>
                <w:u w:val="single"/>
              </w:rPr>
            </w:pPr>
            <w:r w:rsidRPr="00535A76">
              <w:rPr>
                <w:rFonts w:eastAsia="Calibri"/>
                <w:b/>
                <w:bCs/>
                <w:sz w:val="20"/>
                <w:szCs w:val="20"/>
                <w:u w:val="single"/>
              </w:rPr>
              <w:t>M</w:t>
            </w:r>
          </w:p>
        </w:tc>
        <w:tc>
          <w:tcPr>
            <w:tcW w:w="2068" w:type="dxa"/>
            <w:shd w:val="clear" w:color="auto" w:fill="D0CECE"/>
            <w:vAlign w:val="center"/>
          </w:tcPr>
          <w:p w14:paraId="4FC1814D" w14:textId="77777777" w:rsidR="00535A76" w:rsidRPr="00535A76" w:rsidRDefault="00535A76" w:rsidP="009B6ED0">
            <w:pPr>
              <w:jc w:val="center"/>
              <w:rPr>
                <w:rFonts w:eastAsia="Calibri"/>
                <w:b/>
                <w:bCs/>
                <w:sz w:val="20"/>
                <w:szCs w:val="20"/>
                <w:u w:val="single"/>
              </w:rPr>
            </w:pPr>
            <w:r w:rsidRPr="00535A76">
              <w:rPr>
                <w:rFonts w:eastAsia="Calibri"/>
                <w:b/>
                <w:bCs/>
                <w:sz w:val="20"/>
                <w:szCs w:val="20"/>
                <w:u w:val="single"/>
              </w:rPr>
              <w:t>8 B</w:t>
            </w:r>
          </w:p>
        </w:tc>
        <w:tc>
          <w:tcPr>
            <w:tcW w:w="1701" w:type="dxa"/>
            <w:shd w:val="clear" w:color="auto" w:fill="D0CECE"/>
            <w:vAlign w:val="center"/>
          </w:tcPr>
          <w:p w14:paraId="4D8A4203" w14:textId="77777777" w:rsidR="00535A76" w:rsidRPr="00535A76" w:rsidRDefault="00535A76" w:rsidP="009B6ED0">
            <w:pPr>
              <w:jc w:val="center"/>
              <w:rPr>
                <w:rFonts w:eastAsia="Calibri"/>
                <w:b/>
                <w:bCs/>
                <w:sz w:val="20"/>
                <w:szCs w:val="20"/>
                <w:u w:val="single"/>
              </w:rPr>
            </w:pPr>
            <w:r w:rsidRPr="00535A76">
              <w:rPr>
                <w:rFonts w:eastAsia="Calibri"/>
                <w:b/>
                <w:bCs/>
                <w:sz w:val="20"/>
                <w:szCs w:val="20"/>
                <w:u w:val="single"/>
              </w:rPr>
              <w:t>28.96</w:t>
            </w:r>
          </w:p>
        </w:tc>
      </w:tr>
    </w:tbl>
    <w:p w14:paraId="1A896AA7" w14:textId="77777777" w:rsidR="00535A76" w:rsidRPr="00535A76" w:rsidRDefault="00535A76" w:rsidP="00535A76">
      <w:pPr>
        <w:spacing w:line="360" w:lineRule="auto"/>
        <w:jc w:val="both"/>
        <w:rPr>
          <w:rFonts w:ascii="Arial" w:eastAsia="Calibri" w:hAnsi="Arial" w:cs="Times New Roman"/>
          <w:bCs/>
          <w:sz w:val="28"/>
          <w:highlight w:val="green"/>
        </w:rPr>
      </w:pPr>
      <w:r w:rsidRPr="00535A76">
        <w:rPr>
          <w:rFonts w:ascii="Arial" w:eastAsia="Calibri" w:hAnsi="Arial" w:cs="Times New Roman"/>
          <w:bCs/>
          <w:sz w:val="28"/>
          <w:highlight w:val="green"/>
        </w:rPr>
        <w:lastRenderedPageBreak/>
        <w:t xml:space="preserve"> </w:t>
      </w:r>
    </w:p>
    <w:p w14:paraId="24CD4C2E"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 xml:space="preserve">De lo anterior, se advierte que esta Lista B que se utiliza para la modificación aprobada, están posicionadas dos fórmulas de hombres, de forma seguida, correspondientes a Carlos Cervantes Godoy y José Luis Rodríguez Díaz de León </w:t>
      </w:r>
      <w:r w:rsidRPr="00535A76">
        <w:rPr>
          <w:rFonts w:ascii="Arial" w:eastAsia="Calibri" w:hAnsi="Arial" w:cs="Arial"/>
          <w:bCs/>
          <w:sz w:val="28"/>
        </w:rPr>
        <w:t>─sin que sea óbice la afirmación que se hace, respecto a que esta recomposición obedece a un mejor índice de votación entre este último candidato y la candidata que resulta desplazada─</w:t>
      </w:r>
      <w:r w:rsidRPr="00535A76">
        <w:rPr>
          <w:rFonts w:ascii="Arial" w:eastAsia="Calibri" w:hAnsi="Arial" w:cs="Times New Roman"/>
          <w:bCs/>
          <w:sz w:val="28"/>
        </w:rPr>
        <w:t xml:space="preserve">, lo que en mi opinión contraviene la disposición de la fracción IV, del artículo 24, a través de la cual se precisa que la conformación de la Lista B deberá obedecer a un </w:t>
      </w:r>
      <w:r w:rsidRPr="00535A76">
        <w:rPr>
          <w:rFonts w:ascii="Arial" w:eastAsia="Calibri" w:hAnsi="Arial" w:cs="Times New Roman"/>
          <w:b/>
          <w:sz w:val="28"/>
        </w:rPr>
        <w:t>intercalado de géneros</w:t>
      </w:r>
      <w:r w:rsidRPr="00535A76">
        <w:rPr>
          <w:rFonts w:ascii="Arial" w:eastAsia="Calibri" w:hAnsi="Arial" w:cs="Times New Roman"/>
          <w:bCs/>
          <w:sz w:val="28"/>
        </w:rPr>
        <w:t xml:space="preserve">, es decir, no permite que haya más de una </w:t>
      </w:r>
      <w:proofErr w:type="spellStart"/>
      <w:r w:rsidRPr="00535A76">
        <w:rPr>
          <w:rFonts w:ascii="Arial" w:eastAsia="Calibri" w:hAnsi="Arial" w:cs="Times New Roman"/>
          <w:bCs/>
          <w:sz w:val="28"/>
        </w:rPr>
        <w:t>formula</w:t>
      </w:r>
      <w:proofErr w:type="spellEnd"/>
      <w:r w:rsidRPr="00535A76">
        <w:rPr>
          <w:rFonts w:ascii="Arial" w:eastAsia="Calibri" w:hAnsi="Arial" w:cs="Times New Roman"/>
          <w:bCs/>
          <w:sz w:val="28"/>
        </w:rPr>
        <w:t xml:space="preserve"> del mismo género de manera adyacente.</w:t>
      </w:r>
    </w:p>
    <w:p w14:paraId="72F04D6F"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Lo anterior, incluso, se advierte del número consecutivo formal que le asignan en la resolución mayoritaria a cada candidatura, pues la propuesta de la Lista B está integrada por las posiciones 1 B, 2 B, 3 B, 4 B, 5 B, 6 B,</w:t>
      </w:r>
      <w:r w:rsidRPr="00535A76">
        <w:rPr>
          <w:rFonts w:ascii="Arial" w:eastAsia="Calibri" w:hAnsi="Arial" w:cs="Times New Roman"/>
          <w:b/>
          <w:sz w:val="28"/>
        </w:rPr>
        <w:t xml:space="preserve"> 8 B</w:t>
      </w:r>
      <w:r w:rsidRPr="00535A76">
        <w:rPr>
          <w:rFonts w:ascii="Arial" w:eastAsia="Calibri" w:hAnsi="Arial" w:cs="Times New Roman"/>
          <w:bCs/>
          <w:sz w:val="28"/>
        </w:rPr>
        <w:t xml:space="preserve"> (que se le asigna a José Luis Rodríguez Díaz de León), 7 B (que se le asigna a Isabela Rosales Herrera); de tal manera que, aunque se afirma en la propia resolución que un hombre desplaza a una mujer en el lugar 7B, y se le coloca en ese sitio (a José Luis Rodríguez Díaz de León), junto al hombre del lugar 6B (Carlos Cervantes Godoy) sin que exista entre ambos una mujer intercalada, por lo que se advierte la inaplicación de la fracción IV, del artículo 24 del Código Electoral</w:t>
      </w:r>
      <w:r w:rsidRPr="00535A76">
        <w:rPr>
          <w:rFonts w:ascii="Arial" w:eastAsia="Calibri" w:hAnsi="Arial" w:cs="Times New Roman"/>
          <w:bCs/>
          <w:sz w:val="28"/>
          <w:vertAlign w:val="superscript"/>
        </w:rPr>
        <w:footnoteReference w:id="70"/>
      </w:r>
      <w:r w:rsidRPr="00535A76">
        <w:rPr>
          <w:rFonts w:ascii="Arial" w:eastAsia="Calibri" w:hAnsi="Arial" w:cs="Times New Roman"/>
          <w:bCs/>
          <w:sz w:val="28"/>
        </w:rPr>
        <w:t xml:space="preserve">. </w:t>
      </w:r>
    </w:p>
    <w:p w14:paraId="07D79B88"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lastRenderedPageBreak/>
        <w:t>En consecuencia, en opinión del suscrito, está alteración en la conformación de la Lista B, es lo que genera la irregularidad en la integración de la Lista Definitiva, lo que da como resultado, tener tres fórmulas de hombres juntas, hecho que no comparto, al considerar que se trata de la inaplicación de otra norma (artículo 24, fr. V del Código Electoral)</w:t>
      </w:r>
      <w:r w:rsidRPr="00535A76">
        <w:rPr>
          <w:rFonts w:ascii="Arial" w:eastAsia="Calibri" w:hAnsi="Arial" w:cs="Times New Roman"/>
          <w:bCs/>
          <w:sz w:val="28"/>
          <w:vertAlign w:val="superscript"/>
        </w:rPr>
        <w:footnoteReference w:id="71"/>
      </w:r>
      <w:r w:rsidRPr="00535A76">
        <w:rPr>
          <w:rFonts w:ascii="Arial" w:eastAsia="Calibri" w:hAnsi="Arial" w:cs="Times New Roman"/>
          <w:bCs/>
          <w:sz w:val="28"/>
        </w:rPr>
        <w:t xml:space="preserve">, sin que sea justificado conforme corresponde, es decir, mediante el </w:t>
      </w:r>
      <w:proofErr w:type="gramStart"/>
      <w:r w:rsidRPr="00535A76">
        <w:rPr>
          <w:rFonts w:ascii="Arial" w:eastAsia="Calibri" w:hAnsi="Arial" w:cs="Times New Roman"/>
          <w:bCs/>
          <w:sz w:val="28"/>
        </w:rPr>
        <w:t xml:space="preserve">mencionado </w:t>
      </w:r>
      <w:r w:rsidRPr="00535A76">
        <w:rPr>
          <w:rFonts w:ascii="Arial" w:eastAsia="Calibri" w:hAnsi="Arial" w:cs="Times New Roman"/>
          <w:bCs/>
          <w:i/>
          <w:iCs/>
          <w:sz w:val="28"/>
        </w:rPr>
        <w:t>test</w:t>
      </w:r>
      <w:proofErr w:type="gramEnd"/>
      <w:r w:rsidRPr="00535A76">
        <w:rPr>
          <w:rFonts w:ascii="Arial" w:eastAsia="Calibri" w:hAnsi="Arial" w:cs="Times New Roman"/>
          <w:bCs/>
          <w:sz w:val="28"/>
        </w:rPr>
        <w:t xml:space="preserve"> de proporcionalidad.  </w:t>
      </w:r>
    </w:p>
    <w:p w14:paraId="75765BC9"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 xml:space="preserve">En mi opinión resulta claro que la prohibición es de tener agrupados o en bloque a más de dos personas de un mismo género, y no como se señala en el proyecto, que cuando se habla de bloques se hace referencia necesariamente al conjunto de dos </w:t>
      </w:r>
      <w:proofErr w:type="spellStart"/>
      <w:r w:rsidRPr="00535A76">
        <w:rPr>
          <w:rFonts w:ascii="Arial" w:eastAsia="Calibri" w:hAnsi="Arial" w:cs="Times New Roman"/>
          <w:bCs/>
          <w:sz w:val="28"/>
        </w:rPr>
        <w:t>formulas</w:t>
      </w:r>
      <w:proofErr w:type="spellEnd"/>
      <w:r w:rsidRPr="00535A76">
        <w:rPr>
          <w:rFonts w:ascii="Arial" w:eastAsia="Calibri" w:hAnsi="Arial" w:cs="Times New Roman"/>
          <w:bCs/>
          <w:sz w:val="28"/>
        </w:rPr>
        <w:t>, cada bloque, se afirma, es de dos fórmulas, por lo que de esa manera, la prohibición no tendría sentido, pues si los bloques necesariamente se conforman con dos fórmulas ¿en qué supuesto habría un bloque de tres o cuatro fórmulas del mismo género?</w:t>
      </w:r>
    </w:p>
    <w:p w14:paraId="58AC34BD"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 xml:space="preserve">Asumir la postura que se sostiene en la sentencia aprobada por mayoría, implicaría aceptar que es válido que haya seis u ocho hombres consecutivos en la lista definitiva, porque cada bloque (conformado de dos fórmulas necesariamente en su interpretación) no tiene más de dos fórmulas del mismo género y se trataría de tres bloques, cada uno de dos fórmulas de hombres, por lo que no hay bloques de tres formulas del mismo género, esto, en el mejor </w:t>
      </w:r>
      <w:r w:rsidRPr="00535A76">
        <w:rPr>
          <w:rFonts w:ascii="Arial" w:eastAsia="Calibri" w:hAnsi="Arial" w:cs="Times New Roman"/>
          <w:bCs/>
          <w:sz w:val="28"/>
        </w:rPr>
        <w:lastRenderedPageBreak/>
        <w:t xml:space="preserve">de los casos, estimo que es una interpretación regresiva respecto de los derechos de las mujeres. </w:t>
      </w:r>
    </w:p>
    <w:p w14:paraId="61702747"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 xml:space="preserve">Así, retomando la necesidad de que, en todo caso, se haya analizado previamente la pertinencia de inaplicar las partes conducentes del citado artículo 24, mediante </w:t>
      </w:r>
      <w:proofErr w:type="gramStart"/>
      <w:r w:rsidRPr="00535A76">
        <w:rPr>
          <w:rFonts w:ascii="Arial" w:eastAsia="Calibri" w:hAnsi="Arial" w:cs="Times New Roman"/>
          <w:bCs/>
          <w:sz w:val="28"/>
        </w:rPr>
        <w:t xml:space="preserve">el </w:t>
      </w:r>
      <w:r w:rsidRPr="00535A76">
        <w:rPr>
          <w:rFonts w:ascii="Arial" w:eastAsia="Calibri" w:hAnsi="Arial" w:cs="Times New Roman"/>
          <w:bCs/>
          <w:i/>
          <w:iCs/>
          <w:sz w:val="28"/>
        </w:rPr>
        <w:t>test</w:t>
      </w:r>
      <w:proofErr w:type="gramEnd"/>
      <w:r w:rsidRPr="00535A76">
        <w:rPr>
          <w:rFonts w:ascii="Arial" w:eastAsia="Calibri" w:hAnsi="Arial" w:cs="Times New Roman"/>
          <w:bCs/>
          <w:sz w:val="28"/>
        </w:rPr>
        <w:t xml:space="preserve"> de proporcionalidad, debo mencionar que este contempla un análisis detallado de:</w:t>
      </w:r>
    </w:p>
    <w:p w14:paraId="269FA8DC"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
          <w:sz w:val="28"/>
        </w:rPr>
        <w:t>1. La finalidad legítima constitucional</w:t>
      </w:r>
      <w:r w:rsidRPr="00535A76">
        <w:rPr>
          <w:rFonts w:ascii="Arial" w:eastAsia="Calibri" w:hAnsi="Arial" w:cs="Times New Roman"/>
          <w:b/>
          <w:sz w:val="28"/>
          <w:vertAlign w:val="superscript"/>
        </w:rPr>
        <w:footnoteReference w:id="72"/>
      </w:r>
      <w:r w:rsidRPr="00535A76">
        <w:rPr>
          <w:rFonts w:ascii="Arial" w:eastAsia="Calibri" w:hAnsi="Arial" w:cs="Times New Roman"/>
          <w:b/>
          <w:sz w:val="28"/>
        </w:rPr>
        <w:t>.</w:t>
      </w:r>
      <w:r w:rsidRPr="00535A76">
        <w:rPr>
          <w:rFonts w:ascii="Arial" w:eastAsia="Calibri" w:hAnsi="Arial" w:cs="Times New Roman"/>
          <w:bCs/>
          <w:sz w:val="28"/>
        </w:rPr>
        <w:t xml:space="preserve"> Deben identificarse los fines que persigue el cuerpo legislativo con la medida, para posteriormente estar en posibilidad de determinar si éstos son válidos constitucionalmente</w:t>
      </w:r>
    </w:p>
    <w:p w14:paraId="561DC022"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
          <w:sz w:val="28"/>
        </w:rPr>
        <w:t>2. Idoneidad o adecuación</w:t>
      </w:r>
      <w:r w:rsidRPr="00535A76">
        <w:rPr>
          <w:rFonts w:ascii="Arial" w:eastAsia="Calibri" w:hAnsi="Arial" w:cs="Times New Roman"/>
          <w:b/>
          <w:sz w:val="28"/>
          <w:vertAlign w:val="superscript"/>
        </w:rPr>
        <w:footnoteReference w:id="73"/>
      </w:r>
      <w:r w:rsidRPr="00535A76">
        <w:rPr>
          <w:rFonts w:ascii="Arial" w:eastAsia="Calibri" w:hAnsi="Arial" w:cs="Times New Roman"/>
          <w:b/>
          <w:sz w:val="28"/>
        </w:rPr>
        <w:t>.</w:t>
      </w:r>
      <w:r w:rsidRPr="00535A76">
        <w:rPr>
          <w:rFonts w:ascii="Arial" w:eastAsia="Calibri" w:hAnsi="Arial" w:cs="Times New Roman"/>
          <w:bCs/>
          <w:sz w:val="28"/>
        </w:rPr>
        <w:t xml:space="preserve"> Debe analizarse si la medida impugnada tiende a alcanzar en algún grado los fines perseguidos por el legislador.</w:t>
      </w:r>
    </w:p>
    <w:p w14:paraId="4E60CBBE"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
          <w:sz w:val="28"/>
        </w:rPr>
        <w:t>3. Necesidad</w:t>
      </w:r>
      <w:r w:rsidRPr="00535A76">
        <w:rPr>
          <w:rFonts w:ascii="Arial" w:eastAsia="Calibri" w:hAnsi="Arial" w:cs="Times New Roman"/>
          <w:b/>
          <w:sz w:val="28"/>
          <w:vertAlign w:val="superscript"/>
        </w:rPr>
        <w:footnoteReference w:id="74"/>
      </w:r>
      <w:r w:rsidRPr="00535A76">
        <w:rPr>
          <w:rFonts w:ascii="Arial" w:eastAsia="Calibri" w:hAnsi="Arial" w:cs="Times New Roman"/>
          <w:b/>
          <w:sz w:val="28"/>
        </w:rPr>
        <w:t>.</w:t>
      </w:r>
      <w:r w:rsidRPr="00535A76">
        <w:rPr>
          <w:rFonts w:ascii="Arial" w:eastAsia="Calibri" w:hAnsi="Arial" w:cs="Times New Roman"/>
          <w:bCs/>
          <w:sz w:val="28"/>
        </w:rPr>
        <w:t xml:space="preserve"> Implica corroborar, en primer lugar, si existen otros medios idóneos para lograr los fines que se persiguen y, en segundo término, determinar si estas alternativas intervienen con menor intensidad el derecho fundamental afectado.</w:t>
      </w:r>
    </w:p>
    <w:p w14:paraId="7275075F" w14:textId="77777777" w:rsidR="00535A76" w:rsidRP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
          <w:sz w:val="28"/>
        </w:rPr>
        <w:t>4. Proporcionalidad en sentido estricto</w:t>
      </w:r>
      <w:r w:rsidRPr="00535A76">
        <w:rPr>
          <w:rFonts w:ascii="Arial" w:eastAsia="Calibri" w:hAnsi="Arial" w:cs="Times New Roman"/>
          <w:b/>
          <w:sz w:val="28"/>
          <w:vertAlign w:val="superscript"/>
        </w:rPr>
        <w:footnoteReference w:id="75"/>
      </w:r>
      <w:r w:rsidRPr="00535A76">
        <w:rPr>
          <w:rFonts w:ascii="Arial" w:eastAsia="Calibri" w:hAnsi="Arial" w:cs="Times New Roman"/>
          <w:b/>
          <w:sz w:val="28"/>
        </w:rPr>
        <w:t>.</w:t>
      </w:r>
      <w:r w:rsidRPr="00535A76">
        <w:rPr>
          <w:rFonts w:ascii="Arial" w:eastAsia="Calibri" w:hAnsi="Arial" w:cs="Times New Roman"/>
          <w:bCs/>
          <w:sz w:val="28"/>
        </w:rPr>
        <w:t xml:space="preserve"> La medida será constitucional si el nivel de realización del fin que se prevé en la misma es mayor al nivel de intervención en el derecho fundamental, </w:t>
      </w:r>
      <w:r w:rsidRPr="00535A76">
        <w:rPr>
          <w:rFonts w:ascii="Arial" w:eastAsia="Calibri" w:hAnsi="Arial" w:cs="Times New Roman"/>
          <w:bCs/>
          <w:sz w:val="28"/>
        </w:rPr>
        <w:lastRenderedPageBreak/>
        <w:t>para ello, se debe realizar una ponderación entre los beneficios que cabe esperar de una limitación desde la perspectiva de los fines que se persiguen, frente a los costos que necesariamente se producirán desde la perspectiva de los derechos fundamentales afectados.</w:t>
      </w:r>
    </w:p>
    <w:p w14:paraId="0EA8AF11" w14:textId="77777777" w:rsidR="00535A76" w:rsidRPr="00535A76" w:rsidRDefault="00535A76" w:rsidP="00535A76">
      <w:pPr>
        <w:spacing w:before="100" w:beforeAutospacing="1" w:after="100" w:afterAutospacing="1" w:line="360" w:lineRule="auto"/>
        <w:jc w:val="both"/>
        <w:rPr>
          <w:rFonts w:ascii="Arial" w:eastAsia="Calibri" w:hAnsi="Arial" w:cs="Times New Roman"/>
          <w:bCs/>
          <w:sz w:val="28"/>
        </w:rPr>
      </w:pPr>
      <w:r w:rsidRPr="00535A76">
        <w:rPr>
          <w:rFonts w:ascii="Arial" w:eastAsia="Calibri" w:hAnsi="Arial" w:cs="Times New Roman"/>
          <w:bCs/>
          <w:sz w:val="28"/>
        </w:rPr>
        <w:t>En consecuencia, cualquier determinación de inaplicación debe contemplar un análisis como el mencionado, y en el caso concreto, si bien se advierte una conclusión de inaplicación de la norma que da operatividad a la asignación de las diputaciones por el principio de representación proporcional, sin que se reconozca abiertamente, para que ello pueda operar conforme a Derecho, debería realizarse el estudio mencionado para que cualquier determinación de inaplicación que al respecto se concluya, se haga del conocimiento de la Suprema Corte de Justica de la Nación, en términos del artículo 99, párrafo sexto de la Constitución Política de los Estados Unidos Mexicanos.</w:t>
      </w:r>
    </w:p>
    <w:p w14:paraId="7850D3D9" w14:textId="77777777" w:rsidR="00535A76" w:rsidRPr="00535A76" w:rsidRDefault="00535A76" w:rsidP="00535A76">
      <w:pPr>
        <w:spacing w:before="100" w:beforeAutospacing="1" w:after="100" w:afterAutospacing="1" w:line="360" w:lineRule="auto"/>
        <w:jc w:val="both"/>
        <w:rPr>
          <w:rFonts w:ascii="Arial" w:eastAsia="Calibri" w:hAnsi="Arial" w:cs="Times New Roman"/>
          <w:sz w:val="28"/>
        </w:rPr>
      </w:pPr>
      <w:r w:rsidRPr="00535A76">
        <w:rPr>
          <w:rFonts w:ascii="Arial" w:eastAsia="Calibri" w:hAnsi="Arial" w:cs="Times New Roman"/>
          <w:bCs/>
          <w:sz w:val="28"/>
        </w:rPr>
        <w:t>Por otra parte, se están proponiendo nuevas reglas de paridad para la integración de las listas “B” y definitivas de cada partido, lo que no es ni o</w:t>
      </w:r>
      <w:r w:rsidRPr="00535A76">
        <w:rPr>
          <w:rFonts w:ascii="Arial" w:eastAsia="Calibri" w:hAnsi="Arial" w:cs="Times New Roman"/>
          <w:sz w:val="28"/>
        </w:rPr>
        <w:t>portuna (en todo caso debieron establecer de forma previa a su utilización), justificada (no se justifica este cambio de reglas en la resolución mayoritaria) y que beneficie a la generalidad de un grupo vulnerable (no a una persona en particular), lo que no se aprecia en el proyecto, pues si la Sala Superior ha señalado que no pueden incorporarse reglas novedosas ni para favorecer al grupo vulnerable de las mujeres, una vez concluida la jornada electoral (SUP-REC-1452/2018; SUP-REC-1453/2018; SUP-REC-1499/2018; SUP-REC-1541/2018 y acumulado), tampoco podrían incorporarse si el resultado es una afectación a dicho grupo.</w:t>
      </w:r>
    </w:p>
    <w:p w14:paraId="4FDC2045" w14:textId="77777777" w:rsidR="00535A76" w:rsidRPr="00535A76" w:rsidRDefault="00535A76" w:rsidP="00535A76">
      <w:pPr>
        <w:spacing w:before="100" w:beforeAutospacing="1" w:after="100" w:afterAutospacing="1" w:line="360" w:lineRule="auto"/>
        <w:jc w:val="both"/>
        <w:rPr>
          <w:rFonts w:ascii="Arial" w:eastAsia="Calibri" w:hAnsi="Arial" w:cs="Times New Roman"/>
          <w:bCs/>
          <w:sz w:val="28"/>
        </w:rPr>
      </w:pPr>
      <w:r w:rsidRPr="00535A76">
        <w:rPr>
          <w:rFonts w:ascii="Arial" w:eastAsia="Calibri" w:hAnsi="Arial" w:cs="Times New Roman"/>
          <w:bCs/>
          <w:sz w:val="28"/>
        </w:rPr>
        <w:lastRenderedPageBreak/>
        <w:t>Por lo expuesto, dado que desde mi perspectiva se inaplican dos porciones normativas del artículo 24 del Código Electoral y se desconoce lo prescrito por las jurisprudencias 9 y 10 del presente año, además de que con ello se formulan nuevas reglas de paridad de forma que no estimo oportuna, es que me aparto de las consideraciones mayoritarias en este tema.</w:t>
      </w:r>
    </w:p>
    <w:p w14:paraId="7CC393D8" w14:textId="77777777" w:rsidR="00535A76" w:rsidRPr="00535A76" w:rsidRDefault="00535A76" w:rsidP="00535A76">
      <w:pPr>
        <w:spacing w:before="100" w:beforeAutospacing="1" w:after="100" w:afterAutospacing="1" w:line="360" w:lineRule="auto"/>
        <w:jc w:val="both"/>
        <w:rPr>
          <w:rFonts w:ascii="Arial" w:eastAsia="Calibri" w:hAnsi="Arial" w:cs="Times New Roman"/>
          <w:b/>
          <w:bCs/>
          <w:sz w:val="28"/>
        </w:rPr>
      </w:pPr>
      <w:r w:rsidRPr="00535A76">
        <w:rPr>
          <w:rFonts w:ascii="Arial" w:eastAsia="Calibri" w:hAnsi="Arial" w:cs="Times New Roman"/>
          <w:b/>
          <w:bCs/>
          <w:sz w:val="28"/>
        </w:rPr>
        <w:t>2. Votación para integrar la lista B</w:t>
      </w:r>
      <w:r w:rsidRPr="00535A76">
        <w:rPr>
          <w:rFonts w:ascii="Arial" w:eastAsia="Calibri" w:hAnsi="Arial" w:cs="Times New Roman"/>
          <w:sz w:val="28"/>
        </w:rPr>
        <w:t>:</w:t>
      </w:r>
    </w:p>
    <w:p w14:paraId="760BC3B8" w14:textId="77777777" w:rsidR="00535A76" w:rsidRPr="00535A76" w:rsidRDefault="00535A76" w:rsidP="009B6ED0">
      <w:pPr>
        <w:numPr>
          <w:ilvl w:val="0"/>
          <w:numId w:val="42"/>
        </w:numPr>
        <w:spacing w:before="100" w:beforeAutospacing="1" w:after="100" w:afterAutospacing="1" w:line="360" w:lineRule="auto"/>
        <w:jc w:val="both"/>
        <w:rPr>
          <w:rFonts w:ascii="Arial" w:eastAsia="Calibri" w:hAnsi="Arial" w:cs="Arial"/>
          <w:b/>
          <w:bCs/>
          <w:sz w:val="28"/>
          <w:szCs w:val="28"/>
        </w:rPr>
      </w:pPr>
      <w:bookmarkStart w:id="74" w:name="_Toc4597028"/>
      <w:bookmarkStart w:id="75" w:name="_Toc5429688"/>
      <w:bookmarkStart w:id="76" w:name="_Toc34987880"/>
      <w:bookmarkStart w:id="77" w:name="_Toc47791488"/>
      <w:r w:rsidRPr="00535A76">
        <w:rPr>
          <w:rFonts w:ascii="Arial" w:eastAsia="Calibri" w:hAnsi="Arial" w:cs="Arial"/>
          <w:b/>
          <w:bCs/>
          <w:sz w:val="28"/>
          <w:szCs w:val="28"/>
        </w:rPr>
        <w:t xml:space="preserve"> Decisión mayoritaria.</w:t>
      </w:r>
      <w:bookmarkEnd w:id="74"/>
      <w:bookmarkEnd w:id="75"/>
      <w:bookmarkEnd w:id="76"/>
      <w:bookmarkEnd w:id="77"/>
    </w:p>
    <w:p w14:paraId="3C606C98" w14:textId="4E4F5EFB" w:rsidR="00535A76" w:rsidRDefault="00535A76" w:rsidP="00535A76">
      <w:pPr>
        <w:spacing w:line="360" w:lineRule="auto"/>
        <w:jc w:val="both"/>
        <w:rPr>
          <w:rFonts w:ascii="Arial" w:eastAsia="Calibri" w:hAnsi="Arial" w:cs="Times New Roman"/>
          <w:bCs/>
          <w:sz w:val="28"/>
        </w:rPr>
      </w:pPr>
      <w:r w:rsidRPr="00535A76">
        <w:rPr>
          <w:rFonts w:ascii="Arial" w:eastAsia="Calibri" w:hAnsi="Arial" w:cs="Times New Roman"/>
          <w:bCs/>
          <w:sz w:val="28"/>
        </w:rPr>
        <w:t xml:space="preserve">La mayoría de mis pares validaron que el Instituto Electoral, al realizar la asignación de las diputaciones por representación proporcional, utilizara una figura no prevista en la normativa, lo que implicó, también, la realización de una serie de pasos que no se encontraban establecidos, lo que genera un estado de incertidumbre para determinar las candidaturas que en realidad debieron incluir la Lista B, de los partidos políticos que tiene derecho a la referida asignación. </w:t>
      </w:r>
    </w:p>
    <w:p w14:paraId="55FB9860" w14:textId="77777777" w:rsidR="009B6ED0" w:rsidRPr="00535A76" w:rsidRDefault="009B6ED0" w:rsidP="00535A76">
      <w:pPr>
        <w:spacing w:line="360" w:lineRule="auto"/>
        <w:jc w:val="both"/>
        <w:rPr>
          <w:rFonts w:ascii="Arial" w:eastAsia="Calibri" w:hAnsi="Arial" w:cs="Times New Roman"/>
          <w:bCs/>
          <w:sz w:val="28"/>
        </w:rPr>
      </w:pPr>
    </w:p>
    <w:bookmarkEnd w:id="72"/>
    <w:p w14:paraId="5A32DBB5" w14:textId="77777777" w:rsidR="00535A76" w:rsidRPr="00535A76" w:rsidRDefault="00535A76" w:rsidP="009B6ED0">
      <w:pPr>
        <w:numPr>
          <w:ilvl w:val="0"/>
          <w:numId w:val="42"/>
        </w:numPr>
        <w:spacing w:before="100" w:beforeAutospacing="1" w:after="100" w:afterAutospacing="1" w:line="360" w:lineRule="auto"/>
        <w:jc w:val="both"/>
        <w:rPr>
          <w:rFonts w:ascii="Arial" w:eastAsia="Calibri" w:hAnsi="Arial" w:cs="Arial"/>
          <w:b/>
          <w:bCs/>
          <w:sz w:val="28"/>
          <w:szCs w:val="28"/>
        </w:rPr>
      </w:pPr>
      <w:r w:rsidRPr="00535A76">
        <w:rPr>
          <w:rFonts w:ascii="Arial" w:eastAsia="Calibri" w:hAnsi="Arial" w:cs="Arial"/>
          <w:b/>
          <w:bCs/>
          <w:sz w:val="28"/>
          <w:szCs w:val="28"/>
        </w:rPr>
        <w:t>Marco normativo aplicable.</w:t>
      </w:r>
    </w:p>
    <w:p w14:paraId="6C239C72"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 xml:space="preserve">El artículo 24, fracción IV, establece que la </w:t>
      </w:r>
      <w:r w:rsidRPr="00535A76">
        <w:rPr>
          <w:rFonts w:ascii="Arial" w:eastAsia="Calibri" w:hAnsi="Arial" w:cs="Arial"/>
          <w:b/>
          <w:sz w:val="28"/>
          <w:szCs w:val="28"/>
        </w:rPr>
        <w:t xml:space="preserve">lista B </w:t>
      </w:r>
      <w:r w:rsidRPr="00535A76">
        <w:rPr>
          <w:rFonts w:ascii="Arial" w:eastAsia="Calibri" w:hAnsi="Arial" w:cs="Arial"/>
          <w:sz w:val="28"/>
          <w:szCs w:val="28"/>
        </w:rPr>
        <w:t>es una relación de diecisiete fórmulas de candidaturas a las diputaciones que no lograron el triunfo en la elección del principio de mayoría relativa al distrito que participaron</w:t>
      </w:r>
      <w:r w:rsidRPr="00535A76">
        <w:rPr>
          <w:rFonts w:ascii="Arial" w:eastAsia="Calibri" w:hAnsi="Arial" w:cs="Arial"/>
          <w:sz w:val="28"/>
          <w:szCs w:val="28"/>
          <w:vertAlign w:val="superscript"/>
        </w:rPr>
        <w:footnoteReference w:id="76"/>
      </w:r>
      <w:r w:rsidRPr="00535A76">
        <w:rPr>
          <w:rFonts w:ascii="Arial" w:eastAsia="Calibri" w:hAnsi="Arial" w:cs="Arial"/>
          <w:sz w:val="28"/>
          <w:szCs w:val="28"/>
        </w:rPr>
        <w:t xml:space="preserve">. </w:t>
      </w:r>
    </w:p>
    <w:p w14:paraId="2D35BE9F" w14:textId="77777777" w:rsidR="00535A76" w:rsidRPr="00535A76" w:rsidRDefault="00535A76" w:rsidP="00535A76">
      <w:pPr>
        <w:spacing w:before="100" w:beforeAutospacing="1" w:after="100" w:afterAutospacing="1" w:line="360" w:lineRule="auto"/>
        <w:jc w:val="both"/>
        <w:rPr>
          <w:rFonts w:ascii="Arial" w:eastAsia="Calibri" w:hAnsi="Arial" w:cs="Arial"/>
          <w:bCs/>
          <w:sz w:val="28"/>
          <w:szCs w:val="28"/>
        </w:rPr>
      </w:pPr>
      <w:r w:rsidRPr="00535A76">
        <w:rPr>
          <w:rFonts w:ascii="Arial" w:eastAsia="Calibri" w:hAnsi="Arial" w:cs="Arial"/>
          <w:sz w:val="28"/>
          <w:szCs w:val="28"/>
        </w:rPr>
        <w:lastRenderedPageBreak/>
        <w:t xml:space="preserve">Tales candidaturas se tratan de </w:t>
      </w:r>
      <w:r w:rsidRPr="00535A76">
        <w:rPr>
          <w:rFonts w:ascii="Arial" w:eastAsia="Calibri" w:hAnsi="Arial" w:cs="Arial"/>
          <w:b/>
          <w:sz w:val="28"/>
          <w:szCs w:val="28"/>
        </w:rPr>
        <w:t xml:space="preserve">aquellas que alcanzaron a nivel distrital los mayores porcentajes de la votación local emitida, </w:t>
      </w:r>
      <w:r w:rsidRPr="00535A76">
        <w:rPr>
          <w:rFonts w:ascii="Arial" w:eastAsia="Calibri" w:hAnsi="Arial" w:cs="Arial"/>
          <w:bCs/>
          <w:sz w:val="28"/>
          <w:szCs w:val="28"/>
        </w:rPr>
        <w:t xml:space="preserve">comparados respecto a otras fórmulas de su mismo partido </w:t>
      </w:r>
      <w:r w:rsidRPr="00535A76">
        <w:rPr>
          <w:rFonts w:ascii="Arial" w:eastAsia="Calibri" w:hAnsi="Arial" w:cs="Arial"/>
          <w:b/>
          <w:sz w:val="28"/>
          <w:szCs w:val="28"/>
        </w:rPr>
        <w:t>en esa misma elección</w:t>
      </w:r>
      <w:r w:rsidRPr="00535A76">
        <w:rPr>
          <w:rFonts w:ascii="Arial" w:eastAsia="Calibri" w:hAnsi="Arial" w:cs="Arial"/>
          <w:bCs/>
          <w:sz w:val="28"/>
          <w:szCs w:val="28"/>
        </w:rPr>
        <w:t xml:space="preserve">. </w:t>
      </w:r>
    </w:p>
    <w:p w14:paraId="01DEA153"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 xml:space="preserve">Al respecto, el artículo 10 de los </w:t>
      </w:r>
      <w:r w:rsidRPr="00535A76">
        <w:rPr>
          <w:rFonts w:ascii="Arial" w:eastAsia="Calibri" w:hAnsi="Arial" w:cs="Arial"/>
          <w:iCs/>
          <w:sz w:val="28"/>
          <w:szCs w:val="28"/>
        </w:rPr>
        <w:t>Lineamientos de asignación</w:t>
      </w:r>
      <w:r w:rsidRPr="00535A76">
        <w:rPr>
          <w:rFonts w:ascii="Arial" w:eastAsia="Calibri" w:hAnsi="Arial" w:cs="Arial"/>
          <w:i/>
          <w:sz w:val="28"/>
          <w:szCs w:val="28"/>
        </w:rPr>
        <w:t xml:space="preserve"> </w:t>
      </w:r>
      <w:r w:rsidRPr="00535A76">
        <w:rPr>
          <w:rFonts w:ascii="Arial" w:eastAsia="Calibri" w:hAnsi="Arial" w:cs="Arial"/>
          <w:sz w:val="28"/>
          <w:szCs w:val="28"/>
        </w:rPr>
        <w:t xml:space="preserve">prevé que para efectos de la lista B, se tomarían en cuenta sólo los votos de personas candidatas a Diputaciones, </w:t>
      </w:r>
      <w:proofErr w:type="gramStart"/>
      <w:r w:rsidRPr="00535A76">
        <w:rPr>
          <w:rFonts w:ascii="Arial" w:eastAsia="Calibri" w:hAnsi="Arial" w:cs="Arial"/>
          <w:sz w:val="28"/>
          <w:szCs w:val="28"/>
        </w:rPr>
        <w:t>que</w:t>
      </w:r>
      <w:proofErr w:type="gramEnd"/>
      <w:r w:rsidRPr="00535A76">
        <w:rPr>
          <w:rFonts w:ascii="Arial" w:eastAsia="Calibri" w:hAnsi="Arial" w:cs="Arial"/>
          <w:sz w:val="28"/>
          <w:szCs w:val="28"/>
        </w:rPr>
        <w:t xml:space="preserve"> no logrando el triunfo en la elección por el principio de mayoría relativa, y alcancen a nivel distrital </w:t>
      </w:r>
      <w:r w:rsidRPr="00535A76">
        <w:rPr>
          <w:rFonts w:ascii="Arial" w:eastAsia="Calibri" w:hAnsi="Arial" w:cs="Arial"/>
          <w:b/>
          <w:bCs/>
          <w:sz w:val="28"/>
          <w:szCs w:val="28"/>
        </w:rPr>
        <w:t>los mayores porcentajes de la votación local emitida</w:t>
      </w:r>
      <w:r w:rsidRPr="00535A76">
        <w:rPr>
          <w:rFonts w:ascii="Arial" w:eastAsia="Calibri" w:hAnsi="Arial" w:cs="Arial"/>
          <w:sz w:val="28"/>
          <w:szCs w:val="28"/>
        </w:rPr>
        <w:t xml:space="preserve"> comparados respecto de otras fórmulas de su propio partido en esa misma elección partidos postulantes</w:t>
      </w:r>
      <w:r w:rsidRPr="00535A76">
        <w:rPr>
          <w:rFonts w:ascii="Calibri" w:eastAsia="Calibri" w:hAnsi="Calibri" w:cs="Times New Roman"/>
          <w:vertAlign w:val="superscript"/>
        </w:rPr>
        <w:footnoteReference w:id="77"/>
      </w:r>
      <w:r w:rsidRPr="00535A76">
        <w:rPr>
          <w:rFonts w:ascii="Arial" w:eastAsia="Calibri" w:hAnsi="Arial" w:cs="Arial"/>
          <w:sz w:val="28"/>
          <w:szCs w:val="28"/>
        </w:rPr>
        <w:t xml:space="preserve">. </w:t>
      </w:r>
    </w:p>
    <w:p w14:paraId="54DF8C2C"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Además, en caso de existir candidaturas comunes o coaliciones, los partidos políticos debían establecer en el convenio atinente, a qué instituto político se integraría cada candidatura a diputación de mayoría relativa, con el propósito de conformar la respectiva lista B.</w:t>
      </w:r>
    </w:p>
    <w:p w14:paraId="1F115579"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De tal modo, que en el caso de las fórmulas postuladas por varios partidos políticos —ya sea en coalición o en candidatura común— para efectos de la lista B, sólo contarán los votos que obtuvo el instituto político al que quedó adscrita la candidatura</w:t>
      </w:r>
      <w:r w:rsidRPr="00535A76">
        <w:rPr>
          <w:rFonts w:ascii="Arial" w:eastAsia="Calibri" w:hAnsi="Arial" w:cs="Arial"/>
          <w:sz w:val="28"/>
          <w:szCs w:val="28"/>
          <w:vertAlign w:val="superscript"/>
        </w:rPr>
        <w:footnoteReference w:id="78"/>
      </w:r>
      <w:r w:rsidRPr="00535A76">
        <w:rPr>
          <w:rFonts w:ascii="Arial" w:eastAsia="Calibri" w:hAnsi="Arial" w:cs="Arial"/>
          <w:sz w:val="28"/>
          <w:szCs w:val="28"/>
        </w:rPr>
        <w:t xml:space="preserve">. </w:t>
      </w:r>
    </w:p>
    <w:p w14:paraId="7708B322"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lastRenderedPageBreak/>
        <w:t xml:space="preserve">De modo que, para establecer la prelación de la lista B de cada partido, esto es, determinar las candidaturas mejor posicionada, se deben comparar únicamente aquellas que corresponden al propio partido en la totalidad de la elección, según el mencionado convenio. </w:t>
      </w:r>
    </w:p>
    <w:p w14:paraId="23CD17B0" w14:textId="77777777" w:rsidR="00535A76" w:rsidRPr="00535A76" w:rsidRDefault="00535A76" w:rsidP="009B6ED0">
      <w:pPr>
        <w:numPr>
          <w:ilvl w:val="0"/>
          <w:numId w:val="42"/>
        </w:numPr>
        <w:spacing w:before="100" w:beforeAutospacing="1" w:after="100" w:afterAutospacing="1" w:line="360" w:lineRule="auto"/>
        <w:jc w:val="both"/>
        <w:rPr>
          <w:rFonts w:ascii="Arial" w:eastAsia="Calibri" w:hAnsi="Arial" w:cs="Arial"/>
          <w:b/>
          <w:bCs/>
          <w:sz w:val="28"/>
          <w:szCs w:val="28"/>
        </w:rPr>
      </w:pPr>
      <w:r w:rsidRPr="00535A76">
        <w:rPr>
          <w:rFonts w:ascii="Arial" w:eastAsia="Calibri" w:hAnsi="Arial" w:cs="Arial"/>
          <w:b/>
          <w:bCs/>
          <w:sz w:val="28"/>
          <w:szCs w:val="28"/>
        </w:rPr>
        <w:t xml:space="preserve">Razones del proyecto aprobado </w:t>
      </w:r>
    </w:p>
    <w:p w14:paraId="0E1289FD"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En el proyecto se señala que el contenido del artículo 24 fracción IV del Código electoral, afecta la finalidad de la conformación de la lista B, que tratándose de coaliciones o candidaturas comunes, consiste en considerar, por cada partido contendiente en lo individual, a las candidaturas que, adscritas los mismos, fueron los segundos lugares mejor votados, a partir de la votación que obtuvieron y sin que interfiera en ella la votación a favor de una candidatura adscrita a otro partido político.</w:t>
      </w:r>
    </w:p>
    <w:p w14:paraId="78447A96"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Ello porque la normativa aplicable establece que para obtener el porcentaje de votación de las fórmulas consideradas para integrar la lista B, se partirá de los votos obtenidos por las mismas a nivel distrital y que representen los mayores porcentajes de la votación local emitida.</w:t>
      </w:r>
    </w:p>
    <w:p w14:paraId="761FB7DD"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 xml:space="preserve">Al respecto se señala que la Sala Regional Ciudad de México, ya se pronunció sobre este tema, en el juicio de revisión constitucional electoral SCM-JRC-169/2018, en la que interpretó, entre otras disposiciones, el artículo 24, fracción IV, del </w:t>
      </w:r>
      <w:r w:rsidRPr="00535A76">
        <w:rPr>
          <w:rFonts w:ascii="Arial" w:eastAsia="Calibri" w:hAnsi="Arial" w:cs="Arial"/>
          <w:i/>
          <w:sz w:val="28"/>
          <w:szCs w:val="28"/>
        </w:rPr>
        <w:t>Código local</w:t>
      </w:r>
      <w:r w:rsidRPr="00535A76">
        <w:rPr>
          <w:rFonts w:ascii="Arial" w:eastAsia="Calibri" w:hAnsi="Arial" w:cs="Arial"/>
          <w:sz w:val="28"/>
          <w:szCs w:val="28"/>
        </w:rPr>
        <w:t>, y concluyó que ese precepto, al hablar de los mayores porcentajes de la votación local emitida “</w:t>
      </w:r>
      <w:r w:rsidRPr="00535A76">
        <w:rPr>
          <w:rFonts w:ascii="Arial" w:eastAsia="Calibri" w:hAnsi="Arial" w:cs="Arial"/>
          <w:i/>
          <w:iCs/>
          <w:sz w:val="28"/>
          <w:szCs w:val="28"/>
        </w:rPr>
        <w:t>a nivel distrital</w:t>
      </w:r>
      <w:r w:rsidRPr="00535A76">
        <w:rPr>
          <w:rFonts w:ascii="Arial" w:eastAsia="Calibri" w:hAnsi="Arial" w:cs="Arial"/>
          <w:sz w:val="28"/>
          <w:szCs w:val="28"/>
        </w:rPr>
        <w:t>”, hace referencia a la elección celebrada en el respectivo distrito electoral uninominal, en el cual fue votada la candidatura que se busca incluir en la lista B.</w:t>
      </w:r>
    </w:p>
    <w:p w14:paraId="39DD7E5D"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lastRenderedPageBreak/>
        <w:t xml:space="preserve">De forma que, para determinar las fórmulas de candidaturas de diputaciones de mayoría relativa que conformarán la lista B de un partido, se debe analizar la elección en el contexto de cada distrito de mayoría relativa. </w:t>
      </w:r>
    </w:p>
    <w:p w14:paraId="014590FA"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 xml:space="preserve">Por ello, la Sala Regional sostuvo que la prelación de la lista B se obtiene al considerar los siguientes criterios: a) el porcentaje de votación recibida por la fórmula en comparación con las demás candidaturas no ganadoras del mismo partido; y, b) la alternancia entre géneros para lograr una integración paritaria. </w:t>
      </w:r>
    </w:p>
    <w:p w14:paraId="64D77C78"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rPr>
      </w:pPr>
      <w:r w:rsidRPr="00535A76">
        <w:rPr>
          <w:rFonts w:ascii="Arial" w:eastAsia="Calibri" w:hAnsi="Arial" w:cs="Arial"/>
          <w:sz w:val="28"/>
          <w:szCs w:val="28"/>
        </w:rPr>
        <w:t xml:space="preserve">En específico, se sostiene que en el citado precedente la </w:t>
      </w:r>
      <w:r w:rsidRPr="00535A76">
        <w:rPr>
          <w:rFonts w:ascii="Arial" w:eastAsia="Calibri" w:hAnsi="Arial" w:cs="Arial"/>
          <w:i/>
          <w:sz w:val="28"/>
          <w:szCs w:val="28"/>
        </w:rPr>
        <w:t xml:space="preserve">Sala Regional </w:t>
      </w:r>
      <w:r w:rsidRPr="00535A76">
        <w:rPr>
          <w:rFonts w:ascii="Arial" w:eastAsia="Calibri" w:hAnsi="Arial" w:cs="Arial"/>
          <w:sz w:val="28"/>
          <w:szCs w:val="28"/>
        </w:rPr>
        <w:t xml:space="preserve">sostuvo que para efectos de la integración de la lista B, para poder realizar una comparación cierta y objetiva entre las distintas fórmulas, es preciso atender únicamente a los valores de cada una de las elecciones por mayoría relativa. </w:t>
      </w:r>
    </w:p>
    <w:p w14:paraId="39CEE388"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lang w:val="es-ES_tradnl"/>
        </w:rPr>
      </w:pPr>
      <w:r w:rsidRPr="00535A76">
        <w:rPr>
          <w:rFonts w:ascii="Arial" w:eastAsia="Calibri" w:hAnsi="Arial" w:cs="Arial"/>
          <w:sz w:val="28"/>
          <w:szCs w:val="28"/>
        </w:rPr>
        <w:t xml:space="preserve">Además se puntualiza que la </w:t>
      </w:r>
      <w:r w:rsidRPr="00535A76">
        <w:rPr>
          <w:rFonts w:ascii="Arial" w:eastAsia="Calibri" w:hAnsi="Arial" w:cs="Arial"/>
          <w:i/>
          <w:sz w:val="28"/>
          <w:szCs w:val="28"/>
        </w:rPr>
        <w:t xml:space="preserve">Sala Superior </w:t>
      </w:r>
      <w:r w:rsidRPr="00535A76">
        <w:rPr>
          <w:rFonts w:ascii="Arial" w:eastAsia="Calibri" w:hAnsi="Arial" w:cs="Arial"/>
          <w:sz w:val="28"/>
          <w:szCs w:val="28"/>
        </w:rPr>
        <w:t xml:space="preserve">en la sentencia del asunto SUP-REC-1209/2018 sostuvo que para obtener las fórmulas de candidaturas de mayoría relativa no ganadoras con mejor porcentaje de votación, no puede tomarse en cuenta la votación emitida a nivel estatal o el universo de posibles electores en cada distrito,  </w:t>
      </w:r>
      <w:r w:rsidRPr="00535A76">
        <w:rPr>
          <w:rFonts w:ascii="Arial" w:eastAsia="Calibri" w:hAnsi="Arial" w:cs="Arial"/>
          <w:sz w:val="28"/>
          <w:szCs w:val="28"/>
          <w:lang w:val="es-ES_tradnl"/>
        </w:rPr>
        <w:t>ya que se estaría tomando como base una votación que, de facto, distorsiona la preferencia política y la voluntad popular que fue expresada en las urnas respecto de esas candidaturas, y se incumpliría con la finalidad del principio de representación proporcional.</w:t>
      </w:r>
    </w:p>
    <w:p w14:paraId="50FBB8D7" w14:textId="77777777" w:rsidR="00535A76" w:rsidRPr="00535A76" w:rsidRDefault="00535A76" w:rsidP="00535A76">
      <w:pPr>
        <w:spacing w:before="100" w:beforeAutospacing="1" w:after="100" w:afterAutospacing="1" w:line="360" w:lineRule="auto"/>
        <w:jc w:val="both"/>
        <w:rPr>
          <w:rFonts w:ascii="Arial" w:eastAsia="Calibri" w:hAnsi="Arial" w:cs="Arial"/>
          <w:sz w:val="28"/>
          <w:szCs w:val="28"/>
          <w:lang w:val="es-ES_tradnl"/>
        </w:rPr>
      </w:pPr>
      <w:r w:rsidRPr="00535A76">
        <w:rPr>
          <w:rFonts w:ascii="Arial" w:eastAsia="Calibri" w:hAnsi="Arial" w:cs="Arial"/>
          <w:sz w:val="28"/>
          <w:szCs w:val="28"/>
          <w:lang w:val="es-ES_tradnl"/>
        </w:rPr>
        <w:t xml:space="preserve">De tal modo que la </w:t>
      </w:r>
      <w:r w:rsidRPr="00535A76">
        <w:rPr>
          <w:rFonts w:ascii="Arial" w:eastAsia="Calibri" w:hAnsi="Arial" w:cs="Arial"/>
          <w:i/>
          <w:sz w:val="28"/>
          <w:szCs w:val="28"/>
          <w:lang w:val="es-ES_tradnl"/>
        </w:rPr>
        <w:t xml:space="preserve">Sala Superior </w:t>
      </w:r>
      <w:r w:rsidRPr="00535A76">
        <w:rPr>
          <w:rFonts w:ascii="Arial" w:eastAsia="Calibri" w:hAnsi="Arial" w:cs="Arial"/>
          <w:sz w:val="28"/>
          <w:szCs w:val="28"/>
          <w:lang w:val="es-ES_tradnl"/>
        </w:rPr>
        <w:t>concluyó que para obtener los porcentajes de votación debe tomarse en consideración la votación emitida a nivel distrital.</w:t>
      </w:r>
    </w:p>
    <w:p w14:paraId="63EEE12D" w14:textId="77777777" w:rsidR="00535A76" w:rsidRPr="00535A76" w:rsidRDefault="00535A76" w:rsidP="009B6ED0">
      <w:pPr>
        <w:numPr>
          <w:ilvl w:val="0"/>
          <w:numId w:val="42"/>
        </w:numPr>
        <w:spacing w:before="100" w:beforeAutospacing="1" w:after="100" w:afterAutospacing="1" w:line="360" w:lineRule="auto"/>
        <w:jc w:val="both"/>
        <w:rPr>
          <w:rFonts w:ascii="Arial" w:eastAsia="Calibri" w:hAnsi="Arial" w:cs="Arial"/>
          <w:b/>
          <w:sz w:val="28"/>
          <w:szCs w:val="28"/>
        </w:rPr>
      </w:pPr>
      <w:r w:rsidRPr="00535A76">
        <w:rPr>
          <w:rFonts w:ascii="Arial" w:eastAsia="Calibri" w:hAnsi="Arial" w:cs="Arial"/>
          <w:b/>
          <w:sz w:val="28"/>
          <w:szCs w:val="28"/>
          <w:lang w:val="es-ES_tradnl"/>
        </w:rPr>
        <w:lastRenderedPageBreak/>
        <w:t>Motivo del disenso</w:t>
      </w:r>
    </w:p>
    <w:p w14:paraId="5E4169B7" w14:textId="77777777" w:rsidR="00535A76" w:rsidRPr="00535A76" w:rsidRDefault="00535A76" w:rsidP="00535A76">
      <w:pPr>
        <w:spacing w:before="100" w:beforeAutospacing="1" w:after="100" w:afterAutospacing="1" w:line="360" w:lineRule="auto"/>
        <w:jc w:val="both"/>
        <w:rPr>
          <w:rFonts w:ascii="Arial" w:eastAsia="Calibri" w:hAnsi="Arial" w:cs="Times New Roman"/>
          <w:bCs/>
          <w:sz w:val="28"/>
        </w:rPr>
      </w:pPr>
      <w:r w:rsidRPr="00535A76">
        <w:rPr>
          <w:rFonts w:ascii="Arial" w:eastAsia="Calibri" w:hAnsi="Arial" w:cs="Times New Roman"/>
          <w:bCs/>
          <w:sz w:val="28"/>
        </w:rPr>
        <w:t>En principio se debe precisar que en los juicios que precisa la sentencia aprobada, resueltos por la Sala Superior y la Sala Regional Ciudad de México, la materia de controversia no fue la misma que ahora se plantea.</w:t>
      </w:r>
    </w:p>
    <w:p w14:paraId="0E8180AD" w14:textId="77777777" w:rsidR="00535A76" w:rsidRPr="00535A76" w:rsidRDefault="00535A76" w:rsidP="00535A76">
      <w:pPr>
        <w:spacing w:before="100" w:beforeAutospacing="1" w:after="100" w:afterAutospacing="1" w:line="360" w:lineRule="auto"/>
        <w:jc w:val="both"/>
        <w:rPr>
          <w:rFonts w:ascii="Arial" w:eastAsia="Calibri" w:hAnsi="Arial" w:cs="Times New Roman"/>
          <w:bCs/>
          <w:sz w:val="28"/>
        </w:rPr>
      </w:pPr>
      <w:r w:rsidRPr="00535A76">
        <w:rPr>
          <w:rFonts w:ascii="Arial" w:eastAsia="Calibri" w:hAnsi="Arial" w:cs="Times New Roman"/>
          <w:bCs/>
          <w:sz w:val="28"/>
        </w:rPr>
        <w:t>Esto es en dichos juicios no se abordó si en el caso se debe aplicar el concepto de Votación Distrital Emitida, por lo que este es un tema que no se ha planteado ante los tribunales federales y que, en consecuencia, no hay un criterio al respecto.</w:t>
      </w:r>
    </w:p>
    <w:p w14:paraId="1932359B" w14:textId="77777777" w:rsidR="00535A76" w:rsidRPr="00535A76" w:rsidRDefault="00535A76" w:rsidP="00535A76">
      <w:pPr>
        <w:spacing w:before="100" w:beforeAutospacing="1" w:after="100" w:afterAutospacing="1" w:line="360" w:lineRule="auto"/>
        <w:jc w:val="both"/>
        <w:rPr>
          <w:rFonts w:ascii="Arial" w:eastAsia="Calibri" w:hAnsi="Arial" w:cs="Times New Roman"/>
          <w:bCs/>
          <w:sz w:val="28"/>
        </w:rPr>
      </w:pPr>
      <w:r w:rsidRPr="00535A76">
        <w:rPr>
          <w:rFonts w:ascii="Arial" w:eastAsia="Calibri" w:hAnsi="Arial" w:cs="Times New Roman"/>
          <w:bCs/>
          <w:sz w:val="28"/>
        </w:rPr>
        <w:t>Por una parte, la Sala Regional (SCM-JRC-169/2018) analizó si la votación recibida por un partido político, que no alcanzó el registro, se debía tomar en cuenta para efecto de la asignación o no de las candidaturas por el principio de representación proporcional.</w:t>
      </w:r>
    </w:p>
    <w:p w14:paraId="363F3D19" w14:textId="77777777" w:rsidR="00535A76" w:rsidRPr="00535A76" w:rsidRDefault="00535A76" w:rsidP="00535A76">
      <w:pPr>
        <w:spacing w:before="100" w:beforeAutospacing="1" w:after="100" w:afterAutospacing="1" w:line="360" w:lineRule="auto"/>
        <w:jc w:val="both"/>
        <w:rPr>
          <w:rFonts w:ascii="Arial" w:eastAsia="Calibri" w:hAnsi="Arial" w:cs="Times New Roman"/>
          <w:bCs/>
          <w:sz w:val="28"/>
        </w:rPr>
      </w:pPr>
      <w:r w:rsidRPr="00535A76">
        <w:rPr>
          <w:rFonts w:ascii="Arial" w:eastAsia="Calibri" w:hAnsi="Arial" w:cs="Times New Roman"/>
          <w:bCs/>
          <w:sz w:val="28"/>
        </w:rPr>
        <w:t>Ahora, respecto del Recurso de reconsideración (SUP-REC-1209/2018), el tema planteado consistió en determinar si era correcto o no las reglas aplicables derivado de que el legislador local cuenta con libertad de configuración normativa, dado que no existe un parámetro en la Constitución que lo vincule a regularlo de una manera u otra.</w:t>
      </w:r>
    </w:p>
    <w:p w14:paraId="3317ADFE" w14:textId="77777777" w:rsidR="00535A76" w:rsidRPr="00535A76" w:rsidRDefault="00535A76" w:rsidP="00535A76">
      <w:pPr>
        <w:spacing w:before="100" w:beforeAutospacing="1" w:after="100" w:afterAutospacing="1" w:line="360" w:lineRule="auto"/>
        <w:jc w:val="both"/>
        <w:rPr>
          <w:rFonts w:ascii="Arial" w:eastAsia="Calibri" w:hAnsi="Arial" w:cs="Times New Roman"/>
          <w:bCs/>
          <w:sz w:val="28"/>
        </w:rPr>
      </w:pPr>
      <w:r w:rsidRPr="00535A76">
        <w:rPr>
          <w:rFonts w:ascii="Arial" w:eastAsia="Calibri" w:hAnsi="Arial" w:cs="Times New Roman"/>
          <w:bCs/>
          <w:sz w:val="28"/>
        </w:rPr>
        <w:t xml:space="preserve">Es por ello </w:t>
      </w:r>
      <w:proofErr w:type="gramStart"/>
      <w:r w:rsidRPr="00535A76">
        <w:rPr>
          <w:rFonts w:ascii="Arial" w:eastAsia="Calibri" w:hAnsi="Arial" w:cs="Times New Roman"/>
          <w:bCs/>
          <w:sz w:val="28"/>
        </w:rPr>
        <w:t>que</w:t>
      </w:r>
      <w:proofErr w:type="gramEnd"/>
      <w:r w:rsidRPr="00535A76">
        <w:rPr>
          <w:rFonts w:ascii="Arial" w:eastAsia="Calibri" w:hAnsi="Arial" w:cs="Times New Roman"/>
          <w:bCs/>
          <w:sz w:val="28"/>
        </w:rPr>
        <w:t xml:space="preserve"> estimo, no resulta atinado el señalamiento de que las Salas hayan resuelto el tema que ahora se analiza, pues en el presente caso, como lo señalé, la controversia se centra en determinar si fue correcto que el IECM agregara un concepto novedoso, además de una serie de reglas para su implementación, respecto del procedimiento de asignación de diputaciones por el principio de representación proporcional. </w:t>
      </w:r>
    </w:p>
    <w:p w14:paraId="2E7AAECF" w14:textId="77777777" w:rsidR="00535A76" w:rsidRPr="00535A76" w:rsidRDefault="00535A76" w:rsidP="00535A76">
      <w:pPr>
        <w:spacing w:before="100" w:beforeAutospacing="1" w:after="100" w:afterAutospacing="1" w:line="360" w:lineRule="auto"/>
        <w:contextualSpacing/>
        <w:jc w:val="both"/>
        <w:rPr>
          <w:rFonts w:ascii="Arial" w:eastAsia="Calibri" w:hAnsi="Arial" w:cs="Times New Roman"/>
          <w:sz w:val="28"/>
        </w:rPr>
      </w:pPr>
      <w:r w:rsidRPr="00535A76">
        <w:rPr>
          <w:rFonts w:ascii="Arial" w:eastAsia="Calibri" w:hAnsi="Arial" w:cs="Times New Roman"/>
          <w:bCs/>
          <w:sz w:val="28"/>
        </w:rPr>
        <w:lastRenderedPageBreak/>
        <w:t xml:space="preserve">Ahora bien, como se ha venido mencionando, el artículo </w:t>
      </w:r>
      <w:r w:rsidRPr="00535A76">
        <w:rPr>
          <w:rFonts w:ascii="Arial" w:eastAsia="Calibri" w:hAnsi="Arial" w:cs="Times New Roman"/>
          <w:sz w:val="28"/>
        </w:rPr>
        <w:t>24, fracción IV, del Código Electoral, así como el diverso 4, inciso c), de los Lineamientos para la asignación, indican, esencialmente, como se obtendrá la relación de las fórmulas que de candidaturas que integrarán la Lista “B”, de los partidos políticos, a saber:</w:t>
      </w:r>
    </w:p>
    <w:p w14:paraId="33910441" w14:textId="77777777" w:rsidR="00535A76" w:rsidRPr="00535A76" w:rsidRDefault="00535A76" w:rsidP="00535A76">
      <w:pPr>
        <w:spacing w:before="100" w:beforeAutospacing="1" w:after="100" w:afterAutospacing="1" w:line="360" w:lineRule="auto"/>
        <w:contextualSpacing/>
        <w:jc w:val="both"/>
        <w:rPr>
          <w:rFonts w:ascii="Arial" w:eastAsia="Calibri" w:hAnsi="Arial" w:cs="Times New Roman"/>
          <w:sz w:val="24"/>
          <w:szCs w:val="24"/>
        </w:rPr>
      </w:pPr>
    </w:p>
    <w:p w14:paraId="5D5D0F46" w14:textId="77777777" w:rsidR="00535A76" w:rsidRPr="00535A76" w:rsidRDefault="00535A76" w:rsidP="00535A76">
      <w:pPr>
        <w:spacing w:before="100" w:beforeAutospacing="1" w:after="100" w:afterAutospacing="1"/>
        <w:ind w:left="567" w:right="533"/>
        <w:contextualSpacing/>
        <w:jc w:val="both"/>
        <w:rPr>
          <w:rFonts w:ascii="Arial" w:eastAsia="Calibri" w:hAnsi="Arial" w:cs="Times New Roman"/>
          <w:bCs/>
          <w:i/>
          <w:iCs/>
          <w:sz w:val="20"/>
          <w:szCs w:val="20"/>
        </w:rPr>
      </w:pPr>
      <w:r w:rsidRPr="00535A76">
        <w:rPr>
          <w:rFonts w:ascii="Arial" w:eastAsia="Calibri" w:hAnsi="Arial" w:cs="Times New Roman"/>
          <w:b/>
          <w:i/>
          <w:iCs/>
          <w:sz w:val="20"/>
          <w:szCs w:val="20"/>
        </w:rPr>
        <w:t>Lista "B":</w:t>
      </w:r>
      <w:r w:rsidRPr="00535A76">
        <w:rPr>
          <w:rFonts w:ascii="Arial" w:eastAsia="Calibri" w:hAnsi="Arial" w:cs="Times New Roman"/>
          <w:bCs/>
          <w:i/>
          <w:iCs/>
          <w:sz w:val="20"/>
          <w:szCs w:val="20"/>
        </w:rPr>
        <w:t xml:space="preserve"> Relación de diecisiete fórmulas de candidaturas conformadas por las Diputaciones que no lograron el triunfo en la elección por el principio de mayoría relativa del distrito en que participaron, </w:t>
      </w:r>
      <w:r w:rsidRPr="00535A76">
        <w:rPr>
          <w:rFonts w:ascii="Arial" w:eastAsia="Calibri" w:hAnsi="Arial" w:cs="Times New Roman"/>
          <w:b/>
          <w:i/>
          <w:iCs/>
          <w:sz w:val="20"/>
          <w:szCs w:val="20"/>
        </w:rPr>
        <w:t>pero que alcanzaron a nivel distrital los mayores porcentajes de la votación local emitida</w:t>
      </w:r>
      <w:r w:rsidRPr="00535A76">
        <w:rPr>
          <w:rFonts w:ascii="Arial" w:eastAsia="Calibri" w:hAnsi="Arial" w:cs="Times New Roman"/>
          <w:bCs/>
          <w:i/>
          <w:iCs/>
          <w:sz w:val="20"/>
          <w:szCs w:val="20"/>
        </w:rPr>
        <w:t xml:space="preserve">, comparados respecto de otras fórmulas de su propio partido en esa misma elección; con la finalidad de garantizar la paridad de género, una vez que se determinó el primer lugar de esta lista, el segundo lugar será ocupado por la fórmula del otro género con mayor porcentaje de la </w:t>
      </w:r>
      <w:r w:rsidRPr="00535A76">
        <w:rPr>
          <w:rFonts w:ascii="Arial" w:eastAsia="Calibri" w:hAnsi="Arial" w:cs="Times New Roman"/>
          <w:b/>
          <w:i/>
          <w:iCs/>
          <w:sz w:val="20"/>
          <w:szCs w:val="20"/>
        </w:rPr>
        <w:t>votación local emitida</w:t>
      </w:r>
      <w:r w:rsidRPr="00535A76">
        <w:rPr>
          <w:rFonts w:ascii="Arial" w:eastAsia="Calibri" w:hAnsi="Arial" w:cs="Times New Roman"/>
          <w:bCs/>
          <w:i/>
          <w:iCs/>
          <w:sz w:val="20"/>
          <w:szCs w:val="20"/>
        </w:rPr>
        <w:t>, e irán intercalando de esta manera hasta concluir la integración de la lista.</w:t>
      </w:r>
      <w:r w:rsidRPr="00535A76">
        <w:rPr>
          <w:rFonts w:ascii="Arial" w:eastAsia="Calibri" w:hAnsi="Arial" w:cs="Times New Roman"/>
          <w:bCs/>
          <w:i/>
          <w:iCs/>
          <w:sz w:val="20"/>
          <w:szCs w:val="20"/>
          <w:vertAlign w:val="superscript"/>
        </w:rPr>
        <w:footnoteReference w:id="79"/>
      </w:r>
    </w:p>
    <w:p w14:paraId="561FCC37" w14:textId="77777777" w:rsidR="00535A76" w:rsidRPr="00535A76" w:rsidRDefault="00535A76" w:rsidP="00535A76">
      <w:pPr>
        <w:spacing w:before="100" w:beforeAutospacing="1" w:after="100" w:afterAutospacing="1"/>
        <w:ind w:left="567" w:right="533"/>
        <w:contextualSpacing/>
        <w:jc w:val="both"/>
        <w:rPr>
          <w:rFonts w:ascii="Arial" w:eastAsia="Calibri" w:hAnsi="Arial" w:cs="Times New Roman"/>
          <w:bCs/>
          <w:i/>
          <w:iCs/>
          <w:sz w:val="20"/>
          <w:szCs w:val="20"/>
        </w:rPr>
      </w:pPr>
    </w:p>
    <w:p w14:paraId="1CEA4761" w14:textId="77777777" w:rsidR="00535A76" w:rsidRPr="00535A76" w:rsidRDefault="00535A76" w:rsidP="009B6ED0">
      <w:pPr>
        <w:spacing w:after="0" w:line="360" w:lineRule="auto"/>
        <w:contextualSpacing/>
        <w:jc w:val="both"/>
        <w:rPr>
          <w:rFonts w:ascii="Arial" w:eastAsia="Calibri" w:hAnsi="Arial" w:cs="Times New Roman"/>
          <w:sz w:val="24"/>
          <w:szCs w:val="24"/>
        </w:rPr>
      </w:pPr>
    </w:p>
    <w:p w14:paraId="62C10F34" w14:textId="22D26ACE" w:rsidR="00535A76" w:rsidRDefault="00535A76" w:rsidP="009B6ED0">
      <w:pPr>
        <w:spacing w:after="0" w:line="360" w:lineRule="auto"/>
        <w:contextualSpacing/>
        <w:jc w:val="both"/>
        <w:rPr>
          <w:rFonts w:ascii="Arial" w:eastAsia="Calibri" w:hAnsi="Arial" w:cs="Times New Roman"/>
          <w:bCs/>
          <w:sz w:val="28"/>
        </w:rPr>
      </w:pPr>
      <w:r w:rsidRPr="00535A76">
        <w:rPr>
          <w:rFonts w:ascii="Arial" w:eastAsia="Calibri" w:hAnsi="Arial" w:cs="Times New Roman"/>
          <w:bCs/>
          <w:sz w:val="28"/>
        </w:rPr>
        <w:t>De la anterior transcripción, es válido desprender lo siguiente:</w:t>
      </w:r>
    </w:p>
    <w:p w14:paraId="7D583547" w14:textId="77777777" w:rsidR="009B6ED0" w:rsidRPr="00535A76" w:rsidRDefault="009B6ED0" w:rsidP="009B6ED0">
      <w:pPr>
        <w:spacing w:after="0" w:line="360" w:lineRule="auto"/>
        <w:contextualSpacing/>
        <w:jc w:val="both"/>
        <w:rPr>
          <w:rFonts w:ascii="Arial" w:eastAsia="Calibri" w:hAnsi="Arial" w:cs="Times New Roman"/>
          <w:bCs/>
          <w:sz w:val="24"/>
          <w:szCs w:val="24"/>
        </w:rPr>
      </w:pPr>
    </w:p>
    <w:p w14:paraId="23713C39" w14:textId="77777777" w:rsidR="00535A76" w:rsidRPr="00535A76" w:rsidRDefault="00535A76" w:rsidP="009B6ED0">
      <w:pPr>
        <w:numPr>
          <w:ilvl w:val="0"/>
          <w:numId w:val="38"/>
        </w:numPr>
        <w:spacing w:after="0" w:line="360" w:lineRule="auto"/>
        <w:jc w:val="both"/>
        <w:rPr>
          <w:rFonts w:ascii="Arial" w:eastAsia="Calibri" w:hAnsi="Arial" w:cs="Segoe UI"/>
          <w:bCs/>
          <w:sz w:val="28"/>
          <w:szCs w:val="18"/>
        </w:rPr>
      </w:pPr>
      <w:r w:rsidRPr="00535A76">
        <w:rPr>
          <w:rFonts w:ascii="Arial" w:eastAsia="Calibri" w:hAnsi="Arial" w:cs="Segoe UI"/>
          <w:bCs/>
          <w:sz w:val="28"/>
          <w:szCs w:val="18"/>
        </w:rPr>
        <w:t>La “Lista B”, es una relación de diecisiete fórmulas de candidaturas a diputaciones que no lograron el triunfo por mayoría relativa.</w:t>
      </w:r>
    </w:p>
    <w:p w14:paraId="4B9DAE73" w14:textId="77777777" w:rsidR="00535A76" w:rsidRPr="00535A76" w:rsidRDefault="00535A76" w:rsidP="009B6ED0">
      <w:pPr>
        <w:numPr>
          <w:ilvl w:val="0"/>
          <w:numId w:val="38"/>
        </w:numPr>
        <w:spacing w:after="0" w:line="360" w:lineRule="auto"/>
        <w:jc w:val="both"/>
        <w:rPr>
          <w:rFonts w:ascii="Arial" w:eastAsia="Calibri" w:hAnsi="Arial" w:cs="Segoe UI"/>
          <w:bCs/>
          <w:sz w:val="28"/>
          <w:szCs w:val="18"/>
        </w:rPr>
      </w:pPr>
      <w:r w:rsidRPr="00535A76">
        <w:rPr>
          <w:rFonts w:ascii="Arial" w:eastAsia="Calibri" w:hAnsi="Arial" w:cs="Segoe UI"/>
          <w:bCs/>
          <w:sz w:val="28"/>
          <w:szCs w:val="18"/>
        </w:rPr>
        <w:t xml:space="preserve">Dichas fórmulas son las que alcanzaron en su distrito los mayores porcentajes de la </w:t>
      </w:r>
      <w:r w:rsidRPr="00535A76">
        <w:rPr>
          <w:rFonts w:ascii="Arial" w:eastAsia="Calibri" w:hAnsi="Arial" w:cs="Segoe UI"/>
          <w:b/>
          <w:sz w:val="28"/>
          <w:szCs w:val="18"/>
        </w:rPr>
        <w:t>VOTACIÓN LOCAL EMITIDA</w:t>
      </w:r>
      <w:r w:rsidRPr="00535A76">
        <w:rPr>
          <w:rFonts w:ascii="Arial" w:eastAsia="Calibri" w:hAnsi="Arial" w:cs="Segoe UI"/>
          <w:bCs/>
          <w:sz w:val="28"/>
          <w:szCs w:val="18"/>
        </w:rPr>
        <w:t>, en comparación con otras fórmulas del mismo partido, en la misma elección.</w:t>
      </w:r>
    </w:p>
    <w:p w14:paraId="7B3A5CFF" w14:textId="77777777" w:rsidR="00535A76" w:rsidRPr="00535A76" w:rsidRDefault="00535A76" w:rsidP="009B6ED0">
      <w:pPr>
        <w:spacing w:after="0" w:line="360" w:lineRule="auto"/>
        <w:rPr>
          <w:rFonts w:ascii="Arial" w:eastAsia="Calibri" w:hAnsi="Arial" w:cs="Segoe UI"/>
          <w:bCs/>
          <w:sz w:val="24"/>
          <w:szCs w:val="24"/>
        </w:rPr>
      </w:pPr>
    </w:p>
    <w:p w14:paraId="090EA012" w14:textId="77777777" w:rsidR="00535A76" w:rsidRPr="00535A76" w:rsidRDefault="00535A76" w:rsidP="009B6ED0">
      <w:pPr>
        <w:numPr>
          <w:ilvl w:val="0"/>
          <w:numId w:val="38"/>
        </w:numPr>
        <w:spacing w:after="0" w:line="360" w:lineRule="auto"/>
        <w:jc w:val="both"/>
        <w:rPr>
          <w:rFonts w:ascii="Arial" w:eastAsia="Calibri" w:hAnsi="Arial" w:cs="Segoe UI"/>
          <w:bCs/>
          <w:sz w:val="28"/>
          <w:szCs w:val="18"/>
        </w:rPr>
      </w:pPr>
      <w:r w:rsidRPr="00535A76">
        <w:rPr>
          <w:rFonts w:ascii="Arial" w:eastAsia="Calibri" w:hAnsi="Arial" w:cs="Segoe UI"/>
          <w:bCs/>
          <w:sz w:val="28"/>
          <w:szCs w:val="18"/>
        </w:rPr>
        <w:t xml:space="preserve">La candidatura que recibió el mayor porcentaje de votación, respecto de la votación local emitida, ocupará el primer lugar de la lista; el segundo lugar será ocupado por la fórmula del otro género que obtuvo el porcentaje mayor de votación de la votación válida emitida. </w:t>
      </w:r>
    </w:p>
    <w:p w14:paraId="111F88B7" w14:textId="77777777" w:rsidR="00535A76" w:rsidRPr="00535A76" w:rsidRDefault="00535A76" w:rsidP="009B6ED0">
      <w:pPr>
        <w:spacing w:after="0" w:line="360" w:lineRule="auto"/>
        <w:rPr>
          <w:rFonts w:ascii="Arial" w:eastAsia="Calibri" w:hAnsi="Arial" w:cs="Segoe UI"/>
          <w:bCs/>
          <w:sz w:val="24"/>
          <w:szCs w:val="24"/>
        </w:rPr>
      </w:pPr>
    </w:p>
    <w:p w14:paraId="01CC9479" w14:textId="77777777" w:rsidR="00535A76" w:rsidRPr="00535A76" w:rsidRDefault="00535A76" w:rsidP="009B6ED0">
      <w:pPr>
        <w:numPr>
          <w:ilvl w:val="0"/>
          <w:numId w:val="38"/>
        </w:numPr>
        <w:spacing w:after="0" w:line="360" w:lineRule="auto"/>
        <w:jc w:val="both"/>
        <w:rPr>
          <w:rFonts w:ascii="Arial" w:eastAsia="Calibri" w:hAnsi="Arial" w:cs="Segoe UI"/>
          <w:bCs/>
          <w:sz w:val="28"/>
          <w:szCs w:val="18"/>
        </w:rPr>
      </w:pPr>
      <w:r w:rsidRPr="00535A76">
        <w:rPr>
          <w:rFonts w:ascii="Arial" w:eastAsia="Calibri" w:hAnsi="Arial" w:cs="Segoe UI"/>
          <w:bCs/>
          <w:sz w:val="28"/>
          <w:szCs w:val="18"/>
        </w:rPr>
        <w:lastRenderedPageBreak/>
        <w:t>Una vez establecidos los mayores porcentajes de votación de las mujeres y los hombres, de intercalarán las candidaturas por género, hasta terminar la lista.</w:t>
      </w:r>
    </w:p>
    <w:p w14:paraId="20689E15" w14:textId="77777777" w:rsidR="00535A76" w:rsidRPr="00535A76" w:rsidRDefault="00535A76" w:rsidP="009B6ED0">
      <w:pPr>
        <w:spacing w:after="0" w:line="360" w:lineRule="auto"/>
        <w:rPr>
          <w:rFonts w:ascii="Arial" w:eastAsia="Calibri" w:hAnsi="Arial" w:cs="Segoe UI"/>
          <w:bCs/>
          <w:sz w:val="24"/>
          <w:szCs w:val="24"/>
        </w:rPr>
      </w:pPr>
    </w:p>
    <w:p w14:paraId="688540FA" w14:textId="77777777" w:rsidR="00535A76" w:rsidRPr="00535A76" w:rsidRDefault="00535A76" w:rsidP="00535A76">
      <w:pPr>
        <w:spacing w:after="0" w:line="360" w:lineRule="auto"/>
        <w:jc w:val="both"/>
        <w:rPr>
          <w:rFonts w:ascii="Arial" w:eastAsia="Calibri" w:hAnsi="Arial" w:cs="Times New Roman"/>
          <w:bCs/>
          <w:sz w:val="28"/>
        </w:rPr>
      </w:pPr>
      <w:r w:rsidRPr="00535A76">
        <w:rPr>
          <w:rFonts w:ascii="Arial" w:eastAsia="Calibri" w:hAnsi="Arial" w:cs="Times New Roman"/>
          <w:bCs/>
          <w:sz w:val="28"/>
        </w:rPr>
        <w:t>Así, es que el procedimiento de integración de la Lista “B”, se encuentra claramente definido por la normativa, por lo que lo correcto es integrar dicho listado siguiendo a la literalidad las reglas establecidas para ello.</w:t>
      </w:r>
    </w:p>
    <w:p w14:paraId="5B1AB440" w14:textId="77777777" w:rsidR="00535A76" w:rsidRPr="00535A76" w:rsidRDefault="00535A76" w:rsidP="00535A76">
      <w:pPr>
        <w:spacing w:after="0" w:line="360" w:lineRule="auto"/>
        <w:jc w:val="both"/>
        <w:rPr>
          <w:rFonts w:ascii="Arial" w:eastAsia="Calibri" w:hAnsi="Arial" w:cs="Times New Roman"/>
          <w:bCs/>
          <w:sz w:val="24"/>
          <w:szCs w:val="24"/>
        </w:rPr>
      </w:pPr>
    </w:p>
    <w:p w14:paraId="2A81D7A3" w14:textId="77777777" w:rsidR="00535A76" w:rsidRPr="00535A76" w:rsidRDefault="00535A76" w:rsidP="00535A76">
      <w:pPr>
        <w:spacing w:after="0" w:line="360" w:lineRule="auto"/>
        <w:jc w:val="both"/>
        <w:rPr>
          <w:rFonts w:ascii="Arial" w:eastAsia="Calibri" w:hAnsi="Arial" w:cs="Times New Roman"/>
          <w:bCs/>
          <w:sz w:val="28"/>
        </w:rPr>
      </w:pPr>
      <w:r w:rsidRPr="00535A76">
        <w:rPr>
          <w:rFonts w:ascii="Arial" w:eastAsia="Calibri" w:hAnsi="Arial" w:cs="Times New Roman"/>
          <w:bCs/>
          <w:sz w:val="28"/>
        </w:rPr>
        <w:t xml:space="preserve">Por ello, dado que los partidos </w:t>
      </w:r>
      <w:proofErr w:type="spellStart"/>
      <w:r w:rsidRPr="00535A76">
        <w:rPr>
          <w:rFonts w:ascii="Arial" w:eastAsia="Calibri" w:hAnsi="Arial" w:cs="Times New Roman"/>
          <w:bCs/>
          <w:sz w:val="28"/>
        </w:rPr>
        <w:t>Partidos</w:t>
      </w:r>
      <w:proofErr w:type="spellEnd"/>
      <w:r w:rsidRPr="00535A76">
        <w:rPr>
          <w:rFonts w:ascii="Arial" w:eastAsia="Calibri" w:hAnsi="Arial" w:cs="Times New Roman"/>
          <w:bCs/>
          <w:sz w:val="28"/>
        </w:rPr>
        <w:t xml:space="preserve"> Acción Nacional, Revolucionario Institucional, de la Revolución Democrática, Verde Ecologista de México, Movimiento Ciudadano y Morena obtuvieron cuando menos el tres por ciento de la votación válida emitida, les asiste derecho a participar en la asignación.</w:t>
      </w:r>
    </w:p>
    <w:p w14:paraId="523A60A1" w14:textId="77777777" w:rsidR="00535A76" w:rsidRPr="00535A76" w:rsidRDefault="00535A76" w:rsidP="00535A76">
      <w:pPr>
        <w:spacing w:after="0" w:line="360" w:lineRule="auto"/>
        <w:jc w:val="both"/>
        <w:rPr>
          <w:rFonts w:ascii="Arial" w:eastAsia="Calibri" w:hAnsi="Arial" w:cs="Times New Roman"/>
          <w:bCs/>
          <w:sz w:val="24"/>
          <w:szCs w:val="24"/>
        </w:rPr>
      </w:pPr>
    </w:p>
    <w:p w14:paraId="2499E738" w14:textId="2B8D224F" w:rsidR="00535A76" w:rsidRDefault="00535A76" w:rsidP="00535A76">
      <w:pPr>
        <w:spacing w:after="0" w:line="360" w:lineRule="auto"/>
        <w:jc w:val="both"/>
        <w:rPr>
          <w:rFonts w:ascii="Arial" w:eastAsia="Calibri" w:hAnsi="Arial" w:cs="Times New Roman"/>
          <w:bCs/>
          <w:sz w:val="28"/>
        </w:rPr>
      </w:pPr>
      <w:r w:rsidRPr="00535A76">
        <w:rPr>
          <w:rFonts w:ascii="Arial" w:eastAsia="Calibri" w:hAnsi="Arial" w:cs="Times New Roman"/>
          <w:bCs/>
          <w:sz w:val="28"/>
        </w:rPr>
        <w:t xml:space="preserve">En ese sentido, el Consejo General procedió a realizar la asignación, siguiendo, a su entender, lo establecido para ello. No obstante, de la simple lectura del acuerdo impugnado, se evidencia que dio una lectura diversa a las reglas expresamente previstas, pues para determinar los porcentajes de votación de las candidaturas que no obtuvieron el por Mayoría Relativa, para efecto de integrar la Lista “B” de los partidos políticos, </w:t>
      </w:r>
      <w:r w:rsidRPr="00535A76">
        <w:rPr>
          <w:rFonts w:ascii="Arial" w:eastAsia="Calibri" w:hAnsi="Arial" w:cs="Times New Roman"/>
          <w:b/>
          <w:sz w:val="28"/>
        </w:rPr>
        <w:t>no tomó en consideración la votación local emitida</w:t>
      </w:r>
      <w:r w:rsidRPr="00535A76">
        <w:rPr>
          <w:rFonts w:ascii="Arial" w:eastAsia="Calibri" w:hAnsi="Arial" w:cs="Times New Roman"/>
          <w:bCs/>
          <w:sz w:val="28"/>
        </w:rPr>
        <w:t xml:space="preserve">, misma que, según el Código Electoral y los propios Lineamientos que expidió, corresponde a la siguiente: </w:t>
      </w:r>
    </w:p>
    <w:p w14:paraId="6069F6C1" w14:textId="77777777" w:rsidR="009B6ED0" w:rsidRPr="00535A76" w:rsidRDefault="009B6ED0" w:rsidP="00535A76">
      <w:pPr>
        <w:spacing w:after="0" w:line="360" w:lineRule="auto"/>
        <w:jc w:val="both"/>
        <w:rPr>
          <w:rFonts w:ascii="Arial" w:eastAsia="Calibri" w:hAnsi="Arial" w:cs="Times New Roman"/>
          <w:bCs/>
          <w:sz w:val="24"/>
          <w:szCs w:val="24"/>
        </w:rPr>
      </w:pPr>
    </w:p>
    <w:p w14:paraId="3F4803F2" w14:textId="77777777" w:rsidR="00535A76" w:rsidRPr="00535A76" w:rsidRDefault="00535A76" w:rsidP="00535A76">
      <w:pPr>
        <w:spacing w:after="0"/>
        <w:ind w:left="567" w:right="391"/>
        <w:jc w:val="both"/>
        <w:rPr>
          <w:rFonts w:ascii="Arial" w:eastAsia="Calibri" w:hAnsi="Arial" w:cs="Times New Roman"/>
          <w:bCs/>
          <w:i/>
          <w:iCs/>
          <w:sz w:val="24"/>
          <w:szCs w:val="20"/>
        </w:rPr>
      </w:pPr>
      <w:r w:rsidRPr="00535A76">
        <w:rPr>
          <w:rFonts w:ascii="Arial" w:eastAsia="Calibri" w:hAnsi="Arial" w:cs="Times New Roman"/>
          <w:bCs/>
          <w:i/>
          <w:iCs/>
          <w:sz w:val="24"/>
          <w:szCs w:val="20"/>
        </w:rPr>
        <w:t>“</w:t>
      </w:r>
      <w:r w:rsidRPr="00535A76">
        <w:rPr>
          <w:rFonts w:ascii="Arial" w:eastAsia="Calibri" w:hAnsi="Arial" w:cs="Times New Roman"/>
          <w:b/>
          <w:i/>
          <w:iCs/>
          <w:sz w:val="24"/>
          <w:szCs w:val="20"/>
        </w:rPr>
        <w:t>Votación local emitida:</w:t>
      </w:r>
      <w:r w:rsidRPr="00535A76">
        <w:rPr>
          <w:rFonts w:ascii="Arial" w:eastAsia="Calibri" w:hAnsi="Arial" w:cs="Times New Roman"/>
          <w:bCs/>
          <w:i/>
          <w:iCs/>
          <w:sz w:val="24"/>
          <w:szCs w:val="20"/>
        </w:rPr>
        <w:t xml:space="preserve"> Es la que resulte de deducir de la votación válida emitida, la votación a favor de las candidaturas sin partido y los votos a favor de los partidos políticos que no alcanzaron el umbral del 3% de la votación válida emitida.”</w:t>
      </w:r>
    </w:p>
    <w:p w14:paraId="48CC2205" w14:textId="77777777" w:rsidR="00535A76" w:rsidRPr="00535A76" w:rsidRDefault="00535A76" w:rsidP="00535A76">
      <w:pPr>
        <w:spacing w:after="0" w:line="360" w:lineRule="auto"/>
        <w:jc w:val="both"/>
        <w:rPr>
          <w:rFonts w:ascii="Arial" w:eastAsia="Calibri" w:hAnsi="Arial" w:cs="Times New Roman"/>
          <w:bCs/>
          <w:sz w:val="24"/>
          <w:szCs w:val="24"/>
        </w:rPr>
      </w:pPr>
      <w:r w:rsidRPr="00535A76">
        <w:rPr>
          <w:rFonts w:ascii="Arial" w:eastAsia="Calibri" w:hAnsi="Arial" w:cs="Times New Roman"/>
          <w:bCs/>
          <w:sz w:val="28"/>
        </w:rPr>
        <w:t xml:space="preserve"> </w:t>
      </w:r>
    </w:p>
    <w:p w14:paraId="5A42021E" w14:textId="77777777" w:rsidR="00535A76" w:rsidRPr="00535A76" w:rsidRDefault="00535A76" w:rsidP="00535A76">
      <w:pPr>
        <w:spacing w:after="0" w:line="360" w:lineRule="auto"/>
        <w:jc w:val="both"/>
        <w:rPr>
          <w:rFonts w:ascii="Arial" w:eastAsia="Calibri" w:hAnsi="Arial" w:cs="Times New Roman"/>
          <w:bCs/>
          <w:sz w:val="28"/>
        </w:rPr>
      </w:pPr>
      <w:r w:rsidRPr="00535A76">
        <w:rPr>
          <w:rFonts w:ascii="Arial" w:eastAsia="Calibri" w:hAnsi="Arial" w:cs="Times New Roman"/>
          <w:bCs/>
          <w:sz w:val="28"/>
        </w:rPr>
        <w:lastRenderedPageBreak/>
        <w:t>Esto se sostiene de esta manera, pues como se ha indicado, introdujo una figura no prevista a la que denominó “</w:t>
      </w:r>
      <w:r w:rsidRPr="00535A76">
        <w:rPr>
          <w:rFonts w:ascii="Arial" w:eastAsia="Calibri" w:hAnsi="Arial" w:cs="Times New Roman"/>
          <w:b/>
          <w:sz w:val="28"/>
        </w:rPr>
        <w:t>PORCENTAJE VOTACIÓN DISTRITAL EMITIDA</w:t>
      </w:r>
      <w:r w:rsidRPr="00535A76">
        <w:rPr>
          <w:rFonts w:ascii="Arial" w:eastAsia="Calibri" w:hAnsi="Arial" w:cs="Times New Roman"/>
          <w:bCs/>
          <w:sz w:val="28"/>
        </w:rPr>
        <w:t xml:space="preserve">”, y a partir de la cual determinó los mayores porcentajes de las candidaturas, misma que evidentemente no corresponde a la votación válida emitida, factor de referencia expresamente previsto por el Código Electoral y los Lineamientos para la asignación, a saber: </w:t>
      </w:r>
    </w:p>
    <w:p w14:paraId="31580CBF" w14:textId="77777777" w:rsidR="00535A76" w:rsidRPr="00535A76" w:rsidRDefault="00535A76" w:rsidP="00535A76">
      <w:pPr>
        <w:spacing w:after="0" w:line="360" w:lineRule="auto"/>
        <w:jc w:val="both"/>
        <w:rPr>
          <w:rFonts w:ascii="Arial" w:eastAsia="Calibri" w:hAnsi="Arial" w:cs="Times New Roman"/>
          <w:bCs/>
          <w:sz w:val="24"/>
          <w:szCs w:val="24"/>
        </w:rPr>
      </w:pPr>
    </w:p>
    <w:p w14:paraId="19EDB8AE" w14:textId="77777777" w:rsidR="00535A76" w:rsidRPr="00535A76" w:rsidRDefault="00535A76" w:rsidP="00535A76">
      <w:pPr>
        <w:spacing w:after="0" w:line="360" w:lineRule="auto"/>
        <w:jc w:val="both"/>
        <w:rPr>
          <w:rFonts w:ascii="Arial" w:eastAsia="Calibri" w:hAnsi="Arial" w:cs="Times New Roman"/>
          <w:bCs/>
          <w:sz w:val="28"/>
        </w:rPr>
      </w:pPr>
      <w:r w:rsidRPr="00535A76">
        <w:rPr>
          <w:rFonts w:ascii="Arial" w:eastAsia="Calibri" w:hAnsi="Arial" w:cs="Times New Roman"/>
          <w:bCs/>
          <w:noProof/>
          <w:sz w:val="28"/>
        </w:rPr>
        <mc:AlternateContent>
          <mc:Choice Requires="wps">
            <w:drawing>
              <wp:anchor distT="0" distB="0" distL="114300" distR="114300" simplePos="0" relativeHeight="251659264" behindDoc="0" locked="0" layoutInCell="1" allowOverlap="1" wp14:anchorId="482F3248" wp14:editId="55A8CF0B">
                <wp:simplePos x="0" y="0"/>
                <wp:positionH relativeFrom="column">
                  <wp:posOffset>3848100</wp:posOffset>
                </wp:positionH>
                <wp:positionV relativeFrom="paragraph">
                  <wp:posOffset>55245</wp:posOffset>
                </wp:positionV>
                <wp:extent cx="1259457" cy="802256"/>
                <wp:effectExtent l="19050" t="19050" r="17145" b="17145"/>
                <wp:wrapNone/>
                <wp:docPr id="3" name="Elipse 3"/>
                <wp:cNvGraphicFramePr/>
                <a:graphic xmlns:a="http://schemas.openxmlformats.org/drawingml/2006/main">
                  <a:graphicData uri="http://schemas.microsoft.com/office/word/2010/wordprocessingShape">
                    <wps:wsp>
                      <wps:cNvSpPr/>
                      <wps:spPr>
                        <a:xfrm>
                          <a:off x="0" y="0"/>
                          <a:ext cx="1259457" cy="802256"/>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2BB502" id="Elipse 3" o:spid="_x0000_s1026" style="position:absolute;margin-left:303pt;margin-top:4.35pt;width:99.15pt;height:6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" filled="f" strokecolor="red" strokeweight="2.25pt">
                <v:stroke joinstyle="miter"/>
              </v:oval>
            </w:pict>
          </mc:Fallback>
        </mc:AlternateContent>
      </w:r>
      <w:r w:rsidRPr="00535A76">
        <w:rPr>
          <w:rFonts w:ascii="Arial" w:eastAsia="Calibri" w:hAnsi="Arial" w:cs="Times New Roman"/>
          <w:noProof/>
          <w:sz w:val="28"/>
          <w:szCs w:val="28"/>
        </w:rPr>
        <w:drawing>
          <wp:inline distT="0" distB="0" distL="0" distR="0" wp14:anchorId="481BBF7F" wp14:editId="6B8E578E">
            <wp:extent cx="5063706" cy="647065"/>
            <wp:effectExtent l="0" t="0" r="3810" b="635"/>
            <wp:docPr id="6" name="Imagen 6"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Escala de tiempo&#10;&#10;Descripción generada automáticamente con confianza m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4245" cy="647134"/>
                    </a:xfrm>
                    <a:prstGeom prst="rect">
                      <a:avLst/>
                    </a:prstGeom>
                    <a:noFill/>
                    <a:ln>
                      <a:noFill/>
                    </a:ln>
                  </pic:spPr>
                </pic:pic>
              </a:graphicData>
            </a:graphic>
          </wp:inline>
        </w:drawing>
      </w:r>
    </w:p>
    <w:p w14:paraId="4FD2B504" w14:textId="77777777" w:rsidR="00535A76" w:rsidRPr="00535A76" w:rsidRDefault="00535A76" w:rsidP="00535A76">
      <w:pPr>
        <w:spacing w:after="0" w:line="360" w:lineRule="auto"/>
        <w:jc w:val="both"/>
        <w:rPr>
          <w:rFonts w:ascii="Arial" w:eastAsia="Calibri" w:hAnsi="Arial" w:cs="Times New Roman"/>
          <w:bCs/>
          <w:sz w:val="24"/>
          <w:szCs w:val="24"/>
        </w:rPr>
      </w:pPr>
    </w:p>
    <w:p w14:paraId="61773112" w14:textId="77777777" w:rsidR="00535A76" w:rsidRPr="00535A76" w:rsidRDefault="00535A76" w:rsidP="00535A76">
      <w:pPr>
        <w:spacing w:after="0" w:line="360" w:lineRule="auto"/>
        <w:jc w:val="both"/>
        <w:rPr>
          <w:rFonts w:ascii="Arial" w:eastAsia="Calibri" w:hAnsi="Arial" w:cs="Times New Roman"/>
          <w:bCs/>
          <w:sz w:val="28"/>
        </w:rPr>
      </w:pPr>
      <w:r w:rsidRPr="00535A76">
        <w:rPr>
          <w:rFonts w:ascii="Arial" w:eastAsia="Calibri" w:hAnsi="Arial" w:cs="Times New Roman"/>
          <w:bCs/>
          <w:sz w:val="28"/>
        </w:rPr>
        <w:t>Por ello, es que aun y cuando el Consejo General hubiere seguido a la literalidad el resto de reglas establecidas para la asignación, las cuales se encuentran enmarcadas en los artículos 27, del Código Electoral y 13, de los Lineamientos para la asignación, al tomar como referencia un parámetro no establecido, es que la prelación de las Listas “B” de los partidos políticos no se corresponde a las candidaturas que obtuvieron los mayores porcentajes de votación en su distrito, respecto de la votación válida emitida, circunstancia que vulnera los principios de certeza y legalidad.</w:t>
      </w:r>
    </w:p>
    <w:p w14:paraId="34A2587B" w14:textId="77777777" w:rsidR="00535A76" w:rsidRPr="00535A76" w:rsidRDefault="00535A76" w:rsidP="00535A76">
      <w:pPr>
        <w:spacing w:after="0" w:line="360" w:lineRule="auto"/>
        <w:jc w:val="both"/>
        <w:rPr>
          <w:rFonts w:ascii="Arial" w:eastAsia="Calibri" w:hAnsi="Arial" w:cs="Times New Roman"/>
          <w:bCs/>
          <w:sz w:val="24"/>
          <w:szCs w:val="24"/>
        </w:rPr>
      </w:pPr>
    </w:p>
    <w:p w14:paraId="53293176" w14:textId="77777777" w:rsidR="00535A76" w:rsidRPr="00535A76" w:rsidRDefault="00535A76" w:rsidP="00535A76">
      <w:pPr>
        <w:spacing w:after="0" w:line="360" w:lineRule="auto"/>
        <w:jc w:val="both"/>
        <w:rPr>
          <w:rFonts w:ascii="Arial" w:eastAsia="Calibri" w:hAnsi="Arial" w:cs="Times New Roman"/>
          <w:sz w:val="28"/>
        </w:rPr>
      </w:pPr>
      <w:r w:rsidRPr="00535A76">
        <w:rPr>
          <w:rFonts w:ascii="Arial" w:eastAsia="Calibri" w:hAnsi="Arial" w:cs="Times New Roman"/>
          <w:bCs/>
          <w:sz w:val="28"/>
        </w:rPr>
        <w:t xml:space="preserve">Ahora bien, al aplicar a la literalidad el artículo </w:t>
      </w:r>
      <w:r w:rsidRPr="00535A76">
        <w:rPr>
          <w:rFonts w:ascii="Arial" w:eastAsia="Calibri" w:hAnsi="Arial" w:cs="Times New Roman"/>
          <w:sz w:val="28"/>
        </w:rPr>
        <w:t xml:space="preserve">24, fracción IV, del Código Electoral, así como el diverso 4, inciso c), de los Lineamientos para la asignación, para la integración de la Lista “B” de los partidos, –los cuales no requieren de interpretación al indicar las reglas claramente– se obtiene que las candidaturas que </w:t>
      </w:r>
      <w:r w:rsidRPr="00535A76">
        <w:rPr>
          <w:rFonts w:ascii="Arial" w:eastAsia="Calibri" w:hAnsi="Arial" w:cs="Times New Roman"/>
          <w:sz w:val="28"/>
        </w:rPr>
        <w:lastRenderedPageBreak/>
        <w:t>obtuvieron los mayores porcentajes de votación en su distrito, respecto de la votación local emitida</w:t>
      </w:r>
      <w:r w:rsidRPr="00535A76">
        <w:rPr>
          <w:rFonts w:ascii="Arial" w:eastAsia="Calibri" w:hAnsi="Arial" w:cs="Times New Roman"/>
          <w:sz w:val="28"/>
          <w:vertAlign w:val="superscript"/>
        </w:rPr>
        <w:footnoteReference w:id="80"/>
      </w:r>
      <w:r w:rsidRPr="00535A76">
        <w:rPr>
          <w:rFonts w:ascii="Arial" w:eastAsia="Calibri" w:hAnsi="Arial" w:cs="Times New Roman"/>
          <w:sz w:val="28"/>
        </w:rPr>
        <w:t>, son las siguientes:</w:t>
      </w:r>
    </w:p>
    <w:p w14:paraId="6E5B6058" w14:textId="77777777" w:rsidR="00535A76" w:rsidRPr="00535A76" w:rsidRDefault="00535A76" w:rsidP="00535A76">
      <w:pPr>
        <w:spacing w:after="0" w:line="360" w:lineRule="auto"/>
        <w:jc w:val="both"/>
        <w:rPr>
          <w:rFonts w:ascii="Arial" w:eastAsia="Calibri" w:hAnsi="Arial" w:cs="Times New Roman"/>
          <w:sz w:val="24"/>
          <w:szCs w:val="24"/>
        </w:rPr>
      </w:pPr>
    </w:p>
    <w:tbl>
      <w:tblPr>
        <w:tblW w:w="8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
        <w:gridCol w:w="3775"/>
        <w:gridCol w:w="1679"/>
        <w:gridCol w:w="711"/>
        <w:gridCol w:w="911"/>
        <w:gridCol w:w="691"/>
      </w:tblGrid>
      <w:tr w:rsidR="00535A76" w:rsidRPr="00535A76" w14:paraId="4D6ECCED" w14:textId="77777777" w:rsidTr="009B6ED0">
        <w:trPr>
          <w:tblHeader/>
          <w:jc w:val="center"/>
        </w:trPr>
        <w:tc>
          <w:tcPr>
            <w:tcW w:w="0" w:type="auto"/>
            <w:gridSpan w:val="5"/>
            <w:shd w:val="clear" w:color="auto" w:fill="DF7980"/>
            <w:noWrap/>
            <w:vAlign w:val="center"/>
          </w:tcPr>
          <w:p w14:paraId="428C0010"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MORENA</w:t>
            </w:r>
          </w:p>
        </w:tc>
        <w:tc>
          <w:tcPr>
            <w:tcW w:w="691" w:type="dxa"/>
            <w:shd w:val="clear" w:color="auto" w:fill="DF7980"/>
          </w:tcPr>
          <w:p w14:paraId="0FEB3577" w14:textId="77777777" w:rsidR="00535A76" w:rsidRPr="00535A76" w:rsidRDefault="00535A76" w:rsidP="00535A76">
            <w:pPr>
              <w:spacing w:after="0" w:line="240" w:lineRule="auto"/>
              <w:jc w:val="center"/>
              <w:rPr>
                <w:rFonts w:ascii="Arial" w:eastAsia="Times New Roman" w:hAnsi="Arial" w:cs="Arial"/>
                <w:b/>
                <w:bCs/>
                <w:color w:val="000000"/>
                <w:lang w:eastAsia="es-MX"/>
              </w:rPr>
            </w:pPr>
          </w:p>
        </w:tc>
      </w:tr>
      <w:tr w:rsidR="00535A76" w:rsidRPr="00535A76" w14:paraId="5AB3F026" w14:textId="77777777" w:rsidTr="009B6ED0">
        <w:trPr>
          <w:jc w:val="center"/>
        </w:trPr>
        <w:tc>
          <w:tcPr>
            <w:tcW w:w="0" w:type="auto"/>
            <w:shd w:val="clear" w:color="auto" w:fill="auto"/>
            <w:noWrap/>
            <w:vAlign w:val="center"/>
            <w:hideMark/>
          </w:tcPr>
          <w:p w14:paraId="2EB890DE"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No.</w:t>
            </w:r>
          </w:p>
        </w:tc>
        <w:tc>
          <w:tcPr>
            <w:tcW w:w="3775" w:type="dxa"/>
            <w:shd w:val="clear" w:color="auto" w:fill="auto"/>
            <w:noWrap/>
            <w:vAlign w:val="center"/>
            <w:hideMark/>
          </w:tcPr>
          <w:p w14:paraId="799A5648"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Candidatura propietaria</w:t>
            </w:r>
          </w:p>
        </w:tc>
        <w:tc>
          <w:tcPr>
            <w:tcW w:w="1679" w:type="dxa"/>
            <w:vAlign w:val="center"/>
          </w:tcPr>
          <w:p w14:paraId="30ED0CDB"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Candidatura suplente</w:t>
            </w:r>
          </w:p>
        </w:tc>
        <w:tc>
          <w:tcPr>
            <w:tcW w:w="711" w:type="dxa"/>
            <w:shd w:val="clear" w:color="auto" w:fill="FFFFFF"/>
            <w:noWrap/>
            <w:vAlign w:val="center"/>
            <w:hideMark/>
          </w:tcPr>
          <w:p w14:paraId="1112FB6A"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DTO</w:t>
            </w:r>
          </w:p>
        </w:tc>
        <w:tc>
          <w:tcPr>
            <w:tcW w:w="0" w:type="auto"/>
            <w:shd w:val="clear" w:color="auto" w:fill="FFFFFF"/>
            <w:noWrap/>
            <w:vAlign w:val="center"/>
            <w:hideMark/>
          </w:tcPr>
          <w:p w14:paraId="2043BA6C"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VOTOS</w:t>
            </w:r>
          </w:p>
        </w:tc>
        <w:tc>
          <w:tcPr>
            <w:tcW w:w="691" w:type="dxa"/>
            <w:shd w:val="clear" w:color="auto" w:fill="FFFFFF"/>
            <w:vAlign w:val="center"/>
          </w:tcPr>
          <w:p w14:paraId="61537B74"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w:t>
            </w:r>
          </w:p>
        </w:tc>
      </w:tr>
      <w:tr w:rsidR="00535A76" w:rsidRPr="00535A76" w14:paraId="3BEF84D7" w14:textId="77777777" w:rsidTr="009B6ED0">
        <w:trPr>
          <w:jc w:val="center"/>
        </w:trPr>
        <w:tc>
          <w:tcPr>
            <w:tcW w:w="0" w:type="auto"/>
            <w:shd w:val="clear" w:color="auto" w:fill="auto"/>
            <w:noWrap/>
            <w:vAlign w:val="center"/>
            <w:hideMark/>
          </w:tcPr>
          <w:p w14:paraId="4410C7EF"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w:t>
            </w:r>
          </w:p>
        </w:tc>
        <w:tc>
          <w:tcPr>
            <w:tcW w:w="3775" w:type="dxa"/>
            <w:shd w:val="clear" w:color="auto" w:fill="auto"/>
            <w:noWrap/>
            <w:vAlign w:val="center"/>
            <w:hideMark/>
          </w:tcPr>
          <w:p w14:paraId="52D2E567" w14:textId="77777777" w:rsidR="00535A76" w:rsidRPr="00535A76" w:rsidRDefault="00535A76" w:rsidP="00535A76">
            <w:pPr>
              <w:spacing w:after="0" w:line="240" w:lineRule="auto"/>
              <w:jc w:val="center"/>
              <w:rPr>
                <w:rFonts w:ascii="Arial" w:eastAsia="Times New Roman" w:hAnsi="Arial" w:cs="Arial"/>
                <w:color w:val="000000"/>
                <w:lang w:eastAsia="es-MX"/>
              </w:rPr>
            </w:pPr>
            <w:proofErr w:type="spellStart"/>
            <w:r w:rsidRPr="00535A76">
              <w:rPr>
                <w:rFonts w:ascii="Arial" w:eastAsia="Times New Roman" w:hAnsi="Arial" w:cs="Arial"/>
                <w:color w:val="000000"/>
                <w:lang w:eastAsia="es-MX"/>
              </w:rPr>
              <w:t>Yuriri</w:t>
            </w:r>
            <w:proofErr w:type="spellEnd"/>
            <w:r w:rsidRPr="00535A76">
              <w:rPr>
                <w:rFonts w:ascii="Arial" w:eastAsia="Times New Roman" w:hAnsi="Arial" w:cs="Arial"/>
                <w:color w:val="000000"/>
                <w:lang w:eastAsia="es-MX"/>
              </w:rPr>
              <w:t xml:space="preserve"> Ayala Zúñiga</w:t>
            </w:r>
          </w:p>
        </w:tc>
        <w:tc>
          <w:tcPr>
            <w:tcW w:w="1679" w:type="dxa"/>
            <w:vAlign w:val="center"/>
          </w:tcPr>
          <w:p w14:paraId="7FB7887D"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Sandy Hernández Mercado</w:t>
            </w:r>
          </w:p>
        </w:tc>
        <w:tc>
          <w:tcPr>
            <w:tcW w:w="711" w:type="dxa"/>
            <w:shd w:val="clear" w:color="auto" w:fill="FFFFFF"/>
            <w:noWrap/>
            <w:vAlign w:val="center"/>
            <w:hideMark/>
          </w:tcPr>
          <w:p w14:paraId="3EFC2F14"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6</w:t>
            </w:r>
          </w:p>
        </w:tc>
        <w:tc>
          <w:tcPr>
            <w:tcW w:w="0" w:type="auto"/>
            <w:shd w:val="clear" w:color="auto" w:fill="FFFFFF"/>
            <w:noWrap/>
            <w:vAlign w:val="center"/>
            <w:hideMark/>
          </w:tcPr>
          <w:p w14:paraId="6BA6DBEB"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61276</w:t>
            </w:r>
          </w:p>
        </w:tc>
        <w:tc>
          <w:tcPr>
            <w:tcW w:w="691" w:type="dxa"/>
            <w:shd w:val="clear" w:color="auto" w:fill="FFFFFF"/>
            <w:vAlign w:val="center"/>
          </w:tcPr>
          <w:p w14:paraId="7B4FB569"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1.653</w:t>
            </w:r>
          </w:p>
        </w:tc>
      </w:tr>
      <w:tr w:rsidR="00535A76" w:rsidRPr="00535A76" w14:paraId="7439E7E8" w14:textId="77777777" w:rsidTr="009B6ED0">
        <w:trPr>
          <w:jc w:val="center"/>
        </w:trPr>
        <w:tc>
          <w:tcPr>
            <w:tcW w:w="0" w:type="auto"/>
            <w:shd w:val="clear" w:color="auto" w:fill="auto"/>
            <w:noWrap/>
            <w:vAlign w:val="center"/>
            <w:hideMark/>
          </w:tcPr>
          <w:p w14:paraId="6EC80425"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2</w:t>
            </w:r>
          </w:p>
        </w:tc>
        <w:tc>
          <w:tcPr>
            <w:tcW w:w="3775" w:type="dxa"/>
            <w:shd w:val="clear" w:color="auto" w:fill="auto"/>
            <w:noWrap/>
            <w:vAlign w:val="center"/>
            <w:hideMark/>
          </w:tcPr>
          <w:p w14:paraId="0A53E9B1"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Carlos Cervantes Godoy</w:t>
            </w:r>
          </w:p>
        </w:tc>
        <w:tc>
          <w:tcPr>
            <w:tcW w:w="1679" w:type="dxa"/>
            <w:vAlign w:val="center"/>
          </w:tcPr>
          <w:p w14:paraId="5038F4A8"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 xml:space="preserve">Oscar </w:t>
            </w:r>
            <w:proofErr w:type="spellStart"/>
            <w:r w:rsidRPr="00535A76">
              <w:rPr>
                <w:rFonts w:ascii="Arial" w:eastAsia="Times New Roman" w:hAnsi="Arial" w:cs="Arial"/>
                <w:color w:val="000000"/>
                <w:lang w:eastAsia="es-MX"/>
              </w:rPr>
              <w:t>Ramirez</w:t>
            </w:r>
            <w:proofErr w:type="spellEnd"/>
            <w:r w:rsidRPr="00535A76">
              <w:rPr>
                <w:rFonts w:ascii="Arial" w:eastAsia="Times New Roman" w:hAnsi="Arial" w:cs="Arial"/>
                <w:color w:val="000000"/>
                <w:lang w:eastAsia="es-MX"/>
              </w:rPr>
              <w:t xml:space="preserve"> Serna</w:t>
            </w:r>
          </w:p>
        </w:tc>
        <w:tc>
          <w:tcPr>
            <w:tcW w:w="711" w:type="dxa"/>
            <w:shd w:val="clear" w:color="auto" w:fill="FFFFFF"/>
            <w:noWrap/>
            <w:vAlign w:val="center"/>
            <w:hideMark/>
          </w:tcPr>
          <w:p w14:paraId="340EA434"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24</w:t>
            </w:r>
          </w:p>
        </w:tc>
        <w:tc>
          <w:tcPr>
            <w:tcW w:w="0" w:type="auto"/>
            <w:shd w:val="clear" w:color="auto" w:fill="FFFFFF"/>
            <w:noWrap/>
            <w:vAlign w:val="center"/>
            <w:hideMark/>
          </w:tcPr>
          <w:p w14:paraId="30BE2A32"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48815</w:t>
            </w:r>
          </w:p>
        </w:tc>
        <w:tc>
          <w:tcPr>
            <w:tcW w:w="691" w:type="dxa"/>
            <w:shd w:val="clear" w:color="auto" w:fill="FFFFFF"/>
            <w:vAlign w:val="center"/>
          </w:tcPr>
          <w:p w14:paraId="0A6588B3"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1.316</w:t>
            </w:r>
          </w:p>
        </w:tc>
      </w:tr>
      <w:tr w:rsidR="00535A76" w:rsidRPr="00535A76" w14:paraId="7A20C936" w14:textId="77777777" w:rsidTr="009B6ED0">
        <w:trPr>
          <w:jc w:val="center"/>
        </w:trPr>
        <w:tc>
          <w:tcPr>
            <w:tcW w:w="0" w:type="auto"/>
            <w:shd w:val="clear" w:color="auto" w:fill="auto"/>
            <w:noWrap/>
            <w:vAlign w:val="center"/>
            <w:hideMark/>
          </w:tcPr>
          <w:p w14:paraId="6C82A7EA"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3</w:t>
            </w:r>
          </w:p>
        </w:tc>
        <w:tc>
          <w:tcPr>
            <w:tcW w:w="3775" w:type="dxa"/>
            <w:shd w:val="clear" w:color="auto" w:fill="auto"/>
            <w:noWrap/>
            <w:vAlign w:val="center"/>
            <w:hideMark/>
          </w:tcPr>
          <w:p w14:paraId="6B70A6EE"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 xml:space="preserve">Valentina Valia </w:t>
            </w:r>
            <w:proofErr w:type="spellStart"/>
            <w:r w:rsidRPr="00535A76">
              <w:rPr>
                <w:rFonts w:ascii="Arial" w:eastAsia="Times New Roman" w:hAnsi="Arial" w:cs="Arial"/>
                <w:color w:val="000000"/>
                <w:lang w:eastAsia="es-MX"/>
              </w:rPr>
              <w:t>Batrés</w:t>
            </w:r>
            <w:proofErr w:type="spellEnd"/>
            <w:r w:rsidRPr="00535A76">
              <w:rPr>
                <w:rFonts w:ascii="Arial" w:eastAsia="Times New Roman" w:hAnsi="Arial" w:cs="Arial"/>
                <w:color w:val="000000"/>
                <w:lang w:eastAsia="es-MX"/>
              </w:rPr>
              <w:t xml:space="preserve"> Guadarrama</w:t>
            </w:r>
          </w:p>
        </w:tc>
        <w:tc>
          <w:tcPr>
            <w:tcW w:w="1679" w:type="dxa"/>
            <w:vAlign w:val="center"/>
          </w:tcPr>
          <w:p w14:paraId="5BC0DA17"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Perla Guadalupe Robles Vázquez</w:t>
            </w:r>
          </w:p>
        </w:tc>
        <w:tc>
          <w:tcPr>
            <w:tcW w:w="711" w:type="dxa"/>
            <w:shd w:val="clear" w:color="auto" w:fill="FFFFFF"/>
            <w:noWrap/>
            <w:vAlign w:val="center"/>
            <w:hideMark/>
          </w:tcPr>
          <w:p w14:paraId="107B9846"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18</w:t>
            </w:r>
          </w:p>
        </w:tc>
        <w:tc>
          <w:tcPr>
            <w:tcW w:w="0" w:type="auto"/>
            <w:shd w:val="clear" w:color="auto" w:fill="FFFFFF"/>
            <w:noWrap/>
            <w:vAlign w:val="center"/>
            <w:hideMark/>
          </w:tcPr>
          <w:p w14:paraId="708D68D4"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48315</w:t>
            </w:r>
          </w:p>
        </w:tc>
        <w:tc>
          <w:tcPr>
            <w:tcW w:w="691" w:type="dxa"/>
            <w:shd w:val="clear" w:color="auto" w:fill="FFFFFF"/>
            <w:vAlign w:val="center"/>
          </w:tcPr>
          <w:p w14:paraId="7BFB7E14"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1.303</w:t>
            </w:r>
          </w:p>
        </w:tc>
      </w:tr>
      <w:tr w:rsidR="00535A76" w:rsidRPr="00535A76" w14:paraId="5C20F135" w14:textId="77777777" w:rsidTr="009B6ED0">
        <w:trPr>
          <w:jc w:val="center"/>
        </w:trPr>
        <w:tc>
          <w:tcPr>
            <w:tcW w:w="0" w:type="auto"/>
            <w:shd w:val="clear" w:color="auto" w:fill="auto"/>
            <w:noWrap/>
            <w:vAlign w:val="center"/>
            <w:hideMark/>
          </w:tcPr>
          <w:p w14:paraId="56D417E0"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4</w:t>
            </w:r>
          </w:p>
        </w:tc>
        <w:tc>
          <w:tcPr>
            <w:tcW w:w="3775" w:type="dxa"/>
            <w:shd w:val="clear" w:color="auto" w:fill="auto"/>
            <w:noWrap/>
            <w:vAlign w:val="center"/>
            <w:hideMark/>
          </w:tcPr>
          <w:p w14:paraId="21A4BE93"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 xml:space="preserve">Marco Antonio </w:t>
            </w:r>
            <w:proofErr w:type="spellStart"/>
            <w:r w:rsidRPr="00535A76">
              <w:rPr>
                <w:rFonts w:ascii="Arial" w:eastAsia="Times New Roman" w:hAnsi="Arial" w:cs="Arial"/>
                <w:color w:val="000000"/>
                <w:lang w:eastAsia="es-MX"/>
              </w:rPr>
              <w:t>Temistocles</w:t>
            </w:r>
            <w:proofErr w:type="spellEnd"/>
            <w:r w:rsidRPr="00535A76">
              <w:rPr>
                <w:rFonts w:ascii="Arial" w:eastAsia="Times New Roman" w:hAnsi="Arial" w:cs="Arial"/>
                <w:color w:val="000000"/>
                <w:lang w:eastAsia="es-MX"/>
              </w:rPr>
              <w:t xml:space="preserve"> Villanueva Ramos</w:t>
            </w:r>
          </w:p>
        </w:tc>
        <w:tc>
          <w:tcPr>
            <w:tcW w:w="1679" w:type="dxa"/>
            <w:vAlign w:val="center"/>
          </w:tcPr>
          <w:p w14:paraId="482FCAD8"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Ramiro Gerardo Gonzalez Morales</w:t>
            </w:r>
          </w:p>
        </w:tc>
        <w:tc>
          <w:tcPr>
            <w:tcW w:w="711" w:type="dxa"/>
            <w:shd w:val="clear" w:color="auto" w:fill="FFFFFF"/>
            <w:noWrap/>
            <w:vAlign w:val="center"/>
            <w:hideMark/>
          </w:tcPr>
          <w:p w14:paraId="6C859835"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9</w:t>
            </w:r>
          </w:p>
        </w:tc>
        <w:tc>
          <w:tcPr>
            <w:tcW w:w="0" w:type="auto"/>
            <w:shd w:val="clear" w:color="auto" w:fill="FFFFFF"/>
            <w:noWrap/>
            <w:vAlign w:val="center"/>
            <w:hideMark/>
          </w:tcPr>
          <w:p w14:paraId="5C2D1DFE"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43357</w:t>
            </w:r>
          </w:p>
        </w:tc>
        <w:tc>
          <w:tcPr>
            <w:tcW w:w="691" w:type="dxa"/>
            <w:shd w:val="clear" w:color="auto" w:fill="FFFFFF"/>
            <w:vAlign w:val="center"/>
          </w:tcPr>
          <w:p w14:paraId="49E4731D"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1.169</w:t>
            </w:r>
          </w:p>
        </w:tc>
      </w:tr>
      <w:tr w:rsidR="00535A76" w:rsidRPr="00535A76" w14:paraId="3338F1DE" w14:textId="77777777" w:rsidTr="009B6ED0">
        <w:trPr>
          <w:jc w:val="center"/>
        </w:trPr>
        <w:tc>
          <w:tcPr>
            <w:tcW w:w="0" w:type="auto"/>
            <w:shd w:val="clear" w:color="auto" w:fill="auto"/>
            <w:noWrap/>
            <w:vAlign w:val="center"/>
            <w:hideMark/>
          </w:tcPr>
          <w:p w14:paraId="76D257A4"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5</w:t>
            </w:r>
          </w:p>
        </w:tc>
        <w:tc>
          <w:tcPr>
            <w:tcW w:w="3775" w:type="dxa"/>
            <w:shd w:val="clear" w:color="auto" w:fill="auto"/>
            <w:noWrap/>
            <w:vAlign w:val="center"/>
            <w:hideMark/>
          </w:tcPr>
          <w:p w14:paraId="7E79232A"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 xml:space="preserve">José Luis </w:t>
            </w:r>
            <w:proofErr w:type="spellStart"/>
            <w:r w:rsidRPr="00535A76">
              <w:rPr>
                <w:rFonts w:ascii="Arial" w:eastAsia="Times New Roman" w:hAnsi="Arial" w:cs="Arial"/>
                <w:color w:val="000000"/>
                <w:lang w:eastAsia="es-MX"/>
              </w:rPr>
              <w:t>Rodrigues</w:t>
            </w:r>
            <w:proofErr w:type="spellEnd"/>
            <w:r w:rsidRPr="00535A76">
              <w:rPr>
                <w:rFonts w:ascii="Arial" w:eastAsia="Times New Roman" w:hAnsi="Arial" w:cs="Arial"/>
                <w:color w:val="000000"/>
                <w:lang w:eastAsia="es-MX"/>
              </w:rPr>
              <w:t xml:space="preserve"> Díaz de León</w:t>
            </w:r>
          </w:p>
        </w:tc>
        <w:tc>
          <w:tcPr>
            <w:tcW w:w="1679" w:type="dxa"/>
            <w:vAlign w:val="center"/>
          </w:tcPr>
          <w:p w14:paraId="0846F461"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Francisco Medina Padilla</w:t>
            </w:r>
          </w:p>
        </w:tc>
        <w:tc>
          <w:tcPr>
            <w:tcW w:w="711" w:type="dxa"/>
            <w:shd w:val="clear" w:color="auto" w:fill="FFFFFF"/>
            <w:noWrap/>
            <w:vAlign w:val="center"/>
            <w:hideMark/>
          </w:tcPr>
          <w:p w14:paraId="2519D2EE"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12</w:t>
            </w:r>
          </w:p>
        </w:tc>
        <w:tc>
          <w:tcPr>
            <w:tcW w:w="0" w:type="auto"/>
            <w:shd w:val="clear" w:color="auto" w:fill="FFFFFF"/>
            <w:noWrap/>
            <w:vAlign w:val="center"/>
            <w:hideMark/>
          </w:tcPr>
          <w:p w14:paraId="6ABDB5F2"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42379</w:t>
            </w:r>
          </w:p>
        </w:tc>
        <w:tc>
          <w:tcPr>
            <w:tcW w:w="691" w:type="dxa"/>
            <w:shd w:val="clear" w:color="auto" w:fill="FFFFFF"/>
            <w:vAlign w:val="center"/>
          </w:tcPr>
          <w:p w14:paraId="0AF9FBAE"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1.143</w:t>
            </w:r>
          </w:p>
        </w:tc>
      </w:tr>
      <w:tr w:rsidR="00535A76" w:rsidRPr="00535A76" w14:paraId="354E31C4" w14:textId="77777777" w:rsidTr="009B6ED0">
        <w:trPr>
          <w:jc w:val="center"/>
        </w:trPr>
        <w:tc>
          <w:tcPr>
            <w:tcW w:w="0" w:type="auto"/>
            <w:shd w:val="clear" w:color="auto" w:fill="auto"/>
            <w:noWrap/>
            <w:vAlign w:val="center"/>
            <w:hideMark/>
          </w:tcPr>
          <w:p w14:paraId="2AA39935"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6</w:t>
            </w:r>
          </w:p>
        </w:tc>
        <w:tc>
          <w:tcPr>
            <w:tcW w:w="3775" w:type="dxa"/>
            <w:shd w:val="clear" w:color="auto" w:fill="auto"/>
            <w:noWrap/>
            <w:vAlign w:val="center"/>
            <w:hideMark/>
          </w:tcPr>
          <w:p w14:paraId="61394BA3" w14:textId="77777777" w:rsidR="00535A76" w:rsidRPr="00535A76" w:rsidRDefault="00535A76" w:rsidP="00535A76">
            <w:pPr>
              <w:spacing w:after="0" w:line="240" w:lineRule="auto"/>
              <w:jc w:val="center"/>
              <w:rPr>
                <w:rFonts w:ascii="Arial" w:eastAsia="Times New Roman" w:hAnsi="Arial" w:cs="Arial"/>
                <w:color w:val="000000"/>
                <w:lang w:eastAsia="es-MX"/>
              </w:rPr>
            </w:pPr>
            <w:proofErr w:type="spellStart"/>
            <w:r w:rsidRPr="00535A76">
              <w:rPr>
                <w:rFonts w:ascii="Arial" w:eastAsia="Times New Roman" w:hAnsi="Arial" w:cs="Arial"/>
                <w:color w:val="000000"/>
                <w:lang w:eastAsia="es-MX"/>
              </w:rPr>
              <w:t>Xochitl</w:t>
            </w:r>
            <w:proofErr w:type="spellEnd"/>
            <w:r w:rsidRPr="00535A76">
              <w:rPr>
                <w:rFonts w:ascii="Arial" w:eastAsia="Times New Roman" w:hAnsi="Arial" w:cs="Arial"/>
                <w:color w:val="000000"/>
                <w:lang w:eastAsia="es-MX"/>
              </w:rPr>
              <w:t xml:space="preserve"> Bravo Espinosa</w:t>
            </w:r>
          </w:p>
        </w:tc>
        <w:tc>
          <w:tcPr>
            <w:tcW w:w="1679" w:type="dxa"/>
            <w:vAlign w:val="center"/>
          </w:tcPr>
          <w:p w14:paraId="6E178DB2"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 xml:space="preserve">Maribel Cruz </w:t>
            </w:r>
            <w:proofErr w:type="spellStart"/>
            <w:r w:rsidRPr="00535A76">
              <w:rPr>
                <w:rFonts w:ascii="Arial" w:eastAsia="Times New Roman" w:hAnsi="Arial" w:cs="Arial"/>
                <w:color w:val="000000"/>
                <w:lang w:eastAsia="es-MX"/>
              </w:rPr>
              <w:t>Cruz</w:t>
            </w:r>
            <w:proofErr w:type="spellEnd"/>
            <w:r w:rsidRPr="00535A76">
              <w:rPr>
                <w:rFonts w:ascii="Arial" w:eastAsia="Times New Roman" w:hAnsi="Arial" w:cs="Arial"/>
                <w:color w:val="000000"/>
                <w:lang w:eastAsia="es-MX"/>
              </w:rPr>
              <w:t xml:space="preserve">  </w:t>
            </w:r>
          </w:p>
        </w:tc>
        <w:tc>
          <w:tcPr>
            <w:tcW w:w="711" w:type="dxa"/>
            <w:shd w:val="clear" w:color="auto" w:fill="FFFFFF"/>
            <w:noWrap/>
            <w:vAlign w:val="center"/>
            <w:hideMark/>
          </w:tcPr>
          <w:p w14:paraId="18A3CB92"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16</w:t>
            </w:r>
          </w:p>
        </w:tc>
        <w:tc>
          <w:tcPr>
            <w:tcW w:w="0" w:type="auto"/>
            <w:shd w:val="clear" w:color="auto" w:fill="FFFFFF"/>
            <w:noWrap/>
            <w:vAlign w:val="center"/>
            <w:hideMark/>
          </w:tcPr>
          <w:p w14:paraId="5EC554B6"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42153</w:t>
            </w:r>
          </w:p>
        </w:tc>
        <w:tc>
          <w:tcPr>
            <w:tcW w:w="691" w:type="dxa"/>
            <w:shd w:val="clear" w:color="auto" w:fill="FFFFFF"/>
            <w:vAlign w:val="center"/>
          </w:tcPr>
          <w:p w14:paraId="534FBE8E"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1.137</w:t>
            </w:r>
          </w:p>
        </w:tc>
      </w:tr>
      <w:tr w:rsidR="00535A76" w:rsidRPr="00535A76" w14:paraId="797743BB" w14:textId="77777777" w:rsidTr="009B6ED0">
        <w:trPr>
          <w:jc w:val="center"/>
        </w:trPr>
        <w:tc>
          <w:tcPr>
            <w:tcW w:w="0" w:type="auto"/>
            <w:shd w:val="clear" w:color="auto" w:fill="auto"/>
            <w:noWrap/>
            <w:vAlign w:val="center"/>
            <w:hideMark/>
          </w:tcPr>
          <w:p w14:paraId="13D8006D"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7</w:t>
            </w:r>
          </w:p>
        </w:tc>
        <w:tc>
          <w:tcPr>
            <w:tcW w:w="3775" w:type="dxa"/>
            <w:shd w:val="clear" w:color="auto" w:fill="auto"/>
            <w:noWrap/>
            <w:vAlign w:val="center"/>
            <w:hideMark/>
          </w:tcPr>
          <w:p w14:paraId="60950F5E" w14:textId="77777777" w:rsidR="00535A76" w:rsidRPr="00535A76" w:rsidRDefault="00535A76" w:rsidP="00535A76">
            <w:pPr>
              <w:spacing w:after="0" w:line="240" w:lineRule="auto"/>
              <w:jc w:val="center"/>
              <w:rPr>
                <w:rFonts w:ascii="Arial" w:eastAsia="Times New Roman" w:hAnsi="Arial" w:cs="Arial"/>
                <w:color w:val="000000"/>
                <w:lang w:eastAsia="es-MX"/>
              </w:rPr>
            </w:pPr>
            <w:proofErr w:type="spellStart"/>
            <w:r w:rsidRPr="00535A76">
              <w:rPr>
                <w:rFonts w:ascii="Arial" w:eastAsia="Times New Roman" w:hAnsi="Arial" w:cs="Arial"/>
                <w:color w:val="000000"/>
                <w:lang w:eastAsia="es-MX"/>
              </w:rPr>
              <w:t>Anthea</w:t>
            </w:r>
            <w:proofErr w:type="spellEnd"/>
            <w:r w:rsidRPr="00535A76">
              <w:rPr>
                <w:rFonts w:ascii="Arial" w:eastAsia="Times New Roman" w:hAnsi="Arial" w:cs="Arial"/>
                <w:color w:val="000000"/>
                <w:lang w:eastAsia="es-MX"/>
              </w:rPr>
              <w:t xml:space="preserve"> Terina Sansores Olvera</w:t>
            </w:r>
          </w:p>
        </w:tc>
        <w:tc>
          <w:tcPr>
            <w:tcW w:w="1679" w:type="dxa"/>
            <w:vAlign w:val="center"/>
          </w:tcPr>
          <w:p w14:paraId="517B64B6"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Jacqueline Guadalupe Arguelles Guzman</w:t>
            </w:r>
          </w:p>
        </w:tc>
        <w:tc>
          <w:tcPr>
            <w:tcW w:w="711" w:type="dxa"/>
            <w:shd w:val="clear" w:color="auto" w:fill="FFFFFF"/>
            <w:noWrap/>
            <w:vAlign w:val="center"/>
            <w:hideMark/>
          </w:tcPr>
          <w:p w14:paraId="05D3729D"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20</w:t>
            </w:r>
          </w:p>
        </w:tc>
        <w:tc>
          <w:tcPr>
            <w:tcW w:w="0" w:type="auto"/>
            <w:shd w:val="clear" w:color="auto" w:fill="FFFFFF"/>
            <w:noWrap/>
            <w:vAlign w:val="center"/>
            <w:hideMark/>
          </w:tcPr>
          <w:p w14:paraId="1BE09202"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41430</w:t>
            </w:r>
          </w:p>
        </w:tc>
        <w:tc>
          <w:tcPr>
            <w:tcW w:w="691" w:type="dxa"/>
            <w:shd w:val="clear" w:color="auto" w:fill="FFFFFF"/>
            <w:vAlign w:val="center"/>
          </w:tcPr>
          <w:p w14:paraId="114E0735"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1.117</w:t>
            </w:r>
          </w:p>
        </w:tc>
      </w:tr>
      <w:tr w:rsidR="00535A76" w:rsidRPr="00535A76" w14:paraId="049E91B2" w14:textId="77777777" w:rsidTr="009B6ED0">
        <w:trPr>
          <w:jc w:val="center"/>
        </w:trPr>
        <w:tc>
          <w:tcPr>
            <w:tcW w:w="0" w:type="auto"/>
            <w:shd w:val="clear" w:color="auto" w:fill="auto"/>
            <w:noWrap/>
            <w:vAlign w:val="center"/>
            <w:hideMark/>
          </w:tcPr>
          <w:p w14:paraId="6F6E6813"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8</w:t>
            </w:r>
          </w:p>
        </w:tc>
        <w:tc>
          <w:tcPr>
            <w:tcW w:w="3775" w:type="dxa"/>
            <w:shd w:val="clear" w:color="auto" w:fill="auto"/>
            <w:noWrap/>
            <w:vAlign w:val="center"/>
            <w:hideMark/>
          </w:tcPr>
          <w:p w14:paraId="799B8694"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Isabela Rosales Herrera</w:t>
            </w:r>
          </w:p>
        </w:tc>
        <w:tc>
          <w:tcPr>
            <w:tcW w:w="1679" w:type="dxa"/>
            <w:vAlign w:val="center"/>
          </w:tcPr>
          <w:p w14:paraId="5E86C856"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Alicia Medina Hernández</w:t>
            </w:r>
          </w:p>
        </w:tc>
        <w:tc>
          <w:tcPr>
            <w:tcW w:w="711" w:type="dxa"/>
            <w:shd w:val="clear" w:color="auto" w:fill="auto"/>
            <w:noWrap/>
            <w:vAlign w:val="center"/>
            <w:hideMark/>
          </w:tcPr>
          <w:p w14:paraId="73C06CB9"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23</w:t>
            </w:r>
          </w:p>
        </w:tc>
        <w:tc>
          <w:tcPr>
            <w:tcW w:w="0" w:type="auto"/>
            <w:shd w:val="clear" w:color="auto" w:fill="auto"/>
            <w:noWrap/>
            <w:vAlign w:val="center"/>
            <w:hideMark/>
          </w:tcPr>
          <w:p w14:paraId="3817DB1C"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40438</w:t>
            </w:r>
          </w:p>
        </w:tc>
        <w:tc>
          <w:tcPr>
            <w:tcW w:w="691" w:type="dxa"/>
            <w:vAlign w:val="center"/>
          </w:tcPr>
          <w:p w14:paraId="063D9C37"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1.090</w:t>
            </w:r>
          </w:p>
        </w:tc>
      </w:tr>
      <w:tr w:rsidR="00535A76" w:rsidRPr="00535A76" w14:paraId="1C6D2614" w14:textId="77777777" w:rsidTr="009B6ED0">
        <w:trPr>
          <w:jc w:val="center"/>
        </w:trPr>
        <w:tc>
          <w:tcPr>
            <w:tcW w:w="0" w:type="auto"/>
            <w:shd w:val="clear" w:color="auto" w:fill="auto"/>
            <w:noWrap/>
            <w:vAlign w:val="center"/>
            <w:hideMark/>
          </w:tcPr>
          <w:p w14:paraId="5248177B"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9</w:t>
            </w:r>
          </w:p>
        </w:tc>
        <w:tc>
          <w:tcPr>
            <w:tcW w:w="3775" w:type="dxa"/>
            <w:shd w:val="clear" w:color="auto" w:fill="auto"/>
            <w:noWrap/>
            <w:vAlign w:val="center"/>
            <w:hideMark/>
          </w:tcPr>
          <w:p w14:paraId="32B99DE7"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 xml:space="preserve">José Fernando Mercado </w:t>
            </w:r>
            <w:proofErr w:type="spellStart"/>
            <w:r w:rsidRPr="00535A76">
              <w:rPr>
                <w:rFonts w:ascii="Arial" w:eastAsia="Times New Roman" w:hAnsi="Arial" w:cs="Arial"/>
                <w:color w:val="000000"/>
                <w:lang w:eastAsia="es-MX"/>
              </w:rPr>
              <w:t>Guaida</w:t>
            </w:r>
            <w:proofErr w:type="spellEnd"/>
          </w:p>
        </w:tc>
        <w:tc>
          <w:tcPr>
            <w:tcW w:w="1679" w:type="dxa"/>
            <w:vAlign w:val="center"/>
          </w:tcPr>
          <w:p w14:paraId="15EB870E"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 xml:space="preserve">Oscar </w:t>
            </w:r>
            <w:proofErr w:type="spellStart"/>
            <w:r w:rsidRPr="00535A76">
              <w:rPr>
                <w:rFonts w:ascii="Arial" w:eastAsia="Times New Roman" w:hAnsi="Arial" w:cs="Arial"/>
                <w:color w:val="000000"/>
                <w:lang w:eastAsia="es-MX"/>
              </w:rPr>
              <w:t>Lopez</w:t>
            </w:r>
            <w:proofErr w:type="spellEnd"/>
            <w:r w:rsidRPr="00535A76">
              <w:rPr>
                <w:rFonts w:ascii="Arial" w:eastAsia="Times New Roman" w:hAnsi="Arial" w:cs="Arial"/>
                <w:color w:val="000000"/>
                <w:lang w:eastAsia="es-MX"/>
              </w:rPr>
              <w:t xml:space="preserve"> </w:t>
            </w:r>
            <w:proofErr w:type="spellStart"/>
            <w:r w:rsidRPr="00535A76">
              <w:rPr>
                <w:rFonts w:ascii="Arial" w:eastAsia="Times New Roman" w:hAnsi="Arial" w:cs="Arial"/>
                <w:color w:val="000000"/>
                <w:lang w:eastAsia="es-MX"/>
              </w:rPr>
              <w:t>Ramirez</w:t>
            </w:r>
            <w:proofErr w:type="spellEnd"/>
          </w:p>
        </w:tc>
        <w:tc>
          <w:tcPr>
            <w:tcW w:w="711" w:type="dxa"/>
            <w:shd w:val="clear" w:color="auto" w:fill="auto"/>
            <w:noWrap/>
            <w:vAlign w:val="center"/>
            <w:hideMark/>
          </w:tcPr>
          <w:p w14:paraId="07A8D94A"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33</w:t>
            </w:r>
          </w:p>
        </w:tc>
        <w:tc>
          <w:tcPr>
            <w:tcW w:w="0" w:type="auto"/>
            <w:shd w:val="clear" w:color="auto" w:fill="auto"/>
            <w:noWrap/>
            <w:vAlign w:val="center"/>
            <w:hideMark/>
          </w:tcPr>
          <w:p w14:paraId="73A49E02"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40274</w:t>
            </w:r>
          </w:p>
        </w:tc>
        <w:tc>
          <w:tcPr>
            <w:tcW w:w="691" w:type="dxa"/>
            <w:vAlign w:val="center"/>
          </w:tcPr>
          <w:p w14:paraId="0D4EA06D"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1.086</w:t>
            </w:r>
          </w:p>
        </w:tc>
      </w:tr>
      <w:tr w:rsidR="00535A76" w:rsidRPr="00535A76" w14:paraId="389E640B" w14:textId="77777777" w:rsidTr="009B6ED0">
        <w:trPr>
          <w:jc w:val="center"/>
        </w:trPr>
        <w:tc>
          <w:tcPr>
            <w:tcW w:w="0" w:type="auto"/>
            <w:shd w:val="clear" w:color="auto" w:fill="auto"/>
            <w:noWrap/>
            <w:vAlign w:val="center"/>
            <w:hideMark/>
          </w:tcPr>
          <w:p w14:paraId="225A94C0"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10</w:t>
            </w:r>
          </w:p>
        </w:tc>
        <w:tc>
          <w:tcPr>
            <w:tcW w:w="3775" w:type="dxa"/>
            <w:shd w:val="clear" w:color="auto" w:fill="auto"/>
            <w:noWrap/>
            <w:vAlign w:val="center"/>
            <w:hideMark/>
          </w:tcPr>
          <w:p w14:paraId="0809482B" w14:textId="77777777" w:rsidR="00535A76" w:rsidRPr="00535A76" w:rsidRDefault="00535A76" w:rsidP="00535A76">
            <w:pPr>
              <w:spacing w:after="0" w:line="240" w:lineRule="auto"/>
              <w:jc w:val="center"/>
              <w:rPr>
                <w:rFonts w:ascii="Arial" w:eastAsia="Times New Roman" w:hAnsi="Arial" w:cs="Arial"/>
                <w:color w:val="000000"/>
                <w:lang w:eastAsia="es-MX"/>
              </w:rPr>
            </w:pPr>
            <w:proofErr w:type="spellStart"/>
            <w:r w:rsidRPr="00535A76">
              <w:rPr>
                <w:rFonts w:ascii="Arial" w:eastAsia="Times New Roman" w:hAnsi="Arial" w:cs="Arial"/>
                <w:color w:val="000000"/>
                <w:lang w:eastAsia="es-MX"/>
              </w:rPr>
              <w:t>Sebastían</w:t>
            </w:r>
            <w:proofErr w:type="spellEnd"/>
            <w:r w:rsidRPr="00535A76">
              <w:rPr>
                <w:rFonts w:ascii="Arial" w:eastAsia="Times New Roman" w:hAnsi="Arial" w:cs="Arial"/>
                <w:color w:val="000000"/>
                <w:lang w:eastAsia="es-MX"/>
              </w:rPr>
              <w:t xml:space="preserve"> </w:t>
            </w:r>
            <w:proofErr w:type="spellStart"/>
            <w:r w:rsidRPr="00535A76">
              <w:rPr>
                <w:rFonts w:ascii="Arial" w:eastAsia="Times New Roman" w:hAnsi="Arial" w:cs="Arial"/>
                <w:color w:val="000000"/>
                <w:lang w:eastAsia="es-MX"/>
              </w:rPr>
              <w:t>Ramirez</w:t>
            </w:r>
            <w:proofErr w:type="spellEnd"/>
            <w:r w:rsidRPr="00535A76">
              <w:rPr>
                <w:rFonts w:ascii="Arial" w:eastAsia="Times New Roman" w:hAnsi="Arial" w:cs="Arial"/>
                <w:color w:val="000000"/>
                <w:lang w:eastAsia="es-MX"/>
              </w:rPr>
              <w:t xml:space="preserve"> Mendoza</w:t>
            </w:r>
          </w:p>
        </w:tc>
        <w:tc>
          <w:tcPr>
            <w:tcW w:w="1679" w:type="dxa"/>
            <w:vAlign w:val="center"/>
          </w:tcPr>
          <w:p w14:paraId="672258DC"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 xml:space="preserve">Roberto Alejandro </w:t>
            </w:r>
            <w:proofErr w:type="spellStart"/>
            <w:r w:rsidRPr="00535A76">
              <w:rPr>
                <w:rFonts w:ascii="Arial" w:eastAsia="Times New Roman" w:hAnsi="Arial" w:cs="Arial"/>
                <w:color w:val="000000"/>
                <w:lang w:eastAsia="es-MX"/>
              </w:rPr>
              <w:t>Costilb</w:t>
            </w:r>
            <w:proofErr w:type="spellEnd"/>
            <w:r w:rsidRPr="00535A76">
              <w:rPr>
                <w:rFonts w:ascii="Arial" w:eastAsia="Times New Roman" w:hAnsi="Arial" w:cs="Arial"/>
                <w:color w:val="000000"/>
                <w:lang w:eastAsia="es-MX"/>
              </w:rPr>
              <w:t xml:space="preserve"> Cruz</w:t>
            </w:r>
          </w:p>
        </w:tc>
        <w:tc>
          <w:tcPr>
            <w:tcW w:w="711" w:type="dxa"/>
            <w:shd w:val="clear" w:color="auto" w:fill="auto"/>
            <w:noWrap/>
            <w:vAlign w:val="center"/>
            <w:hideMark/>
          </w:tcPr>
          <w:p w14:paraId="2BB7D574"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30</w:t>
            </w:r>
          </w:p>
        </w:tc>
        <w:tc>
          <w:tcPr>
            <w:tcW w:w="0" w:type="auto"/>
            <w:shd w:val="clear" w:color="auto" w:fill="auto"/>
            <w:noWrap/>
            <w:vAlign w:val="center"/>
            <w:hideMark/>
          </w:tcPr>
          <w:p w14:paraId="46847B56"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39033</w:t>
            </w:r>
          </w:p>
        </w:tc>
        <w:tc>
          <w:tcPr>
            <w:tcW w:w="691" w:type="dxa"/>
            <w:vAlign w:val="center"/>
          </w:tcPr>
          <w:p w14:paraId="637C74EC"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1.052</w:t>
            </w:r>
          </w:p>
        </w:tc>
      </w:tr>
      <w:tr w:rsidR="00535A76" w:rsidRPr="00535A76" w14:paraId="539B6D47" w14:textId="77777777" w:rsidTr="009B6ED0">
        <w:trPr>
          <w:jc w:val="center"/>
        </w:trPr>
        <w:tc>
          <w:tcPr>
            <w:tcW w:w="0" w:type="auto"/>
            <w:shd w:val="clear" w:color="auto" w:fill="auto"/>
            <w:noWrap/>
            <w:vAlign w:val="center"/>
            <w:hideMark/>
          </w:tcPr>
          <w:p w14:paraId="2F70B976"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11</w:t>
            </w:r>
          </w:p>
        </w:tc>
        <w:tc>
          <w:tcPr>
            <w:tcW w:w="3775" w:type="dxa"/>
            <w:shd w:val="clear" w:color="auto" w:fill="auto"/>
            <w:noWrap/>
            <w:vAlign w:val="center"/>
            <w:hideMark/>
          </w:tcPr>
          <w:p w14:paraId="1287B7F1"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Ulises Labrador Hernández Magro</w:t>
            </w:r>
          </w:p>
        </w:tc>
        <w:tc>
          <w:tcPr>
            <w:tcW w:w="1679" w:type="dxa"/>
            <w:vAlign w:val="center"/>
          </w:tcPr>
          <w:p w14:paraId="7BA84461"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Yair Figueroa Sandoval</w:t>
            </w:r>
          </w:p>
        </w:tc>
        <w:tc>
          <w:tcPr>
            <w:tcW w:w="711" w:type="dxa"/>
            <w:shd w:val="clear" w:color="auto" w:fill="auto"/>
            <w:noWrap/>
            <w:vAlign w:val="center"/>
            <w:hideMark/>
          </w:tcPr>
          <w:p w14:paraId="01544769"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13</w:t>
            </w:r>
          </w:p>
        </w:tc>
        <w:tc>
          <w:tcPr>
            <w:tcW w:w="0" w:type="auto"/>
            <w:shd w:val="clear" w:color="auto" w:fill="auto"/>
            <w:noWrap/>
            <w:vAlign w:val="center"/>
            <w:hideMark/>
          </w:tcPr>
          <w:p w14:paraId="19443886"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35851</w:t>
            </w:r>
          </w:p>
        </w:tc>
        <w:tc>
          <w:tcPr>
            <w:tcW w:w="691" w:type="dxa"/>
            <w:vAlign w:val="center"/>
          </w:tcPr>
          <w:p w14:paraId="69393B0E"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0.967</w:t>
            </w:r>
          </w:p>
        </w:tc>
      </w:tr>
      <w:tr w:rsidR="00535A76" w:rsidRPr="00535A76" w14:paraId="7DB89A63" w14:textId="77777777" w:rsidTr="009B6ED0">
        <w:trPr>
          <w:jc w:val="center"/>
        </w:trPr>
        <w:tc>
          <w:tcPr>
            <w:tcW w:w="0" w:type="auto"/>
            <w:shd w:val="clear" w:color="auto" w:fill="auto"/>
            <w:noWrap/>
            <w:vAlign w:val="center"/>
            <w:hideMark/>
          </w:tcPr>
          <w:p w14:paraId="0CBC0F38"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12</w:t>
            </w:r>
          </w:p>
        </w:tc>
        <w:tc>
          <w:tcPr>
            <w:tcW w:w="3775" w:type="dxa"/>
            <w:shd w:val="clear" w:color="auto" w:fill="auto"/>
            <w:noWrap/>
            <w:vAlign w:val="center"/>
            <w:hideMark/>
          </w:tcPr>
          <w:p w14:paraId="25A08354"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Leticia Esther Varela Martinez</w:t>
            </w:r>
          </w:p>
        </w:tc>
        <w:tc>
          <w:tcPr>
            <w:tcW w:w="1679" w:type="dxa"/>
            <w:vAlign w:val="center"/>
          </w:tcPr>
          <w:p w14:paraId="19DAF8E5"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Erika Mercedes Mayorga Basurto</w:t>
            </w:r>
          </w:p>
        </w:tc>
        <w:tc>
          <w:tcPr>
            <w:tcW w:w="711" w:type="dxa"/>
            <w:shd w:val="clear" w:color="auto" w:fill="auto"/>
            <w:noWrap/>
            <w:vAlign w:val="center"/>
            <w:hideMark/>
          </w:tcPr>
          <w:p w14:paraId="008B38B2"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26</w:t>
            </w:r>
          </w:p>
        </w:tc>
        <w:tc>
          <w:tcPr>
            <w:tcW w:w="0" w:type="auto"/>
            <w:shd w:val="clear" w:color="auto" w:fill="auto"/>
            <w:noWrap/>
            <w:vAlign w:val="center"/>
            <w:hideMark/>
          </w:tcPr>
          <w:p w14:paraId="780AAD6C"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34919</w:t>
            </w:r>
          </w:p>
        </w:tc>
        <w:tc>
          <w:tcPr>
            <w:tcW w:w="691" w:type="dxa"/>
            <w:vAlign w:val="center"/>
          </w:tcPr>
          <w:p w14:paraId="4CAC013F"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0.942</w:t>
            </w:r>
          </w:p>
        </w:tc>
      </w:tr>
      <w:tr w:rsidR="00535A76" w:rsidRPr="00535A76" w14:paraId="228AB9C2" w14:textId="77777777" w:rsidTr="009B6ED0">
        <w:trPr>
          <w:jc w:val="center"/>
        </w:trPr>
        <w:tc>
          <w:tcPr>
            <w:tcW w:w="0" w:type="auto"/>
            <w:shd w:val="clear" w:color="auto" w:fill="auto"/>
            <w:noWrap/>
            <w:vAlign w:val="center"/>
            <w:hideMark/>
          </w:tcPr>
          <w:p w14:paraId="2E07B343"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13</w:t>
            </w:r>
          </w:p>
        </w:tc>
        <w:tc>
          <w:tcPr>
            <w:tcW w:w="3775" w:type="dxa"/>
            <w:shd w:val="clear" w:color="auto" w:fill="auto"/>
            <w:noWrap/>
            <w:vAlign w:val="center"/>
            <w:hideMark/>
          </w:tcPr>
          <w:p w14:paraId="7874EF5F"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 xml:space="preserve">Renata Turrent </w:t>
            </w:r>
            <w:proofErr w:type="spellStart"/>
            <w:r w:rsidRPr="00535A76">
              <w:rPr>
                <w:rFonts w:ascii="Arial" w:eastAsia="Times New Roman" w:hAnsi="Arial" w:cs="Arial"/>
                <w:color w:val="000000"/>
                <w:lang w:eastAsia="es-MX"/>
              </w:rPr>
              <w:t>Hegewisch</w:t>
            </w:r>
            <w:proofErr w:type="spellEnd"/>
          </w:p>
        </w:tc>
        <w:tc>
          <w:tcPr>
            <w:tcW w:w="1679" w:type="dxa"/>
            <w:vAlign w:val="center"/>
          </w:tcPr>
          <w:p w14:paraId="39100E24" w14:textId="77777777" w:rsidR="00535A76" w:rsidRPr="00535A76" w:rsidRDefault="00535A76" w:rsidP="00535A76">
            <w:pPr>
              <w:spacing w:after="0" w:line="240" w:lineRule="auto"/>
              <w:jc w:val="center"/>
              <w:rPr>
                <w:rFonts w:ascii="Arial" w:eastAsia="Times New Roman" w:hAnsi="Arial" w:cs="Arial"/>
                <w:b/>
                <w:bCs/>
                <w:color w:val="000000"/>
                <w:lang w:eastAsia="es-MX"/>
              </w:rPr>
            </w:pPr>
            <w:proofErr w:type="spellStart"/>
            <w:r w:rsidRPr="00535A76">
              <w:rPr>
                <w:rFonts w:ascii="Arial" w:eastAsia="Times New Roman" w:hAnsi="Arial" w:cs="Arial"/>
                <w:color w:val="000000"/>
                <w:lang w:eastAsia="es-MX"/>
              </w:rPr>
              <w:t>Zianya</w:t>
            </w:r>
            <w:proofErr w:type="spellEnd"/>
            <w:r w:rsidRPr="00535A76">
              <w:rPr>
                <w:rFonts w:ascii="Arial" w:eastAsia="Times New Roman" w:hAnsi="Arial" w:cs="Arial"/>
                <w:color w:val="000000"/>
                <w:lang w:eastAsia="es-MX"/>
              </w:rPr>
              <w:t xml:space="preserve"> Martinez </w:t>
            </w:r>
            <w:proofErr w:type="spellStart"/>
            <w:r w:rsidRPr="00535A76">
              <w:rPr>
                <w:rFonts w:ascii="Arial" w:eastAsia="Times New Roman" w:hAnsi="Arial" w:cs="Arial"/>
                <w:color w:val="000000"/>
                <w:lang w:eastAsia="es-MX"/>
              </w:rPr>
              <w:t>Nataret</w:t>
            </w:r>
            <w:proofErr w:type="spellEnd"/>
          </w:p>
        </w:tc>
        <w:tc>
          <w:tcPr>
            <w:tcW w:w="711" w:type="dxa"/>
            <w:shd w:val="clear" w:color="auto" w:fill="auto"/>
            <w:noWrap/>
            <w:vAlign w:val="center"/>
            <w:hideMark/>
          </w:tcPr>
          <w:p w14:paraId="37FB5405"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17</w:t>
            </w:r>
          </w:p>
        </w:tc>
        <w:tc>
          <w:tcPr>
            <w:tcW w:w="0" w:type="auto"/>
            <w:shd w:val="clear" w:color="auto" w:fill="auto"/>
            <w:noWrap/>
            <w:vAlign w:val="center"/>
            <w:hideMark/>
          </w:tcPr>
          <w:p w14:paraId="3FD30E98"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28488</w:t>
            </w:r>
          </w:p>
        </w:tc>
        <w:tc>
          <w:tcPr>
            <w:tcW w:w="691" w:type="dxa"/>
            <w:vAlign w:val="center"/>
          </w:tcPr>
          <w:p w14:paraId="1EE3C1B3"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0.768</w:t>
            </w:r>
          </w:p>
        </w:tc>
      </w:tr>
    </w:tbl>
    <w:p w14:paraId="415503B0" w14:textId="77777777" w:rsidR="00535A76" w:rsidRPr="00535A76" w:rsidRDefault="00535A76" w:rsidP="00535A76">
      <w:pPr>
        <w:spacing w:after="0" w:line="360" w:lineRule="auto"/>
        <w:jc w:val="both"/>
        <w:rPr>
          <w:rFonts w:ascii="Arial" w:eastAsia="Calibri" w:hAnsi="Arial" w:cs="Times New Roman"/>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
        <w:gridCol w:w="3785"/>
        <w:gridCol w:w="1775"/>
        <w:gridCol w:w="605"/>
        <w:gridCol w:w="911"/>
        <w:gridCol w:w="691"/>
      </w:tblGrid>
      <w:tr w:rsidR="00535A76" w:rsidRPr="00535A76" w14:paraId="0919AEA6" w14:textId="77777777" w:rsidTr="00535A76">
        <w:trPr>
          <w:jc w:val="center"/>
        </w:trPr>
        <w:tc>
          <w:tcPr>
            <w:tcW w:w="0" w:type="auto"/>
            <w:gridSpan w:val="5"/>
            <w:shd w:val="clear" w:color="auto" w:fill="9CC2E5"/>
            <w:noWrap/>
            <w:vAlign w:val="center"/>
          </w:tcPr>
          <w:p w14:paraId="757B4157"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PAN</w:t>
            </w:r>
          </w:p>
        </w:tc>
        <w:tc>
          <w:tcPr>
            <w:tcW w:w="0" w:type="auto"/>
            <w:shd w:val="clear" w:color="auto" w:fill="9CC2E5"/>
          </w:tcPr>
          <w:p w14:paraId="14868E9C" w14:textId="77777777" w:rsidR="00535A76" w:rsidRPr="00535A76" w:rsidRDefault="00535A76" w:rsidP="00535A76">
            <w:pPr>
              <w:spacing w:after="0" w:line="240" w:lineRule="auto"/>
              <w:jc w:val="center"/>
              <w:rPr>
                <w:rFonts w:ascii="Arial" w:eastAsia="Times New Roman" w:hAnsi="Arial" w:cs="Arial"/>
                <w:b/>
                <w:bCs/>
                <w:color w:val="000000"/>
                <w:lang w:eastAsia="es-MX"/>
              </w:rPr>
            </w:pPr>
          </w:p>
        </w:tc>
      </w:tr>
      <w:tr w:rsidR="00535A76" w:rsidRPr="00535A76" w14:paraId="453963E9" w14:textId="77777777" w:rsidTr="00C65D42">
        <w:trPr>
          <w:jc w:val="center"/>
        </w:trPr>
        <w:tc>
          <w:tcPr>
            <w:tcW w:w="0" w:type="auto"/>
            <w:shd w:val="clear" w:color="auto" w:fill="auto"/>
            <w:noWrap/>
            <w:vAlign w:val="center"/>
            <w:hideMark/>
          </w:tcPr>
          <w:p w14:paraId="394DBDB8"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No.</w:t>
            </w:r>
          </w:p>
        </w:tc>
        <w:tc>
          <w:tcPr>
            <w:tcW w:w="0" w:type="auto"/>
            <w:shd w:val="clear" w:color="auto" w:fill="auto"/>
            <w:noWrap/>
            <w:vAlign w:val="center"/>
            <w:hideMark/>
          </w:tcPr>
          <w:p w14:paraId="76740426"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Candidatura propietaria</w:t>
            </w:r>
          </w:p>
        </w:tc>
        <w:tc>
          <w:tcPr>
            <w:tcW w:w="0" w:type="auto"/>
            <w:vAlign w:val="center"/>
          </w:tcPr>
          <w:p w14:paraId="5BD00A82"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Candidatura suplente</w:t>
            </w:r>
          </w:p>
        </w:tc>
        <w:tc>
          <w:tcPr>
            <w:tcW w:w="0" w:type="auto"/>
            <w:shd w:val="clear" w:color="auto" w:fill="auto"/>
            <w:noWrap/>
            <w:vAlign w:val="center"/>
            <w:hideMark/>
          </w:tcPr>
          <w:p w14:paraId="572FFBDC"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DTO</w:t>
            </w:r>
          </w:p>
        </w:tc>
        <w:tc>
          <w:tcPr>
            <w:tcW w:w="0" w:type="auto"/>
            <w:shd w:val="clear" w:color="auto" w:fill="auto"/>
            <w:noWrap/>
            <w:vAlign w:val="center"/>
            <w:hideMark/>
          </w:tcPr>
          <w:p w14:paraId="66DE1092"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VOTOS</w:t>
            </w:r>
          </w:p>
        </w:tc>
        <w:tc>
          <w:tcPr>
            <w:tcW w:w="0" w:type="auto"/>
          </w:tcPr>
          <w:p w14:paraId="702E8F39"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w:t>
            </w:r>
          </w:p>
        </w:tc>
      </w:tr>
      <w:tr w:rsidR="00535A76" w:rsidRPr="00535A76" w14:paraId="4CC30434" w14:textId="77777777" w:rsidTr="00535A76">
        <w:trPr>
          <w:jc w:val="center"/>
        </w:trPr>
        <w:tc>
          <w:tcPr>
            <w:tcW w:w="0" w:type="auto"/>
            <w:shd w:val="clear" w:color="auto" w:fill="auto"/>
            <w:noWrap/>
            <w:vAlign w:val="center"/>
            <w:hideMark/>
          </w:tcPr>
          <w:p w14:paraId="45BAB231"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w:t>
            </w:r>
          </w:p>
        </w:tc>
        <w:tc>
          <w:tcPr>
            <w:tcW w:w="0" w:type="auto"/>
            <w:shd w:val="clear" w:color="auto" w:fill="auto"/>
            <w:noWrap/>
            <w:vAlign w:val="center"/>
            <w:hideMark/>
          </w:tcPr>
          <w:p w14:paraId="2652E5C2"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María Gabriela Salido Magos</w:t>
            </w:r>
          </w:p>
        </w:tc>
        <w:tc>
          <w:tcPr>
            <w:tcW w:w="0" w:type="auto"/>
            <w:vAlign w:val="center"/>
          </w:tcPr>
          <w:p w14:paraId="554502CA" w14:textId="77777777" w:rsidR="00535A76" w:rsidRPr="00535A76" w:rsidRDefault="00535A76" w:rsidP="00535A76">
            <w:pPr>
              <w:spacing w:after="0" w:line="240" w:lineRule="auto"/>
              <w:rPr>
                <w:rFonts w:ascii="Arial" w:eastAsia="Times New Roman" w:hAnsi="Arial" w:cs="Arial"/>
                <w:b/>
                <w:bCs/>
                <w:color w:val="000000"/>
                <w:lang w:eastAsia="es-MX"/>
              </w:rPr>
            </w:pPr>
            <w:r w:rsidRPr="00535A76">
              <w:rPr>
                <w:rFonts w:ascii="Arial" w:eastAsia="Times New Roman" w:hAnsi="Arial" w:cs="Arial"/>
                <w:color w:val="000000"/>
                <w:lang w:eastAsia="es-MX"/>
              </w:rPr>
              <w:t xml:space="preserve">Vania </w:t>
            </w:r>
            <w:proofErr w:type="spellStart"/>
            <w:r w:rsidRPr="00535A76">
              <w:rPr>
                <w:rFonts w:ascii="Arial" w:eastAsia="Times New Roman" w:hAnsi="Arial" w:cs="Arial"/>
                <w:color w:val="000000"/>
                <w:lang w:eastAsia="es-MX"/>
              </w:rPr>
              <w:t>Yael</w:t>
            </w:r>
            <w:proofErr w:type="spellEnd"/>
            <w:r w:rsidRPr="00535A76">
              <w:rPr>
                <w:rFonts w:ascii="Arial" w:eastAsia="Times New Roman" w:hAnsi="Arial" w:cs="Arial"/>
                <w:color w:val="000000"/>
                <w:lang w:eastAsia="es-MX"/>
              </w:rPr>
              <w:t xml:space="preserve"> Gonzalez Veloz</w:t>
            </w:r>
          </w:p>
        </w:tc>
        <w:tc>
          <w:tcPr>
            <w:tcW w:w="0" w:type="auto"/>
            <w:shd w:val="clear" w:color="auto" w:fill="auto"/>
            <w:noWrap/>
            <w:vAlign w:val="center"/>
            <w:hideMark/>
          </w:tcPr>
          <w:p w14:paraId="5388EBE1"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5</w:t>
            </w:r>
          </w:p>
        </w:tc>
        <w:tc>
          <w:tcPr>
            <w:tcW w:w="0" w:type="auto"/>
            <w:shd w:val="clear" w:color="auto" w:fill="FFFFFF"/>
            <w:noWrap/>
            <w:vAlign w:val="center"/>
            <w:hideMark/>
          </w:tcPr>
          <w:p w14:paraId="46CDF12D"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48377</w:t>
            </w:r>
          </w:p>
        </w:tc>
        <w:tc>
          <w:tcPr>
            <w:tcW w:w="0" w:type="auto"/>
            <w:shd w:val="clear" w:color="auto" w:fill="FFFFFF"/>
            <w:vAlign w:val="center"/>
          </w:tcPr>
          <w:p w14:paraId="65AA2E67"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Calibri" w:hAnsi="Arial" w:cs="Arial"/>
                <w:color w:val="000000"/>
              </w:rPr>
              <w:t>1.305</w:t>
            </w:r>
          </w:p>
        </w:tc>
      </w:tr>
      <w:tr w:rsidR="00535A76" w:rsidRPr="00535A76" w14:paraId="69D2607C" w14:textId="77777777" w:rsidTr="00535A76">
        <w:trPr>
          <w:jc w:val="center"/>
        </w:trPr>
        <w:tc>
          <w:tcPr>
            <w:tcW w:w="0" w:type="auto"/>
            <w:shd w:val="clear" w:color="auto" w:fill="auto"/>
            <w:noWrap/>
            <w:vAlign w:val="center"/>
            <w:hideMark/>
          </w:tcPr>
          <w:p w14:paraId="7085101C"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lastRenderedPageBreak/>
              <w:t>2</w:t>
            </w:r>
          </w:p>
        </w:tc>
        <w:tc>
          <w:tcPr>
            <w:tcW w:w="0" w:type="auto"/>
            <w:shd w:val="clear" w:color="auto" w:fill="auto"/>
            <w:noWrap/>
            <w:vAlign w:val="center"/>
            <w:hideMark/>
          </w:tcPr>
          <w:p w14:paraId="3BC7FE7A"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José Gonzalo Espina Miranda</w:t>
            </w:r>
          </w:p>
        </w:tc>
        <w:tc>
          <w:tcPr>
            <w:tcW w:w="0" w:type="auto"/>
            <w:vAlign w:val="center"/>
          </w:tcPr>
          <w:p w14:paraId="027A755A"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Mario Raphael De Cárcer</w:t>
            </w:r>
          </w:p>
        </w:tc>
        <w:tc>
          <w:tcPr>
            <w:tcW w:w="0" w:type="auto"/>
            <w:shd w:val="clear" w:color="auto" w:fill="auto"/>
            <w:noWrap/>
            <w:vAlign w:val="center"/>
            <w:hideMark/>
          </w:tcPr>
          <w:p w14:paraId="2EF4A7CE"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20</w:t>
            </w:r>
          </w:p>
        </w:tc>
        <w:tc>
          <w:tcPr>
            <w:tcW w:w="0" w:type="auto"/>
            <w:shd w:val="clear" w:color="auto" w:fill="FFFFFF"/>
            <w:noWrap/>
            <w:vAlign w:val="center"/>
            <w:hideMark/>
          </w:tcPr>
          <w:p w14:paraId="7AD666D2"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39586</w:t>
            </w:r>
          </w:p>
        </w:tc>
        <w:tc>
          <w:tcPr>
            <w:tcW w:w="0" w:type="auto"/>
            <w:shd w:val="clear" w:color="auto" w:fill="FFFFFF"/>
            <w:vAlign w:val="center"/>
          </w:tcPr>
          <w:p w14:paraId="0E338718"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Calibri" w:hAnsi="Arial" w:cs="Arial"/>
                <w:color w:val="000000"/>
              </w:rPr>
              <w:t>1.067</w:t>
            </w:r>
          </w:p>
        </w:tc>
      </w:tr>
      <w:tr w:rsidR="00535A76" w:rsidRPr="00535A76" w14:paraId="67B184F8" w14:textId="77777777" w:rsidTr="00535A76">
        <w:trPr>
          <w:jc w:val="center"/>
        </w:trPr>
        <w:tc>
          <w:tcPr>
            <w:tcW w:w="0" w:type="auto"/>
            <w:shd w:val="clear" w:color="auto" w:fill="auto"/>
            <w:noWrap/>
            <w:vAlign w:val="center"/>
            <w:hideMark/>
          </w:tcPr>
          <w:p w14:paraId="46CC5ACD"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3</w:t>
            </w:r>
          </w:p>
        </w:tc>
        <w:tc>
          <w:tcPr>
            <w:tcW w:w="0" w:type="auto"/>
            <w:shd w:val="clear" w:color="auto" w:fill="auto"/>
            <w:noWrap/>
            <w:vAlign w:val="center"/>
            <w:hideMark/>
          </w:tcPr>
          <w:p w14:paraId="28C43793"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 xml:space="preserve">Fernando Belaunzaran </w:t>
            </w:r>
            <w:proofErr w:type="spellStart"/>
            <w:r w:rsidRPr="00535A76">
              <w:rPr>
                <w:rFonts w:ascii="Arial" w:eastAsia="Times New Roman" w:hAnsi="Arial" w:cs="Arial"/>
                <w:color w:val="000000"/>
                <w:lang w:eastAsia="es-MX"/>
              </w:rPr>
              <w:t>Mendez</w:t>
            </w:r>
            <w:proofErr w:type="spellEnd"/>
          </w:p>
        </w:tc>
        <w:tc>
          <w:tcPr>
            <w:tcW w:w="0" w:type="auto"/>
            <w:vAlign w:val="center"/>
          </w:tcPr>
          <w:p w14:paraId="0A94D8B9"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Angel Luna Pacheco</w:t>
            </w:r>
          </w:p>
        </w:tc>
        <w:tc>
          <w:tcPr>
            <w:tcW w:w="0" w:type="auto"/>
            <w:shd w:val="clear" w:color="auto" w:fill="auto"/>
            <w:noWrap/>
            <w:vAlign w:val="center"/>
            <w:hideMark/>
          </w:tcPr>
          <w:p w14:paraId="0B4AEE47"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15</w:t>
            </w:r>
          </w:p>
        </w:tc>
        <w:tc>
          <w:tcPr>
            <w:tcW w:w="0" w:type="auto"/>
            <w:shd w:val="clear" w:color="auto" w:fill="FFFFFF"/>
            <w:noWrap/>
            <w:vAlign w:val="center"/>
            <w:hideMark/>
          </w:tcPr>
          <w:p w14:paraId="54A3CEB1"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31720</w:t>
            </w:r>
          </w:p>
        </w:tc>
        <w:tc>
          <w:tcPr>
            <w:tcW w:w="0" w:type="auto"/>
            <w:shd w:val="clear" w:color="auto" w:fill="FFFFFF"/>
            <w:vAlign w:val="center"/>
          </w:tcPr>
          <w:p w14:paraId="2B3D3F48"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Calibri" w:hAnsi="Arial" w:cs="Arial"/>
                <w:color w:val="000000"/>
              </w:rPr>
              <w:t>0.855</w:t>
            </w:r>
          </w:p>
        </w:tc>
      </w:tr>
      <w:tr w:rsidR="00535A76" w:rsidRPr="00535A76" w14:paraId="1001B467" w14:textId="77777777" w:rsidTr="00535A76">
        <w:trPr>
          <w:jc w:val="center"/>
        </w:trPr>
        <w:tc>
          <w:tcPr>
            <w:tcW w:w="0" w:type="auto"/>
            <w:shd w:val="clear" w:color="auto" w:fill="auto"/>
            <w:noWrap/>
            <w:vAlign w:val="center"/>
            <w:hideMark/>
          </w:tcPr>
          <w:p w14:paraId="204719CD"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4</w:t>
            </w:r>
          </w:p>
        </w:tc>
        <w:tc>
          <w:tcPr>
            <w:tcW w:w="0" w:type="auto"/>
            <w:shd w:val="clear" w:color="auto" w:fill="auto"/>
            <w:noWrap/>
            <w:vAlign w:val="center"/>
            <w:hideMark/>
          </w:tcPr>
          <w:p w14:paraId="62B5A30A"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 xml:space="preserve">Luis Alberto Chávez </w:t>
            </w:r>
            <w:proofErr w:type="spellStart"/>
            <w:r w:rsidRPr="00535A76">
              <w:rPr>
                <w:rFonts w:ascii="Arial" w:eastAsia="Times New Roman" w:hAnsi="Arial" w:cs="Arial"/>
                <w:color w:val="000000"/>
                <w:lang w:eastAsia="es-MX"/>
              </w:rPr>
              <w:t>Garcia</w:t>
            </w:r>
            <w:proofErr w:type="spellEnd"/>
          </w:p>
        </w:tc>
        <w:tc>
          <w:tcPr>
            <w:tcW w:w="0" w:type="auto"/>
            <w:vAlign w:val="center"/>
          </w:tcPr>
          <w:p w14:paraId="6D3CA11A"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 xml:space="preserve">Frida Fernanda </w:t>
            </w:r>
            <w:proofErr w:type="spellStart"/>
            <w:r w:rsidRPr="00535A76">
              <w:rPr>
                <w:rFonts w:ascii="Arial" w:eastAsia="Times New Roman" w:hAnsi="Arial" w:cs="Arial"/>
                <w:color w:val="000000"/>
                <w:lang w:eastAsia="es-MX"/>
              </w:rPr>
              <w:t>Alcantara</w:t>
            </w:r>
            <w:proofErr w:type="spellEnd"/>
            <w:r w:rsidRPr="00535A76">
              <w:rPr>
                <w:rFonts w:ascii="Arial" w:eastAsia="Times New Roman" w:hAnsi="Arial" w:cs="Arial"/>
                <w:color w:val="000000"/>
                <w:lang w:eastAsia="es-MX"/>
              </w:rPr>
              <w:t xml:space="preserve"> Cabrera</w:t>
            </w:r>
          </w:p>
        </w:tc>
        <w:tc>
          <w:tcPr>
            <w:tcW w:w="0" w:type="auto"/>
            <w:shd w:val="clear" w:color="auto" w:fill="auto"/>
            <w:noWrap/>
            <w:vAlign w:val="center"/>
            <w:hideMark/>
          </w:tcPr>
          <w:p w14:paraId="49FD66EB"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14</w:t>
            </w:r>
          </w:p>
        </w:tc>
        <w:tc>
          <w:tcPr>
            <w:tcW w:w="0" w:type="auto"/>
            <w:shd w:val="clear" w:color="auto" w:fill="FFFFFF"/>
            <w:noWrap/>
            <w:vAlign w:val="center"/>
            <w:hideMark/>
          </w:tcPr>
          <w:p w14:paraId="1962249C"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28875</w:t>
            </w:r>
          </w:p>
        </w:tc>
        <w:tc>
          <w:tcPr>
            <w:tcW w:w="0" w:type="auto"/>
            <w:shd w:val="clear" w:color="auto" w:fill="FFFFFF"/>
            <w:vAlign w:val="center"/>
          </w:tcPr>
          <w:p w14:paraId="652322FA"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Calibri" w:hAnsi="Arial" w:cs="Arial"/>
                <w:color w:val="000000"/>
              </w:rPr>
              <w:t>0.778</w:t>
            </w:r>
          </w:p>
        </w:tc>
      </w:tr>
      <w:tr w:rsidR="00535A76" w:rsidRPr="00535A76" w14:paraId="31332446" w14:textId="77777777" w:rsidTr="00535A76">
        <w:trPr>
          <w:jc w:val="center"/>
        </w:trPr>
        <w:tc>
          <w:tcPr>
            <w:tcW w:w="0" w:type="auto"/>
            <w:shd w:val="clear" w:color="auto" w:fill="auto"/>
            <w:noWrap/>
            <w:vAlign w:val="center"/>
            <w:hideMark/>
          </w:tcPr>
          <w:p w14:paraId="2C729641"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5</w:t>
            </w:r>
          </w:p>
        </w:tc>
        <w:tc>
          <w:tcPr>
            <w:tcW w:w="0" w:type="auto"/>
            <w:shd w:val="clear" w:color="auto" w:fill="auto"/>
            <w:noWrap/>
            <w:vAlign w:val="center"/>
            <w:hideMark/>
          </w:tcPr>
          <w:p w14:paraId="42FB165A"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Mariana Gómez Román</w:t>
            </w:r>
          </w:p>
        </w:tc>
        <w:tc>
          <w:tcPr>
            <w:tcW w:w="0" w:type="auto"/>
            <w:vAlign w:val="center"/>
          </w:tcPr>
          <w:p w14:paraId="35955343" w14:textId="77777777" w:rsidR="00535A76" w:rsidRPr="00535A76" w:rsidRDefault="00535A76" w:rsidP="00535A76">
            <w:pPr>
              <w:spacing w:after="0" w:line="240" w:lineRule="auto"/>
              <w:jc w:val="center"/>
              <w:rPr>
                <w:rFonts w:ascii="Arial" w:eastAsia="Times New Roman" w:hAnsi="Arial" w:cs="Arial"/>
                <w:b/>
                <w:bCs/>
                <w:color w:val="000000"/>
                <w:lang w:eastAsia="es-MX"/>
              </w:rPr>
            </w:pPr>
            <w:proofErr w:type="spellStart"/>
            <w:r w:rsidRPr="00535A76">
              <w:rPr>
                <w:rFonts w:ascii="Arial" w:eastAsia="Times New Roman" w:hAnsi="Arial" w:cs="Arial"/>
                <w:color w:val="000000"/>
                <w:lang w:eastAsia="es-MX"/>
              </w:rPr>
              <w:t>Fabiala</w:t>
            </w:r>
            <w:proofErr w:type="spellEnd"/>
            <w:r w:rsidRPr="00535A76">
              <w:rPr>
                <w:rFonts w:ascii="Arial" w:eastAsia="Times New Roman" w:hAnsi="Arial" w:cs="Arial"/>
                <w:color w:val="000000"/>
                <w:lang w:eastAsia="es-MX"/>
              </w:rPr>
              <w:t xml:space="preserve"> Menocal del Moral</w:t>
            </w:r>
          </w:p>
        </w:tc>
        <w:tc>
          <w:tcPr>
            <w:tcW w:w="0" w:type="auto"/>
            <w:shd w:val="clear" w:color="auto" w:fill="auto"/>
            <w:noWrap/>
            <w:vAlign w:val="center"/>
            <w:hideMark/>
          </w:tcPr>
          <w:p w14:paraId="3CA7FFA4"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11</w:t>
            </w:r>
          </w:p>
        </w:tc>
        <w:tc>
          <w:tcPr>
            <w:tcW w:w="0" w:type="auto"/>
            <w:shd w:val="clear" w:color="auto" w:fill="FFFFFF"/>
            <w:noWrap/>
            <w:vAlign w:val="center"/>
            <w:hideMark/>
          </w:tcPr>
          <w:p w14:paraId="1407094D"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23741</w:t>
            </w:r>
          </w:p>
        </w:tc>
        <w:tc>
          <w:tcPr>
            <w:tcW w:w="0" w:type="auto"/>
            <w:shd w:val="clear" w:color="auto" w:fill="FFFFFF"/>
            <w:vAlign w:val="center"/>
          </w:tcPr>
          <w:p w14:paraId="6CFC96D4"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Calibri" w:hAnsi="Arial" w:cs="Arial"/>
                <w:color w:val="000000"/>
              </w:rPr>
              <w:t>0.640</w:t>
            </w:r>
          </w:p>
        </w:tc>
      </w:tr>
      <w:tr w:rsidR="00535A76" w:rsidRPr="00535A76" w14:paraId="26C28012" w14:textId="77777777" w:rsidTr="00535A76">
        <w:trPr>
          <w:jc w:val="center"/>
        </w:trPr>
        <w:tc>
          <w:tcPr>
            <w:tcW w:w="0" w:type="auto"/>
            <w:shd w:val="clear" w:color="auto" w:fill="auto"/>
            <w:noWrap/>
            <w:vAlign w:val="center"/>
            <w:hideMark/>
          </w:tcPr>
          <w:p w14:paraId="12036295"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6</w:t>
            </w:r>
          </w:p>
        </w:tc>
        <w:tc>
          <w:tcPr>
            <w:tcW w:w="0" w:type="auto"/>
            <w:shd w:val="clear" w:color="auto" w:fill="auto"/>
            <w:noWrap/>
            <w:vAlign w:val="center"/>
            <w:hideMark/>
          </w:tcPr>
          <w:p w14:paraId="26E996BE"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 xml:space="preserve">Diana </w:t>
            </w:r>
            <w:proofErr w:type="spellStart"/>
            <w:r w:rsidRPr="00535A76">
              <w:rPr>
                <w:rFonts w:ascii="Arial" w:eastAsia="Times New Roman" w:hAnsi="Arial" w:cs="Arial"/>
                <w:color w:val="000000"/>
                <w:lang w:eastAsia="es-MX"/>
              </w:rPr>
              <w:t>Karime</w:t>
            </w:r>
            <w:proofErr w:type="spellEnd"/>
            <w:r w:rsidRPr="00535A76">
              <w:rPr>
                <w:rFonts w:ascii="Arial" w:eastAsia="Times New Roman" w:hAnsi="Arial" w:cs="Arial"/>
                <w:color w:val="000000"/>
                <w:lang w:eastAsia="es-MX"/>
              </w:rPr>
              <w:t xml:space="preserve"> Raya Govea</w:t>
            </w:r>
          </w:p>
        </w:tc>
        <w:tc>
          <w:tcPr>
            <w:tcW w:w="0" w:type="auto"/>
            <w:vAlign w:val="center"/>
          </w:tcPr>
          <w:p w14:paraId="6A48BBBB"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Karina Isabel Reyes Flores</w:t>
            </w:r>
          </w:p>
        </w:tc>
        <w:tc>
          <w:tcPr>
            <w:tcW w:w="0" w:type="auto"/>
            <w:shd w:val="clear" w:color="auto" w:fill="auto"/>
            <w:noWrap/>
            <w:vAlign w:val="center"/>
            <w:hideMark/>
          </w:tcPr>
          <w:p w14:paraId="0356E46E"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4</w:t>
            </w:r>
          </w:p>
        </w:tc>
        <w:tc>
          <w:tcPr>
            <w:tcW w:w="0" w:type="auto"/>
            <w:shd w:val="clear" w:color="auto" w:fill="FFFFFF"/>
            <w:noWrap/>
            <w:vAlign w:val="center"/>
            <w:hideMark/>
          </w:tcPr>
          <w:p w14:paraId="37860E3A"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18803</w:t>
            </w:r>
          </w:p>
        </w:tc>
        <w:tc>
          <w:tcPr>
            <w:tcW w:w="0" w:type="auto"/>
            <w:shd w:val="clear" w:color="auto" w:fill="FFFFFF"/>
            <w:vAlign w:val="center"/>
          </w:tcPr>
          <w:p w14:paraId="2CDC9EBD"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Calibri" w:hAnsi="Arial" w:cs="Arial"/>
                <w:color w:val="000000"/>
              </w:rPr>
              <w:t>0.507</w:t>
            </w:r>
          </w:p>
        </w:tc>
      </w:tr>
      <w:tr w:rsidR="00535A76" w:rsidRPr="00535A76" w14:paraId="320B86D3" w14:textId="77777777" w:rsidTr="00535A76">
        <w:trPr>
          <w:jc w:val="center"/>
        </w:trPr>
        <w:tc>
          <w:tcPr>
            <w:tcW w:w="0" w:type="auto"/>
            <w:shd w:val="clear" w:color="auto" w:fill="auto"/>
            <w:noWrap/>
            <w:vAlign w:val="center"/>
            <w:hideMark/>
          </w:tcPr>
          <w:p w14:paraId="0EB7E9FD"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7</w:t>
            </w:r>
          </w:p>
        </w:tc>
        <w:tc>
          <w:tcPr>
            <w:tcW w:w="0" w:type="auto"/>
            <w:shd w:val="clear" w:color="auto" w:fill="auto"/>
            <w:noWrap/>
            <w:vAlign w:val="center"/>
            <w:hideMark/>
          </w:tcPr>
          <w:p w14:paraId="40985245" w14:textId="77777777" w:rsidR="00535A76" w:rsidRPr="00535A76" w:rsidRDefault="00535A76" w:rsidP="00535A76">
            <w:pPr>
              <w:spacing w:after="0" w:line="240" w:lineRule="auto"/>
              <w:jc w:val="center"/>
              <w:rPr>
                <w:rFonts w:ascii="Arial" w:eastAsia="Times New Roman" w:hAnsi="Arial" w:cs="Arial"/>
                <w:color w:val="000000"/>
                <w:lang w:eastAsia="es-MX"/>
              </w:rPr>
            </w:pPr>
            <w:proofErr w:type="spellStart"/>
            <w:r w:rsidRPr="00535A76">
              <w:rPr>
                <w:rFonts w:ascii="Arial" w:eastAsia="Times New Roman" w:hAnsi="Arial" w:cs="Arial"/>
                <w:color w:val="000000"/>
                <w:lang w:eastAsia="es-MX"/>
              </w:rPr>
              <w:t>Andres</w:t>
            </w:r>
            <w:proofErr w:type="spellEnd"/>
            <w:r w:rsidRPr="00535A76">
              <w:rPr>
                <w:rFonts w:ascii="Arial" w:eastAsia="Times New Roman" w:hAnsi="Arial" w:cs="Arial"/>
                <w:color w:val="000000"/>
                <w:lang w:eastAsia="es-MX"/>
              </w:rPr>
              <w:t xml:space="preserve"> </w:t>
            </w:r>
            <w:proofErr w:type="spellStart"/>
            <w:r w:rsidRPr="00535A76">
              <w:rPr>
                <w:rFonts w:ascii="Arial" w:eastAsia="Times New Roman" w:hAnsi="Arial" w:cs="Arial"/>
                <w:color w:val="000000"/>
                <w:lang w:eastAsia="es-MX"/>
              </w:rPr>
              <w:t>Evelyne</w:t>
            </w:r>
            <w:proofErr w:type="spellEnd"/>
            <w:r w:rsidRPr="00535A76">
              <w:rPr>
                <w:rFonts w:ascii="Arial" w:eastAsia="Times New Roman" w:hAnsi="Arial" w:cs="Arial"/>
                <w:color w:val="000000"/>
                <w:lang w:eastAsia="es-MX"/>
              </w:rPr>
              <w:t xml:space="preserve"> </w:t>
            </w:r>
            <w:proofErr w:type="spellStart"/>
            <w:r w:rsidRPr="00535A76">
              <w:rPr>
                <w:rFonts w:ascii="Arial" w:eastAsia="Times New Roman" w:hAnsi="Arial" w:cs="Arial"/>
                <w:color w:val="000000"/>
                <w:lang w:eastAsia="es-MX"/>
              </w:rPr>
              <w:t>Vicenteño</w:t>
            </w:r>
            <w:proofErr w:type="spellEnd"/>
            <w:r w:rsidRPr="00535A76">
              <w:rPr>
                <w:rFonts w:ascii="Arial" w:eastAsia="Times New Roman" w:hAnsi="Arial" w:cs="Arial"/>
                <w:color w:val="000000"/>
                <w:lang w:eastAsia="es-MX"/>
              </w:rPr>
              <w:t xml:space="preserve"> Barrientos</w:t>
            </w:r>
          </w:p>
        </w:tc>
        <w:tc>
          <w:tcPr>
            <w:tcW w:w="0" w:type="auto"/>
            <w:vAlign w:val="center"/>
          </w:tcPr>
          <w:p w14:paraId="2E990639"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 xml:space="preserve">Suri </w:t>
            </w:r>
            <w:proofErr w:type="spellStart"/>
            <w:r w:rsidRPr="00535A76">
              <w:rPr>
                <w:rFonts w:ascii="Arial" w:eastAsia="Times New Roman" w:hAnsi="Arial" w:cs="Arial"/>
                <w:color w:val="000000"/>
                <w:lang w:eastAsia="es-MX"/>
              </w:rPr>
              <w:t>Zaday</w:t>
            </w:r>
            <w:proofErr w:type="spellEnd"/>
            <w:r w:rsidRPr="00535A76">
              <w:rPr>
                <w:rFonts w:ascii="Arial" w:eastAsia="Times New Roman" w:hAnsi="Arial" w:cs="Arial"/>
                <w:color w:val="000000"/>
                <w:lang w:eastAsia="es-MX"/>
              </w:rPr>
              <w:t xml:space="preserve"> Aquino Cholula</w:t>
            </w:r>
          </w:p>
        </w:tc>
        <w:tc>
          <w:tcPr>
            <w:tcW w:w="0" w:type="auto"/>
            <w:shd w:val="clear" w:color="auto" w:fill="auto"/>
            <w:noWrap/>
            <w:vAlign w:val="center"/>
            <w:hideMark/>
          </w:tcPr>
          <w:p w14:paraId="3F90746D"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28</w:t>
            </w:r>
          </w:p>
        </w:tc>
        <w:tc>
          <w:tcPr>
            <w:tcW w:w="0" w:type="auto"/>
            <w:shd w:val="clear" w:color="auto" w:fill="FFFFFF"/>
            <w:noWrap/>
            <w:vAlign w:val="center"/>
            <w:hideMark/>
          </w:tcPr>
          <w:p w14:paraId="23CF4A86"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18777</w:t>
            </w:r>
          </w:p>
        </w:tc>
        <w:tc>
          <w:tcPr>
            <w:tcW w:w="0" w:type="auto"/>
            <w:shd w:val="clear" w:color="auto" w:fill="FFFFFF"/>
            <w:vAlign w:val="center"/>
          </w:tcPr>
          <w:p w14:paraId="626AB0BF"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Calibri" w:hAnsi="Arial" w:cs="Arial"/>
                <w:color w:val="000000"/>
              </w:rPr>
              <w:t>0.506</w:t>
            </w:r>
          </w:p>
        </w:tc>
      </w:tr>
      <w:tr w:rsidR="00535A76" w:rsidRPr="00535A76" w14:paraId="3288914B" w14:textId="77777777" w:rsidTr="00535A76">
        <w:trPr>
          <w:jc w:val="center"/>
        </w:trPr>
        <w:tc>
          <w:tcPr>
            <w:tcW w:w="0" w:type="auto"/>
            <w:shd w:val="clear" w:color="auto" w:fill="auto"/>
            <w:noWrap/>
            <w:vAlign w:val="center"/>
            <w:hideMark/>
          </w:tcPr>
          <w:p w14:paraId="7F4014A8"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8</w:t>
            </w:r>
          </w:p>
        </w:tc>
        <w:tc>
          <w:tcPr>
            <w:tcW w:w="0" w:type="auto"/>
            <w:shd w:val="clear" w:color="auto" w:fill="auto"/>
            <w:noWrap/>
            <w:vAlign w:val="center"/>
            <w:hideMark/>
          </w:tcPr>
          <w:p w14:paraId="58656039"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 xml:space="preserve">Georgina </w:t>
            </w:r>
            <w:proofErr w:type="spellStart"/>
            <w:r w:rsidRPr="00535A76">
              <w:rPr>
                <w:rFonts w:ascii="Arial" w:eastAsia="Times New Roman" w:hAnsi="Arial" w:cs="Arial"/>
                <w:color w:val="000000"/>
                <w:lang w:eastAsia="es-MX"/>
              </w:rPr>
              <w:t>Munguia</w:t>
            </w:r>
            <w:proofErr w:type="spellEnd"/>
            <w:r w:rsidRPr="00535A76">
              <w:rPr>
                <w:rFonts w:ascii="Arial" w:eastAsia="Times New Roman" w:hAnsi="Arial" w:cs="Arial"/>
                <w:color w:val="000000"/>
                <w:lang w:eastAsia="es-MX"/>
              </w:rPr>
              <w:t xml:space="preserve"> López</w:t>
            </w:r>
          </w:p>
        </w:tc>
        <w:tc>
          <w:tcPr>
            <w:tcW w:w="0" w:type="auto"/>
            <w:vAlign w:val="center"/>
          </w:tcPr>
          <w:p w14:paraId="442959D3"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Sílvia Beltrán Cervantes</w:t>
            </w:r>
          </w:p>
        </w:tc>
        <w:tc>
          <w:tcPr>
            <w:tcW w:w="0" w:type="auto"/>
            <w:shd w:val="clear" w:color="auto" w:fill="auto"/>
            <w:noWrap/>
            <w:vAlign w:val="center"/>
            <w:hideMark/>
          </w:tcPr>
          <w:p w14:paraId="0167DBCF"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21</w:t>
            </w:r>
          </w:p>
        </w:tc>
        <w:tc>
          <w:tcPr>
            <w:tcW w:w="0" w:type="auto"/>
            <w:shd w:val="clear" w:color="auto" w:fill="FFFFFF"/>
            <w:noWrap/>
            <w:vAlign w:val="center"/>
            <w:hideMark/>
          </w:tcPr>
          <w:p w14:paraId="086833BF"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14523</w:t>
            </w:r>
          </w:p>
        </w:tc>
        <w:tc>
          <w:tcPr>
            <w:tcW w:w="0" w:type="auto"/>
            <w:shd w:val="clear" w:color="auto" w:fill="FFFFFF"/>
            <w:vAlign w:val="center"/>
          </w:tcPr>
          <w:p w14:paraId="2095EBEC"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Calibri" w:hAnsi="Arial" w:cs="Arial"/>
                <w:color w:val="000000"/>
              </w:rPr>
              <w:t>0.391</w:t>
            </w:r>
          </w:p>
        </w:tc>
      </w:tr>
      <w:tr w:rsidR="00535A76" w:rsidRPr="00535A76" w14:paraId="119B3113" w14:textId="77777777" w:rsidTr="00535A76">
        <w:trPr>
          <w:jc w:val="center"/>
        </w:trPr>
        <w:tc>
          <w:tcPr>
            <w:tcW w:w="0" w:type="auto"/>
            <w:shd w:val="clear" w:color="auto" w:fill="auto"/>
            <w:noWrap/>
            <w:vAlign w:val="center"/>
            <w:hideMark/>
          </w:tcPr>
          <w:p w14:paraId="3C3AB031"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9</w:t>
            </w:r>
          </w:p>
        </w:tc>
        <w:tc>
          <w:tcPr>
            <w:tcW w:w="0" w:type="auto"/>
            <w:shd w:val="clear" w:color="auto" w:fill="auto"/>
            <w:noWrap/>
            <w:vAlign w:val="center"/>
            <w:hideMark/>
          </w:tcPr>
          <w:p w14:paraId="32862400"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Talía Stefany Sánchez Barrios</w:t>
            </w:r>
          </w:p>
        </w:tc>
        <w:tc>
          <w:tcPr>
            <w:tcW w:w="0" w:type="auto"/>
            <w:vAlign w:val="center"/>
          </w:tcPr>
          <w:p w14:paraId="5F1FEE36"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 xml:space="preserve">Rosa Veronica Cruz Cabrera  </w:t>
            </w:r>
          </w:p>
        </w:tc>
        <w:tc>
          <w:tcPr>
            <w:tcW w:w="0" w:type="auto"/>
            <w:shd w:val="clear" w:color="auto" w:fill="auto"/>
            <w:noWrap/>
            <w:vAlign w:val="center"/>
            <w:hideMark/>
          </w:tcPr>
          <w:p w14:paraId="67028221"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8</w:t>
            </w:r>
          </w:p>
        </w:tc>
        <w:tc>
          <w:tcPr>
            <w:tcW w:w="0" w:type="auto"/>
            <w:shd w:val="clear" w:color="auto" w:fill="FFFFFF"/>
            <w:noWrap/>
            <w:vAlign w:val="center"/>
            <w:hideMark/>
          </w:tcPr>
          <w:p w14:paraId="66471722"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10901</w:t>
            </w:r>
          </w:p>
        </w:tc>
        <w:tc>
          <w:tcPr>
            <w:tcW w:w="0" w:type="auto"/>
            <w:shd w:val="clear" w:color="auto" w:fill="FFFFFF"/>
            <w:vAlign w:val="center"/>
          </w:tcPr>
          <w:p w14:paraId="504F69D0"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Calibri" w:hAnsi="Arial" w:cs="Arial"/>
                <w:color w:val="000000"/>
              </w:rPr>
              <w:t>0.294</w:t>
            </w:r>
          </w:p>
        </w:tc>
      </w:tr>
      <w:tr w:rsidR="00535A76" w:rsidRPr="00535A76" w14:paraId="78B38F02" w14:textId="77777777" w:rsidTr="00535A76">
        <w:trPr>
          <w:jc w:val="center"/>
        </w:trPr>
        <w:tc>
          <w:tcPr>
            <w:tcW w:w="0" w:type="auto"/>
            <w:shd w:val="clear" w:color="auto" w:fill="auto"/>
            <w:noWrap/>
            <w:vAlign w:val="center"/>
            <w:hideMark/>
          </w:tcPr>
          <w:p w14:paraId="09B65795"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10</w:t>
            </w:r>
          </w:p>
        </w:tc>
        <w:tc>
          <w:tcPr>
            <w:tcW w:w="0" w:type="auto"/>
            <w:shd w:val="clear" w:color="auto" w:fill="auto"/>
            <w:noWrap/>
            <w:vAlign w:val="center"/>
            <w:hideMark/>
          </w:tcPr>
          <w:p w14:paraId="334AB304"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 xml:space="preserve">Ernesto Fernández </w:t>
            </w:r>
            <w:proofErr w:type="spellStart"/>
            <w:r w:rsidRPr="00535A76">
              <w:rPr>
                <w:rFonts w:ascii="Arial" w:eastAsia="Times New Roman" w:hAnsi="Arial" w:cs="Arial"/>
                <w:color w:val="000000"/>
                <w:lang w:eastAsia="es-MX"/>
              </w:rPr>
              <w:t>Tachiquin</w:t>
            </w:r>
            <w:proofErr w:type="spellEnd"/>
          </w:p>
        </w:tc>
        <w:tc>
          <w:tcPr>
            <w:tcW w:w="0" w:type="auto"/>
            <w:vAlign w:val="center"/>
          </w:tcPr>
          <w:p w14:paraId="53C269A8"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 xml:space="preserve">Raymundo Espinoza </w:t>
            </w:r>
            <w:proofErr w:type="spellStart"/>
            <w:r w:rsidRPr="00535A76">
              <w:rPr>
                <w:rFonts w:ascii="Arial" w:eastAsia="Times New Roman" w:hAnsi="Arial" w:cs="Arial"/>
                <w:color w:val="000000"/>
                <w:lang w:eastAsia="es-MX"/>
              </w:rPr>
              <w:t>Amezquita</w:t>
            </w:r>
            <w:proofErr w:type="spellEnd"/>
          </w:p>
        </w:tc>
        <w:tc>
          <w:tcPr>
            <w:tcW w:w="0" w:type="auto"/>
            <w:shd w:val="clear" w:color="auto" w:fill="auto"/>
            <w:noWrap/>
            <w:vAlign w:val="center"/>
            <w:hideMark/>
          </w:tcPr>
          <w:p w14:paraId="645C3DA0"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22</w:t>
            </w:r>
          </w:p>
        </w:tc>
        <w:tc>
          <w:tcPr>
            <w:tcW w:w="0" w:type="auto"/>
            <w:shd w:val="clear" w:color="auto" w:fill="FFFFFF"/>
            <w:noWrap/>
            <w:vAlign w:val="center"/>
            <w:hideMark/>
          </w:tcPr>
          <w:p w14:paraId="41B51D09"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9263</w:t>
            </w:r>
          </w:p>
        </w:tc>
        <w:tc>
          <w:tcPr>
            <w:tcW w:w="0" w:type="auto"/>
            <w:shd w:val="clear" w:color="auto" w:fill="FFFFFF"/>
            <w:vAlign w:val="center"/>
          </w:tcPr>
          <w:p w14:paraId="5C27AA0D"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Calibri" w:hAnsi="Arial" w:cs="Arial"/>
                <w:color w:val="000000"/>
              </w:rPr>
              <w:t>0.249</w:t>
            </w:r>
          </w:p>
        </w:tc>
      </w:tr>
      <w:tr w:rsidR="00535A76" w:rsidRPr="00535A76" w14:paraId="4A9FFD2A" w14:textId="77777777" w:rsidTr="00535A76">
        <w:trPr>
          <w:jc w:val="center"/>
        </w:trPr>
        <w:tc>
          <w:tcPr>
            <w:tcW w:w="0" w:type="auto"/>
            <w:shd w:val="clear" w:color="auto" w:fill="auto"/>
            <w:noWrap/>
            <w:vAlign w:val="center"/>
            <w:hideMark/>
          </w:tcPr>
          <w:p w14:paraId="1B823B36"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11</w:t>
            </w:r>
          </w:p>
        </w:tc>
        <w:tc>
          <w:tcPr>
            <w:tcW w:w="0" w:type="auto"/>
            <w:shd w:val="clear" w:color="auto" w:fill="auto"/>
            <w:noWrap/>
            <w:vAlign w:val="center"/>
            <w:hideMark/>
          </w:tcPr>
          <w:p w14:paraId="6E264747"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 xml:space="preserve">Miriam Villanueva </w:t>
            </w:r>
            <w:proofErr w:type="spellStart"/>
            <w:r w:rsidRPr="00535A76">
              <w:rPr>
                <w:rFonts w:ascii="Arial" w:eastAsia="Times New Roman" w:hAnsi="Arial" w:cs="Arial"/>
                <w:color w:val="000000"/>
                <w:lang w:eastAsia="es-MX"/>
              </w:rPr>
              <w:t>Resendiz</w:t>
            </w:r>
            <w:proofErr w:type="spellEnd"/>
          </w:p>
        </w:tc>
        <w:tc>
          <w:tcPr>
            <w:tcW w:w="0" w:type="auto"/>
            <w:vAlign w:val="center"/>
          </w:tcPr>
          <w:p w14:paraId="4D8965A1"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 xml:space="preserve">Marisol Adriana </w:t>
            </w:r>
            <w:proofErr w:type="spellStart"/>
            <w:r w:rsidRPr="00535A76">
              <w:rPr>
                <w:rFonts w:ascii="Arial" w:eastAsia="Times New Roman" w:hAnsi="Arial" w:cs="Arial"/>
                <w:color w:val="000000"/>
                <w:lang w:eastAsia="es-MX"/>
              </w:rPr>
              <w:t>Resendiz</w:t>
            </w:r>
            <w:proofErr w:type="spellEnd"/>
            <w:r w:rsidRPr="00535A76">
              <w:rPr>
                <w:rFonts w:ascii="Arial" w:eastAsia="Times New Roman" w:hAnsi="Arial" w:cs="Arial"/>
                <w:color w:val="000000"/>
                <w:lang w:eastAsia="es-MX"/>
              </w:rPr>
              <w:t xml:space="preserve"> Martínez</w:t>
            </w:r>
          </w:p>
        </w:tc>
        <w:tc>
          <w:tcPr>
            <w:tcW w:w="0" w:type="auto"/>
            <w:shd w:val="clear" w:color="auto" w:fill="auto"/>
            <w:noWrap/>
            <w:vAlign w:val="center"/>
            <w:hideMark/>
          </w:tcPr>
          <w:p w14:paraId="2B0CAEA0"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w:t>
            </w:r>
          </w:p>
        </w:tc>
        <w:tc>
          <w:tcPr>
            <w:tcW w:w="0" w:type="auto"/>
            <w:shd w:val="clear" w:color="auto" w:fill="FFFFFF"/>
            <w:noWrap/>
            <w:vAlign w:val="center"/>
            <w:hideMark/>
          </w:tcPr>
          <w:p w14:paraId="20940180"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8912</w:t>
            </w:r>
          </w:p>
        </w:tc>
        <w:tc>
          <w:tcPr>
            <w:tcW w:w="0" w:type="auto"/>
            <w:shd w:val="clear" w:color="auto" w:fill="FFFFFF"/>
            <w:vAlign w:val="center"/>
          </w:tcPr>
          <w:p w14:paraId="690A4904"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Calibri" w:hAnsi="Arial" w:cs="Arial"/>
                <w:color w:val="000000"/>
              </w:rPr>
              <w:t>0.240</w:t>
            </w:r>
          </w:p>
        </w:tc>
      </w:tr>
      <w:tr w:rsidR="00535A76" w:rsidRPr="00535A76" w14:paraId="1B6B474D" w14:textId="77777777" w:rsidTr="00535A76">
        <w:trPr>
          <w:jc w:val="center"/>
        </w:trPr>
        <w:tc>
          <w:tcPr>
            <w:tcW w:w="0" w:type="auto"/>
            <w:shd w:val="clear" w:color="auto" w:fill="auto"/>
            <w:noWrap/>
            <w:vAlign w:val="center"/>
            <w:hideMark/>
          </w:tcPr>
          <w:p w14:paraId="76BFFE82"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12</w:t>
            </w:r>
          </w:p>
        </w:tc>
        <w:tc>
          <w:tcPr>
            <w:tcW w:w="0" w:type="auto"/>
            <w:shd w:val="clear" w:color="auto" w:fill="auto"/>
            <w:noWrap/>
            <w:vAlign w:val="center"/>
            <w:hideMark/>
          </w:tcPr>
          <w:p w14:paraId="3E93C1A7"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Emiliano Aguilar Esquivel</w:t>
            </w:r>
          </w:p>
        </w:tc>
        <w:tc>
          <w:tcPr>
            <w:tcW w:w="0" w:type="auto"/>
            <w:vAlign w:val="center"/>
          </w:tcPr>
          <w:p w14:paraId="45790A65"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Viridiana Meza Olivares</w:t>
            </w:r>
          </w:p>
        </w:tc>
        <w:tc>
          <w:tcPr>
            <w:tcW w:w="0" w:type="auto"/>
            <w:shd w:val="clear" w:color="auto" w:fill="auto"/>
            <w:noWrap/>
            <w:vAlign w:val="center"/>
            <w:hideMark/>
          </w:tcPr>
          <w:p w14:paraId="4F909FA7"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7</w:t>
            </w:r>
          </w:p>
        </w:tc>
        <w:tc>
          <w:tcPr>
            <w:tcW w:w="0" w:type="auto"/>
            <w:shd w:val="clear" w:color="auto" w:fill="FFFFFF"/>
            <w:noWrap/>
            <w:vAlign w:val="center"/>
            <w:hideMark/>
          </w:tcPr>
          <w:p w14:paraId="7A49B723"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6371</w:t>
            </w:r>
          </w:p>
        </w:tc>
        <w:tc>
          <w:tcPr>
            <w:tcW w:w="0" w:type="auto"/>
            <w:shd w:val="clear" w:color="auto" w:fill="FFFFFF"/>
            <w:vAlign w:val="center"/>
          </w:tcPr>
          <w:p w14:paraId="7903A203"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Calibri" w:hAnsi="Arial" w:cs="Arial"/>
                <w:color w:val="000000"/>
              </w:rPr>
              <w:t>0.171</w:t>
            </w:r>
          </w:p>
        </w:tc>
      </w:tr>
      <w:tr w:rsidR="00535A76" w:rsidRPr="00535A76" w14:paraId="728AEE78" w14:textId="77777777" w:rsidTr="00535A76">
        <w:trPr>
          <w:jc w:val="center"/>
        </w:trPr>
        <w:tc>
          <w:tcPr>
            <w:tcW w:w="0" w:type="auto"/>
            <w:shd w:val="clear" w:color="auto" w:fill="auto"/>
            <w:noWrap/>
            <w:vAlign w:val="center"/>
            <w:hideMark/>
          </w:tcPr>
          <w:p w14:paraId="7D9B1256"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13</w:t>
            </w:r>
          </w:p>
        </w:tc>
        <w:tc>
          <w:tcPr>
            <w:tcW w:w="0" w:type="auto"/>
            <w:shd w:val="clear" w:color="auto" w:fill="auto"/>
            <w:noWrap/>
            <w:vAlign w:val="center"/>
            <w:hideMark/>
          </w:tcPr>
          <w:p w14:paraId="411B6461"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Alondra Monserrat Pérez Fonseca</w:t>
            </w:r>
          </w:p>
        </w:tc>
        <w:tc>
          <w:tcPr>
            <w:tcW w:w="0" w:type="auto"/>
            <w:vAlign w:val="center"/>
          </w:tcPr>
          <w:p w14:paraId="52E6AFE2"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Casandra García León</w:t>
            </w:r>
          </w:p>
        </w:tc>
        <w:tc>
          <w:tcPr>
            <w:tcW w:w="0" w:type="auto"/>
            <w:shd w:val="clear" w:color="auto" w:fill="auto"/>
            <w:noWrap/>
            <w:vAlign w:val="center"/>
            <w:hideMark/>
          </w:tcPr>
          <w:p w14:paraId="76F6585A"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27</w:t>
            </w:r>
          </w:p>
        </w:tc>
        <w:tc>
          <w:tcPr>
            <w:tcW w:w="0" w:type="auto"/>
            <w:shd w:val="clear" w:color="auto" w:fill="FFFFFF"/>
            <w:noWrap/>
            <w:vAlign w:val="center"/>
            <w:hideMark/>
          </w:tcPr>
          <w:p w14:paraId="63A85A12"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5687</w:t>
            </w:r>
          </w:p>
        </w:tc>
        <w:tc>
          <w:tcPr>
            <w:tcW w:w="0" w:type="auto"/>
            <w:shd w:val="clear" w:color="auto" w:fill="FFFFFF"/>
            <w:vAlign w:val="center"/>
          </w:tcPr>
          <w:p w14:paraId="4C945B9A"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Calibri" w:hAnsi="Arial" w:cs="Arial"/>
                <w:color w:val="000000"/>
              </w:rPr>
              <w:t>0.153</w:t>
            </w:r>
          </w:p>
        </w:tc>
      </w:tr>
    </w:tbl>
    <w:p w14:paraId="56EB7564" w14:textId="77777777" w:rsidR="00535A76" w:rsidRPr="00535A76" w:rsidRDefault="00535A76" w:rsidP="00535A76">
      <w:pPr>
        <w:spacing w:after="0" w:line="360" w:lineRule="auto"/>
        <w:jc w:val="both"/>
        <w:rPr>
          <w:rFonts w:ascii="Arial" w:eastAsia="Calibri" w:hAnsi="Arial" w:cs="Times New Roman"/>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
        <w:gridCol w:w="3198"/>
        <w:gridCol w:w="2362"/>
        <w:gridCol w:w="605"/>
        <w:gridCol w:w="911"/>
        <w:gridCol w:w="691"/>
      </w:tblGrid>
      <w:tr w:rsidR="00535A76" w:rsidRPr="00535A76" w14:paraId="61674835" w14:textId="77777777" w:rsidTr="00C65D42">
        <w:trPr>
          <w:tblHeader/>
          <w:jc w:val="center"/>
        </w:trPr>
        <w:tc>
          <w:tcPr>
            <w:tcW w:w="0" w:type="auto"/>
            <w:gridSpan w:val="6"/>
            <w:shd w:val="clear" w:color="auto" w:fill="FF0000"/>
            <w:noWrap/>
            <w:vAlign w:val="center"/>
            <w:hideMark/>
          </w:tcPr>
          <w:p w14:paraId="781F3CAA"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PRI</w:t>
            </w:r>
          </w:p>
        </w:tc>
      </w:tr>
      <w:tr w:rsidR="00535A76" w:rsidRPr="00535A76" w14:paraId="4F7D9287" w14:textId="77777777" w:rsidTr="00C65D42">
        <w:trPr>
          <w:jc w:val="center"/>
        </w:trPr>
        <w:tc>
          <w:tcPr>
            <w:tcW w:w="0" w:type="auto"/>
            <w:shd w:val="clear" w:color="auto" w:fill="auto"/>
            <w:noWrap/>
            <w:vAlign w:val="center"/>
            <w:hideMark/>
          </w:tcPr>
          <w:p w14:paraId="5249FC3C"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No.</w:t>
            </w:r>
          </w:p>
        </w:tc>
        <w:tc>
          <w:tcPr>
            <w:tcW w:w="0" w:type="auto"/>
            <w:shd w:val="clear" w:color="auto" w:fill="auto"/>
            <w:noWrap/>
            <w:vAlign w:val="center"/>
            <w:hideMark/>
          </w:tcPr>
          <w:p w14:paraId="7B5E619C"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Candidatura propietaria</w:t>
            </w:r>
          </w:p>
        </w:tc>
        <w:tc>
          <w:tcPr>
            <w:tcW w:w="0" w:type="auto"/>
            <w:vAlign w:val="center"/>
          </w:tcPr>
          <w:p w14:paraId="6ED39960"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Candidatura suplente</w:t>
            </w:r>
          </w:p>
        </w:tc>
        <w:tc>
          <w:tcPr>
            <w:tcW w:w="0" w:type="auto"/>
            <w:shd w:val="clear" w:color="auto" w:fill="auto"/>
            <w:noWrap/>
            <w:vAlign w:val="center"/>
            <w:hideMark/>
          </w:tcPr>
          <w:p w14:paraId="46AFF3E2"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DTO</w:t>
            </w:r>
          </w:p>
        </w:tc>
        <w:tc>
          <w:tcPr>
            <w:tcW w:w="0" w:type="auto"/>
            <w:shd w:val="clear" w:color="auto" w:fill="auto"/>
            <w:noWrap/>
            <w:vAlign w:val="center"/>
            <w:hideMark/>
          </w:tcPr>
          <w:p w14:paraId="672BF041"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VOTOS</w:t>
            </w:r>
          </w:p>
        </w:tc>
        <w:tc>
          <w:tcPr>
            <w:tcW w:w="0" w:type="auto"/>
          </w:tcPr>
          <w:p w14:paraId="1BACCE93"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w:t>
            </w:r>
          </w:p>
        </w:tc>
      </w:tr>
      <w:tr w:rsidR="00535A76" w:rsidRPr="00535A76" w14:paraId="0BCB5B40" w14:textId="77777777" w:rsidTr="00535A76">
        <w:trPr>
          <w:jc w:val="center"/>
        </w:trPr>
        <w:tc>
          <w:tcPr>
            <w:tcW w:w="0" w:type="auto"/>
            <w:shd w:val="clear" w:color="auto" w:fill="FFFFFF"/>
            <w:noWrap/>
            <w:vAlign w:val="center"/>
            <w:hideMark/>
          </w:tcPr>
          <w:p w14:paraId="1F6B1691"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w:t>
            </w:r>
          </w:p>
        </w:tc>
        <w:tc>
          <w:tcPr>
            <w:tcW w:w="0" w:type="auto"/>
            <w:shd w:val="clear" w:color="auto" w:fill="auto"/>
            <w:noWrap/>
            <w:vAlign w:val="center"/>
            <w:hideMark/>
          </w:tcPr>
          <w:p w14:paraId="6A4D8420"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Mónica Fernández César</w:t>
            </w:r>
          </w:p>
        </w:tc>
        <w:tc>
          <w:tcPr>
            <w:tcW w:w="0" w:type="auto"/>
            <w:vAlign w:val="center"/>
          </w:tcPr>
          <w:p w14:paraId="3AD2BC75"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Yolanda Judith Téllez Barragán</w:t>
            </w:r>
          </w:p>
        </w:tc>
        <w:tc>
          <w:tcPr>
            <w:tcW w:w="0" w:type="auto"/>
            <w:shd w:val="clear" w:color="auto" w:fill="auto"/>
            <w:noWrap/>
            <w:vAlign w:val="center"/>
            <w:hideMark/>
          </w:tcPr>
          <w:p w14:paraId="41949F82"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10</w:t>
            </w:r>
          </w:p>
        </w:tc>
        <w:tc>
          <w:tcPr>
            <w:tcW w:w="0" w:type="auto"/>
            <w:shd w:val="clear" w:color="auto" w:fill="auto"/>
            <w:noWrap/>
            <w:vAlign w:val="center"/>
            <w:hideMark/>
          </w:tcPr>
          <w:p w14:paraId="7DB8113E"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22441</w:t>
            </w:r>
          </w:p>
        </w:tc>
        <w:tc>
          <w:tcPr>
            <w:tcW w:w="0" w:type="auto"/>
            <w:vAlign w:val="center"/>
          </w:tcPr>
          <w:p w14:paraId="197A819E"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0.605</w:t>
            </w:r>
          </w:p>
        </w:tc>
      </w:tr>
      <w:tr w:rsidR="00535A76" w:rsidRPr="00535A76" w14:paraId="49B52AA3" w14:textId="77777777" w:rsidTr="00535A76">
        <w:trPr>
          <w:jc w:val="center"/>
        </w:trPr>
        <w:tc>
          <w:tcPr>
            <w:tcW w:w="0" w:type="auto"/>
            <w:shd w:val="clear" w:color="auto" w:fill="FFFFFF"/>
            <w:noWrap/>
            <w:vAlign w:val="center"/>
            <w:hideMark/>
          </w:tcPr>
          <w:p w14:paraId="1378595B"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2</w:t>
            </w:r>
          </w:p>
        </w:tc>
        <w:tc>
          <w:tcPr>
            <w:tcW w:w="0" w:type="auto"/>
            <w:shd w:val="clear" w:color="auto" w:fill="auto"/>
            <w:noWrap/>
            <w:vAlign w:val="center"/>
            <w:hideMark/>
          </w:tcPr>
          <w:p w14:paraId="0B08A6E4"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Jacqueline Villarreal García</w:t>
            </w:r>
          </w:p>
        </w:tc>
        <w:tc>
          <w:tcPr>
            <w:tcW w:w="0" w:type="auto"/>
            <w:vAlign w:val="center"/>
          </w:tcPr>
          <w:p w14:paraId="65F74075"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Dayana Karen Peña Cortés</w:t>
            </w:r>
          </w:p>
        </w:tc>
        <w:tc>
          <w:tcPr>
            <w:tcW w:w="0" w:type="auto"/>
            <w:shd w:val="clear" w:color="auto" w:fill="auto"/>
            <w:noWrap/>
            <w:vAlign w:val="center"/>
            <w:hideMark/>
          </w:tcPr>
          <w:p w14:paraId="5970BB38"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23</w:t>
            </w:r>
          </w:p>
        </w:tc>
        <w:tc>
          <w:tcPr>
            <w:tcW w:w="0" w:type="auto"/>
            <w:shd w:val="clear" w:color="auto" w:fill="auto"/>
            <w:noWrap/>
            <w:vAlign w:val="center"/>
            <w:hideMark/>
          </w:tcPr>
          <w:p w14:paraId="54CB30B4"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20018</w:t>
            </w:r>
          </w:p>
        </w:tc>
        <w:tc>
          <w:tcPr>
            <w:tcW w:w="0" w:type="auto"/>
            <w:vAlign w:val="center"/>
          </w:tcPr>
          <w:p w14:paraId="12184FAC"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0.540</w:t>
            </w:r>
          </w:p>
        </w:tc>
      </w:tr>
      <w:tr w:rsidR="00535A76" w:rsidRPr="00535A76" w14:paraId="1F859F79" w14:textId="77777777" w:rsidTr="00535A76">
        <w:trPr>
          <w:jc w:val="center"/>
        </w:trPr>
        <w:tc>
          <w:tcPr>
            <w:tcW w:w="0" w:type="auto"/>
            <w:shd w:val="clear" w:color="auto" w:fill="FFFFFF"/>
            <w:noWrap/>
            <w:vAlign w:val="center"/>
            <w:hideMark/>
          </w:tcPr>
          <w:p w14:paraId="46318F0C"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3</w:t>
            </w:r>
          </w:p>
        </w:tc>
        <w:tc>
          <w:tcPr>
            <w:tcW w:w="0" w:type="auto"/>
            <w:shd w:val="clear" w:color="auto" w:fill="auto"/>
            <w:noWrap/>
            <w:vAlign w:val="center"/>
            <w:hideMark/>
          </w:tcPr>
          <w:p w14:paraId="7649A569" w14:textId="77777777" w:rsidR="00535A76" w:rsidRPr="00535A76" w:rsidRDefault="00535A76" w:rsidP="00535A76">
            <w:pPr>
              <w:spacing w:after="0" w:line="240" w:lineRule="auto"/>
              <w:jc w:val="center"/>
              <w:rPr>
                <w:rFonts w:ascii="Arial" w:eastAsia="Times New Roman" w:hAnsi="Arial" w:cs="Arial"/>
                <w:color w:val="000000"/>
                <w:lang w:eastAsia="es-MX"/>
              </w:rPr>
            </w:pPr>
            <w:proofErr w:type="spellStart"/>
            <w:r w:rsidRPr="00535A76">
              <w:rPr>
                <w:rFonts w:ascii="Arial" w:eastAsia="Times New Roman" w:hAnsi="Arial" w:cs="Arial"/>
                <w:color w:val="000000"/>
                <w:lang w:eastAsia="es-MX"/>
              </w:rPr>
              <w:t>Jhonatan</w:t>
            </w:r>
            <w:proofErr w:type="spellEnd"/>
            <w:r w:rsidRPr="00535A76">
              <w:rPr>
                <w:rFonts w:ascii="Arial" w:eastAsia="Times New Roman" w:hAnsi="Arial" w:cs="Arial"/>
                <w:color w:val="000000"/>
                <w:lang w:eastAsia="es-MX"/>
              </w:rPr>
              <w:t xml:space="preserve"> Colmenares Rentería</w:t>
            </w:r>
          </w:p>
        </w:tc>
        <w:tc>
          <w:tcPr>
            <w:tcW w:w="0" w:type="auto"/>
            <w:vAlign w:val="center"/>
          </w:tcPr>
          <w:p w14:paraId="025B9620"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 xml:space="preserve">Jorge Bernardo Franco </w:t>
            </w:r>
            <w:proofErr w:type="spellStart"/>
            <w:r w:rsidRPr="00535A76">
              <w:rPr>
                <w:rFonts w:ascii="Arial" w:eastAsia="Times New Roman" w:hAnsi="Arial" w:cs="Arial"/>
                <w:color w:val="000000"/>
                <w:lang w:eastAsia="es-MX"/>
              </w:rPr>
              <w:t>Asfura</w:t>
            </w:r>
            <w:proofErr w:type="spellEnd"/>
          </w:p>
        </w:tc>
        <w:tc>
          <w:tcPr>
            <w:tcW w:w="0" w:type="auto"/>
            <w:shd w:val="clear" w:color="auto" w:fill="FFFFFF"/>
            <w:noWrap/>
            <w:vAlign w:val="center"/>
            <w:hideMark/>
          </w:tcPr>
          <w:p w14:paraId="0E9AE92C"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30</w:t>
            </w:r>
          </w:p>
        </w:tc>
        <w:tc>
          <w:tcPr>
            <w:tcW w:w="0" w:type="auto"/>
            <w:shd w:val="clear" w:color="auto" w:fill="FFFFFF"/>
            <w:noWrap/>
            <w:vAlign w:val="center"/>
            <w:hideMark/>
          </w:tcPr>
          <w:p w14:paraId="67F00285"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19600</w:t>
            </w:r>
          </w:p>
        </w:tc>
        <w:tc>
          <w:tcPr>
            <w:tcW w:w="0" w:type="auto"/>
            <w:shd w:val="clear" w:color="auto" w:fill="FFFFFF"/>
            <w:vAlign w:val="center"/>
          </w:tcPr>
          <w:p w14:paraId="7D9D885F"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0.528</w:t>
            </w:r>
          </w:p>
        </w:tc>
      </w:tr>
      <w:tr w:rsidR="00535A76" w:rsidRPr="00535A76" w14:paraId="4D0980D3" w14:textId="77777777" w:rsidTr="00535A76">
        <w:trPr>
          <w:jc w:val="center"/>
        </w:trPr>
        <w:tc>
          <w:tcPr>
            <w:tcW w:w="0" w:type="auto"/>
            <w:shd w:val="clear" w:color="auto" w:fill="FFFFFF"/>
            <w:noWrap/>
            <w:vAlign w:val="center"/>
            <w:hideMark/>
          </w:tcPr>
          <w:p w14:paraId="64439B47"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4</w:t>
            </w:r>
          </w:p>
        </w:tc>
        <w:tc>
          <w:tcPr>
            <w:tcW w:w="0" w:type="auto"/>
            <w:shd w:val="clear" w:color="000000" w:fill="FFFFFF"/>
            <w:noWrap/>
            <w:vAlign w:val="center"/>
            <w:hideMark/>
          </w:tcPr>
          <w:p w14:paraId="10A8E716"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Jessica Morales García</w:t>
            </w:r>
          </w:p>
        </w:tc>
        <w:tc>
          <w:tcPr>
            <w:tcW w:w="0" w:type="auto"/>
            <w:vAlign w:val="center"/>
          </w:tcPr>
          <w:p w14:paraId="3AB5E6DF"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 xml:space="preserve">Karen Viridiana Valencia </w:t>
            </w:r>
            <w:proofErr w:type="spellStart"/>
            <w:r w:rsidRPr="00535A76">
              <w:rPr>
                <w:rFonts w:ascii="Arial" w:eastAsia="Times New Roman" w:hAnsi="Arial" w:cs="Arial"/>
                <w:color w:val="000000"/>
                <w:lang w:eastAsia="es-MX"/>
              </w:rPr>
              <w:t>Jimenez</w:t>
            </w:r>
            <w:proofErr w:type="spellEnd"/>
          </w:p>
        </w:tc>
        <w:tc>
          <w:tcPr>
            <w:tcW w:w="0" w:type="auto"/>
            <w:shd w:val="clear" w:color="auto" w:fill="FFFFFF"/>
            <w:noWrap/>
            <w:vAlign w:val="center"/>
            <w:hideMark/>
          </w:tcPr>
          <w:p w14:paraId="6F66D578"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15</w:t>
            </w:r>
          </w:p>
        </w:tc>
        <w:tc>
          <w:tcPr>
            <w:tcW w:w="0" w:type="auto"/>
            <w:shd w:val="clear" w:color="auto" w:fill="FFFFFF"/>
            <w:noWrap/>
            <w:vAlign w:val="center"/>
            <w:hideMark/>
          </w:tcPr>
          <w:p w14:paraId="57186257"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18305</w:t>
            </w:r>
          </w:p>
        </w:tc>
        <w:tc>
          <w:tcPr>
            <w:tcW w:w="0" w:type="auto"/>
            <w:shd w:val="clear" w:color="auto" w:fill="FFFFFF"/>
            <w:vAlign w:val="center"/>
          </w:tcPr>
          <w:p w14:paraId="5D818649"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0.493</w:t>
            </w:r>
          </w:p>
        </w:tc>
      </w:tr>
      <w:tr w:rsidR="00535A76" w:rsidRPr="00535A76" w14:paraId="26E5A772" w14:textId="77777777" w:rsidTr="00535A76">
        <w:trPr>
          <w:jc w:val="center"/>
        </w:trPr>
        <w:tc>
          <w:tcPr>
            <w:tcW w:w="0" w:type="auto"/>
            <w:shd w:val="clear" w:color="auto" w:fill="FFFFFF"/>
            <w:noWrap/>
            <w:vAlign w:val="center"/>
            <w:hideMark/>
          </w:tcPr>
          <w:p w14:paraId="00A0047C"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5</w:t>
            </w:r>
          </w:p>
        </w:tc>
        <w:tc>
          <w:tcPr>
            <w:tcW w:w="0" w:type="auto"/>
            <w:shd w:val="clear" w:color="auto" w:fill="auto"/>
            <w:noWrap/>
            <w:vAlign w:val="center"/>
            <w:hideMark/>
          </w:tcPr>
          <w:p w14:paraId="15D8B6C2"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Mariana Gómez Román</w:t>
            </w:r>
          </w:p>
        </w:tc>
        <w:tc>
          <w:tcPr>
            <w:tcW w:w="0" w:type="auto"/>
            <w:vAlign w:val="center"/>
          </w:tcPr>
          <w:p w14:paraId="35E7DC50"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Laura Mercedes Carrera García</w:t>
            </w:r>
          </w:p>
        </w:tc>
        <w:tc>
          <w:tcPr>
            <w:tcW w:w="0" w:type="auto"/>
            <w:shd w:val="clear" w:color="auto" w:fill="FFFFFF"/>
            <w:noWrap/>
            <w:vAlign w:val="center"/>
            <w:hideMark/>
          </w:tcPr>
          <w:p w14:paraId="1AFBB202"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5</w:t>
            </w:r>
          </w:p>
        </w:tc>
        <w:tc>
          <w:tcPr>
            <w:tcW w:w="0" w:type="auto"/>
            <w:shd w:val="clear" w:color="auto" w:fill="FFFFFF"/>
            <w:noWrap/>
            <w:vAlign w:val="center"/>
            <w:hideMark/>
          </w:tcPr>
          <w:p w14:paraId="44E8B6B7"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17978</w:t>
            </w:r>
          </w:p>
        </w:tc>
        <w:tc>
          <w:tcPr>
            <w:tcW w:w="0" w:type="auto"/>
            <w:shd w:val="clear" w:color="auto" w:fill="FFFFFF"/>
            <w:vAlign w:val="center"/>
          </w:tcPr>
          <w:p w14:paraId="2EB668F7"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0.484</w:t>
            </w:r>
          </w:p>
        </w:tc>
      </w:tr>
      <w:tr w:rsidR="00535A76" w:rsidRPr="00535A76" w14:paraId="6866B375" w14:textId="77777777" w:rsidTr="00535A76">
        <w:trPr>
          <w:jc w:val="center"/>
        </w:trPr>
        <w:tc>
          <w:tcPr>
            <w:tcW w:w="0" w:type="auto"/>
            <w:shd w:val="clear" w:color="auto" w:fill="FFFFFF"/>
            <w:noWrap/>
            <w:vAlign w:val="center"/>
            <w:hideMark/>
          </w:tcPr>
          <w:p w14:paraId="5355807A"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6</w:t>
            </w:r>
          </w:p>
        </w:tc>
        <w:tc>
          <w:tcPr>
            <w:tcW w:w="0" w:type="auto"/>
            <w:shd w:val="clear" w:color="auto" w:fill="auto"/>
            <w:noWrap/>
            <w:vAlign w:val="center"/>
            <w:hideMark/>
          </w:tcPr>
          <w:p w14:paraId="122EADC7"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Raúl Alan Rosas Alvarado</w:t>
            </w:r>
          </w:p>
        </w:tc>
        <w:tc>
          <w:tcPr>
            <w:tcW w:w="0" w:type="auto"/>
            <w:vAlign w:val="center"/>
          </w:tcPr>
          <w:p w14:paraId="23CD5C86"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Bernardo Navarro Guevara</w:t>
            </w:r>
          </w:p>
        </w:tc>
        <w:tc>
          <w:tcPr>
            <w:tcW w:w="0" w:type="auto"/>
            <w:shd w:val="clear" w:color="auto" w:fill="FFFFFF"/>
            <w:noWrap/>
            <w:vAlign w:val="center"/>
            <w:hideMark/>
          </w:tcPr>
          <w:p w14:paraId="1863411F"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26</w:t>
            </w:r>
          </w:p>
        </w:tc>
        <w:tc>
          <w:tcPr>
            <w:tcW w:w="0" w:type="auto"/>
            <w:shd w:val="clear" w:color="auto" w:fill="FFFFFF"/>
            <w:noWrap/>
            <w:vAlign w:val="center"/>
            <w:hideMark/>
          </w:tcPr>
          <w:p w14:paraId="32C5FDD5"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16119</w:t>
            </w:r>
          </w:p>
        </w:tc>
        <w:tc>
          <w:tcPr>
            <w:tcW w:w="0" w:type="auto"/>
            <w:shd w:val="clear" w:color="auto" w:fill="FFFFFF"/>
            <w:vAlign w:val="center"/>
          </w:tcPr>
          <w:p w14:paraId="70A7975D"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0.434</w:t>
            </w:r>
          </w:p>
        </w:tc>
      </w:tr>
      <w:tr w:rsidR="00535A76" w:rsidRPr="00535A76" w14:paraId="105D8D77" w14:textId="77777777" w:rsidTr="00535A76">
        <w:trPr>
          <w:jc w:val="center"/>
        </w:trPr>
        <w:tc>
          <w:tcPr>
            <w:tcW w:w="0" w:type="auto"/>
            <w:shd w:val="clear" w:color="auto" w:fill="FFFFFF"/>
            <w:noWrap/>
            <w:vAlign w:val="center"/>
            <w:hideMark/>
          </w:tcPr>
          <w:p w14:paraId="46FF8644"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7</w:t>
            </w:r>
          </w:p>
        </w:tc>
        <w:tc>
          <w:tcPr>
            <w:tcW w:w="0" w:type="auto"/>
            <w:shd w:val="clear" w:color="auto" w:fill="auto"/>
            <w:noWrap/>
            <w:vAlign w:val="center"/>
            <w:hideMark/>
          </w:tcPr>
          <w:p w14:paraId="53CEB4B8"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Ángel Gutiérrez Javier</w:t>
            </w:r>
          </w:p>
        </w:tc>
        <w:tc>
          <w:tcPr>
            <w:tcW w:w="0" w:type="auto"/>
            <w:vAlign w:val="center"/>
          </w:tcPr>
          <w:p w14:paraId="3BF7E4C4"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Fernando Gómez Miranda</w:t>
            </w:r>
          </w:p>
        </w:tc>
        <w:tc>
          <w:tcPr>
            <w:tcW w:w="0" w:type="auto"/>
            <w:shd w:val="clear" w:color="auto" w:fill="FFFFFF"/>
            <w:noWrap/>
            <w:vAlign w:val="center"/>
            <w:hideMark/>
          </w:tcPr>
          <w:p w14:paraId="300FF897"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4</w:t>
            </w:r>
          </w:p>
        </w:tc>
        <w:tc>
          <w:tcPr>
            <w:tcW w:w="0" w:type="auto"/>
            <w:shd w:val="clear" w:color="auto" w:fill="FFFFFF"/>
            <w:noWrap/>
            <w:vAlign w:val="center"/>
            <w:hideMark/>
          </w:tcPr>
          <w:p w14:paraId="6FC073F9"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15969</w:t>
            </w:r>
          </w:p>
        </w:tc>
        <w:tc>
          <w:tcPr>
            <w:tcW w:w="0" w:type="auto"/>
            <w:shd w:val="clear" w:color="auto" w:fill="FFFFFF"/>
            <w:vAlign w:val="center"/>
          </w:tcPr>
          <w:p w14:paraId="452DFD5C"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0.430</w:t>
            </w:r>
          </w:p>
        </w:tc>
      </w:tr>
      <w:tr w:rsidR="00535A76" w:rsidRPr="00535A76" w14:paraId="2403E1EA" w14:textId="77777777" w:rsidTr="00535A76">
        <w:trPr>
          <w:jc w:val="center"/>
        </w:trPr>
        <w:tc>
          <w:tcPr>
            <w:tcW w:w="0" w:type="auto"/>
            <w:shd w:val="clear" w:color="auto" w:fill="FFFFFF"/>
            <w:noWrap/>
            <w:vAlign w:val="center"/>
            <w:hideMark/>
          </w:tcPr>
          <w:p w14:paraId="7008B5F1"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8</w:t>
            </w:r>
          </w:p>
        </w:tc>
        <w:tc>
          <w:tcPr>
            <w:tcW w:w="0" w:type="auto"/>
            <w:shd w:val="clear" w:color="000000" w:fill="FFFFFF"/>
            <w:noWrap/>
            <w:vAlign w:val="center"/>
            <w:hideMark/>
          </w:tcPr>
          <w:p w14:paraId="1938C2BC"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 xml:space="preserve">Alejandro Arguelles </w:t>
            </w:r>
            <w:proofErr w:type="spellStart"/>
            <w:r w:rsidRPr="00535A76">
              <w:rPr>
                <w:rFonts w:ascii="Arial" w:eastAsia="Times New Roman" w:hAnsi="Arial" w:cs="Arial"/>
                <w:color w:val="000000"/>
                <w:lang w:eastAsia="es-MX"/>
              </w:rPr>
              <w:t>Almontes</w:t>
            </w:r>
            <w:proofErr w:type="spellEnd"/>
          </w:p>
        </w:tc>
        <w:tc>
          <w:tcPr>
            <w:tcW w:w="0" w:type="auto"/>
            <w:vAlign w:val="center"/>
          </w:tcPr>
          <w:p w14:paraId="3193543B"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Pedro Ignacio Castro Enriquez</w:t>
            </w:r>
          </w:p>
        </w:tc>
        <w:tc>
          <w:tcPr>
            <w:tcW w:w="0" w:type="auto"/>
            <w:shd w:val="clear" w:color="auto" w:fill="FFFFFF"/>
            <w:noWrap/>
            <w:vAlign w:val="center"/>
            <w:hideMark/>
          </w:tcPr>
          <w:p w14:paraId="7C131C2B"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14</w:t>
            </w:r>
          </w:p>
        </w:tc>
        <w:tc>
          <w:tcPr>
            <w:tcW w:w="0" w:type="auto"/>
            <w:shd w:val="clear" w:color="auto" w:fill="FFFFFF"/>
            <w:noWrap/>
            <w:vAlign w:val="center"/>
            <w:hideMark/>
          </w:tcPr>
          <w:p w14:paraId="042C9B6E"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14884</w:t>
            </w:r>
          </w:p>
        </w:tc>
        <w:tc>
          <w:tcPr>
            <w:tcW w:w="0" w:type="auto"/>
            <w:shd w:val="clear" w:color="auto" w:fill="FFFFFF"/>
            <w:vAlign w:val="center"/>
          </w:tcPr>
          <w:p w14:paraId="3E537D8A"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0.401</w:t>
            </w:r>
          </w:p>
        </w:tc>
      </w:tr>
      <w:tr w:rsidR="00535A76" w:rsidRPr="00535A76" w14:paraId="73D10349" w14:textId="77777777" w:rsidTr="00535A76">
        <w:trPr>
          <w:jc w:val="center"/>
        </w:trPr>
        <w:tc>
          <w:tcPr>
            <w:tcW w:w="0" w:type="auto"/>
            <w:shd w:val="clear" w:color="auto" w:fill="FFFFFF"/>
            <w:noWrap/>
            <w:vAlign w:val="center"/>
            <w:hideMark/>
          </w:tcPr>
          <w:p w14:paraId="43FE8C20"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9</w:t>
            </w:r>
          </w:p>
        </w:tc>
        <w:tc>
          <w:tcPr>
            <w:tcW w:w="0" w:type="auto"/>
            <w:shd w:val="clear" w:color="000000" w:fill="FFFFFF"/>
            <w:noWrap/>
            <w:vAlign w:val="center"/>
            <w:hideMark/>
          </w:tcPr>
          <w:p w14:paraId="1752715B"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 xml:space="preserve">René Enrique Vivanco </w:t>
            </w:r>
            <w:proofErr w:type="spellStart"/>
            <w:r w:rsidRPr="00535A76">
              <w:rPr>
                <w:rFonts w:ascii="Arial" w:eastAsia="Times New Roman" w:hAnsi="Arial" w:cs="Arial"/>
                <w:color w:val="000000"/>
                <w:lang w:eastAsia="es-MX"/>
              </w:rPr>
              <w:t>Balp</w:t>
            </w:r>
            <w:proofErr w:type="spellEnd"/>
          </w:p>
        </w:tc>
        <w:tc>
          <w:tcPr>
            <w:tcW w:w="0" w:type="auto"/>
            <w:vAlign w:val="center"/>
          </w:tcPr>
          <w:p w14:paraId="50D37FB5"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 xml:space="preserve">Víctor Hugo Jurado </w:t>
            </w:r>
            <w:proofErr w:type="spellStart"/>
            <w:r w:rsidRPr="00535A76">
              <w:rPr>
                <w:rFonts w:ascii="Arial" w:eastAsia="Times New Roman" w:hAnsi="Arial" w:cs="Arial"/>
                <w:color w:val="000000"/>
                <w:lang w:eastAsia="es-MX"/>
              </w:rPr>
              <w:t>Caropreso</w:t>
            </w:r>
            <w:proofErr w:type="spellEnd"/>
          </w:p>
        </w:tc>
        <w:tc>
          <w:tcPr>
            <w:tcW w:w="0" w:type="auto"/>
            <w:shd w:val="clear" w:color="auto" w:fill="FFFFFF"/>
            <w:noWrap/>
            <w:vAlign w:val="center"/>
            <w:hideMark/>
          </w:tcPr>
          <w:p w14:paraId="5CD71FD0"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17</w:t>
            </w:r>
          </w:p>
        </w:tc>
        <w:tc>
          <w:tcPr>
            <w:tcW w:w="0" w:type="auto"/>
            <w:shd w:val="clear" w:color="auto" w:fill="FFFFFF"/>
            <w:noWrap/>
            <w:vAlign w:val="center"/>
            <w:hideMark/>
          </w:tcPr>
          <w:p w14:paraId="43EC5F54"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14497</w:t>
            </w:r>
          </w:p>
        </w:tc>
        <w:tc>
          <w:tcPr>
            <w:tcW w:w="0" w:type="auto"/>
            <w:shd w:val="clear" w:color="auto" w:fill="FFFFFF"/>
            <w:vAlign w:val="center"/>
          </w:tcPr>
          <w:p w14:paraId="5E120184"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0.391</w:t>
            </w:r>
          </w:p>
        </w:tc>
      </w:tr>
      <w:tr w:rsidR="00535A76" w:rsidRPr="00535A76" w14:paraId="704D2667" w14:textId="77777777" w:rsidTr="00535A76">
        <w:trPr>
          <w:jc w:val="center"/>
        </w:trPr>
        <w:tc>
          <w:tcPr>
            <w:tcW w:w="0" w:type="auto"/>
            <w:shd w:val="clear" w:color="auto" w:fill="FFFFFF"/>
            <w:noWrap/>
            <w:vAlign w:val="center"/>
            <w:hideMark/>
          </w:tcPr>
          <w:p w14:paraId="3477FBA9"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10</w:t>
            </w:r>
          </w:p>
        </w:tc>
        <w:tc>
          <w:tcPr>
            <w:tcW w:w="0" w:type="auto"/>
            <w:shd w:val="clear" w:color="auto" w:fill="auto"/>
            <w:noWrap/>
            <w:vAlign w:val="center"/>
            <w:hideMark/>
          </w:tcPr>
          <w:p w14:paraId="79FE4AD9" w14:textId="77777777" w:rsidR="00535A76" w:rsidRPr="00535A76" w:rsidRDefault="00535A76" w:rsidP="00535A76">
            <w:pPr>
              <w:spacing w:after="0" w:line="240" w:lineRule="auto"/>
              <w:jc w:val="center"/>
              <w:rPr>
                <w:rFonts w:ascii="Arial" w:eastAsia="Times New Roman" w:hAnsi="Arial" w:cs="Arial"/>
                <w:color w:val="000000"/>
                <w:lang w:eastAsia="es-MX"/>
              </w:rPr>
            </w:pPr>
            <w:proofErr w:type="spellStart"/>
            <w:r w:rsidRPr="00535A76">
              <w:rPr>
                <w:rFonts w:ascii="Arial" w:eastAsia="Times New Roman" w:hAnsi="Arial" w:cs="Arial"/>
                <w:color w:val="000000"/>
                <w:lang w:eastAsia="es-MX"/>
              </w:rPr>
              <w:t>Nitzia</w:t>
            </w:r>
            <w:proofErr w:type="spellEnd"/>
            <w:r w:rsidRPr="00535A76">
              <w:rPr>
                <w:rFonts w:ascii="Arial" w:eastAsia="Times New Roman" w:hAnsi="Arial" w:cs="Arial"/>
                <w:color w:val="000000"/>
                <w:lang w:eastAsia="es-MX"/>
              </w:rPr>
              <w:t xml:space="preserve"> Lucero Rosas Chávez</w:t>
            </w:r>
          </w:p>
        </w:tc>
        <w:tc>
          <w:tcPr>
            <w:tcW w:w="0" w:type="auto"/>
            <w:vAlign w:val="center"/>
          </w:tcPr>
          <w:p w14:paraId="2B8A5979"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Lorena Sánchez Becerril</w:t>
            </w:r>
          </w:p>
        </w:tc>
        <w:tc>
          <w:tcPr>
            <w:tcW w:w="0" w:type="auto"/>
            <w:shd w:val="clear" w:color="auto" w:fill="FFFFFF"/>
            <w:noWrap/>
            <w:vAlign w:val="center"/>
            <w:hideMark/>
          </w:tcPr>
          <w:p w14:paraId="75974D7F"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25</w:t>
            </w:r>
          </w:p>
        </w:tc>
        <w:tc>
          <w:tcPr>
            <w:tcW w:w="0" w:type="auto"/>
            <w:shd w:val="clear" w:color="auto" w:fill="FFFFFF"/>
            <w:noWrap/>
            <w:vAlign w:val="center"/>
            <w:hideMark/>
          </w:tcPr>
          <w:p w14:paraId="4884F979"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13049</w:t>
            </w:r>
          </w:p>
        </w:tc>
        <w:tc>
          <w:tcPr>
            <w:tcW w:w="0" w:type="auto"/>
            <w:shd w:val="clear" w:color="auto" w:fill="FFFFFF"/>
            <w:vAlign w:val="center"/>
          </w:tcPr>
          <w:p w14:paraId="30636602"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0.352</w:t>
            </w:r>
          </w:p>
        </w:tc>
      </w:tr>
      <w:tr w:rsidR="00535A76" w:rsidRPr="00535A76" w14:paraId="42D1D4BE" w14:textId="77777777" w:rsidTr="00535A76">
        <w:trPr>
          <w:jc w:val="center"/>
        </w:trPr>
        <w:tc>
          <w:tcPr>
            <w:tcW w:w="0" w:type="auto"/>
            <w:shd w:val="clear" w:color="auto" w:fill="FFFFFF"/>
            <w:noWrap/>
            <w:vAlign w:val="center"/>
            <w:hideMark/>
          </w:tcPr>
          <w:p w14:paraId="5AC728CA"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11</w:t>
            </w:r>
          </w:p>
        </w:tc>
        <w:tc>
          <w:tcPr>
            <w:tcW w:w="0" w:type="auto"/>
            <w:shd w:val="clear" w:color="auto" w:fill="auto"/>
            <w:noWrap/>
            <w:vAlign w:val="center"/>
            <w:hideMark/>
          </w:tcPr>
          <w:p w14:paraId="2574B277"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 xml:space="preserve">Rosa Elena </w:t>
            </w:r>
            <w:proofErr w:type="spellStart"/>
            <w:r w:rsidRPr="00535A76">
              <w:rPr>
                <w:rFonts w:ascii="Arial" w:eastAsia="Times New Roman" w:hAnsi="Arial" w:cs="Arial"/>
                <w:color w:val="000000"/>
                <w:lang w:eastAsia="es-MX"/>
              </w:rPr>
              <w:t>Garfías</w:t>
            </w:r>
            <w:proofErr w:type="spellEnd"/>
            <w:r w:rsidRPr="00535A76">
              <w:rPr>
                <w:rFonts w:ascii="Arial" w:eastAsia="Times New Roman" w:hAnsi="Arial" w:cs="Arial"/>
                <w:color w:val="000000"/>
                <w:lang w:eastAsia="es-MX"/>
              </w:rPr>
              <w:t xml:space="preserve"> Gracia</w:t>
            </w:r>
          </w:p>
        </w:tc>
        <w:tc>
          <w:tcPr>
            <w:tcW w:w="0" w:type="auto"/>
            <w:vAlign w:val="center"/>
          </w:tcPr>
          <w:p w14:paraId="08EF33FC"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Brenda Ivonne García Martínez</w:t>
            </w:r>
          </w:p>
        </w:tc>
        <w:tc>
          <w:tcPr>
            <w:tcW w:w="0" w:type="auto"/>
            <w:shd w:val="clear" w:color="auto" w:fill="FFFFFF"/>
            <w:noWrap/>
            <w:vAlign w:val="center"/>
            <w:hideMark/>
          </w:tcPr>
          <w:p w14:paraId="5BA9F93A"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13</w:t>
            </w:r>
          </w:p>
        </w:tc>
        <w:tc>
          <w:tcPr>
            <w:tcW w:w="0" w:type="auto"/>
            <w:shd w:val="clear" w:color="auto" w:fill="FFFFFF"/>
            <w:noWrap/>
            <w:vAlign w:val="center"/>
            <w:hideMark/>
          </w:tcPr>
          <w:p w14:paraId="22CB0621"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13023</w:t>
            </w:r>
          </w:p>
        </w:tc>
        <w:tc>
          <w:tcPr>
            <w:tcW w:w="0" w:type="auto"/>
            <w:shd w:val="clear" w:color="auto" w:fill="FFFFFF"/>
            <w:vAlign w:val="center"/>
          </w:tcPr>
          <w:p w14:paraId="61B6F495"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0.351</w:t>
            </w:r>
          </w:p>
        </w:tc>
      </w:tr>
      <w:tr w:rsidR="00535A76" w:rsidRPr="00535A76" w14:paraId="2235ED0E" w14:textId="77777777" w:rsidTr="00535A76">
        <w:trPr>
          <w:jc w:val="center"/>
        </w:trPr>
        <w:tc>
          <w:tcPr>
            <w:tcW w:w="0" w:type="auto"/>
            <w:shd w:val="clear" w:color="auto" w:fill="FFFFFF"/>
            <w:noWrap/>
            <w:vAlign w:val="center"/>
            <w:hideMark/>
          </w:tcPr>
          <w:p w14:paraId="06DB43FC"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12</w:t>
            </w:r>
          </w:p>
        </w:tc>
        <w:tc>
          <w:tcPr>
            <w:tcW w:w="0" w:type="auto"/>
            <w:shd w:val="clear" w:color="000000" w:fill="FFFFFF"/>
            <w:noWrap/>
            <w:vAlign w:val="center"/>
            <w:hideMark/>
          </w:tcPr>
          <w:p w14:paraId="24CBCE8D"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Gustavo Nabor Ojeda Delgado</w:t>
            </w:r>
          </w:p>
        </w:tc>
        <w:tc>
          <w:tcPr>
            <w:tcW w:w="0" w:type="auto"/>
            <w:vAlign w:val="center"/>
          </w:tcPr>
          <w:p w14:paraId="39BFACF2"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Juan Manuel XX Ríos</w:t>
            </w:r>
          </w:p>
        </w:tc>
        <w:tc>
          <w:tcPr>
            <w:tcW w:w="0" w:type="auto"/>
            <w:shd w:val="clear" w:color="auto" w:fill="FFFFFF"/>
            <w:noWrap/>
            <w:vAlign w:val="center"/>
            <w:hideMark/>
          </w:tcPr>
          <w:p w14:paraId="095AA2D3"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19</w:t>
            </w:r>
          </w:p>
        </w:tc>
        <w:tc>
          <w:tcPr>
            <w:tcW w:w="0" w:type="auto"/>
            <w:shd w:val="clear" w:color="auto" w:fill="FFFFFF"/>
            <w:noWrap/>
            <w:vAlign w:val="center"/>
            <w:hideMark/>
          </w:tcPr>
          <w:p w14:paraId="75252322"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11822</w:t>
            </w:r>
          </w:p>
        </w:tc>
        <w:tc>
          <w:tcPr>
            <w:tcW w:w="0" w:type="auto"/>
            <w:shd w:val="clear" w:color="auto" w:fill="FFFFFF"/>
            <w:vAlign w:val="center"/>
          </w:tcPr>
          <w:p w14:paraId="2CC1CF2E"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0.318</w:t>
            </w:r>
          </w:p>
        </w:tc>
      </w:tr>
      <w:tr w:rsidR="00535A76" w:rsidRPr="00535A76" w14:paraId="11BAF997" w14:textId="77777777" w:rsidTr="00535A76">
        <w:trPr>
          <w:jc w:val="center"/>
        </w:trPr>
        <w:tc>
          <w:tcPr>
            <w:tcW w:w="0" w:type="auto"/>
            <w:shd w:val="clear" w:color="auto" w:fill="FFFFFF"/>
            <w:noWrap/>
            <w:vAlign w:val="center"/>
            <w:hideMark/>
          </w:tcPr>
          <w:p w14:paraId="09D407A8"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13</w:t>
            </w:r>
          </w:p>
        </w:tc>
        <w:tc>
          <w:tcPr>
            <w:tcW w:w="0" w:type="auto"/>
            <w:shd w:val="clear" w:color="auto" w:fill="auto"/>
            <w:noWrap/>
            <w:vAlign w:val="center"/>
            <w:hideMark/>
          </w:tcPr>
          <w:p w14:paraId="26367C25"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Efrén Sánchez Jiménez</w:t>
            </w:r>
          </w:p>
        </w:tc>
        <w:tc>
          <w:tcPr>
            <w:tcW w:w="0" w:type="auto"/>
            <w:vAlign w:val="center"/>
          </w:tcPr>
          <w:p w14:paraId="13454F31"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Lucio Ávila Montiel</w:t>
            </w:r>
          </w:p>
        </w:tc>
        <w:tc>
          <w:tcPr>
            <w:tcW w:w="0" w:type="auto"/>
            <w:shd w:val="clear" w:color="auto" w:fill="FFFFFF"/>
            <w:noWrap/>
            <w:vAlign w:val="center"/>
            <w:hideMark/>
          </w:tcPr>
          <w:p w14:paraId="64FBC3AB"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31</w:t>
            </w:r>
          </w:p>
        </w:tc>
        <w:tc>
          <w:tcPr>
            <w:tcW w:w="0" w:type="auto"/>
            <w:shd w:val="clear" w:color="auto" w:fill="FFFFFF"/>
            <w:noWrap/>
            <w:vAlign w:val="center"/>
            <w:hideMark/>
          </w:tcPr>
          <w:p w14:paraId="298E7228"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10592</w:t>
            </w:r>
          </w:p>
        </w:tc>
        <w:tc>
          <w:tcPr>
            <w:tcW w:w="0" w:type="auto"/>
            <w:shd w:val="clear" w:color="auto" w:fill="FFFFFF"/>
            <w:vAlign w:val="center"/>
          </w:tcPr>
          <w:p w14:paraId="58BE25BF"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0.285</w:t>
            </w:r>
          </w:p>
        </w:tc>
      </w:tr>
      <w:tr w:rsidR="00535A76" w:rsidRPr="00535A76" w14:paraId="026713AE" w14:textId="77777777" w:rsidTr="00535A76">
        <w:trPr>
          <w:jc w:val="center"/>
        </w:trPr>
        <w:tc>
          <w:tcPr>
            <w:tcW w:w="0" w:type="auto"/>
            <w:shd w:val="clear" w:color="auto" w:fill="FFFFFF"/>
            <w:noWrap/>
            <w:vAlign w:val="center"/>
            <w:hideMark/>
          </w:tcPr>
          <w:p w14:paraId="4D05CA3B"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lastRenderedPageBreak/>
              <w:t>14</w:t>
            </w:r>
          </w:p>
        </w:tc>
        <w:tc>
          <w:tcPr>
            <w:tcW w:w="0" w:type="auto"/>
            <w:shd w:val="clear" w:color="auto" w:fill="auto"/>
            <w:noWrap/>
            <w:vAlign w:val="center"/>
            <w:hideMark/>
          </w:tcPr>
          <w:p w14:paraId="722C11FF"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Virginia Melo Miranda</w:t>
            </w:r>
          </w:p>
        </w:tc>
        <w:tc>
          <w:tcPr>
            <w:tcW w:w="0" w:type="auto"/>
            <w:vAlign w:val="center"/>
          </w:tcPr>
          <w:p w14:paraId="1FBB584D"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Adriana Claudia Reyes Rendón</w:t>
            </w:r>
          </w:p>
        </w:tc>
        <w:tc>
          <w:tcPr>
            <w:tcW w:w="0" w:type="auto"/>
            <w:shd w:val="clear" w:color="auto" w:fill="FFFFFF"/>
            <w:noWrap/>
            <w:vAlign w:val="center"/>
            <w:hideMark/>
          </w:tcPr>
          <w:p w14:paraId="713754C4"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22</w:t>
            </w:r>
          </w:p>
        </w:tc>
        <w:tc>
          <w:tcPr>
            <w:tcW w:w="0" w:type="auto"/>
            <w:shd w:val="clear" w:color="auto" w:fill="FFFFFF"/>
            <w:noWrap/>
            <w:vAlign w:val="center"/>
            <w:hideMark/>
          </w:tcPr>
          <w:p w14:paraId="72BBD863"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9762</w:t>
            </w:r>
          </w:p>
        </w:tc>
        <w:tc>
          <w:tcPr>
            <w:tcW w:w="0" w:type="auto"/>
            <w:shd w:val="clear" w:color="auto" w:fill="FFFFFF"/>
            <w:vAlign w:val="center"/>
          </w:tcPr>
          <w:p w14:paraId="2B695177"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0.263</w:t>
            </w:r>
          </w:p>
        </w:tc>
      </w:tr>
    </w:tbl>
    <w:p w14:paraId="6B21B65C" w14:textId="77777777" w:rsidR="00535A76" w:rsidRPr="00535A76" w:rsidRDefault="00535A76" w:rsidP="00535A76">
      <w:pPr>
        <w:rPr>
          <w:rFonts w:ascii="Calibri" w:eastAsia="Calibri" w:hAnsi="Calibri"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
        <w:gridCol w:w="3846"/>
        <w:gridCol w:w="1714"/>
        <w:gridCol w:w="605"/>
        <w:gridCol w:w="911"/>
        <w:gridCol w:w="691"/>
      </w:tblGrid>
      <w:tr w:rsidR="00535A76" w:rsidRPr="00535A76" w14:paraId="378342C5" w14:textId="77777777" w:rsidTr="00C65D42">
        <w:trPr>
          <w:jc w:val="center"/>
        </w:trPr>
        <w:tc>
          <w:tcPr>
            <w:tcW w:w="0" w:type="auto"/>
            <w:gridSpan w:val="6"/>
            <w:shd w:val="clear" w:color="auto" w:fill="FFFF00"/>
            <w:noWrap/>
            <w:vAlign w:val="center"/>
            <w:hideMark/>
          </w:tcPr>
          <w:p w14:paraId="075DE0BC"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PRD</w:t>
            </w:r>
          </w:p>
        </w:tc>
      </w:tr>
      <w:tr w:rsidR="00535A76" w:rsidRPr="00535A76" w14:paraId="3BD58793" w14:textId="77777777" w:rsidTr="00535A76">
        <w:trPr>
          <w:jc w:val="center"/>
        </w:trPr>
        <w:tc>
          <w:tcPr>
            <w:tcW w:w="0" w:type="auto"/>
            <w:shd w:val="clear" w:color="auto" w:fill="FFFFFF"/>
            <w:noWrap/>
            <w:vAlign w:val="center"/>
          </w:tcPr>
          <w:p w14:paraId="41A55B6E"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No.</w:t>
            </w:r>
          </w:p>
        </w:tc>
        <w:tc>
          <w:tcPr>
            <w:tcW w:w="0" w:type="auto"/>
            <w:shd w:val="clear" w:color="auto" w:fill="FFFFFF"/>
            <w:noWrap/>
            <w:vAlign w:val="center"/>
          </w:tcPr>
          <w:p w14:paraId="7FB158F5"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b/>
                <w:bCs/>
                <w:color w:val="000000"/>
                <w:lang w:eastAsia="es-MX"/>
              </w:rPr>
              <w:t>Candidatura propietaria</w:t>
            </w:r>
          </w:p>
        </w:tc>
        <w:tc>
          <w:tcPr>
            <w:tcW w:w="0" w:type="auto"/>
            <w:shd w:val="clear" w:color="auto" w:fill="FFFFFF"/>
            <w:vAlign w:val="center"/>
          </w:tcPr>
          <w:p w14:paraId="51AEB294"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b/>
                <w:bCs/>
                <w:color w:val="000000"/>
                <w:lang w:eastAsia="es-MX"/>
              </w:rPr>
              <w:t>Candidatura suplente</w:t>
            </w:r>
          </w:p>
        </w:tc>
        <w:tc>
          <w:tcPr>
            <w:tcW w:w="0" w:type="auto"/>
            <w:shd w:val="clear" w:color="auto" w:fill="FFFFFF"/>
            <w:noWrap/>
            <w:vAlign w:val="center"/>
          </w:tcPr>
          <w:p w14:paraId="3605B01B"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DTO</w:t>
            </w:r>
          </w:p>
        </w:tc>
        <w:tc>
          <w:tcPr>
            <w:tcW w:w="0" w:type="auto"/>
            <w:shd w:val="clear" w:color="auto" w:fill="FFFFFF"/>
            <w:noWrap/>
            <w:vAlign w:val="center"/>
          </w:tcPr>
          <w:p w14:paraId="1341DB92"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b/>
                <w:bCs/>
                <w:color w:val="000000"/>
                <w:lang w:eastAsia="es-MX"/>
              </w:rPr>
              <w:t>VOTOS</w:t>
            </w:r>
          </w:p>
        </w:tc>
        <w:tc>
          <w:tcPr>
            <w:tcW w:w="0" w:type="auto"/>
            <w:shd w:val="clear" w:color="auto" w:fill="FFFFFF"/>
          </w:tcPr>
          <w:p w14:paraId="609128C2"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b/>
                <w:bCs/>
                <w:color w:val="000000"/>
                <w:lang w:eastAsia="es-MX"/>
              </w:rPr>
              <w:t>%</w:t>
            </w:r>
          </w:p>
        </w:tc>
      </w:tr>
      <w:tr w:rsidR="00535A76" w:rsidRPr="00535A76" w14:paraId="20E0A07E" w14:textId="77777777" w:rsidTr="00535A76">
        <w:trPr>
          <w:jc w:val="center"/>
        </w:trPr>
        <w:tc>
          <w:tcPr>
            <w:tcW w:w="0" w:type="auto"/>
            <w:shd w:val="clear" w:color="auto" w:fill="FFFFFF"/>
            <w:noWrap/>
            <w:vAlign w:val="center"/>
            <w:hideMark/>
          </w:tcPr>
          <w:p w14:paraId="09BED7DD"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w:t>
            </w:r>
          </w:p>
        </w:tc>
        <w:tc>
          <w:tcPr>
            <w:tcW w:w="0" w:type="auto"/>
            <w:shd w:val="clear" w:color="auto" w:fill="FFFFFF"/>
            <w:noWrap/>
            <w:vAlign w:val="center"/>
            <w:hideMark/>
          </w:tcPr>
          <w:p w14:paraId="796BFB5E"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 xml:space="preserve">Ricardo </w:t>
            </w:r>
            <w:proofErr w:type="spellStart"/>
            <w:r w:rsidRPr="00535A76">
              <w:rPr>
                <w:rFonts w:ascii="Arial" w:eastAsia="Times New Roman" w:hAnsi="Arial" w:cs="Arial"/>
                <w:color w:val="000000"/>
                <w:lang w:eastAsia="es-MX"/>
              </w:rPr>
              <w:t>Janecarlo</w:t>
            </w:r>
            <w:proofErr w:type="spellEnd"/>
            <w:r w:rsidRPr="00535A76">
              <w:rPr>
                <w:rFonts w:ascii="Arial" w:eastAsia="Times New Roman" w:hAnsi="Arial" w:cs="Arial"/>
                <w:color w:val="000000"/>
                <w:lang w:eastAsia="es-MX"/>
              </w:rPr>
              <w:t xml:space="preserve"> Lozano Reynoso</w:t>
            </w:r>
          </w:p>
        </w:tc>
        <w:tc>
          <w:tcPr>
            <w:tcW w:w="0" w:type="auto"/>
            <w:shd w:val="clear" w:color="auto" w:fill="FFFFFF"/>
            <w:vAlign w:val="center"/>
          </w:tcPr>
          <w:p w14:paraId="3E974D4B"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 xml:space="preserve">Israel </w:t>
            </w:r>
            <w:proofErr w:type="spellStart"/>
            <w:r w:rsidRPr="00535A76">
              <w:rPr>
                <w:rFonts w:ascii="Arial" w:eastAsia="Times New Roman" w:hAnsi="Arial" w:cs="Arial"/>
                <w:color w:val="000000"/>
                <w:lang w:eastAsia="es-MX"/>
              </w:rPr>
              <w:t>Ramirez</w:t>
            </w:r>
            <w:proofErr w:type="spellEnd"/>
            <w:r w:rsidRPr="00535A76">
              <w:rPr>
                <w:rFonts w:ascii="Arial" w:eastAsia="Times New Roman" w:hAnsi="Arial" w:cs="Arial"/>
                <w:color w:val="000000"/>
                <w:lang w:eastAsia="es-MX"/>
              </w:rPr>
              <w:t xml:space="preserve"> Mosqueda</w:t>
            </w:r>
          </w:p>
        </w:tc>
        <w:tc>
          <w:tcPr>
            <w:tcW w:w="0" w:type="auto"/>
            <w:shd w:val="clear" w:color="auto" w:fill="FFFFFF"/>
            <w:noWrap/>
            <w:vAlign w:val="center"/>
            <w:hideMark/>
          </w:tcPr>
          <w:p w14:paraId="4D7D11BC"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4</w:t>
            </w:r>
          </w:p>
        </w:tc>
        <w:tc>
          <w:tcPr>
            <w:tcW w:w="0" w:type="auto"/>
            <w:shd w:val="clear" w:color="auto" w:fill="FFFFFF"/>
            <w:noWrap/>
            <w:vAlign w:val="center"/>
            <w:hideMark/>
          </w:tcPr>
          <w:p w14:paraId="521E2AD1"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20034</w:t>
            </w:r>
          </w:p>
        </w:tc>
        <w:tc>
          <w:tcPr>
            <w:tcW w:w="0" w:type="auto"/>
            <w:shd w:val="clear" w:color="auto" w:fill="FFFFFF"/>
            <w:vAlign w:val="center"/>
          </w:tcPr>
          <w:p w14:paraId="6A5D85BD"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0.540</w:t>
            </w:r>
          </w:p>
        </w:tc>
      </w:tr>
      <w:tr w:rsidR="00535A76" w:rsidRPr="00535A76" w14:paraId="00AD6C00" w14:textId="77777777" w:rsidTr="00535A76">
        <w:trPr>
          <w:jc w:val="center"/>
        </w:trPr>
        <w:tc>
          <w:tcPr>
            <w:tcW w:w="0" w:type="auto"/>
            <w:shd w:val="clear" w:color="auto" w:fill="FFFFFF"/>
            <w:noWrap/>
            <w:vAlign w:val="center"/>
            <w:hideMark/>
          </w:tcPr>
          <w:p w14:paraId="6479CCC6"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2</w:t>
            </w:r>
          </w:p>
        </w:tc>
        <w:tc>
          <w:tcPr>
            <w:tcW w:w="0" w:type="auto"/>
            <w:shd w:val="clear" w:color="auto" w:fill="FFFFFF"/>
            <w:noWrap/>
            <w:vAlign w:val="center"/>
            <w:hideMark/>
          </w:tcPr>
          <w:p w14:paraId="2FB1C151" w14:textId="77777777" w:rsidR="00535A76" w:rsidRPr="00535A76" w:rsidRDefault="00535A76" w:rsidP="00535A76">
            <w:pPr>
              <w:spacing w:after="0" w:line="240" w:lineRule="auto"/>
              <w:jc w:val="center"/>
              <w:rPr>
                <w:rFonts w:ascii="Arial" w:eastAsia="Times New Roman" w:hAnsi="Arial" w:cs="Arial"/>
                <w:color w:val="000000"/>
                <w:lang w:eastAsia="es-MX"/>
              </w:rPr>
            </w:pPr>
            <w:proofErr w:type="spellStart"/>
            <w:r w:rsidRPr="00535A76">
              <w:rPr>
                <w:rFonts w:ascii="Arial" w:eastAsia="Times New Roman" w:hAnsi="Arial" w:cs="Arial"/>
                <w:color w:val="000000"/>
                <w:lang w:eastAsia="es-MX"/>
              </w:rPr>
              <w:t>Desireé</w:t>
            </w:r>
            <w:proofErr w:type="spellEnd"/>
            <w:r w:rsidRPr="00535A76">
              <w:rPr>
                <w:rFonts w:ascii="Arial" w:eastAsia="Times New Roman" w:hAnsi="Arial" w:cs="Arial"/>
                <w:color w:val="000000"/>
                <w:lang w:eastAsia="es-MX"/>
              </w:rPr>
              <w:t xml:space="preserve"> Guadalupe Navarro López e</w:t>
            </w:r>
          </w:p>
        </w:tc>
        <w:tc>
          <w:tcPr>
            <w:tcW w:w="0" w:type="auto"/>
            <w:shd w:val="clear" w:color="auto" w:fill="FFFFFF"/>
            <w:vAlign w:val="center"/>
          </w:tcPr>
          <w:p w14:paraId="5151FDCB"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Ileana Beatriz Pardo Hernandez</w:t>
            </w:r>
          </w:p>
        </w:tc>
        <w:tc>
          <w:tcPr>
            <w:tcW w:w="0" w:type="auto"/>
            <w:shd w:val="clear" w:color="auto" w:fill="FFFFFF"/>
            <w:noWrap/>
            <w:vAlign w:val="center"/>
            <w:hideMark/>
          </w:tcPr>
          <w:p w14:paraId="51822585"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32</w:t>
            </w:r>
          </w:p>
        </w:tc>
        <w:tc>
          <w:tcPr>
            <w:tcW w:w="0" w:type="auto"/>
            <w:shd w:val="clear" w:color="auto" w:fill="FFFFFF"/>
            <w:noWrap/>
            <w:vAlign w:val="center"/>
            <w:hideMark/>
          </w:tcPr>
          <w:p w14:paraId="08E631D1"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13114</w:t>
            </w:r>
          </w:p>
        </w:tc>
        <w:tc>
          <w:tcPr>
            <w:tcW w:w="0" w:type="auto"/>
            <w:shd w:val="clear" w:color="auto" w:fill="FFFFFF"/>
            <w:vAlign w:val="center"/>
          </w:tcPr>
          <w:p w14:paraId="0211D1E2"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0.353</w:t>
            </w:r>
          </w:p>
        </w:tc>
      </w:tr>
      <w:tr w:rsidR="00535A76" w:rsidRPr="00535A76" w14:paraId="0086472E" w14:textId="77777777" w:rsidTr="00535A76">
        <w:trPr>
          <w:jc w:val="center"/>
        </w:trPr>
        <w:tc>
          <w:tcPr>
            <w:tcW w:w="0" w:type="auto"/>
            <w:shd w:val="clear" w:color="auto" w:fill="FFFFFF"/>
            <w:noWrap/>
            <w:vAlign w:val="center"/>
            <w:hideMark/>
          </w:tcPr>
          <w:p w14:paraId="1814E584"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3</w:t>
            </w:r>
          </w:p>
        </w:tc>
        <w:tc>
          <w:tcPr>
            <w:tcW w:w="0" w:type="auto"/>
            <w:shd w:val="clear" w:color="auto" w:fill="FFFFFF"/>
            <w:noWrap/>
            <w:vAlign w:val="center"/>
            <w:hideMark/>
          </w:tcPr>
          <w:p w14:paraId="74B5B530"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David Quiroga Anguiano</w:t>
            </w:r>
          </w:p>
        </w:tc>
        <w:tc>
          <w:tcPr>
            <w:tcW w:w="0" w:type="auto"/>
            <w:shd w:val="clear" w:color="auto" w:fill="FFFFFF"/>
            <w:vAlign w:val="center"/>
          </w:tcPr>
          <w:p w14:paraId="79F4E102"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Jesús Javier Aguilar Martínez</w:t>
            </w:r>
          </w:p>
        </w:tc>
        <w:tc>
          <w:tcPr>
            <w:tcW w:w="0" w:type="auto"/>
            <w:shd w:val="clear" w:color="auto" w:fill="FFFFFF"/>
            <w:noWrap/>
            <w:vAlign w:val="center"/>
            <w:hideMark/>
          </w:tcPr>
          <w:p w14:paraId="426915C5"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21</w:t>
            </w:r>
          </w:p>
        </w:tc>
        <w:tc>
          <w:tcPr>
            <w:tcW w:w="0" w:type="auto"/>
            <w:shd w:val="clear" w:color="auto" w:fill="FFFFFF"/>
            <w:noWrap/>
            <w:vAlign w:val="center"/>
            <w:hideMark/>
          </w:tcPr>
          <w:p w14:paraId="5474ECC6"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8546</w:t>
            </w:r>
          </w:p>
        </w:tc>
        <w:tc>
          <w:tcPr>
            <w:tcW w:w="0" w:type="auto"/>
            <w:shd w:val="clear" w:color="auto" w:fill="FFFFFF"/>
            <w:vAlign w:val="center"/>
          </w:tcPr>
          <w:p w14:paraId="24AC4957"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0.230</w:t>
            </w:r>
          </w:p>
        </w:tc>
      </w:tr>
      <w:tr w:rsidR="00535A76" w:rsidRPr="00535A76" w14:paraId="2122BA5C" w14:textId="77777777" w:rsidTr="00535A76">
        <w:trPr>
          <w:jc w:val="center"/>
        </w:trPr>
        <w:tc>
          <w:tcPr>
            <w:tcW w:w="0" w:type="auto"/>
            <w:shd w:val="clear" w:color="auto" w:fill="FFFFFF"/>
            <w:noWrap/>
            <w:vAlign w:val="center"/>
            <w:hideMark/>
          </w:tcPr>
          <w:p w14:paraId="3A656882"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4</w:t>
            </w:r>
          </w:p>
        </w:tc>
        <w:tc>
          <w:tcPr>
            <w:tcW w:w="0" w:type="auto"/>
            <w:shd w:val="clear" w:color="auto" w:fill="FFFFFF"/>
            <w:noWrap/>
            <w:vAlign w:val="center"/>
            <w:hideMark/>
          </w:tcPr>
          <w:p w14:paraId="5F6710ED"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David Ricardo Nava Martinez</w:t>
            </w:r>
          </w:p>
        </w:tc>
        <w:tc>
          <w:tcPr>
            <w:tcW w:w="0" w:type="auto"/>
            <w:shd w:val="clear" w:color="auto" w:fill="FFFFFF"/>
            <w:vAlign w:val="center"/>
          </w:tcPr>
          <w:p w14:paraId="10014744"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 xml:space="preserve">Davis </w:t>
            </w:r>
            <w:proofErr w:type="spellStart"/>
            <w:r w:rsidRPr="00535A76">
              <w:rPr>
                <w:rFonts w:ascii="Arial" w:eastAsia="Times New Roman" w:hAnsi="Arial" w:cs="Arial"/>
                <w:color w:val="000000"/>
                <w:lang w:eastAsia="es-MX"/>
              </w:rPr>
              <w:t>Cossio</w:t>
            </w:r>
            <w:proofErr w:type="spellEnd"/>
            <w:r w:rsidRPr="00535A76">
              <w:rPr>
                <w:rFonts w:ascii="Arial" w:eastAsia="Times New Roman" w:hAnsi="Arial" w:cs="Arial"/>
                <w:color w:val="000000"/>
                <w:lang w:eastAsia="es-MX"/>
              </w:rPr>
              <w:t xml:space="preserve"> García</w:t>
            </w:r>
          </w:p>
        </w:tc>
        <w:tc>
          <w:tcPr>
            <w:tcW w:w="0" w:type="auto"/>
            <w:shd w:val="clear" w:color="auto" w:fill="FFFFFF"/>
            <w:noWrap/>
            <w:vAlign w:val="center"/>
            <w:hideMark/>
          </w:tcPr>
          <w:p w14:paraId="1C17B626"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15</w:t>
            </w:r>
          </w:p>
        </w:tc>
        <w:tc>
          <w:tcPr>
            <w:tcW w:w="0" w:type="auto"/>
            <w:shd w:val="clear" w:color="auto" w:fill="FFFFFF"/>
            <w:noWrap/>
            <w:vAlign w:val="center"/>
            <w:hideMark/>
          </w:tcPr>
          <w:p w14:paraId="54B39D5B"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8036</w:t>
            </w:r>
          </w:p>
        </w:tc>
        <w:tc>
          <w:tcPr>
            <w:tcW w:w="0" w:type="auto"/>
            <w:shd w:val="clear" w:color="auto" w:fill="FFFFFF"/>
            <w:vAlign w:val="center"/>
          </w:tcPr>
          <w:p w14:paraId="09A885D4"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0.216</w:t>
            </w:r>
          </w:p>
        </w:tc>
      </w:tr>
      <w:tr w:rsidR="00535A76" w:rsidRPr="00535A76" w14:paraId="009A2447" w14:textId="77777777" w:rsidTr="00535A76">
        <w:trPr>
          <w:jc w:val="center"/>
        </w:trPr>
        <w:tc>
          <w:tcPr>
            <w:tcW w:w="0" w:type="auto"/>
            <w:shd w:val="clear" w:color="auto" w:fill="FFFFFF"/>
            <w:noWrap/>
            <w:vAlign w:val="center"/>
            <w:hideMark/>
          </w:tcPr>
          <w:p w14:paraId="4C541292"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5</w:t>
            </w:r>
          </w:p>
        </w:tc>
        <w:tc>
          <w:tcPr>
            <w:tcW w:w="0" w:type="auto"/>
            <w:shd w:val="clear" w:color="auto" w:fill="FFFFFF"/>
            <w:noWrap/>
            <w:vAlign w:val="center"/>
            <w:hideMark/>
          </w:tcPr>
          <w:p w14:paraId="505938E4"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David Eleazar Quiroga Anguiano</w:t>
            </w:r>
          </w:p>
        </w:tc>
        <w:tc>
          <w:tcPr>
            <w:tcW w:w="0" w:type="auto"/>
            <w:shd w:val="clear" w:color="auto" w:fill="FFFFFF"/>
            <w:vAlign w:val="center"/>
          </w:tcPr>
          <w:p w14:paraId="09E8521B"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 xml:space="preserve">Emiliano Isauro </w:t>
            </w:r>
            <w:proofErr w:type="spellStart"/>
            <w:r w:rsidRPr="00535A76">
              <w:rPr>
                <w:rFonts w:ascii="Arial" w:eastAsia="Times New Roman" w:hAnsi="Arial" w:cs="Arial"/>
                <w:color w:val="000000"/>
                <w:lang w:eastAsia="es-MX"/>
              </w:rPr>
              <w:t>Filemon</w:t>
            </w:r>
            <w:proofErr w:type="spellEnd"/>
            <w:r w:rsidRPr="00535A76">
              <w:rPr>
                <w:rFonts w:ascii="Arial" w:eastAsia="Times New Roman" w:hAnsi="Arial" w:cs="Arial"/>
                <w:color w:val="000000"/>
                <w:lang w:eastAsia="es-MX"/>
              </w:rPr>
              <w:t xml:space="preserve"> Jiménez López</w:t>
            </w:r>
          </w:p>
        </w:tc>
        <w:tc>
          <w:tcPr>
            <w:tcW w:w="0" w:type="auto"/>
            <w:shd w:val="clear" w:color="auto" w:fill="FFFFFF"/>
            <w:noWrap/>
            <w:vAlign w:val="center"/>
            <w:hideMark/>
          </w:tcPr>
          <w:p w14:paraId="30A29007"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22</w:t>
            </w:r>
          </w:p>
        </w:tc>
        <w:tc>
          <w:tcPr>
            <w:tcW w:w="0" w:type="auto"/>
            <w:shd w:val="clear" w:color="auto" w:fill="FFFFFF"/>
            <w:noWrap/>
            <w:vAlign w:val="center"/>
            <w:hideMark/>
          </w:tcPr>
          <w:p w14:paraId="677C3B8D"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6944</w:t>
            </w:r>
          </w:p>
        </w:tc>
        <w:tc>
          <w:tcPr>
            <w:tcW w:w="0" w:type="auto"/>
            <w:shd w:val="clear" w:color="auto" w:fill="FFFFFF"/>
            <w:vAlign w:val="center"/>
          </w:tcPr>
          <w:p w14:paraId="2405765A"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0.187</w:t>
            </w:r>
          </w:p>
        </w:tc>
      </w:tr>
      <w:tr w:rsidR="00535A76" w:rsidRPr="00535A76" w14:paraId="54511D86" w14:textId="77777777" w:rsidTr="00535A76">
        <w:trPr>
          <w:jc w:val="center"/>
        </w:trPr>
        <w:tc>
          <w:tcPr>
            <w:tcW w:w="0" w:type="auto"/>
            <w:shd w:val="clear" w:color="auto" w:fill="FFFFFF"/>
            <w:noWrap/>
            <w:vAlign w:val="center"/>
            <w:hideMark/>
          </w:tcPr>
          <w:p w14:paraId="346E7982"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6</w:t>
            </w:r>
          </w:p>
        </w:tc>
        <w:tc>
          <w:tcPr>
            <w:tcW w:w="0" w:type="auto"/>
            <w:shd w:val="clear" w:color="auto" w:fill="FFFFFF"/>
            <w:noWrap/>
            <w:vAlign w:val="center"/>
            <w:hideMark/>
          </w:tcPr>
          <w:p w14:paraId="0D382F2C" w14:textId="77777777" w:rsidR="00535A76" w:rsidRPr="00535A76" w:rsidRDefault="00535A76" w:rsidP="00535A76">
            <w:pPr>
              <w:spacing w:after="0" w:line="240" w:lineRule="auto"/>
              <w:jc w:val="center"/>
              <w:rPr>
                <w:rFonts w:ascii="Arial" w:eastAsia="Times New Roman" w:hAnsi="Arial" w:cs="Arial"/>
                <w:color w:val="000000"/>
                <w:lang w:eastAsia="es-MX"/>
              </w:rPr>
            </w:pPr>
            <w:proofErr w:type="spellStart"/>
            <w:r w:rsidRPr="00535A76">
              <w:rPr>
                <w:rFonts w:ascii="Arial" w:eastAsia="Times New Roman" w:hAnsi="Arial" w:cs="Arial"/>
                <w:color w:val="000000"/>
                <w:lang w:eastAsia="es-MX"/>
              </w:rPr>
              <w:t>Nury</w:t>
            </w:r>
            <w:proofErr w:type="spellEnd"/>
            <w:r w:rsidRPr="00535A76">
              <w:rPr>
                <w:rFonts w:ascii="Arial" w:eastAsia="Times New Roman" w:hAnsi="Arial" w:cs="Arial"/>
                <w:color w:val="000000"/>
                <w:lang w:eastAsia="es-MX"/>
              </w:rPr>
              <w:t xml:space="preserve"> Delia Ruiz Ovando</w:t>
            </w:r>
          </w:p>
        </w:tc>
        <w:tc>
          <w:tcPr>
            <w:tcW w:w="0" w:type="auto"/>
            <w:shd w:val="clear" w:color="auto" w:fill="FFFFFF"/>
            <w:vAlign w:val="center"/>
          </w:tcPr>
          <w:p w14:paraId="3F7659C7"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Dulce Mariela Flores Varela</w:t>
            </w:r>
          </w:p>
        </w:tc>
        <w:tc>
          <w:tcPr>
            <w:tcW w:w="0" w:type="auto"/>
            <w:shd w:val="clear" w:color="auto" w:fill="FFFFFF"/>
            <w:noWrap/>
            <w:vAlign w:val="center"/>
            <w:hideMark/>
          </w:tcPr>
          <w:p w14:paraId="3A5EFE9F"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27</w:t>
            </w:r>
          </w:p>
        </w:tc>
        <w:tc>
          <w:tcPr>
            <w:tcW w:w="0" w:type="auto"/>
            <w:shd w:val="clear" w:color="auto" w:fill="FFFFFF"/>
            <w:noWrap/>
            <w:vAlign w:val="center"/>
            <w:hideMark/>
          </w:tcPr>
          <w:p w14:paraId="695AFB51"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6851</w:t>
            </w:r>
          </w:p>
        </w:tc>
        <w:tc>
          <w:tcPr>
            <w:tcW w:w="0" w:type="auto"/>
            <w:shd w:val="clear" w:color="auto" w:fill="FFFFFF"/>
            <w:vAlign w:val="center"/>
          </w:tcPr>
          <w:p w14:paraId="62683F4B"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0.184</w:t>
            </w:r>
          </w:p>
        </w:tc>
      </w:tr>
      <w:tr w:rsidR="00535A76" w:rsidRPr="00535A76" w14:paraId="02B7FBD8" w14:textId="77777777" w:rsidTr="00535A76">
        <w:trPr>
          <w:jc w:val="center"/>
        </w:trPr>
        <w:tc>
          <w:tcPr>
            <w:tcW w:w="0" w:type="auto"/>
            <w:shd w:val="clear" w:color="auto" w:fill="FFFFFF"/>
            <w:noWrap/>
            <w:vAlign w:val="center"/>
            <w:hideMark/>
          </w:tcPr>
          <w:p w14:paraId="46E6927E"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7</w:t>
            </w:r>
          </w:p>
        </w:tc>
        <w:tc>
          <w:tcPr>
            <w:tcW w:w="0" w:type="auto"/>
            <w:shd w:val="clear" w:color="auto" w:fill="FFFFFF"/>
            <w:noWrap/>
            <w:vAlign w:val="center"/>
            <w:hideMark/>
          </w:tcPr>
          <w:p w14:paraId="168ECC6F"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Facundo Domingo Fuentes López</w:t>
            </w:r>
          </w:p>
        </w:tc>
        <w:tc>
          <w:tcPr>
            <w:tcW w:w="0" w:type="auto"/>
            <w:shd w:val="clear" w:color="auto" w:fill="FFFFFF"/>
            <w:vAlign w:val="center"/>
          </w:tcPr>
          <w:p w14:paraId="7F457DEF"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 xml:space="preserve">Mario Alfaro </w:t>
            </w:r>
            <w:proofErr w:type="spellStart"/>
            <w:r w:rsidRPr="00535A76">
              <w:rPr>
                <w:rFonts w:ascii="Arial" w:eastAsia="Times New Roman" w:hAnsi="Arial" w:cs="Arial"/>
                <w:color w:val="000000"/>
                <w:lang w:eastAsia="es-MX"/>
              </w:rPr>
              <w:t>Resendiz</w:t>
            </w:r>
            <w:proofErr w:type="spellEnd"/>
          </w:p>
        </w:tc>
        <w:tc>
          <w:tcPr>
            <w:tcW w:w="0" w:type="auto"/>
            <w:shd w:val="clear" w:color="auto" w:fill="FFFFFF"/>
            <w:noWrap/>
            <w:vAlign w:val="center"/>
            <w:hideMark/>
          </w:tcPr>
          <w:p w14:paraId="27FD4232"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w:t>
            </w:r>
          </w:p>
        </w:tc>
        <w:tc>
          <w:tcPr>
            <w:tcW w:w="0" w:type="auto"/>
            <w:shd w:val="clear" w:color="auto" w:fill="FFFFFF"/>
            <w:noWrap/>
            <w:vAlign w:val="center"/>
            <w:hideMark/>
          </w:tcPr>
          <w:p w14:paraId="39E1421E"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6510</w:t>
            </w:r>
          </w:p>
        </w:tc>
        <w:tc>
          <w:tcPr>
            <w:tcW w:w="0" w:type="auto"/>
            <w:shd w:val="clear" w:color="auto" w:fill="FFFFFF"/>
            <w:vAlign w:val="center"/>
          </w:tcPr>
          <w:p w14:paraId="11B25D75"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0.175</w:t>
            </w:r>
          </w:p>
        </w:tc>
      </w:tr>
      <w:tr w:rsidR="00535A76" w:rsidRPr="00535A76" w14:paraId="3A7BE8A9" w14:textId="77777777" w:rsidTr="00535A76">
        <w:trPr>
          <w:jc w:val="center"/>
        </w:trPr>
        <w:tc>
          <w:tcPr>
            <w:tcW w:w="0" w:type="auto"/>
            <w:shd w:val="clear" w:color="auto" w:fill="FFFFFF"/>
            <w:noWrap/>
            <w:vAlign w:val="center"/>
            <w:hideMark/>
          </w:tcPr>
          <w:p w14:paraId="674532A2"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8</w:t>
            </w:r>
          </w:p>
        </w:tc>
        <w:tc>
          <w:tcPr>
            <w:tcW w:w="0" w:type="auto"/>
            <w:shd w:val="clear" w:color="auto" w:fill="FFFFFF"/>
            <w:noWrap/>
            <w:vAlign w:val="center"/>
            <w:hideMark/>
          </w:tcPr>
          <w:p w14:paraId="64B44E4A"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Rosa Nelly De la Vega Urrutia</w:t>
            </w:r>
          </w:p>
        </w:tc>
        <w:tc>
          <w:tcPr>
            <w:tcW w:w="0" w:type="auto"/>
            <w:shd w:val="clear" w:color="auto" w:fill="FFFFFF"/>
            <w:vAlign w:val="center"/>
          </w:tcPr>
          <w:p w14:paraId="742C4AC4"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 xml:space="preserve">Teresa Guevara Garcés  </w:t>
            </w:r>
          </w:p>
        </w:tc>
        <w:tc>
          <w:tcPr>
            <w:tcW w:w="0" w:type="auto"/>
            <w:shd w:val="clear" w:color="auto" w:fill="FFFFFF"/>
            <w:noWrap/>
            <w:vAlign w:val="center"/>
            <w:hideMark/>
          </w:tcPr>
          <w:p w14:paraId="623D31E5"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29</w:t>
            </w:r>
          </w:p>
        </w:tc>
        <w:tc>
          <w:tcPr>
            <w:tcW w:w="0" w:type="auto"/>
            <w:shd w:val="clear" w:color="auto" w:fill="FFFFFF"/>
            <w:noWrap/>
            <w:vAlign w:val="center"/>
            <w:hideMark/>
          </w:tcPr>
          <w:p w14:paraId="60AFFF39"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5077</w:t>
            </w:r>
          </w:p>
        </w:tc>
        <w:tc>
          <w:tcPr>
            <w:tcW w:w="0" w:type="auto"/>
            <w:shd w:val="clear" w:color="auto" w:fill="FFFFFF"/>
            <w:vAlign w:val="center"/>
          </w:tcPr>
          <w:p w14:paraId="5ADF1029"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0.136</w:t>
            </w:r>
          </w:p>
        </w:tc>
      </w:tr>
      <w:tr w:rsidR="00535A76" w:rsidRPr="00535A76" w14:paraId="4813DE39" w14:textId="77777777" w:rsidTr="00535A76">
        <w:trPr>
          <w:jc w:val="center"/>
        </w:trPr>
        <w:tc>
          <w:tcPr>
            <w:tcW w:w="0" w:type="auto"/>
            <w:shd w:val="clear" w:color="auto" w:fill="FFFFFF"/>
            <w:noWrap/>
            <w:vAlign w:val="center"/>
          </w:tcPr>
          <w:p w14:paraId="3E996739"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9</w:t>
            </w:r>
          </w:p>
        </w:tc>
        <w:tc>
          <w:tcPr>
            <w:tcW w:w="0" w:type="auto"/>
            <w:shd w:val="clear" w:color="auto" w:fill="FFFFFF"/>
            <w:noWrap/>
            <w:vAlign w:val="center"/>
            <w:hideMark/>
          </w:tcPr>
          <w:p w14:paraId="1E19C8A8"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María de los Angeles Palafox Morales</w:t>
            </w:r>
          </w:p>
        </w:tc>
        <w:tc>
          <w:tcPr>
            <w:tcW w:w="0" w:type="auto"/>
            <w:shd w:val="clear" w:color="auto" w:fill="FFFFFF"/>
            <w:vAlign w:val="center"/>
          </w:tcPr>
          <w:p w14:paraId="5E338B6D"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Marcela Valeria Vergara Hernández</w:t>
            </w:r>
          </w:p>
        </w:tc>
        <w:tc>
          <w:tcPr>
            <w:tcW w:w="0" w:type="auto"/>
            <w:shd w:val="clear" w:color="auto" w:fill="FFFFFF"/>
            <w:noWrap/>
            <w:vAlign w:val="center"/>
            <w:hideMark/>
          </w:tcPr>
          <w:p w14:paraId="7A78CFDA"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3</w:t>
            </w:r>
          </w:p>
        </w:tc>
        <w:tc>
          <w:tcPr>
            <w:tcW w:w="0" w:type="auto"/>
            <w:shd w:val="clear" w:color="auto" w:fill="FFFFFF"/>
            <w:noWrap/>
            <w:vAlign w:val="center"/>
            <w:hideMark/>
          </w:tcPr>
          <w:p w14:paraId="07CAD6AF"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3359</w:t>
            </w:r>
          </w:p>
        </w:tc>
        <w:tc>
          <w:tcPr>
            <w:tcW w:w="0" w:type="auto"/>
            <w:shd w:val="clear" w:color="auto" w:fill="FFFFFF"/>
            <w:vAlign w:val="center"/>
          </w:tcPr>
          <w:p w14:paraId="0B9AAE0D"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0.090</w:t>
            </w:r>
          </w:p>
        </w:tc>
      </w:tr>
      <w:tr w:rsidR="00535A76" w:rsidRPr="00535A76" w14:paraId="6A07EAD3" w14:textId="77777777" w:rsidTr="00535A76">
        <w:trPr>
          <w:jc w:val="center"/>
        </w:trPr>
        <w:tc>
          <w:tcPr>
            <w:tcW w:w="0" w:type="auto"/>
            <w:shd w:val="clear" w:color="auto" w:fill="FFFFFF"/>
            <w:noWrap/>
            <w:vAlign w:val="center"/>
          </w:tcPr>
          <w:p w14:paraId="3D40FEB5"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10</w:t>
            </w:r>
          </w:p>
        </w:tc>
        <w:tc>
          <w:tcPr>
            <w:tcW w:w="0" w:type="auto"/>
            <w:shd w:val="clear" w:color="auto" w:fill="FFFFFF"/>
            <w:noWrap/>
            <w:vAlign w:val="center"/>
            <w:hideMark/>
          </w:tcPr>
          <w:p w14:paraId="017842F8"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Alberto Caballero Palacios</w:t>
            </w:r>
          </w:p>
        </w:tc>
        <w:tc>
          <w:tcPr>
            <w:tcW w:w="0" w:type="auto"/>
            <w:shd w:val="clear" w:color="auto" w:fill="FFFFFF"/>
            <w:vAlign w:val="center"/>
          </w:tcPr>
          <w:p w14:paraId="7DADD611"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 xml:space="preserve">José </w:t>
            </w:r>
            <w:proofErr w:type="spellStart"/>
            <w:r w:rsidRPr="00535A76">
              <w:rPr>
                <w:rFonts w:ascii="Arial" w:eastAsia="Times New Roman" w:hAnsi="Arial" w:cs="Arial"/>
                <w:color w:val="000000"/>
                <w:lang w:eastAsia="es-MX"/>
              </w:rPr>
              <w:t>Cuautemoc</w:t>
            </w:r>
            <w:proofErr w:type="spellEnd"/>
            <w:r w:rsidRPr="00535A76">
              <w:rPr>
                <w:rFonts w:ascii="Arial" w:eastAsia="Times New Roman" w:hAnsi="Arial" w:cs="Arial"/>
                <w:color w:val="000000"/>
                <w:lang w:eastAsia="es-MX"/>
              </w:rPr>
              <w:t xml:space="preserve"> Serafín </w:t>
            </w:r>
            <w:proofErr w:type="spellStart"/>
            <w:r w:rsidRPr="00535A76">
              <w:rPr>
                <w:rFonts w:ascii="Arial" w:eastAsia="Times New Roman" w:hAnsi="Arial" w:cs="Arial"/>
                <w:color w:val="000000"/>
                <w:lang w:eastAsia="es-MX"/>
              </w:rPr>
              <w:t>Hernandez</w:t>
            </w:r>
            <w:proofErr w:type="spellEnd"/>
          </w:p>
        </w:tc>
        <w:tc>
          <w:tcPr>
            <w:tcW w:w="0" w:type="auto"/>
            <w:shd w:val="clear" w:color="auto" w:fill="FFFFFF"/>
            <w:noWrap/>
            <w:vAlign w:val="center"/>
            <w:hideMark/>
          </w:tcPr>
          <w:p w14:paraId="10FA504D"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14</w:t>
            </w:r>
          </w:p>
        </w:tc>
        <w:tc>
          <w:tcPr>
            <w:tcW w:w="0" w:type="auto"/>
            <w:shd w:val="clear" w:color="auto" w:fill="FFFFFF"/>
            <w:noWrap/>
            <w:vAlign w:val="center"/>
            <w:hideMark/>
          </w:tcPr>
          <w:p w14:paraId="6DE75E3B"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2709</w:t>
            </w:r>
          </w:p>
        </w:tc>
        <w:tc>
          <w:tcPr>
            <w:tcW w:w="0" w:type="auto"/>
            <w:shd w:val="clear" w:color="auto" w:fill="FFFFFF"/>
            <w:vAlign w:val="center"/>
          </w:tcPr>
          <w:p w14:paraId="6016E97B"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0.073</w:t>
            </w:r>
          </w:p>
        </w:tc>
      </w:tr>
      <w:tr w:rsidR="00535A76" w:rsidRPr="00535A76" w14:paraId="29B471E9" w14:textId="77777777" w:rsidTr="00535A76">
        <w:trPr>
          <w:jc w:val="center"/>
        </w:trPr>
        <w:tc>
          <w:tcPr>
            <w:tcW w:w="0" w:type="auto"/>
            <w:shd w:val="clear" w:color="auto" w:fill="FFFFFF"/>
            <w:noWrap/>
            <w:vAlign w:val="center"/>
          </w:tcPr>
          <w:p w14:paraId="4CC88402"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11</w:t>
            </w:r>
          </w:p>
        </w:tc>
        <w:tc>
          <w:tcPr>
            <w:tcW w:w="0" w:type="auto"/>
            <w:shd w:val="clear" w:color="auto" w:fill="FFFFFF"/>
            <w:noWrap/>
            <w:vAlign w:val="center"/>
            <w:hideMark/>
          </w:tcPr>
          <w:p w14:paraId="437D1505" w14:textId="77777777" w:rsidR="00535A76" w:rsidRPr="00535A76" w:rsidRDefault="00535A76" w:rsidP="00535A76">
            <w:pPr>
              <w:spacing w:after="0" w:line="240" w:lineRule="auto"/>
              <w:jc w:val="center"/>
              <w:rPr>
                <w:rFonts w:ascii="Arial" w:eastAsia="Times New Roman" w:hAnsi="Arial" w:cs="Arial"/>
                <w:color w:val="000000"/>
                <w:lang w:eastAsia="es-MX"/>
              </w:rPr>
            </w:pPr>
            <w:proofErr w:type="spellStart"/>
            <w:r w:rsidRPr="00535A76">
              <w:rPr>
                <w:rFonts w:ascii="Arial" w:eastAsia="Times New Roman" w:hAnsi="Arial" w:cs="Arial"/>
                <w:color w:val="000000"/>
                <w:lang w:eastAsia="es-MX"/>
              </w:rPr>
              <w:t>Kilauren</w:t>
            </w:r>
            <w:proofErr w:type="spellEnd"/>
            <w:r w:rsidRPr="00535A76">
              <w:rPr>
                <w:rFonts w:ascii="Arial" w:eastAsia="Times New Roman" w:hAnsi="Arial" w:cs="Arial"/>
                <w:color w:val="000000"/>
                <w:lang w:eastAsia="es-MX"/>
              </w:rPr>
              <w:t xml:space="preserve"> Paulina Cobos Lázaro</w:t>
            </w:r>
          </w:p>
        </w:tc>
        <w:tc>
          <w:tcPr>
            <w:tcW w:w="0" w:type="auto"/>
            <w:shd w:val="clear" w:color="auto" w:fill="FFFFFF"/>
            <w:vAlign w:val="center"/>
          </w:tcPr>
          <w:p w14:paraId="309C47EB"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color w:val="000000"/>
                <w:lang w:eastAsia="es-MX"/>
              </w:rPr>
              <w:t>Mariana Zamora Ocampo</w:t>
            </w:r>
          </w:p>
        </w:tc>
        <w:tc>
          <w:tcPr>
            <w:tcW w:w="0" w:type="auto"/>
            <w:shd w:val="clear" w:color="auto" w:fill="FFFFFF"/>
            <w:noWrap/>
            <w:vAlign w:val="center"/>
            <w:hideMark/>
          </w:tcPr>
          <w:p w14:paraId="767FD9CF" w14:textId="77777777" w:rsidR="00535A76" w:rsidRPr="00535A76" w:rsidRDefault="00535A76" w:rsidP="00535A76">
            <w:pPr>
              <w:spacing w:after="0" w:line="240" w:lineRule="auto"/>
              <w:jc w:val="center"/>
              <w:rPr>
                <w:rFonts w:ascii="Arial" w:eastAsia="Times New Roman" w:hAnsi="Arial" w:cs="Arial"/>
                <w:b/>
                <w:bCs/>
                <w:color w:val="000000"/>
                <w:lang w:eastAsia="es-MX"/>
              </w:rPr>
            </w:pPr>
            <w:r w:rsidRPr="00535A76">
              <w:rPr>
                <w:rFonts w:ascii="Arial" w:eastAsia="Times New Roman" w:hAnsi="Arial" w:cs="Arial"/>
                <w:b/>
                <w:bCs/>
                <w:color w:val="000000"/>
                <w:lang w:eastAsia="es-MX"/>
              </w:rPr>
              <w:t>17</w:t>
            </w:r>
          </w:p>
        </w:tc>
        <w:tc>
          <w:tcPr>
            <w:tcW w:w="0" w:type="auto"/>
            <w:shd w:val="clear" w:color="auto" w:fill="FFFFFF"/>
            <w:noWrap/>
            <w:vAlign w:val="center"/>
            <w:hideMark/>
          </w:tcPr>
          <w:p w14:paraId="21D3D96E"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2595</w:t>
            </w:r>
          </w:p>
        </w:tc>
        <w:tc>
          <w:tcPr>
            <w:tcW w:w="0" w:type="auto"/>
            <w:shd w:val="clear" w:color="auto" w:fill="FFFFFF"/>
            <w:vAlign w:val="center"/>
          </w:tcPr>
          <w:p w14:paraId="574914EB" w14:textId="77777777" w:rsidR="00535A76" w:rsidRPr="00535A76" w:rsidRDefault="00535A76" w:rsidP="00535A76">
            <w:pPr>
              <w:spacing w:after="0" w:line="240" w:lineRule="auto"/>
              <w:jc w:val="center"/>
              <w:rPr>
                <w:rFonts w:ascii="Arial" w:eastAsia="Times New Roman" w:hAnsi="Arial" w:cs="Arial"/>
                <w:color w:val="000000"/>
                <w:lang w:eastAsia="es-MX"/>
              </w:rPr>
            </w:pPr>
            <w:r w:rsidRPr="00535A76">
              <w:rPr>
                <w:rFonts w:ascii="Arial" w:eastAsia="Times New Roman" w:hAnsi="Arial" w:cs="Arial"/>
                <w:color w:val="000000"/>
                <w:lang w:eastAsia="es-MX"/>
              </w:rPr>
              <w:t>0.070</w:t>
            </w:r>
          </w:p>
        </w:tc>
      </w:tr>
    </w:tbl>
    <w:p w14:paraId="0A82B8C3" w14:textId="77777777" w:rsidR="00535A76" w:rsidRPr="00535A76" w:rsidRDefault="00535A76" w:rsidP="00535A76">
      <w:pPr>
        <w:rPr>
          <w:rFonts w:ascii="Calibri" w:eastAsia="Calibri" w:hAnsi="Calibri" w:cs="Times New Roman"/>
        </w:rPr>
      </w:pPr>
    </w:p>
    <w:p w14:paraId="3BF31351" w14:textId="77777777" w:rsidR="00535A76" w:rsidRPr="00535A76" w:rsidRDefault="00535A76" w:rsidP="00535A76">
      <w:pPr>
        <w:spacing w:after="0" w:line="360" w:lineRule="auto"/>
        <w:jc w:val="both"/>
        <w:rPr>
          <w:rFonts w:ascii="Arial" w:eastAsia="Calibri" w:hAnsi="Arial" w:cs="Times New Roman"/>
          <w:sz w:val="28"/>
        </w:rPr>
      </w:pPr>
      <w:r w:rsidRPr="00535A76">
        <w:rPr>
          <w:rFonts w:ascii="Arial" w:eastAsia="Calibri" w:hAnsi="Arial" w:cs="Times New Roman"/>
          <w:sz w:val="28"/>
        </w:rPr>
        <w:t>En ese sentido, atendido a las reglas de la fórmula que debe utilizarse para la asignación de las diputaciones, establecida en la fracción V, del Código Electoral y 13, de los lineamientos de asignación, se obtienen los siguientes resultados:</w:t>
      </w:r>
    </w:p>
    <w:p w14:paraId="7738D01B" w14:textId="77777777" w:rsidR="00535A76" w:rsidRPr="00535A76" w:rsidRDefault="00535A76" w:rsidP="00535A76">
      <w:pPr>
        <w:spacing w:after="0" w:line="360" w:lineRule="auto"/>
        <w:jc w:val="both"/>
        <w:rPr>
          <w:rFonts w:ascii="Arial" w:eastAsia="Calibri" w:hAnsi="Arial" w:cs="Times New Roman"/>
          <w:sz w:val="28"/>
        </w:rPr>
      </w:pPr>
    </w:p>
    <w:p w14:paraId="5994992A" w14:textId="77777777" w:rsidR="00535A76" w:rsidRPr="00535A76" w:rsidRDefault="00535A76" w:rsidP="00535A76">
      <w:pPr>
        <w:jc w:val="center"/>
        <w:rPr>
          <w:rFonts w:ascii="Arial" w:eastAsia="Calibri" w:hAnsi="Arial" w:cs="Arial"/>
          <w:b/>
          <w:bCs/>
        </w:rPr>
      </w:pPr>
      <w:r w:rsidRPr="00535A76">
        <w:rPr>
          <w:rFonts w:ascii="Arial" w:eastAsia="Calibri" w:hAnsi="Arial" w:cs="Arial"/>
          <w:b/>
          <w:bCs/>
        </w:rPr>
        <w:t>Distribución de Diputaciones por el principio de RP</w:t>
      </w:r>
    </w:p>
    <w:tbl>
      <w:tblPr>
        <w:tblW w:w="8859" w:type="dxa"/>
        <w:jc w:val="center"/>
        <w:shd w:val="clear" w:color="auto" w:fill="FFFFFF"/>
        <w:tblLook w:val="04A0" w:firstRow="1" w:lastRow="0" w:firstColumn="1" w:lastColumn="0" w:noHBand="0" w:noVBand="1"/>
      </w:tblPr>
      <w:tblGrid>
        <w:gridCol w:w="1005"/>
        <w:gridCol w:w="695"/>
        <w:gridCol w:w="5600"/>
        <w:gridCol w:w="1559"/>
      </w:tblGrid>
      <w:tr w:rsidR="00535A76" w:rsidRPr="00535A76" w14:paraId="797D6A40" w14:textId="77777777" w:rsidTr="00535A76">
        <w:trPr>
          <w:trHeight w:val="301"/>
          <w:tblHeader/>
          <w:jc w:val="center"/>
        </w:trPr>
        <w:tc>
          <w:tcPr>
            <w:tcW w:w="8859" w:type="dxa"/>
            <w:gridSpan w:val="4"/>
            <w:shd w:val="clear" w:color="auto" w:fill="DF7980"/>
            <w:vAlign w:val="center"/>
          </w:tcPr>
          <w:p w14:paraId="34C4B5C1" w14:textId="638729C4" w:rsidR="00535A76" w:rsidRPr="00535A76" w:rsidRDefault="00535A76" w:rsidP="00535A76">
            <w:pPr>
              <w:jc w:val="center"/>
              <w:rPr>
                <w:rFonts w:ascii="Arial" w:eastAsia="Calibri" w:hAnsi="Arial" w:cs="Arial"/>
                <w:b/>
                <w:sz w:val="20"/>
                <w:szCs w:val="20"/>
              </w:rPr>
            </w:pPr>
            <w:r w:rsidRPr="00535A76">
              <w:rPr>
                <w:rFonts w:ascii="Arial" w:eastAsia="Times New Roman" w:hAnsi="Arial" w:cs="Arial"/>
                <w:b/>
                <w:bCs/>
                <w:color w:val="000000"/>
                <w:sz w:val="20"/>
                <w:szCs w:val="20"/>
                <w:lang w:eastAsia="es-MX"/>
              </w:rPr>
              <w:lastRenderedPageBreak/>
              <w:t>ASIGNACIÓN MOREN</w:t>
            </w:r>
            <w:r w:rsidR="009B6ED0">
              <w:rPr>
                <w:rFonts w:ascii="Arial" w:eastAsia="Times New Roman" w:hAnsi="Arial" w:cs="Arial"/>
                <w:b/>
                <w:bCs/>
                <w:color w:val="000000"/>
                <w:sz w:val="20"/>
                <w:szCs w:val="20"/>
                <w:lang w:eastAsia="es-MX"/>
              </w:rPr>
              <w:t>A</w:t>
            </w:r>
          </w:p>
        </w:tc>
      </w:tr>
      <w:tr w:rsidR="00535A76" w:rsidRPr="00535A76" w14:paraId="65D34BEE" w14:textId="77777777" w:rsidTr="00535A76">
        <w:trPr>
          <w:tblHeader/>
          <w:jc w:val="center"/>
        </w:trPr>
        <w:tc>
          <w:tcPr>
            <w:tcW w:w="1005" w:type="dxa"/>
            <w:shd w:val="clear" w:color="auto" w:fill="FFFFFF"/>
            <w:vAlign w:val="center"/>
          </w:tcPr>
          <w:p w14:paraId="5B6221D8" w14:textId="77777777" w:rsidR="00535A76" w:rsidRPr="00535A76" w:rsidRDefault="00535A76" w:rsidP="00535A76">
            <w:pPr>
              <w:jc w:val="center"/>
              <w:rPr>
                <w:rFonts w:ascii="Arial" w:eastAsia="Calibri" w:hAnsi="Arial" w:cs="Arial"/>
                <w:b/>
                <w:sz w:val="20"/>
                <w:szCs w:val="20"/>
              </w:rPr>
            </w:pPr>
          </w:p>
        </w:tc>
        <w:tc>
          <w:tcPr>
            <w:tcW w:w="695" w:type="dxa"/>
            <w:shd w:val="clear" w:color="auto" w:fill="FFFFFF"/>
            <w:vAlign w:val="center"/>
          </w:tcPr>
          <w:p w14:paraId="5EB93A67"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Sexo</w:t>
            </w:r>
          </w:p>
        </w:tc>
        <w:tc>
          <w:tcPr>
            <w:tcW w:w="5600" w:type="dxa"/>
            <w:shd w:val="clear" w:color="auto" w:fill="FFFFFF"/>
            <w:vAlign w:val="center"/>
          </w:tcPr>
          <w:p w14:paraId="03026095"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Candidatura propietaria</w:t>
            </w:r>
          </w:p>
        </w:tc>
        <w:tc>
          <w:tcPr>
            <w:tcW w:w="1559" w:type="dxa"/>
            <w:shd w:val="clear" w:color="auto" w:fill="FFFFFF"/>
            <w:vAlign w:val="center"/>
          </w:tcPr>
          <w:p w14:paraId="0D3FDB78"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Lugar y lista de origen</w:t>
            </w:r>
          </w:p>
        </w:tc>
      </w:tr>
      <w:tr w:rsidR="00535A76" w:rsidRPr="00535A76" w14:paraId="66BBF489" w14:textId="77777777" w:rsidTr="00535A76">
        <w:trPr>
          <w:jc w:val="center"/>
        </w:trPr>
        <w:tc>
          <w:tcPr>
            <w:tcW w:w="1005" w:type="dxa"/>
            <w:shd w:val="clear" w:color="auto" w:fill="FFFFFF"/>
            <w:vAlign w:val="center"/>
          </w:tcPr>
          <w:p w14:paraId="7614E947" w14:textId="77777777" w:rsidR="00535A76" w:rsidRPr="00535A76" w:rsidRDefault="00535A76" w:rsidP="009B6ED0">
            <w:pPr>
              <w:widowControl w:val="0"/>
              <w:numPr>
                <w:ilvl w:val="0"/>
                <w:numId w:val="39"/>
              </w:numPr>
              <w:spacing w:after="0" w:line="240" w:lineRule="auto"/>
              <w:jc w:val="both"/>
              <w:rPr>
                <w:rFonts w:ascii="Arial" w:eastAsia="Calibri" w:hAnsi="Arial" w:cs="Arial"/>
                <w:b/>
                <w:sz w:val="20"/>
                <w:szCs w:val="20"/>
              </w:rPr>
            </w:pPr>
          </w:p>
        </w:tc>
        <w:tc>
          <w:tcPr>
            <w:tcW w:w="695" w:type="dxa"/>
            <w:shd w:val="clear" w:color="auto" w:fill="FFFFFF"/>
            <w:vAlign w:val="center"/>
          </w:tcPr>
          <w:p w14:paraId="1B463511"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H</w:t>
            </w:r>
          </w:p>
        </w:tc>
        <w:tc>
          <w:tcPr>
            <w:tcW w:w="5600" w:type="dxa"/>
            <w:shd w:val="clear" w:color="auto" w:fill="FFFFFF"/>
            <w:vAlign w:val="center"/>
          </w:tcPr>
          <w:p w14:paraId="6F6E92C8"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José de Jesús Martín del Campo Castañeda</w:t>
            </w:r>
          </w:p>
        </w:tc>
        <w:tc>
          <w:tcPr>
            <w:tcW w:w="1559" w:type="dxa"/>
            <w:shd w:val="clear" w:color="auto" w:fill="FFFFFF"/>
            <w:vAlign w:val="center"/>
          </w:tcPr>
          <w:p w14:paraId="0001F90C"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1A</w:t>
            </w:r>
          </w:p>
        </w:tc>
      </w:tr>
      <w:tr w:rsidR="00535A76" w:rsidRPr="00535A76" w14:paraId="012BB103" w14:textId="77777777" w:rsidTr="00535A76">
        <w:trPr>
          <w:jc w:val="center"/>
        </w:trPr>
        <w:tc>
          <w:tcPr>
            <w:tcW w:w="1005" w:type="dxa"/>
            <w:shd w:val="clear" w:color="auto" w:fill="FFFFFF"/>
            <w:vAlign w:val="center"/>
          </w:tcPr>
          <w:p w14:paraId="53A107EF" w14:textId="77777777" w:rsidR="00535A76" w:rsidRPr="00535A76" w:rsidRDefault="00535A76" w:rsidP="009B6ED0">
            <w:pPr>
              <w:widowControl w:val="0"/>
              <w:numPr>
                <w:ilvl w:val="0"/>
                <w:numId w:val="39"/>
              </w:numPr>
              <w:spacing w:after="0" w:line="240" w:lineRule="auto"/>
              <w:jc w:val="both"/>
              <w:rPr>
                <w:rFonts w:ascii="Arial" w:eastAsia="Calibri" w:hAnsi="Arial" w:cs="Arial"/>
                <w:b/>
                <w:sz w:val="20"/>
                <w:szCs w:val="20"/>
              </w:rPr>
            </w:pPr>
          </w:p>
        </w:tc>
        <w:tc>
          <w:tcPr>
            <w:tcW w:w="695" w:type="dxa"/>
            <w:shd w:val="clear" w:color="auto" w:fill="FFFFFF"/>
            <w:vAlign w:val="center"/>
          </w:tcPr>
          <w:p w14:paraId="63BA2D32"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M</w:t>
            </w:r>
          </w:p>
        </w:tc>
        <w:tc>
          <w:tcPr>
            <w:tcW w:w="5600" w:type="dxa"/>
            <w:shd w:val="clear" w:color="auto" w:fill="FFFFFF"/>
            <w:vAlign w:val="center"/>
          </w:tcPr>
          <w:p w14:paraId="7864BB0A" w14:textId="77777777" w:rsidR="00535A76" w:rsidRPr="00535A76" w:rsidRDefault="00535A76" w:rsidP="00535A76">
            <w:pPr>
              <w:jc w:val="center"/>
              <w:rPr>
                <w:rFonts w:ascii="Arial" w:eastAsia="Calibri" w:hAnsi="Arial" w:cs="Arial"/>
                <w:sz w:val="20"/>
                <w:szCs w:val="20"/>
              </w:rPr>
            </w:pPr>
            <w:proofErr w:type="spellStart"/>
            <w:r w:rsidRPr="00535A76">
              <w:rPr>
                <w:rFonts w:ascii="Arial" w:eastAsia="Calibri" w:hAnsi="Arial" w:cs="Arial"/>
                <w:sz w:val="20"/>
                <w:szCs w:val="20"/>
              </w:rPr>
              <w:t>Yuriri</w:t>
            </w:r>
            <w:proofErr w:type="spellEnd"/>
            <w:r w:rsidRPr="00535A76">
              <w:rPr>
                <w:rFonts w:ascii="Arial" w:eastAsia="Calibri" w:hAnsi="Arial" w:cs="Arial"/>
                <w:sz w:val="20"/>
                <w:szCs w:val="20"/>
              </w:rPr>
              <w:t xml:space="preserve"> Ayala Zúñiga </w:t>
            </w:r>
          </w:p>
        </w:tc>
        <w:tc>
          <w:tcPr>
            <w:tcW w:w="1559" w:type="dxa"/>
            <w:shd w:val="clear" w:color="auto" w:fill="FFFFFF"/>
            <w:vAlign w:val="center"/>
          </w:tcPr>
          <w:p w14:paraId="4B6873B5"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1B</w:t>
            </w:r>
          </w:p>
        </w:tc>
      </w:tr>
      <w:tr w:rsidR="00535A76" w:rsidRPr="00535A76" w14:paraId="58DA12D8" w14:textId="77777777" w:rsidTr="00535A76">
        <w:trPr>
          <w:jc w:val="center"/>
        </w:trPr>
        <w:tc>
          <w:tcPr>
            <w:tcW w:w="1005" w:type="dxa"/>
            <w:shd w:val="clear" w:color="auto" w:fill="FFFFFF"/>
            <w:vAlign w:val="center"/>
          </w:tcPr>
          <w:p w14:paraId="043273CB" w14:textId="77777777" w:rsidR="00535A76" w:rsidRPr="00535A76" w:rsidRDefault="00535A76" w:rsidP="009B6ED0">
            <w:pPr>
              <w:widowControl w:val="0"/>
              <w:numPr>
                <w:ilvl w:val="0"/>
                <w:numId w:val="39"/>
              </w:numPr>
              <w:spacing w:after="0" w:line="240" w:lineRule="auto"/>
              <w:jc w:val="both"/>
              <w:rPr>
                <w:rFonts w:ascii="Arial" w:eastAsia="Calibri" w:hAnsi="Arial" w:cs="Arial"/>
                <w:b/>
                <w:sz w:val="20"/>
                <w:szCs w:val="20"/>
              </w:rPr>
            </w:pPr>
          </w:p>
        </w:tc>
        <w:tc>
          <w:tcPr>
            <w:tcW w:w="695" w:type="dxa"/>
            <w:shd w:val="clear" w:color="auto" w:fill="FFFFFF"/>
            <w:vAlign w:val="center"/>
          </w:tcPr>
          <w:p w14:paraId="1E90F2F7"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M</w:t>
            </w:r>
          </w:p>
        </w:tc>
        <w:tc>
          <w:tcPr>
            <w:tcW w:w="5600" w:type="dxa"/>
            <w:shd w:val="clear" w:color="auto" w:fill="FFFFFF"/>
            <w:vAlign w:val="center"/>
          </w:tcPr>
          <w:p w14:paraId="39C59FE4"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 xml:space="preserve">Leticia Estrada Hernández </w:t>
            </w:r>
          </w:p>
        </w:tc>
        <w:tc>
          <w:tcPr>
            <w:tcW w:w="1559" w:type="dxa"/>
            <w:shd w:val="clear" w:color="auto" w:fill="FFFFFF"/>
            <w:vAlign w:val="center"/>
          </w:tcPr>
          <w:p w14:paraId="6D93C42E"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2A</w:t>
            </w:r>
          </w:p>
        </w:tc>
      </w:tr>
      <w:tr w:rsidR="00535A76" w:rsidRPr="00535A76" w14:paraId="478360F4" w14:textId="77777777" w:rsidTr="00535A76">
        <w:trPr>
          <w:jc w:val="center"/>
        </w:trPr>
        <w:tc>
          <w:tcPr>
            <w:tcW w:w="1005" w:type="dxa"/>
            <w:shd w:val="clear" w:color="auto" w:fill="00B050"/>
            <w:vAlign w:val="center"/>
          </w:tcPr>
          <w:p w14:paraId="4111C54E" w14:textId="77777777" w:rsidR="00535A76" w:rsidRPr="00535A76" w:rsidRDefault="00535A76" w:rsidP="009B6ED0">
            <w:pPr>
              <w:widowControl w:val="0"/>
              <w:numPr>
                <w:ilvl w:val="0"/>
                <w:numId w:val="39"/>
              </w:numPr>
              <w:spacing w:after="0" w:line="240" w:lineRule="auto"/>
              <w:jc w:val="both"/>
              <w:rPr>
                <w:rFonts w:ascii="Arial" w:eastAsia="Calibri" w:hAnsi="Arial" w:cs="Arial"/>
                <w:b/>
                <w:sz w:val="20"/>
                <w:szCs w:val="20"/>
              </w:rPr>
            </w:pPr>
          </w:p>
        </w:tc>
        <w:tc>
          <w:tcPr>
            <w:tcW w:w="695" w:type="dxa"/>
            <w:shd w:val="clear" w:color="auto" w:fill="00B050"/>
            <w:vAlign w:val="center"/>
          </w:tcPr>
          <w:p w14:paraId="61CB1D32"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H</w:t>
            </w:r>
          </w:p>
        </w:tc>
        <w:tc>
          <w:tcPr>
            <w:tcW w:w="5600" w:type="dxa"/>
            <w:shd w:val="clear" w:color="auto" w:fill="00B050"/>
            <w:vAlign w:val="center"/>
          </w:tcPr>
          <w:p w14:paraId="482BFB87"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Carlos Cervantes Godoy</w:t>
            </w:r>
          </w:p>
        </w:tc>
        <w:tc>
          <w:tcPr>
            <w:tcW w:w="1559" w:type="dxa"/>
            <w:shd w:val="clear" w:color="auto" w:fill="00B050"/>
            <w:vAlign w:val="center"/>
          </w:tcPr>
          <w:p w14:paraId="5A5D4741"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2B</w:t>
            </w:r>
          </w:p>
        </w:tc>
      </w:tr>
      <w:tr w:rsidR="00535A76" w:rsidRPr="00535A76" w14:paraId="45261044" w14:textId="77777777" w:rsidTr="00535A76">
        <w:trPr>
          <w:jc w:val="center"/>
        </w:trPr>
        <w:tc>
          <w:tcPr>
            <w:tcW w:w="1005" w:type="dxa"/>
            <w:shd w:val="clear" w:color="auto" w:fill="FFFFFF"/>
            <w:vAlign w:val="center"/>
          </w:tcPr>
          <w:p w14:paraId="162B5067" w14:textId="77777777" w:rsidR="00535A76" w:rsidRPr="00535A76" w:rsidRDefault="00535A76" w:rsidP="009B6ED0">
            <w:pPr>
              <w:widowControl w:val="0"/>
              <w:numPr>
                <w:ilvl w:val="0"/>
                <w:numId w:val="39"/>
              </w:numPr>
              <w:spacing w:after="0" w:line="240" w:lineRule="auto"/>
              <w:jc w:val="both"/>
              <w:rPr>
                <w:rFonts w:ascii="Arial" w:eastAsia="Calibri" w:hAnsi="Arial" w:cs="Arial"/>
                <w:b/>
                <w:sz w:val="20"/>
                <w:szCs w:val="20"/>
              </w:rPr>
            </w:pPr>
          </w:p>
        </w:tc>
        <w:tc>
          <w:tcPr>
            <w:tcW w:w="695" w:type="dxa"/>
            <w:shd w:val="clear" w:color="auto" w:fill="FFFFFF"/>
            <w:vAlign w:val="center"/>
          </w:tcPr>
          <w:p w14:paraId="16B83824"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H</w:t>
            </w:r>
          </w:p>
        </w:tc>
        <w:tc>
          <w:tcPr>
            <w:tcW w:w="5600" w:type="dxa"/>
            <w:shd w:val="clear" w:color="auto" w:fill="FFFFFF"/>
            <w:vAlign w:val="center"/>
          </w:tcPr>
          <w:p w14:paraId="344E83D0"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Héctor Díaz Polanco</w:t>
            </w:r>
          </w:p>
        </w:tc>
        <w:tc>
          <w:tcPr>
            <w:tcW w:w="1559" w:type="dxa"/>
            <w:shd w:val="clear" w:color="auto" w:fill="FFFFFF"/>
            <w:vAlign w:val="center"/>
          </w:tcPr>
          <w:p w14:paraId="43238805"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3A</w:t>
            </w:r>
          </w:p>
        </w:tc>
      </w:tr>
      <w:tr w:rsidR="00535A76" w:rsidRPr="00535A76" w14:paraId="38D7D44B" w14:textId="77777777" w:rsidTr="00535A76">
        <w:trPr>
          <w:jc w:val="center"/>
        </w:trPr>
        <w:tc>
          <w:tcPr>
            <w:tcW w:w="1005" w:type="dxa"/>
            <w:shd w:val="clear" w:color="auto" w:fill="FFFFFF"/>
            <w:vAlign w:val="center"/>
          </w:tcPr>
          <w:p w14:paraId="604AE27C" w14:textId="77777777" w:rsidR="00535A76" w:rsidRPr="00535A76" w:rsidRDefault="00535A76" w:rsidP="009B6ED0">
            <w:pPr>
              <w:widowControl w:val="0"/>
              <w:numPr>
                <w:ilvl w:val="0"/>
                <w:numId w:val="39"/>
              </w:numPr>
              <w:spacing w:after="0" w:line="240" w:lineRule="auto"/>
              <w:jc w:val="both"/>
              <w:rPr>
                <w:rFonts w:ascii="Arial" w:eastAsia="Calibri" w:hAnsi="Arial" w:cs="Arial"/>
                <w:b/>
                <w:sz w:val="20"/>
                <w:szCs w:val="20"/>
              </w:rPr>
            </w:pPr>
          </w:p>
        </w:tc>
        <w:tc>
          <w:tcPr>
            <w:tcW w:w="695" w:type="dxa"/>
            <w:shd w:val="clear" w:color="auto" w:fill="FFFFFF"/>
            <w:vAlign w:val="center"/>
          </w:tcPr>
          <w:p w14:paraId="33DF8A76"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M</w:t>
            </w:r>
          </w:p>
        </w:tc>
        <w:tc>
          <w:tcPr>
            <w:tcW w:w="5600" w:type="dxa"/>
            <w:shd w:val="clear" w:color="auto" w:fill="FFFFFF"/>
            <w:vAlign w:val="center"/>
          </w:tcPr>
          <w:p w14:paraId="21CF9B6C"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 xml:space="preserve">Valentina Valia </w:t>
            </w:r>
            <w:proofErr w:type="spellStart"/>
            <w:r w:rsidRPr="00535A76">
              <w:rPr>
                <w:rFonts w:ascii="Arial" w:eastAsia="Calibri" w:hAnsi="Arial" w:cs="Arial"/>
                <w:sz w:val="20"/>
                <w:szCs w:val="20"/>
              </w:rPr>
              <w:t>Batrés</w:t>
            </w:r>
            <w:proofErr w:type="spellEnd"/>
            <w:r w:rsidRPr="00535A76">
              <w:rPr>
                <w:rFonts w:ascii="Arial" w:eastAsia="Calibri" w:hAnsi="Arial" w:cs="Arial"/>
                <w:sz w:val="20"/>
                <w:szCs w:val="20"/>
              </w:rPr>
              <w:t xml:space="preserve"> Guadarrama </w:t>
            </w:r>
          </w:p>
        </w:tc>
        <w:tc>
          <w:tcPr>
            <w:tcW w:w="1559" w:type="dxa"/>
            <w:shd w:val="clear" w:color="auto" w:fill="FFFFFF"/>
            <w:vAlign w:val="center"/>
          </w:tcPr>
          <w:p w14:paraId="348A4DCF"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3B</w:t>
            </w:r>
          </w:p>
        </w:tc>
      </w:tr>
      <w:tr w:rsidR="00535A76" w:rsidRPr="00535A76" w14:paraId="3CA93D04" w14:textId="77777777" w:rsidTr="00535A76">
        <w:trPr>
          <w:jc w:val="center"/>
        </w:trPr>
        <w:tc>
          <w:tcPr>
            <w:tcW w:w="1005" w:type="dxa"/>
            <w:shd w:val="clear" w:color="auto" w:fill="FFFFFF"/>
            <w:vAlign w:val="center"/>
          </w:tcPr>
          <w:p w14:paraId="4AF80FC5" w14:textId="77777777" w:rsidR="00535A76" w:rsidRPr="00535A76" w:rsidRDefault="00535A76" w:rsidP="009B6ED0">
            <w:pPr>
              <w:widowControl w:val="0"/>
              <w:numPr>
                <w:ilvl w:val="0"/>
                <w:numId w:val="39"/>
              </w:numPr>
              <w:spacing w:after="0" w:line="240" w:lineRule="auto"/>
              <w:jc w:val="both"/>
              <w:rPr>
                <w:rFonts w:ascii="Arial" w:eastAsia="Calibri" w:hAnsi="Arial" w:cs="Arial"/>
                <w:b/>
                <w:sz w:val="20"/>
                <w:szCs w:val="20"/>
              </w:rPr>
            </w:pPr>
          </w:p>
        </w:tc>
        <w:tc>
          <w:tcPr>
            <w:tcW w:w="695" w:type="dxa"/>
            <w:shd w:val="clear" w:color="auto" w:fill="FFFFFF"/>
            <w:vAlign w:val="center"/>
          </w:tcPr>
          <w:p w14:paraId="2981E032"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M</w:t>
            </w:r>
          </w:p>
        </w:tc>
        <w:tc>
          <w:tcPr>
            <w:tcW w:w="5600" w:type="dxa"/>
            <w:shd w:val="clear" w:color="auto" w:fill="FFFFFF"/>
            <w:vAlign w:val="center"/>
          </w:tcPr>
          <w:p w14:paraId="768299A7"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 xml:space="preserve">Ana Francis López </w:t>
            </w:r>
            <w:proofErr w:type="spellStart"/>
            <w:r w:rsidRPr="00535A76">
              <w:rPr>
                <w:rFonts w:ascii="Arial" w:eastAsia="Calibri" w:hAnsi="Arial" w:cs="Arial"/>
                <w:sz w:val="20"/>
                <w:szCs w:val="20"/>
              </w:rPr>
              <w:t>Bayghen</w:t>
            </w:r>
            <w:proofErr w:type="spellEnd"/>
            <w:r w:rsidRPr="00535A76">
              <w:rPr>
                <w:rFonts w:ascii="Arial" w:eastAsia="Calibri" w:hAnsi="Arial" w:cs="Arial"/>
                <w:sz w:val="20"/>
                <w:szCs w:val="20"/>
              </w:rPr>
              <w:t xml:space="preserve"> Patiño</w:t>
            </w:r>
          </w:p>
        </w:tc>
        <w:tc>
          <w:tcPr>
            <w:tcW w:w="1559" w:type="dxa"/>
            <w:shd w:val="clear" w:color="auto" w:fill="FFFFFF"/>
            <w:vAlign w:val="center"/>
          </w:tcPr>
          <w:p w14:paraId="0B4DA46A"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4A</w:t>
            </w:r>
          </w:p>
        </w:tc>
      </w:tr>
      <w:tr w:rsidR="00535A76" w:rsidRPr="00535A76" w14:paraId="1B8B458A" w14:textId="77777777" w:rsidTr="00535A76">
        <w:trPr>
          <w:jc w:val="center"/>
        </w:trPr>
        <w:tc>
          <w:tcPr>
            <w:tcW w:w="1005" w:type="dxa"/>
            <w:shd w:val="clear" w:color="auto" w:fill="00B050"/>
            <w:vAlign w:val="center"/>
          </w:tcPr>
          <w:p w14:paraId="4396995F" w14:textId="77777777" w:rsidR="00535A76" w:rsidRPr="00535A76" w:rsidRDefault="00535A76" w:rsidP="009B6ED0">
            <w:pPr>
              <w:widowControl w:val="0"/>
              <w:numPr>
                <w:ilvl w:val="0"/>
                <w:numId w:val="39"/>
              </w:numPr>
              <w:spacing w:after="0" w:line="240" w:lineRule="auto"/>
              <w:jc w:val="both"/>
              <w:rPr>
                <w:rFonts w:ascii="Arial" w:eastAsia="Calibri" w:hAnsi="Arial" w:cs="Arial"/>
                <w:b/>
                <w:sz w:val="20"/>
                <w:szCs w:val="20"/>
              </w:rPr>
            </w:pPr>
          </w:p>
        </w:tc>
        <w:tc>
          <w:tcPr>
            <w:tcW w:w="695" w:type="dxa"/>
            <w:shd w:val="clear" w:color="auto" w:fill="00B050"/>
            <w:vAlign w:val="center"/>
          </w:tcPr>
          <w:p w14:paraId="03869FF7"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H</w:t>
            </w:r>
          </w:p>
        </w:tc>
        <w:tc>
          <w:tcPr>
            <w:tcW w:w="5600" w:type="dxa"/>
            <w:shd w:val="clear" w:color="auto" w:fill="00B050"/>
            <w:vAlign w:val="center"/>
          </w:tcPr>
          <w:p w14:paraId="5EB38106"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 xml:space="preserve">Marco Antonio </w:t>
            </w:r>
            <w:proofErr w:type="spellStart"/>
            <w:r w:rsidRPr="00535A76">
              <w:rPr>
                <w:rFonts w:ascii="Arial" w:eastAsia="Calibri" w:hAnsi="Arial" w:cs="Arial"/>
                <w:sz w:val="20"/>
                <w:szCs w:val="20"/>
              </w:rPr>
              <w:t>Temistocles</w:t>
            </w:r>
            <w:proofErr w:type="spellEnd"/>
            <w:r w:rsidRPr="00535A76">
              <w:rPr>
                <w:rFonts w:ascii="Arial" w:eastAsia="Calibri" w:hAnsi="Arial" w:cs="Arial"/>
                <w:sz w:val="20"/>
                <w:szCs w:val="20"/>
              </w:rPr>
              <w:t xml:space="preserve"> Villanueva Ramos </w:t>
            </w:r>
          </w:p>
        </w:tc>
        <w:tc>
          <w:tcPr>
            <w:tcW w:w="1559" w:type="dxa"/>
            <w:shd w:val="clear" w:color="auto" w:fill="00B050"/>
            <w:vAlign w:val="center"/>
          </w:tcPr>
          <w:p w14:paraId="2769A929"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4B</w:t>
            </w:r>
          </w:p>
        </w:tc>
      </w:tr>
      <w:tr w:rsidR="00535A76" w:rsidRPr="00535A76" w14:paraId="477206C1" w14:textId="77777777" w:rsidTr="00535A76">
        <w:trPr>
          <w:jc w:val="center"/>
        </w:trPr>
        <w:tc>
          <w:tcPr>
            <w:tcW w:w="1005" w:type="dxa"/>
            <w:shd w:val="clear" w:color="auto" w:fill="FFFFFF"/>
            <w:vAlign w:val="center"/>
          </w:tcPr>
          <w:p w14:paraId="48F78916" w14:textId="77777777" w:rsidR="00535A76" w:rsidRPr="00535A76" w:rsidRDefault="00535A76" w:rsidP="009B6ED0">
            <w:pPr>
              <w:widowControl w:val="0"/>
              <w:numPr>
                <w:ilvl w:val="0"/>
                <w:numId w:val="39"/>
              </w:numPr>
              <w:spacing w:after="0" w:line="240" w:lineRule="auto"/>
              <w:jc w:val="both"/>
              <w:rPr>
                <w:rFonts w:ascii="Arial" w:eastAsia="Calibri" w:hAnsi="Arial" w:cs="Arial"/>
                <w:b/>
                <w:sz w:val="20"/>
                <w:szCs w:val="20"/>
              </w:rPr>
            </w:pPr>
          </w:p>
        </w:tc>
        <w:tc>
          <w:tcPr>
            <w:tcW w:w="695" w:type="dxa"/>
            <w:shd w:val="clear" w:color="auto" w:fill="FFFFFF"/>
            <w:vAlign w:val="center"/>
          </w:tcPr>
          <w:p w14:paraId="5B52F58B"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H</w:t>
            </w:r>
          </w:p>
        </w:tc>
        <w:tc>
          <w:tcPr>
            <w:tcW w:w="5600" w:type="dxa"/>
            <w:shd w:val="clear" w:color="auto" w:fill="FFFFFF"/>
            <w:vAlign w:val="center"/>
          </w:tcPr>
          <w:p w14:paraId="18A2CC8F"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José Martín Padilla Sánchez</w:t>
            </w:r>
          </w:p>
        </w:tc>
        <w:tc>
          <w:tcPr>
            <w:tcW w:w="1559" w:type="dxa"/>
            <w:shd w:val="clear" w:color="auto" w:fill="FFFFFF"/>
            <w:vAlign w:val="center"/>
          </w:tcPr>
          <w:p w14:paraId="388E557A"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5A</w:t>
            </w:r>
          </w:p>
        </w:tc>
      </w:tr>
      <w:tr w:rsidR="00535A76" w:rsidRPr="00535A76" w14:paraId="4C8ED34F" w14:textId="77777777" w:rsidTr="00535A76">
        <w:trPr>
          <w:jc w:val="center"/>
        </w:trPr>
        <w:tc>
          <w:tcPr>
            <w:tcW w:w="1005" w:type="dxa"/>
            <w:shd w:val="clear" w:color="auto" w:fill="FFFFFF"/>
            <w:vAlign w:val="center"/>
          </w:tcPr>
          <w:p w14:paraId="7C7A075B" w14:textId="77777777" w:rsidR="00535A76" w:rsidRPr="00535A76" w:rsidRDefault="00535A76" w:rsidP="009B6ED0">
            <w:pPr>
              <w:widowControl w:val="0"/>
              <w:numPr>
                <w:ilvl w:val="0"/>
                <w:numId w:val="39"/>
              </w:numPr>
              <w:spacing w:after="0" w:line="240" w:lineRule="auto"/>
              <w:jc w:val="both"/>
              <w:rPr>
                <w:rFonts w:ascii="Arial" w:eastAsia="Calibri" w:hAnsi="Arial" w:cs="Arial"/>
                <w:b/>
                <w:sz w:val="20"/>
                <w:szCs w:val="20"/>
              </w:rPr>
            </w:pPr>
          </w:p>
        </w:tc>
        <w:tc>
          <w:tcPr>
            <w:tcW w:w="695" w:type="dxa"/>
            <w:shd w:val="clear" w:color="auto" w:fill="FFFFFF"/>
            <w:vAlign w:val="center"/>
          </w:tcPr>
          <w:p w14:paraId="707927D0"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M</w:t>
            </w:r>
          </w:p>
        </w:tc>
        <w:tc>
          <w:tcPr>
            <w:tcW w:w="5600" w:type="dxa"/>
            <w:shd w:val="clear" w:color="auto" w:fill="FFFFFF"/>
            <w:vAlign w:val="center"/>
          </w:tcPr>
          <w:p w14:paraId="72F95D35" w14:textId="77777777" w:rsidR="00535A76" w:rsidRPr="00535A76" w:rsidRDefault="00535A76" w:rsidP="00535A76">
            <w:pPr>
              <w:jc w:val="center"/>
              <w:rPr>
                <w:rFonts w:ascii="Arial" w:eastAsia="Calibri" w:hAnsi="Arial" w:cs="Arial"/>
                <w:sz w:val="20"/>
                <w:szCs w:val="20"/>
              </w:rPr>
            </w:pPr>
            <w:proofErr w:type="spellStart"/>
            <w:r w:rsidRPr="00535A76">
              <w:rPr>
                <w:rFonts w:ascii="Arial" w:eastAsia="Calibri" w:hAnsi="Arial" w:cs="Arial"/>
                <w:sz w:val="20"/>
                <w:szCs w:val="20"/>
              </w:rPr>
              <w:t>Xochitl</w:t>
            </w:r>
            <w:proofErr w:type="spellEnd"/>
            <w:r w:rsidRPr="00535A76">
              <w:rPr>
                <w:rFonts w:ascii="Arial" w:eastAsia="Calibri" w:hAnsi="Arial" w:cs="Arial"/>
                <w:sz w:val="20"/>
                <w:szCs w:val="20"/>
              </w:rPr>
              <w:t xml:space="preserve"> Bravo Espinosa</w:t>
            </w:r>
          </w:p>
        </w:tc>
        <w:tc>
          <w:tcPr>
            <w:tcW w:w="1559" w:type="dxa"/>
            <w:shd w:val="clear" w:color="auto" w:fill="FFFFFF"/>
            <w:vAlign w:val="center"/>
          </w:tcPr>
          <w:p w14:paraId="6379A3D3"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5B</w:t>
            </w:r>
          </w:p>
        </w:tc>
      </w:tr>
      <w:tr w:rsidR="00535A76" w:rsidRPr="00535A76" w14:paraId="7AE9E1EE" w14:textId="77777777" w:rsidTr="00535A76">
        <w:trPr>
          <w:jc w:val="center"/>
        </w:trPr>
        <w:tc>
          <w:tcPr>
            <w:tcW w:w="1005" w:type="dxa"/>
            <w:shd w:val="clear" w:color="auto" w:fill="FFFFFF"/>
            <w:vAlign w:val="center"/>
          </w:tcPr>
          <w:p w14:paraId="1E4D48A1" w14:textId="77777777" w:rsidR="00535A76" w:rsidRPr="00535A76" w:rsidRDefault="00535A76" w:rsidP="009B6ED0">
            <w:pPr>
              <w:widowControl w:val="0"/>
              <w:numPr>
                <w:ilvl w:val="0"/>
                <w:numId w:val="39"/>
              </w:numPr>
              <w:spacing w:after="0" w:line="240" w:lineRule="auto"/>
              <w:jc w:val="both"/>
              <w:rPr>
                <w:rFonts w:ascii="Arial" w:eastAsia="Calibri" w:hAnsi="Arial" w:cs="Arial"/>
                <w:b/>
                <w:sz w:val="20"/>
                <w:szCs w:val="20"/>
              </w:rPr>
            </w:pPr>
          </w:p>
        </w:tc>
        <w:tc>
          <w:tcPr>
            <w:tcW w:w="695" w:type="dxa"/>
            <w:shd w:val="clear" w:color="auto" w:fill="FFFFFF"/>
            <w:vAlign w:val="center"/>
          </w:tcPr>
          <w:p w14:paraId="15E8148B"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M</w:t>
            </w:r>
          </w:p>
        </w:tc>
        <w:tc>
          <w:tcPr>
            <w:tcW w:w="5600" w:type="dxa"/>
            <w:shd w:val="clear" w:color="auto" w:fill="FFFFFF"/>
            <w:vAlign w:val="center"/>
          </w:tcPr>
          <w:p w14:paraId="0368D9FD"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Alejandra Méndez Vicuña</w:t>
            </w:r>
          </w:p>
        </w:tc>
        <w:tc>
          <w:tcPr>
            <w:tcW w:w="1559" w:type="dxa"/>
            <w:shd w:val="clear" w:color="auto" w:fill="FFFFFF"/>
            <w:vAlign w:val="center"/>
          </w:tcPr>
          <w:p w14:paraId="687F68F1"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 xml:space="preserve">6A </w:t>
            </w:r>
          </w:p>
        </w:tc>
      </w:tr>
      <w:tr w:rsidR="00535A76" w:rsidRPr="00535A76" w14:paraId="1C00CA8C" w14:textId="77777777" w:rsidTr="00535A76">
        <w:trPr>
          <w:jc w:val="center"/>
        </w:trPr>
        <w:tc>
          <w:tcPr>
            <w:tcW w:w="1005" w:type="dxa"/>
            <w:shd w:val="clear" w:color="auto" w:fill="00B050"/>
            <w:vAlign w:val="center"/>
          </w:tcPr>
          <w:p w14:paraId="798D5561" w14:textId="77777777" w:rsidR="00535A76" w:rsidRPr="00535A76" w:rsidRDefault="00535A76" w:rsidP="009B6ED0">
            <w:pPr>
              <w:widowControl w:val="0"/>
              <w:numPr>
                <w:ilvl w:val="0"/>
                <w:numId w:val="39"/>
              </w:numPr>
              <w:spacing w:after="0" w:line="240" w:lineRule="auto"/>
              <w:jc w:val="both"/>
              <w:rPr>
                <w:rFonts w:ascii="Arial" w:eastAsia="Calibri" w:hAnsi="Arial" w:cs="Arial"/>
                <w:b/>
                <w:sz w:val="20"/>
                <w:szCs w:val="20"/>
              </w:rPr>
            </w:pPr>
          </w:p>
        </w:tc>
        <w:tc>
          <w:tcPr>
            <w:tcW w:w="695" w:type="dxa"/>
            <w:shd w:val="clear" w:color="auto" w:fill="00B050"/>
            <w:vAlign w:val="center"/>
          </w:tcPr>
          <w:p w14:paraId="3E11560F"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H</w:t>
            </w:r>
          </w:p>
        </w:tc>
        <w:tc>
          <w:tcPr>
            <w:tcW w:w="5600" w:type="dxa"/>
            <w:shd w:val="clear" w:color="auto" w:fill="00B050"/>
            <w:vAlign w:val="center"/>
          </w:tcPr>
          <w:p w14:paraId="3A1F65FA"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 xml:space="preserve">José Luis </w:t>
            </w:r>
            <w:proofErr w:type="spellStart"/>
            <w:r w:rsidRPr="00535A76">
              <w:rPr>
                <w:rFonts w:ascii="Arial" w:eastAsia="Calibri" w:hAnsi="Arial" w:cs="Arial"/>
                <w:sz w:val="20"/>
                <w:szCs w:val="20"/>
              </w:rPr>
              <w:t>Rodrigues</w:t>
            </w:r>
            <w:proofErr w:type="spellEnd"/>
            <w:r w:rsidRPr="00535A76">
              <w:rPr>
                <w:rFonts w:ascii="Arial" w:eastAsia="Calibri" w:hAnsi="Arial" w:cs="Arial"/>
                <w:sz w:val="20"/>
                <w:szCs w:val="20"/>
              </w:rPr>
              <w:t xml:space="preserve"> Díaz de León</w:t>
            </w:r>
          </w:p>
        </w:tc>
        <w:tc>
          <w:tcPr>
            <w:tcW w:w="1559" w:type="dxa"/>
            <w:shd w:val="clear" w:color="auto" w:fill="00B050"/>
            <w:vAlign w:val="center"/>
          </w:tcPr>
          <w:p w14:paraId="6197EA34"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6B</w:t>
            </w:r>
          </w:p>
        </w:tc>
      </w:tr>
      <w:tr w:rsidR="00535A76" w:rsidRPr="00535A76" w14:paraId="41729168" w14:textId="77777777" w:rsidTr="00535A76">
        <w:trPr>
          <w:jc w:val="center"/>
        </w:trPr>
        <w:tc>
          <w:tcPr>
            <w:tcW w:w="1005" w:type="dxa"/>
            <w:shd w:val="clear" w:color="auto" w:fill="FFFFFF"/>
            <w:vAlign w:val="center"/>
          </w:tcPr>
          <w:p w14:paraId="656727C9" w14:textId="77777777" w:rsidR="00535A76" w:rsidRPr="00535A76" w:rsidRDefault="00535A76" w:rsidP="009B6ED0">
            <w:pPr>
              <w:widowControl w:val="0"/>
              <w:numPr>
                <w:ilvl w:val="0"/>
                <w:numId w:val="39"/>
              </w:numPr>
              <w:spacing w:after="0" w:line="240" w:lineRule="auto"/>
              <w:jc w:val="both"/>
              <w:rPr>
                <w:rFonts w:ascii="Arial" w:eastAsia="Calibri" w:hAnsi="Arial" w:cs="Arial"/>
                <w:b/>
                <w:sz w:val="20"/>
                <w:szCs w:val="20"/>
              </w:rPr>
            </w:pPr>
          </w:p>
        </w:tc>
        <w:tc>
          <w:tcPr>
            <w:tcW w:w="695" w:type="dxa"/>
            <w:shd w:val="clear" w:color="auto" w:fill="FFFFFF"/>
            <w:vAlign w:val="center"/>
          </w:tcPr>
          <w:p w14:paraId="416E3C6F"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H</w:t>
            </w:r>
          </w:p>
        </w:tc>
        <w:tc>
          <w:tcPr>
            <w:tcW w:w="5600" w:type="dxa"/>
            <w:shd w:val="clear" w:color="auto" w:fill="FFFFFF"/>
            <w:vAlign w:val="center"/>
          </w:tcPr>
          <w:p w14:paraId="3D11562D"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Christian Moctezuma González</w:t>
            </w:r>
          </w:p>
        </w:tc>
        <w:tc>
          <w:tcPr>
            <w:tcW w:w="1559" w:type="dxa"/>
            <w:shd w:val="clear" w:color="auto" w:fill="FFFFFF"/>
            <w:vAlign w:val="center"/>
          </w:tcPr>
          <w:p w14:paraId="5D23CCBF"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7A</w:t>
            </w:r>
          </w:p>
        </w:tc>
      </w:tr>
      <w:tr w:rsidR="00535A76" w:rsidRPr="00535A76" w14:paraId="55135F78" w14:textId="77777777" w:rsidTr="00535A76">
        <w:trPr>
          <w:jc w:val="center"/>
        </w:trPr>
        <w:tc>
          <w:tcPr>
            <w:tcW w:w="1005" w:type="dxa"/>
            <w:shd w:val="clear" w:color="auto" w:fill="00B050"/>
            <w:vAlign w:val="center"/>
          </w:tcPr>
          <w:p w14:paraId="63410A56" w14:textId="77777777" w:rsidR="00535A76" w:rsidRPr="00535A76" w:rsidRDefault="00535A76" w:rsidP="009B6ED0">
            <w:pPr>
              <w:widowControl w:val="0"/>
              <w:numPr>
                <w:ilvl w:val="0"/>
                <w:numId w:val="39"/>
              </w:numPr>
              <w:spacing w:after="0" w:line="240" w:lineRule="auto"/>
              <w:jc w:val="both"/>
              <w:rPr>
                <w:rFonts w:ascii="Arial" w:eastAsia="Calibri" w:hAnsi="Arial" w:cs="Arial"/>
                <w:b/>
                <w:sz w:val="20"/>
                <w:szCs w:val="20"/>
              </w:rPr>
            </w:pPr>
          </w:p>
        </w:tc>
        <w:tc>
          <w:tcPr>
            <w:tcW w:w="695" w:type="dxa"/>
            <w:shd w:val="clear" w:color="auto" w:fill="00B050"/>
            <w:vAlign w:val="center"/>
          </w:tcPr>
          <w:p w14:paraId="513670FD"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M</w:t>
            </w:r>
          </w:p>
        </w:tc>
        <w:tc>
          <w:tcPr>
            <w:tcW w:w="5600" w:type="dxa"/>
            <w:shd w:val="clear" w:color="auto" w:fill="00B050"/>
            <w:vAlign w:val="center"/>
          </w:tcPr>
          <w:p w14:paraId="30997B65" w14:textId="77777777" w:rsidR="00535A76" w:rsidRPr="00535A76" w:rsidRDefault="00535A76" w:rsidP="00535A76">
            <w:pPr>
              <w:jc w:val="center"/>
              <w:rPr>
                <w:rFonts w:ascii="Arial" w:eastAsia="Calibri" w:hAnsi="Arial" w:cs="Arial"/>
                <w:sz w:val="20"/>
                <w:szCs w:val="20"/>
              </w:rPr>
            </w:pPr>
            <w:proofErr w:type="spellStart"/>
            <w:r w:rsidRPr="00535A76">
              <w:rPr>
                <w:rFonts w:ascii="Arial" w:eastAsia="Calibri" w:hAnsi="Arial" w:cs="Arial"/>
                <w:sz w:val="20"/>
                <w:szCs w:val="20"/>
              </w:rPr>
              <w:t>Anthea</w:t>
            </w:r>
            <w:proofErr w:type="spellEnd"/>
            <w:r w:rsidRPr="00535A76">
              <w:rPr>
                <w:rFonts w:ascii="Arial" w:eastAsia="Calibri" w:hAnsi="Arial" w:cs="Arial"/>
                <w:sz w:val="20"/>
                <w:szCs w:val="20"/>
              </w:rPr>
              <w:t xml:space="preserve"> Terina Sansores Olvera</w:t>
            </w:r>
          </w:p>
        </w:tc>
        <w:tc>
          <w:tcPr>
            <w:tcW w:w="1559" w:type="dxa"/>
            <w:shd w:val="clear" w:color="auto" w:fill="00B050"/>
            <w:vAlign w:val="center"/>
          </w:tcPr>
          <w:p w14:paraId="0B1F913C"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7B</w:t>
            </w:r>
          </w:p>
        </w:tc>
      </w:tr>
    </w:tbl>
    <w:p w14:paraId="63427308" w14:textId="77777777" w:rsidR="00535A76" w:rsidRPr="00535A76" w:rsidRDefault="00535A76" w:rsidP="00535A76">
      <w:pPr>
        <w:jc w:val="center"/>
        <w:rPr>
          <w:rFonts w:ascii="Arial" w:eastAsia="Calibri" w:hAnsi="Arial" w:cs="Arial"/>
          <w:b/>
          <w:bCs/>
        </w:rPr>
      </w:pPr>
    </w:p>
    <w:tbl>
      <w:tblPr>
        <w:tblW w:w="8859" w:type="dxa"/>
        <w:jc w:val="center"/>
        <w:shd w:val="clear" w:color="auto" w:fill="FFFFFF"/>
        <w:tblLook w:val="04A0" w:firstRow="1" w:lastRow="0" w:firstColumn="1" w:lastColumn="0" w:noHBand="0" w:noVBand="1"/>
      </w:tblPr>
      <w:tblGrid>
        <w:gridCol w:w="1005"/>
        <w:gridCol w:w="695"/>
        <w:gridCol w:w="2765"/>
        <w:gridCol w:w="2835"/>
        <w:gridCol w:w="1559"/>
      </w:tblGrid>
      <w:tr w:rsidR="00535A76" w:rsidRPr="00535A76" w14:paraId="51ABC636" w14:textId="77777777" w:rsidTr="00535A76">
        <w:trPr>
          <w:tblHeader/>
          <w:jc w:val="center"/>
        </w:trPr>
        <w:tc>
          <w:tcPr>
            <w:tcW w:w="8859" w:type="dxa"/>
            <w:gridSpan w:val="5"/>
            <w:shd w:val="clear" w:color="auto" w:fill="9CC2E5"/>
            <w:vAlign w:val="center"/>
          </w:tcPr>
          <w:p w14:paraId="0743DE17" w14:textId="77777777" w:rsidR="00535A76" w:rsidRPr="00535A76" w:rsidRDefault="00535A76" w:rsidP="00535A76">
            <w:pPr>
              <w:jc w:val="center"/>
              <w:rPr>
                <w:rFonts w:ascii="Arial" w:eastAsia="Calibri" w:hAnsi="Arial" w:cs="Arial"/>
                <w:b/>
                <w:sz w:val="20"/>
                <w:szCs w:val="20"/>
              </w:rPr>
            </w:pPr>
            <w:bookmarkStart w:id="78" w:name="_Hlk78709984"/>
            <w:r w:rsidRPr="00535A76">
              <w:rPr>
                <w:rFonts w:ascii="Arial" w:eastAsia="Times New Roman" w:hAnsi="Arial" w:cs="Arial"/>
                <w:b/>
                <w:bCs/>
                <w:color w:val="000000"/>
                <w:sz w:val="20"/>
                <w:szCs w:val="20"/>
                <w:lang w:eastAsia="es-MX"/>
              </w:rPr>
              <w:t>ASIGNACIÓN PAN</w:t>
            </w:r>
          </w:p>
        </w:tc>
      </w:tr>
      <w:tr w:rsidR="00535A76" w:rsidRPr="00535A76" w14:paraId="4DCBB476" w14:textId="77777777" w:rsidTr="00535A76">
        <w:trPr>
          <w:tblHeader/>
          <w:jc w:val="center"/>
        </w:trPr>
        <w:tc>
          <w:tcPr>
            <w:tcW w:w="1005" w:type="dxa"/>
            <w:shd w:val="clear" w:color="auto" w:fill="FFFFFF"/>
            <w:vAlign w:val="center"/>
          </w:tcPr>
          <w:p w14:paraId="45DFE5C0"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Fórmula</w:t>
            </w:r>
          </w:p>
        </w:tc>
        <w:tc>
          <w:tcPr>
            <w:tcW w:w="695" w:type="dxa"/>
            <w:shd w:val="clear" w:color="auto" w:fill="FFFFFF"/>
            <w:vAlign w:val="center"/>
          </w:tcPr>
          <w:p w14:paraId="397DD250"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Sexo</w:t>
            </w:r>
          </w:p>
        </w:tc>
        <w:tc>
          <w:tcPr>
            <w:tcW w:w="2765" w:type="dxa"/>
            <w:shd w:val="clear" w:color="auto" w:fill="FFFFFF"/>
            <w:vAlign w:val="center"/>
          </w:tcPr>
          <w:p w14:paraId="2AFA1F8E"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Candidatura propietaria</w:t>
            </w:r>
          </w:p>
        </w:tc>
        <w:tc>
          <w:tcPr>
            <w:tcW w:w="2835" w:type="dxa"/>
            <w:shd w:val="clear" w:color="auto" w:fill="FFFFFF"/>
            <w:vAlign w:val="center"/>
          </w:tcPr>
          <w:p w14:paraId="589951EB"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Candidatura suplente</w:t>
            </w:r>
          </w:p>
        </w:tc>
        <w:tc>
          <w:tcPr>
            <w:tcW w:w="1559" w:type="dxa"/>
            <w:shd w:val="clear" w:color="auto" w:fill="FFFFFF"/>
            <w:vAlign w:val="center"/>
          </w:tcPr>
          <w:p w14:paraId="0CE87B37"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Lugar y lista de origen</w:t>
            </w:r>
          </w:p>
        </w:tc>
      </w:tr>
      <w:tr w:rsidR="00535A76" w:rsidRPr="00535A76" w14:paraId="2E822CEA" w14:textId="77777777" w:rsidTr="00535A76">
        <w:trPr>
          <w:jc w:val="center"/>
        </w:trPr>
        <w:tc>
          <w:tcPr>
            <w:tcW w:w="1005" w:type="dxa"/>
            <w:shd w:val="clear" w:color="auto" w:fill="FFFFFF"/>
            <w:vAlign w:val="center"/>
          </w:tcPr>
          <w:p w14:paraId="1AD6F7A6" w14:textId="77777777" w:rsidR="00535A76" w:rsidRPr="00535A76" w:rsidRDefault="00535A76" w:rsidP="009B6ED0">
            <w:pPr>
              <w:widowControl w:val="0"/>
              <w:numPr>
                <w:ilvl w:val="0"/>
                <w:numId w:val="40"/>
              </w:numPr>
              <w:spacing w:after="0" w:line="240" w:lineRule="auto"/>
              <w:jc w:val="both"/>
              <w:rPr>
                <w:rFonts w:ascii="Arial" w:eastAsia="Calibri" w:hAnsi="Arial" w:cs="Arial"/>
                <w:b/>
                <w:sz w:val="20"/>
                <w:szCs w:val="20"/>
              </w:rPr>
            </w:pPr>
          </w:p>
        </w:tc>
        <w:tc>
          <w:tcPr>
            <w:tcW w:w="695" w:type="dxa"/>
            <w:shd w:val="clear" w:color="auto" w:fill="FFFFFF"/>
            <w:vAlign w:val="center"/>
          </w:tcPr>
          <w:p w14:paraId="43E75A8B"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H</w:t>
            </w:r>
          </w:p>
        </w:tc>
        <w:tc>
          <w:tcPr>
            <w:tcW w:w="2765" w:type="dxa"/>
            <w:shd w:val="clear" w:color="auto" w:fill="FFFFFF"/>
            <w:vAlign w:val="center"/>
          </w:tcPr>
          <w:p w14:paraId="1D896C07"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 xml:space="preserve">Federico </w:t>
            </w:r>
            <w:proofErr w:type="spellStart"/>
            <w:r w:rsidRPr="00535A76">
              <w:rPr>
                <w:rFonts w:ascii="Arial" w:eastAsia="Calibri" w:hAnsi="Arial" w:cs="Arial"/>
                <w:sz w:val="20"/>
                <w:szCs w:val="20"/>
              </w:rPr>
              <w:t>Döring</w:t>
            </w:r>
            <w:proofErr w:type="spellEnd"/>
            <w:r w:rsidRPr="00535A76">
              <w:rPr>
                <w:rFonts w:ascii="Arial" w:eastAsia="Calibri" w:hAnsi="Arial" w:cs="Arial"/>
                <w:sz w:val="20"/>
                <w:szCs w:val="20"/>
              </w:rPr>
              <w:t xml:space="preserve"> Casar</w:t>
            </w:r>
          </w:p>
        </w:tc>
        <w:tc>
          <w:tcPr>
            <w:tcW w:w="2835" w:type="dxa"/>
            <w:shd w:val="clear" w:color="auto" w:fill="FFFFFF"/>
            <w:vAlign w:val="center"/>
          </w:tcPr>
          <w:p w14:paraId="3C0200BD"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Luis Antonio Oviedo Garza</w:t>
            </w:r>
          </w:p>
        </w:tc>
        <w:tc>
          <w:tcPr>
            <w:tcW w:w="1559" w:type="dxa"/>
            <w:shd w:val="clear" w:color="auto" w:fill="FFFFFF"/>
            <w:vAlign w:val="center"/>
          </w:tcPr>
          <w:p w14:paraId="33E33557"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1A</w:t>
            </w:r>
          </w:p>
        </w:tc>
      </w:tr>
      <w:tr w:rsidR="00535A76" w:rsidRPr="00535A76" w14:paraId="0F8808D6" w14:textId="77777777" w:rsidTr="00535A76">
        <w:trPr>
          <w:jc w:val="center"/>
        </w:trPr>
        <w:tc>
          <w:tcPr>
            <w:tcW w:w="1005" w:type="dxa"/>
            <w:shd w:val="clear" w:color="auto" w:fill="FFFFFF"/>
            <w:vAlign w:val="center"/>
          </w:tcPr>
          <w:p w14:paraId="5301CC79" w14:textId="77777777" w:rsidR="00535A76" w:rsidRPr="00535A76" w:rsidRDefault="00535A76" w:rsidP="009B6ED0">
            <w:pPr>
              <w:widowControl w:val="0"/>
              <w:numPr>
                <w:ilvl w:val="0"/>
                <w:numId w:val="40"/>
              </w:numPr>
              <w:spacing w:after="0" w:line="240" w:lineRule="auto"/>
              <w:jc w:val="center"/>
              <w:rPr>
                <w:rFonts w:ascii="Arial" w:eastAsia="Calibri" w:hAnsi="Arial" w:cs="Arial"/>
                <w:b/>
                <w:sz w:val="20"/>
                <w:szCs w:val="20"/>
              </w:rPr>
            </w:pPr>
          </w:p>
        </w:tc>
        <w:tc>
          <w:tcPr>
            <w:tcW w:w="695" w:type="dxa"/>
            <w:shd w:val="clear" w:color="auto" w:fill="FFFFFF"/>
            <w:vAlign w:val="center"/>
          </w:tcPr>
          <w:p w14:paraId="070E1208"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M</w:t>
            </w:r>
          </w:p>
        </w:tc>
        <w:tc>
          <w:tcPr>
            <w:tcW w:w="2765" w:type="dxa"/>
            <w:shd w:val="clear" w:color="auto" w:fill="FFFFFF"/>
            <w:vAlign w:val="center"/>
          </w:tcPr>
          <w:p w14:paraId="41D668BD"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María Gabriela Salido Magos</w:t>
            </w:r>
          </w:p>
        </w:tc>
        <w:tc>
          <w:tcPr>
            <w:tcW w:w="2835" w:type="dxa"/>
            <w:shd w:val="clear" w:color="auto" w:fill="FFFFFF"/>
            <w:vAlign w:val="center"/>
          </w:tcPr>
          <w:p w14:paraId="597CFE77"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 xml:space="preserve">Vania </w:t>
            </w:r>
            <w:proofErr w:type="spellStart"/>
            <w:r w:rsidRPr="00535A76">
              <w:rPr>
                <w:rFonts w:ascii="Arial" w:eastAsia="Calibri" w:hAnsi="Arial" w:cs="Arial"/>
                <w:sz w:val="20"/>
                <w:szCs w:val="20"/>
              </w:rPr>
              <w:t>Yael</w:t>
            </w:r>
            <w:proofErr w:type="spellEnd"/>
            <w:r w:rsidRPr="00535A76">
              <w:rPr>
                <w:rFonts w:ascii="Arial" w:eastAsia="Calibri" w:hAnsi="Arial" w:cs="Arial"/>
                <w:sz w:val="20"/>
                <w:szCs w:val="20"/>
              </w:rPr>
              <w:t xml:space="preserve"> González Veloz</w:t>
            </w:r>
          </w:p>
        </w:tc>
        <w:tc>
          <w:tcPr>
            <w:tcW w:w="1559" w:type="dxa"/>
            <w:shd w:val="clear" w:color="auto" w:fill="FFFFFF"/>
            <w:vAlign w:val="center"/>
          </w:tcPr>
          <w:p w14:paraId="2B3AF2F9"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1B</w:t>
            </w:r>
          </w:p>
        </w:tc>
      </w:tr>
      <w:tr w:rsidR="00535A76" w:rsidRPr="00535A76" w14:paraId="4CAFEC09" w14:textId="77777777" w:rsidTr="00535A76">
        <w:trPr>
          <w:jc w:val="center"/>
        </w:trPr>
        <w:tc>
          <w:tcPr>
            <w:tcW w:w="1005" w:type="dxa"/>
            <w:shd w:val="clear" w:color="auto" w:fill="FFFFFF"/>
            <w:vAlign w:val="center"/>
          </w:tcPr>
          <w:p w14:paraId="70C7AD11" w14:textId="77777777" w:rsidR="00535A76" w:rsidRPr="00535A76" w:rsidRDefault="00535A76" w:rsidP="009B6ED0">
            <w:pPr>
              <w:widowControl w:val="0"/>
              <w:numPr>
                <w:ilvl w:val="0"/>
                <w:numId w:val="40"/>
              </w:numPr>
              <w:spacing w:after="0" w:line="240" w:lineRule="auto"/>
              <w:jc w:val="center"/>
              <w:rPr>
                <w:rFonts w:ascii="Arial" w:eastAsia="Calibri" w:hAnsi="Arial" w:cs="Arial"/>
                <w:b/>
                <w:sz w:val="20"/>
                <w:szCs w:val="20"/>
              </w:rPr>
            </w:pPr>
          </w:p>
        </w:tc>
        <w:tc>
          <w:tcPr>
            <w:tcW w:w="695" w:type="dxa"/>
            <w:shd w:val="clear" w:color="auto" w:fill="FFFFFF"/>
            <w:vAlign w:val="center"/>
          </w:tcPr>
          <w:p w14:paraId="37474F46"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M</w:t>
            </w:r>
          </w:p>
        </w:tc>
        <w:tc>
          <w:tcPr>
            <w:tcW w:w="2765" w:type="dxa"/>
            <w:shd w:val="clear" w:color="auto" w:fill="FFFFFF"/>
            <w:vAlign w:val="center"/>
          </w:tcPr>
          <w:p w14:paraId="45B91210"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Luisa Adriana Gutiérrez Ureña</w:t>
            </w:r>
          </w:p>
        </w:tc>
        <w:tc>
          <w:tcPr>
            <w:tcW w:w="2835" w:type="dxa"/>
            <w:shd w:val="clear" w:color="auto" w:fill="FFFFFF"/>
            <w:vAlign w:val="center"/>
          </w:tcPr>
          <w:p w14:paraId="67F6BD49"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Itzel Abigail Arellano Cruces</w:t>
            </w:r>
          </w:p>
        </w:tc>
        <w:tc>
          <w:tcPr>
            <w:tcW w:w="1559" w:type="dxa"/>
            <w:shd w:val="clear" w:color="auto" w:fill="FFFFFF"/>
            <w:vAlign w:val="center"/>
          </w:tcPr>
          <w:p w14:paraId="7FC892AD"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2A</w:t>
            </w:r>
          </w:p>
        </w:tc>
      </w:tr>
      <w:tr w:rsidR="00535A76" w:rsidRPr="00535A76" w14:paraId="2A9361D0" w14:textId="77777777" w:rsidTr="00535A76">
        <w:trPr>
          <w:jc w:val="center"/>
        </w:trPr>
        <w:tc>
          <w:tcPr>
            <w:tcW w:w="1005" w:type="dxa"/>
            <w:shd w:val="clear" w:color="auto" w:fill="00B050"/>
            <w:vAlign w:val="center"/>
          </w:tcPr>
          <w:p w14:paraId="13FEF269" w14:textId="77777777" w:rsidR="00535A76" w:rsidRPr="00535A76" w:rsidRDefault="00535A76" w:rsidP="009B6ED0">
            <w:pPr>
              <w:widowControl w:val="0"/>
              <w:numPr>
                <w:ilvl w:val="0"/>
                <w:numId w:val="40"/>
              </w:numPr>
              <w:spacing w:after="0" w:line="240" w:lineRule="auto"/>
              <w:jc w:val="center"/>
              <w:rPr>
                <w:rFonts w:ascii="Arial" w:eastAsia="Calibri" w:hAnsi="Arial" w:cs="Arial"/>
                <w:b/>
                <w:sz w:val="20"/>
                <w:szCs w:val="20"/>
              </w:rPr>
            </w:pPr>
          </w:p>
        </w:tc>
        <w:tc>
          <w:tcPr>
            <w:tcW w:w="695" w:type="dxa"/>
            <w:shd w:val="clear" w:color="auto" w:fill="00B050"/>
            <w:vAlign w:val="center"/>
          </w:tcPr>
          <w:p w14:paraId="36A65127"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H</w:t>
            </w:r>
          </w:p>
        </w:tc>
        <w:tc>
          <w:tcPr>
            <w:tcW w:w="2765" w:type="dxa"/>
            <w:shd w:val="clear" w:color="auto" w:fill="00B050"/>
            <w:vAlign w:val="center"/>
          </w:tcPr>
          <w:p w14:paraId="2584290D"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José Gonzalo Espina Miranda</w:t>
            </w:r>
          </w:p>
        </w:tc>
        <w:tc>
          <w:tcPr>
            <w:tcW w:w="2835" w:type="dxa"/>
            <w:shd w:val="clear" w:color="auto" w:fill="00B050"/>
            <w:vAlign w:val="center"/>
          </w:tcPr>
          <w:p w14:paraId="5A279011" w14:textId="77777777" w:rsidR="00535A76" w:rsidRPr="00535A76" w:rsidRDefault="00535A76" w:rsidP="00535A76">
            <w:pPr>
              <w:jc w:val="center"/>
              <w:rPr>
                <w:rFonts w:ascii="Arial" w:eastAsia="Calibri" w:hAnsi="Arial" w:cs="Arial"/>
                <w:sz w:val="20"/>
                <w:szCs w:val="20"/>
              </w:rPr>
            </w:pPr>
            <w:r w:rsidRPr="00535A76">
              <w:rPr>
                <w:rFonts w:ascii="Arial" w:eastAsia="Times New Roman" w:hAnsi="Arial" w:cs="Arial"/>
                <w:color w:val="000000"/>
                <w:sz w:val="20"/>
                <w:szCs w:val="20"/>
                <w:lang w:eastAsia="es-MX"/>
              </w:rPr>
              <w:t>Mario Raphael De Cárcer</w:t>
            </w:r>
          </w:p>
        </w:tc>
        <w:tc>
          <w:tcPr>
            <w:tcW w:w="1559" w:type="dxa"/>
            <w:shd w:val="clear" w:color="auto" w:fill="00B050"/>
            <w:vAlign w:val="center"/>
          </w:tcPr>
          <w:p w14:paraId="3ACECCCB"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2B</w:t>
            </w:r>
          </w:p>
        </w:tc>
      </w:tr>
      <w:tr w:rsidR="00535A76" w:rsidRPr="00535A76" w14:paraId="3FADB05C" w14:textId="77777777" w:rsidTr="00535A76">
        <w:trPr>
          <w:jc w:val="center"/>
        </w:trPr>
        <w:tc>
          <w:tcPr>
            <w:tcW w:w="1005" w:type="dxa"/>
            <w:shd w:val="clear" w:color="auto" w:fill="FFFFFF"/>
            <w:vAlign w:val="center"/>
          </w:tcPr>
          <w:p w14:paraId="731C28C6" w14:textId="77777777" w:rsidR="00535A76" w:rsidRPr="00535A76" w:rsidRDefault="00535A76" w:rsidP="009B6ED0">
            <w:pPr>
              <w:widowControl w:val="0"/>
              <w:numPr>
                <w:ilvl w:val="0"/>
                <w:numId w:val="40"/>
              </w:numPr>
              <w:spacing w:after="0" w:line="240" w:lineRule="auto"/>
              <w:jc w:val="center"/>
              <w:rPr>
                <w:rFonts w:ascii="Arial" w:eastAsia="Calibri" w:hAnsi="Arial" w:cs="Arial"/>
                <w:b/>
                <w:sz w:val="20"/>
                <w:szCs w:val="20"/>
              </w:rPr>
            </w:pPr>
          </w:p>
        </w:tc>
        <w:tc>
          <w:tcPr>
            <w:tcW w:w="695" w:type="dxa"/>
            <w:shd w:val="clear" w:color="auto" w:fill="FFFFFF"/>
            <w:vAlign w:val="center"/>
          </w:tcPr>
          <w:p w14:paraId="1A552752"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H</w:t>
            </w:r>
          </w:p>
        </w:tc>
        <w:tc>
          <w:tcPr>
            <w:tcW w:w="2765" w:type="dxa"/>
            <w:shd w:val="clear" w:color="auto" w:fill="FFFFFF"/>
            <w:vAlign w:val="center"/>
          </w:tcPr>
          <w:p w14:paraId="4FD24423"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 xml:space="preserve">Aníbal Alexandro </w:t>
            </w:r>
            <w:proofErr w:type="spellStart"/>
            <w:r w:rsidRPr="00535A76">
              <w:rPr>
                <w:rFonts w:ascii="Arial" w:eastAsia="Calibri" w:hAnsi="Arial" w:cs="Arial"/>
                <w:sz w:val="20"/>
                <w:szCs w:val="20"/>
              </w:rPr>
              <w:t>Cáñez</w:t>
            </w:r>
            <w:proofErr w:type="spellEnd"/>
            <w:r w:rsidRPr="00535A76">
              <w:rPr>
                <w:rFonts w:ascii="Arial" w:eastAsia="Calibri" w:hAnsi="Arial" w:cs="Arial"/>
                <w:sz w:val="20"/>
                <w:szCs w:val="20"/>
              </w:rPr>
              <w:t xml:space="preserve"> Morales</w:t>
            </w:r>
          </w:p>
        </w:tc>
        <w:tc>
          <w:tcPr>
            <w:tcW w:w="2835" w:type="dxa"/>
            <w:shd w:val="clear" w:color="auto" w:fill="FFFFFF"/>
            <w:vAlign w:val="center"/>
          </w:tcPr>
          <w:p w14:paraId="508CDA44"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 xml:space="preserve">Alain León </w:t>
            </w:r>
            <w:proofErr w:type="spellStart"/>
            <w:r w:rsidRPr="00535A76">
              <w:rPr>
                <w:rFonts w:ascii="Arial" w:eastAsia="Calibri" w:hAnsi="Arial" w:cs="Arial"/>
                <w:sz w:val="20"/>
                <w:szCs w:val="20"/>
              </w:rPr>
              <w:t>Rasetti</w:t>
            </w:r>
            <w:proofErr w:type="spellEnd"/>
          </w:p>
        </w:tc>
        <w:tc>
          <w:tcPr>
            <w:tcW w:w="1559" w:type="dxa"/>
            <w:shd w:val="clear" w:color="auto" w:fill="FFFFFF"/>
            <w:vAlign w:val="center"/>
          </w:tcPr>
          <w:p w14:paraId="469E3D97"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3A</w:t>
            </w:r>
          </w:p>
        </w:tc>
      </w:tr>
      <w:tr w:rsidR="00535A76" w:rsidRPr="00535A76" w14:paraId="0B3BE8A0" w14:textId="77777777" w:rsidTr="00535A76">
        <w:trPr>
          <w:jc w:val="center"/>
        </w:trPr>
        <w:tc>
          <w:tcPr>
            <w:tcW w:w="1005" w:type="dxa"/>
            <w:shd w:val="clear" w:color="auto" w:fill="00B050"/>
            <w:vAlign w:val="center"/>
          </w:tcPr>
          <w:p w14:paraId="05537F7C" w14:textId="77777777" w:rsidR="00535A76" w:rsidRPr="00535A76" w:rsidRDefault="00535A76" w:rsidP="009B6ED0">
            <w:pPr>
              <w:widowControl w:val="0"/>
              <w:numPr>
                <w:ilvl w:val="0"/>
                <w:numId w:val="40"/>
              </w:numPr>
              <w:spacing w:after="0" w:line="240" w:lineRule="auto"/>
              <w:jc w:val="center"/>
              <w:rPr>
                <w:rFonts w:ascii="Arial" w:eastAsia="Calibri" w:hAnsi="Arial" w:cs="Arial"/>
                <w:b/>
                <w:sz w:val="20"/>
                <w:szCs w:val="20"/>
              </w:rPr>
            </w:pPr>
          </w:p>
        </w:tc>
        <w:tc>
          <w:tcPr>
            <w:tcW w:w="695" w:type="dxa"/>
            <w:shd w:val="clear" w:color="auto" w:fill="00B050"/>
            <w:vAlign w:val="center"/>
          </w:tcPr>
          <w:p w14:paraId="6F4E6527"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M</w:t>
            </w:r>
          </w:p>
        </w:tc>
        <w:tc>
          <w:tcPr>
            <w:tcW w:w="2765" w:type="dxa"/>
            <w:shd w:val="clear" w:color="auto" w:fill="00B050"/>
            <w:vAlign w:val="center"/>
          </w:tcPr>
          <w:p w14:paraId="2D8B7058"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Mónica Jessica Menocal del Moral</w:t>
            </w:r>
          </w:p>
        </w:tc>
        <w:tc>
          <w:tcPr>
            <w:tcW w:w="2835" w:type="dxa"/>
            <w:shd w:val="clear" w:color="auto" w:fill="00B050"/>
            <w:vAlign w:val="center"/>
          </w:tcPr>
          <w:p w14:paraId="5961BE74" w14:textId="77777777" w:rsidR="00535A76" w:rsidRPr="00535A76" w:rsidRDefault="00535A76" w:rsidP="00535A76">
            <w:pPr>
              <w:jc w:val="center"/>
              <w:rPr>
                <w:rFonts w:ascii="Arial" w:eastAsia="Calibri" w:hAnsi="Arial" w:cs="Arial"/>
                <w:sz w:val="20"/>
                <w:szCs w:val="20"/>
              </w:rPr>
            </w:pPr>
            <w:r w:rsidRPr="00535A76">
              <w:rPr>
                <w:rFonts w:ascii="Arial" w:eastAsia="Times New Roman" w:hAnsi="Arial" w:cs="Arial"/>
                <w:color w:val="000000"/>
                <w:sz w:val="20"/>
                <w:szCs w:val="20"/>
                <w:lang w:eastAsia="es-MX"/>
              </w:rPr>
              <w:t>Fabiola Menocal del Moral</w:t>
            </w:r>
          </w:p>
        </w:tc>
        <w:tc>
          <w:tcPr>
            <w:tcW w:w="1559" w:type="dxa"/>
            <w:shd w:val="clear" w:color="auto" w:fill="00B050"/>
            <w:vAlign w:val="center"/>
          </w:tcPr>
          <w:p w14:paraId="15D443DB"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3B</w:t>
            </w:r>
          </w:p>
        </w:tc>
      </w:tr>
      <w:tr w:rsidR="00535A76" w:rsidRPr="00535A76" w14:paraId="29BDEF13" w14:textId="77777777" w:rsidTr="00535A76">
        <w:trPr>
          <w:jc w:val="center"/>
        </w:trPr>
        <w:tc>
          <w:tcPr>
            <w:tcW w:w="1005" w:type="dxa"/>
            <w:shd w:val="clear" w:color="auto" w:fill="FFFFFF"/>
            <w:vAlign w:val="center"/>
          </w:tcPr>
          <w:p w14:paraId="14580138" w14:textId="77777777" w:rsidR="00535A76" w:rsidRPr="00535A76" w:rsidRDefault="00535A76" w:rsidP="009B6ED0">
            <w:pPr>
              <w:widowControl w:val="0"/>
              <w:numPr>
                <w:ilvl w:val="0"/>
                <w:numId w:val="40"/>
              </w:numPr>
              <w:spacing w:after="0" w:line="240" w:lineRule="auto"/>
              <w:jc w:val="center"/>
              <w:rPr>
                <w:rFonts w:ascii="Arial" w:eastAsia="Calibri" w:hAnsi="Arial" w:cs="Arial"/>
                <w:b/>
                <w:sz w:val="20"/>
                <w:szCs w:val="20"/>
              </w:rPr>
            </w:pPr>
          </w:p>
        </w:tc>
        <w:tc>
          <w:tcPr>
            <w:tcW w:w="695" w:type="dxa"/>
            <w:shd w:val="clear" w:color="auto" w:fill="FFFFFF"/>
            <w:vAlign w:val="center"/>
          </w:tcPr>
          <w:p w14:paraId="0F337293"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M</w:t>
            </w:r>
          </w:p>
        </w:tc>
        <w:tc>
          <w:tcPr>
            <w:tcW w:w="2765" w:type="dxa"/>
            <w:shd w:val="clear" w:color="auto" w:fill="FFFFFF"/>
            <w:vAlign w:val="center"/>
          </w:tcPr>
          <w:p w14:paraId="43BF31D7"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Ana Jocelyn Villagrán Villasana</w:t>
            </w:r>
          </w:p>
        </w:tc>
        <w:tc>
          <w:tcPr>
            <w:tcW w:w="2835" w:type="dxa"/>
            <w:shd w:val="clear" w:color="auto" w:fill="FFFFFF"/>
            <w:vAlign w:val="center"/>
          </w:tcPr>
          <w:p w14:paraId="18E7E70A"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Ámbar Reyes Moto</w:t>
            </w:r>
          </w:p>
        </w:tc>
        <w:tc>
          <w:tcPr>
            <w:tcW w:w="1559" w:type="dxa"/>
            <w:shd w:val="clear" w:color="auto" w:fill="FFFFFF"/>
            <w:vAlign w:val="center"/>
          </w:tcPr>
          <w:p w14:paraId="13972D9F"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4A</w:t>
            </w:r>
          </w:p>
        </w:tc>
      </w:tr>
      <w:tr w:rsidR="00535A76" w:rsidRPr="00535A76" w14:paraId="56996CFD" w14:textId="77777777" w:rsidTr="00535A76">
        <w:trPr>
          <w:jc w:val="center"/>
        </w:trPr>
        <w:tc>
          <w:tcPr>
            <w:tcW w:w="1005" w:type="dxa"/>
            <w:shd w:val="clear" w:color="auto" w:fill="00B050"/>
            <w:vAlign w:val="center"/>
          </w:tcPr>
          <w:p w14:paraId="76897C39" w14:textId="77777777" w:rsidR="00535A76" w:rsidRPr="00535A76" w:rsidRDefault="00535A76" w:rsidP="009B6ED0">
            <w:pPr>
              <w:widowControl w:val="0"/>
              <w:numPr>
                <w:ilvl w:val="0"/>
                <w:numId w:val="40"/>
              </w:numPr>
              <w:spacing w:after="0" w:line="240" w:lineRule="auto"/>
              <w:jc w:val="center"/>
              <w:rPr>
                <w:rFonts w:ascii="Arial" w:eastAsia="Calibri" w:hAnsi="Arial" w:cs="Arial"/>
                <w:b/>
                <w:sz w:val="20"/>
                <w:szCs w:val="20"/>
              </w:rPr>
            </w:pPr>
          </w:p>
        </w:tc>
        <w:tc>
          <w:tcPr>
            <w:tcW w:w="695" w:type="dxa"/>
            <w:shd w:val="clear" w:color="auto" w:fill="00B050"/>
            <w:vAlign w:val="center"/>
          </w:tcPr>
          <w:p w14:paraId="136F8C1F" w14:textId="77777777" w:rsidR="00535A76" w:rsidRPr="00535A76" w:rsidRDefault="00535A76" w:rsidP="00535A76">
            <w:pPr>
              <w:jc w:val="center"/>
              <w:rPr>
                <w:rFonts w:ascii="Arial" w:eastAsia="Calibri" w:hAnsi="Arial" w:cs="Arial"/>
                <w:b/>
                <w:sz w:val="20"/>
                <w:szCs w:val="20"/>
              </w:rPr>
            </w:pPr>
            <w:r w:rsidRPr="00535A76">
              <w:rPr>
                <w:rFonts w:ascii="Arial" w:eastAsia="Calibri" w:hAnsi="Arial" w:cs="Arial"/>
                <w:b/>
                <w:sz w:val="20"/>
                <w:szCs w:val="20"/>
              </w:rPr>
              <w:t>H</w:t>
            </w:r>
          </w:p>
        </w:tc>
        <w:tc>
          <w:tcPr>
            <w:tcW w:w="2765" w:type="dxa"/>
            <w:shd w:val="clear" w:color="auto" w:fill="00B050"/>
            <w:vAlign w:val="center"/>
          </w:tcPr>
          <w:p w14:paraId="395F4D04" w14:textId="77777777" w:rsidR="00535A76" w:rsidRPr="00535A76" w:rsidRDefault="00535A76" w:rsidP="00535A76">
            <w:pPr>
              <w:jc w:val="center"/>
              <w:rPr>
                <w:rFonts w:ascii="Arial" w:eastAsia="Calibri" w:hAnsi="Arial" w:cs="Arial"/>
                <w:sz w:val="20"/>
                <w:szCs w:val="20"/>
              </w:rPr>
            </w:pPr>
            <w:r w:rsidRPr="00535A76">
              <w:rPr>
                <w:rFonts w:ascii="Arial" w:eastAsia="Times New Roman" w:hAnsi="Arial" w:cs="Arial"/>
                <w:color w:val="000000"/>
                <w:sz w:val="20"/>
                <w:szCs w:val="20"/>
                <w:lang w:eastAsia="es-MX"/>
              </w:rPr>
              <w:t>Fernando Belaunzaran Méndez</w:t>
            </w:r>
          </w:p>
        </w:tc>
        <w:tc>
          <w:tcPr>
            <w:tcW w:w="2835" w:type="dxa"/>
            <w:shd w:val="clear" w:color="auto" w:fill="00B050"/>
            <w:vAlign w:val="center"/>
          </w:tcPr>
          <w:p w14:paraId="181A5E6F" w14:textId="77777777" w:rsidR="00535A76" w:rsidRPr="00535A76" w:rsidRDefault="00535A76" w:rsidP="00535A76">
            <w:pPr>
              <w:jc w:val="center"/>
              <w:rPr>
                <w:rFonts w:ascii="Arial" w:eastAsia="Calibri" w:hAnsi="Arial" w:cs="Arial"/>
                <w:sz w:val="20"/>
                <w:szCs w:val="20"/>
              </w:rPr>
            </w:pPr>
            <w:r w:rsidRPr="00535A76">
              <w:rPr>
                <w:rFonts w:ascii="Arial" w:eastAsia="Times New Roman" w:hAnsi="Arial" w:cs="Arial"/>
                <w:color w:val="000000"/>
                <w:sz w:val="20"/>
                <w:szCs w:val="20"/>
                <w:lang w:eastAsia="es-MX"/>
              </w:rPr>
              <w:t>Ángel Luna Pacheco</w:t>
            </w:r>
          </w:p>
        </w:tc>
        <w:tc>
          <w:tcPr>
            <w:tcW w:w="1559" w:type="dxa"/>
            <w:shd w:val="clear" w:color="auto" w:fill="00B050"/>
            <w:vAlign w:val="center"/>
          </w:tcPr>
          <w:p w14:paraId="46A582D8"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4B</w:t>
            </w:r>
          </w:p>
        </w:tc>
      </w:tr>
      <w:tr w:rsidR="00535A76" w:rsidRPr="00535A76" w14:paraId="01F91700" w14:textId="77777777" w:rsidTr="00535A76">
        <w:trPr>
          <w:jc w:val="center"/>
        </w:trPr>
        <w:tc>
          <w:tcPr>
            <w:tcW w:w="1005" w:type="dxa"/>
            <w:shd w:val="clear" w:color="auto" w:fill="FFFFFF"/>
            <w:vAlign w:val="center"/>
          </w:tcPr>
          <w:p w14:paraId="56F6FB8D" w14:textId="77777777" w:rsidR="00535A76" w:rsidRPr="00535A76" w:rsidRDefault="00535A76" w:rsidP="009B6ED0">
            <w:pPr>
              <w:widowControl w:val="0"/>
              <w:numPr>
                <w:ilvl w:val="0"/>
                <w:numId w:val="40"/>
              </w:numPr>
              <w:spacing w:after="0" w:line="240" w:lineRule="auto"/>
              <w:jc w:val="center"/>
              <w:rPr>
                <w:rFonts w:ascii="Arial" w:eastAsia="Calibri" w:hAnsi="Arial" w:cs="Arial"/>
                <w:sz w:val="20"/>
                <w:szCs w:val="20"/>
              </w:rPr>
            </w:pPr>
          </w:p>
        </w:tc>
        <w:tc>
          <w:tcPr>
            <w:tcW w:w="695" w:type="dxa"/>
            <w:shd w:val="clear" w:color="auto" w:fill="FFFFFF"/>
            <w:vAlign w:val="center"/>
          </w:tcPr>
          <w:p w14:paraId="5C1D41AA"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H</w:t>
            </w:r>
          </w:p>
        </w:tc>
        <w:tc>
          <w:tcPr>
            <w:tcW w:w="2765" w:type="dxa"/>
            <w:shd w:val="clear" w:color="auto" w:fill="FFFFFF"/>
            <w:vAlign w:val="center"/>
          </w:tcPr>
          <w:p w14:paraId="696CF0BF"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Rodrigo Miranda Berumen</w:t>
            </w:r>
          </w:p>
        </w:tc>
        <w:tc>
          <w:tcPr>
            <w:tcW w:w="2835" w:type="dxa"/>
            <w:shd w:val="clear" w:color="auto" w:fill="FFFFFF"/>
            <w:vAlign w:val="center"/>
          </w:tcPr>
          <w:p w14:paraId="135CAF00"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Luis Paris Oviedo Guarneros</w:t>
            </w:r>
          </w:p>
        </w:tc>
        <w:tc>
          <w:tcPr>
            <w:tcW w:w="1559" w:type="dxa"/>
            <w:shd w:val="clear" w:color="auto" w:fill="FFFFFF"/>
            <w:vAlign w:val="center"/>
          </w:tcPr>
          <w:p w14:paraId="65B23DC8" w14:textId="77777777" w:rsidR="00535A76" w:rsidRPr="00535A76" w:rsidRDefault="00535A76" w:rsidP="00535A76">
            <w:pPr>
              <w:jc w:val="center"/>
              <w:rPr>
                <w:rFonts w:ascii="Arial" w:eastAsia="Calibri" w:hAnsi="Arial" w:cs="Arial"/>
                <w:sz w:val="20"/>
                <w:szCs w:val="20"/>
              </w:rPr>
            </w:pPr>
            <w:r w:rsidRPr="00535A76">
              <w:rPr>
                <w:rFonts w:ascii="Arial" w:eastAsia="Calibri" w:hAnsi="Arial" w:cs="Arial"/>
                <w:sz w:val="20"/>
                <w:szCs w:val="20"/>
              </w:rPr>
              <w:t>5A</w:t>
            </w:r>
          </w:p>
        </w:tc>
      </w:tr>
      <w:bookmarkEnd w:id="78"/>
    </w:tbl>
    <w:p w14:paraId="4BF3F958" w14:textId="77777777" w:rsidR="00535A76" w:rsidRPr="00535A76" w:rsidRDefault="00535A76" w:rsidP="00535A76">
      <w:pPr>
        <w:jc w:val="center"/>
        <w:rPr>
          <w:rFonts w:ascii="Arial" w:eastAsia="Calibri" w:hAnsi="Arial" w:cs="Arial"/>
          <w:b/>
          <w:bCs/>
        </w:rPr>
      </w:pPr>
    </w:p>
    <w:tbl>
      <w:tblPr>
        <w:tblW w:w="8904" w:type="dxa"/>
        <w:jc w:val="center"/>
        <w:tblCellMar>
          <w:left w:w="70" w:type="dxa"/>
          <w:right w:w="70" w:type="dxa"/>
        </w:tblCellMar>
        <w:tblLook w:val="04A0" w:firstRow="1" w:lastRow="0" w:firstColumn="1" w:lastColumn="0" w:noHBand="0" w:noVBand="1"/>
      </w:tblPr>
      <w:tblGrid>
        <w:gridCol w:w="929"/>
        <w:gridCol w:w="3347"/>
        <w:gridCol w:w="3332"/>
        <w:gridCol w:w="1296"/>
      </w:tblGrid>
      <w:tr w:rsidR="00535A76" w:rsidRPr="00535A76" w14:paraId="5C996E7F" w14:textId="77777777" w:rsidTr="00C65D42">
        <w:trPr>
          <w:trHeight w:val="259"/>
          <w:tblHeader/>
          <w:jc w:val="center"/>
        </w:trPr>
        <w:tc>
          <w:tcPr>
            <w:tcW w:w="8904" w:type="dxa"/>
            <w:gridSpan w:val="4"/>
            <w:tcBorders>
              <w:top w:val="single" w:sz="4" w:space="0" w:color="auto"/>
              <w:left w:val="single" w:sz="4" w:space="0" w:color="auto"/>
              <w:bottom w:val="single" w:sz="4" w:space="0" w:color="auto"/>
              <w:right w:val="single" w:sz="4" w:space="0" w:color="000000"/>
            </w:tcBorders>
            <w:shd w:val="clear" w:color="auto" w:fill="FF0000"/>
            <w:noWrap/>
            <w:vAlign w:val="center"/>
            <w:hideMark/>
          </w:tcPr>
          <w:p w14:paraId="69B19476"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ASIGNACIÓN PRI</w:t>
            </w:r>
          </w:p>
        </w:tc>
      </w:tr>
      <w:tr w:rsidR="00535A76" w:rsidRPr="00535A76" w14:paraId="4FCAC386" w14:textId="77777777" w:rsidTr="00C65D42">
        <w:trPr>
          <w:trHeight w:val="285"/>
          <w:jc w:val="center"/>
        </w:trPr>
        <w:tc>
          <w:tcPr>
            <w:tcW w:w="929" w:type="dxa"/>
            <w:tcBorders>
              <w:top w:val="nil"/>
              <w:left w:val="single" w:sz="4" w:space="0" w:color="auto"/>
              <w:bottom w:val="single" w:sz="4" w:space="0" w:color="auto"/>
              <w:right w:val="single" w:sz="4" w:space="0" w:color="auto"/>
            </w:tcBorders>
            <w:shd w:val="clear" w:color="auto" w:fill="auto"/>
            <w:vAlign w:val="center"/>
            <w:hideMark/>
          </w:tcPr>
          <w:p w14:paraId="0530F31B"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Fórmula</w:t>
            </w:r>
          </w:p>
        </w:tc>
        <w:tc>
          <w:tcPr>
            <w:tcW w:w="3347" w:type="dxa"/>
            <w:tcBorders>
              <w:top w:val="single" w:sz="4" w:space="0" w:color="auto"/>
              <w:left w:val="nil"/>
              <w:bottom w:val="single" w:sz="4" w:space="0" w:color="auto"/>
              <w:right w:val="single" w:sz="4" w:space="0" w:color="000000"/>
            </w:tcBorders>
            <w:shd w:val="clear" w:color="auto" w:fill="auto"/>
            <w:noWrap/>
            <w:vAlign w:val="center"/>
            <w:hideMark/>
          </w:tcPr>
          <w:p w14:paraId="41EAF4AD"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Propietario</w:t>
            </w:r>
          </w:p>
        </w:tc>
        <w:tc>
          <w:tcPr>
            <w:tcW w:w="3332" w:type="dxa"/>
            <w:tcBorders>
              <w:top w:val="nil"/>
              <w:left w:val="nil"/>
              <w:bottom w:val="single" w:sz="4" w:space="0" w:color="auto"/>
              <w:right w:val="single" w:sz="4" w:space="0" w:color="auto"/>
            </w:tcBorders>
            <w:shd w:val="clear" w:color="auto" w:fill="auto"/>
            <w:noWrap/>
            <w:vAlign w:val="center"/>
            <w:hideMark/>
          </w:tcPr>
          <w:p w14:paraId="6DB96E95"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Suplente</w:t>
            </w:r>
          </w:p>
        </w:tc>
        <w:tc>
          <w:tcPr>
            <w:tcW w:w="1296" w:type="dxa"/>
            <w:tcBorders>
              <w:top w:val="nil"/>
              <w:left w:val="nil"/>
              <w:bottom w:val="single" w:sz="4" w:space="0" w:color="auto"/>
              <w:right w:val="single" w:sz="4" w:space="0" w:color="auto"/>
            </w:tcBorders>
            <w:shd w:val="clear" w:color="auto" w:fill="auto"/>
            <w:vAlign w:val="center"/>
            <w:hideMark/>
          </w:tcPr>
          <w:p w14:paraId="7DD42CE2"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Lista origen</w:t>
            </w:r>
          </w:p>
        </w:tc>
      </w:tr>
      <w:tr w:rsidR="00535A76" w:rsidRPr="00535A76" w14:paraId="70AEBB06" w14:textId="77777777" w:rsidTr="00C65D42">
        <w:trPr>
          <w:trHeight w:val="259"/>
          <w:jc w:val="center"/>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0BBDB66"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1</w:t>
            </w:r>
          </w:p>
        </w:tc>
        <w:tc>
          <w:tcPr>
            <w:tcW w:w="3347" w:type="dxa"/>
            <w:tcBorders>
              <w:top w:val="single" w:sz="4" w:space="0" w:color="auto"/>
              <w:left w:val="nil"/>
              <w:bottom w:val="single" w:sz="4" w:space="0" w:color="auto"/>
              <w:right w:val="single" w:sz="4" w:space="0" w:color="auto"/>
            </w:tcBorders>
            <w:shd w:val="clear" w:color="auto" w:fill="auto"/>
            <w:noWrap/>
            <w:vAlign w:val="bottom"/>
            <w:hideMark/>
          </w:tcPr>
          <w:p w14:paraId="31DCAB3A" w14:textId="77777777" w:rsidR="00535A76" w:rsidRPr="00535A76" w:rsidRDefault="00535A76" w:rsidP="00535A76">
            <w:pPr>
              <w:spacing w:after="0" w:line="240" w:lineRule="auto"/>
              <w:jc w:val="center"/>
              <w:rPr>
                <w:rFonts w:ascii="Arial" w:eastAsia="Times New Roman" w:hAnsi="Arial" w:cs="Arial"/>
                <w:color w:val="000000"/>
                <w:sz w:val="20"/>
                <w:szCs w:val="20"/>
                <w:lang w:eastAsia="es-MX"/>
              </w:rPr>
            </w:pPr>
            <w:r w:rsidRPr="00535A76">
              <w:rPr>
                <w:rFonts w:ascii="Arial" w:eastAsia="Times New Roman" w:hAnsi="Arial" w:cs="Arial"/>
                <w:color w:val="000000"/>
                <w:sz w:val="20"/>
                <w:szCs w:val="20"/>
                <w:lang w:eastAsia="es-MX"/>
              </w:rPr>
              <w:t>Carlos Joaquín Fernández Tinoco</w:t>
            </w:r>
          </w:p>
        </w:tc>
        <w:tc>
          <w:tcPr>
            <w:tcW w:w="3332" w:type="dxa"/>
            <w:tcBorders>
              <w:top w:val="nil"/>
              <w:left w:val="nil"/>
              <w:bottom w:val="single" w:sz="4" w:space="0" w:color="auto"/>
              <w:right w:val="single" w:sz="4" w:space="0" w:color="auto"/>
            </w:tcBorders>
            <w:shd w:val="clear" w:color="auto" w:fill="auto"/>
            <w:noWrap/>
            <w:vAlign w:val="bottom"/>
            <w:hideMark/>
          </w:tcPr>
          <w:p w14:paraId="79A19B5F" w14:textId="77777777" w:rsidR="00535A76" w:rsidRPr="00535A76" w:rsidRDefault="00535A76" w:rsidP="00535A76">
            <w:pPr>
              <w:spacing w:after="0" w:line="240" w:lineRule="auto"/>
              <w:jc w:val="center"/>
              <w:rPr>
                <w:rFonts w:ascii="Arial" w:eastAsia="Times New Roman" w:hAnsi="Arial" w:cs="Arial"/>
                <w:color w:val="000000"/>
                <w:sz w:val="20"/>
                <w:szCs w:val="20"/>
                <w:lang w:eastAsia="es-MX"/>
              </w:rPr>
            </w:pPr>
            <w:r w:rsidRPr="00535A76">
              <w:rPr>
                <w:rFonts w:ascii="Arial" w:eastAsia="Times New Roman" w:hAnsi="Arial" w:cs="Arial"/>
                <w:color w:val="000000"/>
                <w:sz w:val="20"/>
                <w:szCs w:val="20"/>
                <w:lang w:eastAsia="es-MX"/>
              </w:rPr>
              <w:t xml:space="preserve">Enrique Nieto </w:t>
            </w:r>
            <w:proofErr w:type="spellStart"/>
            <w:r w:rsidRPr="00535A76">
              <w:rPr>
                <w:rFonts w:ascii="Arial" w:eastAsia="Times New Roman" w:hAnsi="Arial" w:cs="Arial"/>
                <w:color w:val="000000"/>
                <w:sz w:val="20"/>
                <w:szCs w:val="20"/>
                <w:lang w:eastAsia="es-MX"/>
              </w:rPr>
              <w:t>Franzoni</w:t>
            </w:r>
            <w:proofErr w:type="spellEnd"/>
          </w:p>
        </w:tc>
        <w:tc>
          <w:tcPr>
            <w:tcW w:w="1296" w:type="dxa"/>
            <w:tcBorders>
              <w:top w:val="nil"/>
              <w:left w:val="nil"/>
              <w:bottom w:val="single" w:sz="4" w:space="0" w:color="auto"/>
              <w:right w:val="single" w:sz="4" w:space="0" w:color="auto"/>
            </w:tcBorders>
            <w:shd w:val="clear" w:color="auto" w:fill="auto"/>
            <w:noWrap/>
            <w:vAlign w:val="center"/>
            <w:hideMark/>
          </w:tcPr>
          <w:p w14:paraId="47D27A68" w14:textId="77777777" w:rsidR="00535A76" w:rsidRPr="00535A76" w:rsidRDefault="00535A76" w:rsidP="00535A76">
            <w:pPr>
              <w:spacing w:after="0" w:line="240" w:lineRule="auto"/>
              <w:jc w:val="center"/>
              <w:rPr>
                <w:rFonts w:ascii="Arial" w:eastAsia="Times New Roman" w:hAnsi="Arial" w:cs="Arial"/>
                <w:color w:val="000000"/>
                <w:sz w:val="20"/>
                <w:szCs w:val="20"/>
                <w:lang w:eastAsia="es-MX"/>
              </w:rPr>
            </w:pPr>
            <w:r w:rsidRPr="00535A76">
              <w:rPr>
                <w:rFonts w:ascii="Arial" w:eastAsia="Times New Roman" w:hAnsi="Arial" w:cs="Arial"/>
                <w:color w:val="000000"/>
                <w:sz w:val="20"/>
                <w:szCs w:val="20"/>
                <w:lang w:eastAsia="es-MX"/>
              </w:rPr>
              <w:t>1A</w:t>
            </w:r>
          </w:p>
        </w:tc>
      </w:tr>
      <w:tr w:rsidR="00535A76" w:rsidRPr="00535A76" w14:paraId="1022E3AF" w14:textId="77777777" w:rsidTr="00C65D42">
        <w:trPr>
          <w:trHeight w:val="259"/>
          <w:jc w:val="center"/>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7A49CDD0"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2</w:t>
            </w:r>
          </w:p>
        </w:tc>
        <w:tc>
          <w:tcPr>
            <w:tcW w:w="3347" w:type="dxa"/>
            <w:tcBorders>
              <w:top w:val="single" w:sz="4" w:space="0" w:color="auto"/>
              <w:left w:val="nil"/>
              <w:bottom w:val="single" w:sz="4" w:space="0" w:color="auto"/>
              <w:right w:val="single" w:sz="4" w:space="0" w:color="auto"/>
            </w:tcBorders>
            <w:shd w:val="clear" w:color="auto" w:fill="auto"/>
            <w:noWrap/>
            <w:vAlign w:val="bottom"/>
            <w:hideMark/>
          </w:tcPr>
          <w:p w14:paraId="7C698F7B" w14:textId="77777777" w:rsidR="00535A76" w:rsidRPr="00535A76" w:rsidRDefault="00535A76" w:rsidP="00535A76">
            <w:pPr>
              <w:spacing w:after="0" w:line="240" w:lineRule="auto"/>
              <w:jc w:val="center"/>
              <w:rPr>
                <w:rFonts w:ascii="Arial" w:eastAsia="Times New Roman" w:hAnsi="Arial" w:cs="Arial"/>
                <w:color w:val="000000"/>
                <w:sz w:val="20"/>
                <w:szCs w:val="20"/>
                <w:lang w:eastAsia="es-MX"/>
              </w:rPr>
            </w:pPr>
            <w:r w:rsidRPr="00535A76">
              <w:rPr>
                <w:rFonts w:ascii="Arial" w:eastAsia="Times New Roman" w:hAnsi="Arial" w:cs="Arial"/>
                <w:color w:val="000000"/>
                <w:sz w:val="20"/>
                <w:szCs w:val="20"/>
                <w:lang w:eastAsia="es-MX"/>
              </w:rPr>
              <w:t>Mónica Fernández César</w:t>
            </w:r>
          </w:p>
        </w:tc>
        <w:tc>
          <w:tcPr>
            <w:tcW w:w="3332" w:type="dxa"/>
            <w:tcBorders>
              <w:top w:val="nil"/>
              <w:left w:val="nil"/>
              <w:bottom w:val="single" w:sz="4" w:space="0" w:color="auto"/>
              <w:right w:val="single" w:sz="4" w:space="0" w:color="auto"/>
            </w:tcBorders>
            <w:shd w:val="clear" w:color="auto" w:fill="auto"/>
            <w:noWrap/>
            <w:vAlign w:val="bottom"/>
            <w:hideMark/>
          </w:tcPr>
          <w:p w14:paraId="78B269AD" w14:textId="77777777" w:rsidR="00535A76" w:rsidRPr="00535A76" w:rsidRDefault="00535A76" w:rsidP="00535A76">
            <w:pPr>
              <w:spacing w:after="0" w:line="240" w:lineRule="auto"/>
              <w:jc w:val="center"/>
              <w:rPr>
                <w:rFonts w:ascii="Arial" w:eastAsia="Times New Roman" w:hAnsi="Arial" w:cs="Arial"/>
                <w:color w:val="000000"/>
                <w:sz w:val="20"/>
                <w:szCs w:val="20"/>
                <w:lang w:eastAsia="es-MX"/>
              </w:rPr>
            </w:pPr>
            <w:r w:rsidRPr="00535A76">
              <w:rPr>
                <w:rFonts w:ascii="Arial" w:eastAsia="Times New Roman" w:hAnsi="Arial" w:cs="Arial"/>
                <w:color w:val="000000"/>
                <w:sz w:val="20"/>
                <w:szCs w:val="20"/>
                <w:lang w:eastAsia="es-MX"/>
              </w:rPr>
              <w:t>Yolanda Judith Téllez Barragán</w:t>
            </w:r>
          </w:p>
        </w:tc>
        <w:tc>
          <w:tcPr>
            <w:tcW w:w="1296" w:type="dxa"/>
            <w:tcBorders>
              <w:top w:val="nil"/>
              <w:left w:val="nil"/>
              <w:bottom w:val="single" w:sz="4" w:space="0" w:color="auto"/>
              <w:right w:val="single" w:sz="4" w:space="0" w:color="auto"/>
            </w:tcBorders>
            <w:shd w:val="clear" w:color="auto" w:fill="auto"/>
            <w:noWrap/>
            <w:vAlign w:val="center"/>
            <w:hideMark/>
          </w:tcPr>
          <w:p w14:paraId="6F8D05C2" w14:textId="77777777" w:rsidR="00535A76" w:rsidRPr="00535A76" w:rsidRDefault="00535A76" w:rsidP="00535A76">
            <w:pPr>
              <w:spacing w:after="0" w:line="240" w:lineRule="auto"/>
              <w:jc w:val="center"/>
              <w:rPr>
                <w:rFonts w:ascii="Arial" w:eastAsia="Times New Roman" w:hAnsi="Arial" w:cs="Arial"/>
                <w:color w:val="000000"/>
                <w:sz w:val="20"/>
                <w:szCs w:val="20"/>
                <w:lang w:eastAsia="es-MX"/>
              </w:rPr>
            </w:pPr>
            <w:r w:rsidRPr="00535A76">
              <w:rPr>
                <w:rFonts w:ascii="Arial" w:eastAsia="Times New Roman" w:hAnsi="Arial" w:cs="Arial"/>
                <w:color w:val="000000"/>
                <w:sz w:val="20"/>
                <w:szCs w:val="20"/>
                <w:lang w:eastAsia="es-MX"/>
              </w:rPr>
              <w:t>1B</w:t>
            </w:r>
          </w:p>
        </w:tc>
      </w:tr>
      <w:tr w:rsidR="00535A76" w:rsidRPr="00535A76" w14:paraId="61C15C75" w14:textId="77777777" w:rsidTr="00C65D42">
        <w:trPr>
          <w:trHeight w:val="259"/>
          <w:jc w:val="center"/>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25855BF6"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3</w:t>
            </w:r>
          </w:p>
        </w:tc>
        <w:tc>
          <w:tcPr>
            <w:tcW w:w="3347" w:type="dxa"/>
            <w:tcBorders>
              <w:top w:val="nil"/>
              <w:left w:val="nil"/>
              <w:bottom w:val="single" w:sz="4" w:space="0" w:color="auto"/>
              <w:right w:val="single" w:sz="4" w:space="0" w:color="auto"/>
            </w:tcBorders>
            <w:shd w:val="clear" w:color="auto" w:fill="auto"/>
            <w:noWrap/>
            <w:vAlign w:val="bottom"/>
            <w:hideMark/>
          </w:tcPr>
          <w:p w14:paraId="0825A65E" w14:textId="77777777" w:rsidR="00535A76" w:rsidRPr="00535A76" w:rsidRDefault="00535A76" w:rsidP="00535A76">
            <w:pPr>
              <w:spacing w:after="0" w:line="240" w:lineRule="auto"/>
              <w:ind w:left="-199"/>
              <w:jc w:val="center"/>
              <w:rPr>
                <w:rFonts w:ascii="Arial" w:eastAsia="Times New Roman" w:hAnsi="Arial" w:cs="Arial"/>
                <w:color w:val="000000"/>
                <w:sz w:val="20"/>
                <w:szCs w:val="20"/>
                <w:lang w:eastAsia="es-MX"/>
              </w:rPr>
            </w:pPr>
            <w:r w:rsidRPr="00535A76">
              <w:rPr>
                <w:rFonts w:ascii="Arial" w:eastAsia="Times New Roman" w:hAnsi="Arial" w:cs="Arial"/>
                <w:color w:val="000000"/>
                <w:sz w:val="20"/>
                <w:szCs w:val="20"/>
                <w:lang w:eastAsia="es-MX"/>
              </w:rPr>
              <w:t>Tania Nanette Larios Pérez</w:t>
            </w:r>
          </w:p>
        </w:tc>
        <w:tc>
          <w:tcPr>
            <w:tcW w:w="3332" w:type="dxa"/>
            <w:tcBorders>
              <w:top w:val="nil"/>
              <w:left w:val="nil"/>
              <w:bottom w:val="single" w:sz="4" w:space="0" w:color="auto"/>
              <w:right w:val="single" w:sz="4" w:space="0" w:color="auto"/>
            </w:tcBorders>
            <w:shd w:val="clear" w:color="auto" w:fill="auto"/>
            <w:noWrap/>
            <w:vAlign w:val="bottom"/>
            <w:hideMark/>
          </w:tcPr>
          <w:p w14:paraId="276C07E4" w14:textId="77777777" w:rsidR="00535A76" w:rsidRPr="00535A76" w:rsidRDefault="00535A76" w:rsidP="00535A76">
            <w:pPr>
              <w:spacing w:after="0" w:line="240" w:lineRule="auto"/>
              <w:jc w:val="center"/>
              <w:rPr>
                <w:rFonts w:ascii="Arial" w:eastAsia="Times New Roman" w:hAnsi="Arial" w:cs="Arial"/>
                <w:color w:val="000000"/>
                <w:sz w:val="20"/>
                <w:szCs w:val="20"/>
                <w:lang w:eastAsia="es-MX"/>
              </w:rPr>
            </w:pPr>
            <w:r w:rsidRPr="00535A76">
              <w:rPr>
                <w:rFonts w:ascii="Arial" w:eastAsia="Times New Roman" w:hAnsi="Arial" w:cs="Arial"/>
                <w:color w:val="000000"/>
                <w:sz w:val="20"/>
                <w:szCs w:val="20"/>
                <w:lang w:eastAsia="es-MX"/>
              </w:rPr>
              <w:t>Yessenia Celedonio Álvarez</w:t>
            </w:r>
          </w:p>
        </w:tc>
        <w:tc>
          <w:tcPr>
            <w:tcW w:w="1296" w:type="dxa"/>
            <w:tcBorders>
              <w:top w:val="nil"/>
              <w:left w:val="nil"/>
              <w:bottom w:val="single" w:sz="4" w:space="0" w:color="auto"/>
              <w:right w:val="single" w:sz="4" w:space="0" w:color="auto"/>
            </w:tcBorders>
            <w:shd w:val="clear" w:color="auto" w:fill="auto"/>
            <w:noWrap/>
            <w:vAlign w:val="center"/>
            <w:hideMark/>
          </w:tcPr>
          <w:p w14:paraId="767781F4" w14:textId="77777777" w:rsidR="00535A76" w:rsidRPr="00535A76" w:rsidRDefault="00535A76" w:rsidP="00535A76">
            <w:pPr>
              <w:spacing w:after="0" w:line="240" w:lineRule="auto"/>
              <w:jc w:val="center"/>
              <w:rPr>
                <w:rFonts w:ascii="Arial" w:eastAsia="Times New Roman" w:hAnsi="Arial" w:cs="Arial"/>
                <w:color w:val="000000"/>
                <w:sz w:val="20"/>
                <w:szCs w:val="20"/>
                <w:lang w:eastAsia="es-MX"/>
              </w:rPr>
            </w:pPr>
            <w:r w:rsidRPr="00535A76">
              <w:rPr>
                <w:rFonts w:ascii="Arial" w:eastAsia="Times New Roman" w:hAnsi="Arial" w:cs="Arial"/>
                <w:color w:val="000000"/>
                <w:sz w:val="20"/>
                <w:szCs w:val="20"/>
                <w:lang w:eastAsia="es-MX"/>
              </w:rPr>
              <w:t>2A</w:t>
            </w:r>
          </w:p>
        </w:tc>
      </w:tr>
      <w:tr w:rsidR="00535A76" w:rsidRPr="00535A76" w14:paraId="54DD7B0C" w14:textId="77777777" w:rsidTr="00535A76">
        <w:trPr>
          <w:trHeight w:val="259"/>
          <w:jc w:val="center"/>
        </w:trPr>
        <w:tc>
          <w:tcPr>
            <w:tcW w:w="92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04E738"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4</w:t>
            </w:r>
          </w:p>
        </w:tc>
        <w:tc>
          <w:tcPr>
            <w:tcW w:w="334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272CB5" w14:textId="77777777" w:rsidR="00535A76" w:rsidRPr="00535A76" w:rsidRDefault="00535A76" w:rsidP="00535A76">
            <w:pPr>
              <w:spacing w:after="0" w:line="240" w:lineRule="auto"/>
              <w:jc w:val="center"/>
              <w:rPr>
                <w:rFonts w:ascii="Arial" w:eastAsia="Times New Roman" w:hAnsi="Arial" w:cs="Arial"/>
                <w:color w:val="000000"/>
                <w:sz w:val="20"/>
                <w:szCs w:val="20"/>
                <w:lang w:eastAsia="es-MX"/>
              </w:rPr>
            </w:pPr>
            <w:proofErr w:type="spellStart"/>
            <w:r w:rsidRPr="00535A76">
              <w:rPr>
                <w:rFonts w:ascii="Arial" w:eastAsia="Times New Roman" w:hAnsi="Arial" w:cs="Arial"/>
                <w:color w:val="000000"/>
                <w:sz w:val="20"/>
                <w:szCs w:val="20"/>
                <w:lang w:eastAsia="es-MX"/>
              </w:rPr>
              <w:t>Jhonatan</w:t>
            </w:r>
            <w:proofErr w:type="spellEnd"/>
            <w:r w:rsidRPr="00535A76">
              <w:rPr>
                <w:rFonts w:ascii="Arial" w:eastAsia="Times New Roman" w:hAnsi="Arial" w:cs="Arial"/>
                <w:color w:val="000000"/>
                <w:sz w:val="20"/>
                <w:szCs w:val="20"/>
                <w:lang w:eastAsia="es-MX"/>
              </w:rPr>
              <w:t xml:space="preserve"> Colmenares Rentería</w:t>
            </w:r>
          </w:p>
        </w:tc>
        <w:tc>
          <w:tcPr>
            <w:tcW w:w="33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EADBAA" w14:textId="77777777" w:rsidR="00535A76" w:rsidRPr="00535A76" w:rsidRDefault="00535A76" w:rsidP="00535A76">
            <w:pPr>
              <w:spacing w:after="0" w:line="240" w:lineRule="auto"/>
              <w:jc w:val="center"/>
              <w:rPr>
                <w:rFonts w:ascii="Arial" w:eastAsia="Times New Roman" w:hAnsi="Arial" w:cs="Arial"/>
                <w:color w:val="000000"/>
                <w:sz w:val="20"/>
                <w:szCs w:val="20"/>
                <w:lang w:eastAsia="es-MX"/>
              </w:rPr>
            </w:pPr>
            <w:r w:rsidRPr="00535A76">
              <w:rPr>
                <w:rFonts w:ascii="Arial" w:eastAsia="Times New Roman" w:hAnsi="Arial" w:cs="Arial"/>
                <w:color w:val="000000"/>
                <w:sz w:val="20"/>
                <w:szCs w:val="20"/>
                <w:lang w:eastAsia="es-MX"/>
              </w:rPr>
              <w:t xml:space="preserve">Jorge Bernardo Franco </w:t>
            </w:r>
            <w:proofErr w:type="spellStart"/>
            <w:r w:rsidRPr="00535A76">
              <w:rPr>
                <w:rFonts w:ascii="Arial" w:eastAsia="Times New Roman" w:hAnsi="Arial" w:cs="Arial"/>
                <w:color w:val="000000"/>
                <w:sz w:val="20"/>
                <w:szCs w:val="20"/>
                <w:lang w:eastAsia="es-MX"/>
              </w:rPr>
              <w:t>Asfura</w:t>
            </w:r>
            <w:proofErr w:type="spellEnd"/>
          </w:p>
        </w:tc>
        <w:tc>
          <w:tcPr>
            <w:tcW w:w="129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FA06A4" w14:textId="77777777" w:rsidR="00535A76" w:rsidRPr="00535A76" w:rsidRDefault="00535A76" w:rsidP="00535A76">
            <w:pPr>
              <w:spacing w:after="0" w:line="240" w:lineRule="auto"/>
              <w:jc w:val="center"/>
              <w:rPr>
                <w:rFonts w:ascii="Arial" w:eastAsia="Times New Roman" w:hAnsi="Arial" w:cs="Arial"/>
                <w:color w:val="000000"/>
                <w:sz w:val="20"/>
                <w:szCs w:val="20"/>
                <w:lang w:eastAsia="es-MX"/>
              </w:rPr>
            </w:pPr>
            <w:r w:rsidRPr="00535A76">
              <w:rPr>
                <w:rFonts w:ascii="Arial" w:eastAsia="Times New Roman" w:hAnsi="Arial" w:cs="Arial"/>
                <w:color w:val="000000"/>
                <w:sz w:val="20"/>
                <w:szCs w:val="20"/>
                <w:lang w:eastAsia="es-MX"/>
              </w:rPr>
              <w:t>2B</w:t>
            </w:r>
          </w:p>
        </w:tc>
      </w:tr>
      <w:tr w:rsidR="00535A76" w:rsidRPr="00535A76" w14:paraId="4DD0837B" w14:textId="77777777" w:rsidTr="00C65D42">
        <w:trPr>
          <w:trHeight w:val="259"/>
          <w:jc w:val="center"/>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4FC66169"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5</w:t>
            </w:r>
          </w:p>
        </w:tc>
        <w:tc>
          <w:tcPr>
            <w:tcW w:w="3347" w:type="dxa"/>
            <w:tcBorders>
              <w:top w:val="nil"/>
              <w:left w:val="nil"/>
              <w:bottom w:val="single" w:sz="4" w:space="0" w:color="auto"/>
              <w:right w:val="single" w:sz="4" w:space="0" w:color="auto"/>
            </w:tcBorders>
            <w:shd w:val="clear" w:color="auto" w:fill="auto"/>
            <w:noWrap/>
            <w:vAlign w:val="bottom"/>
            <w:hideMark/>
          </w:tcPr>
          <w:p w14:paraId="0893E21F" w14:textId="77777777" w:rsidR="00535A76" w:rsidRPr="00535A76" w:rsidRDefault="00535A76" w:rsidP="00535A76">
            <w:pPr>
              <w:spacing w:after="0" w:line="240" w:lineRule="auto"/>
              <w:ind w:left="-199"/>
              <w:jc w:val="center"/>
              <w:rPr>
                <w:rFonts w:ascii="Arial" w:eastAsia="Times New Roman" w:hAnsi="Arial" w:cs="Arial"/>
                <w:color w:val="000000"/>
                <w:sz w:val="20"/>
                <w:szCs w:val="20"/>
                <w:lang w:eastAsia="es-MX"/>
              </w:rPr>
            </w:pPr>
            <w:r w:rsidRPr="00535A76">
              <w:rPr>
                <w:rFonts w:ascii="Arial" w:eastAsia="Times New Roman" w:hAnsi="Arial" w:cs="Arial"/>
                <w:color w:val="000000"/>
                <w:sz w:val="20"/>
                <w:szCs w:val="20"/>
                <w:lang w:eastAsia="es-MX"/>
              </w:rPr>
              <w:t>Fausto Manuel Zamorano Esparza</w:t>
            </w:r>
          </w:p>
        </w:tc>
        <w:tc>
          <w:tcPr>
            <w:tcW w:w="3332" w:type="dxa"/>
            <w:tcBorders>
              <w:top w:val="nil"/>
              <w:left w:val="nil"/>
              <w:bottom w:val="single" w:sz="4" w:space="0" w:color="auto"/>
              <w:right w:val="single" w:sz="4" w:space="0" w:color="auto"/>
            </w:tcBorders>
            <w:shd w:val="clear" w:color="auto" w:fill="auto"/>
            <w:noWrap/>
            <w:vAlign w:val="bottom"/>
            <w:hideMark/>
          </w:tcPr>
          <w:p w14:paraId="2C568519" w14:textId="77777777" w:rsidR="00535A76" w:rsidRPr="00535A76" w:rsidRDefault="00535A76" w:rsidP="00535A76">
            <w:pPr>
              <w:spacing w:after="0" w:line="240" w:lineRule="auto"/>
              <w:jc w:val="center"/>
              <w:rPr>
                <w:rFonts w:ascii="Arial" w:eastAsia="Times New Roman" w:hAnsi="Arial" w:cs="Arial"/>
                <w:color w:val="000000"/>
                <w:sz w:val="20"/>
                <w:szCs w:val="20"/>
                <w:lang w:eastAsia="es-MX"/>
              </w:rPr>
            </w:pPr>
            <w:r w:rsidRPr="00535A76">
              <w:rPr>
                <w:rFonts w:ascii="Arial" w:eastAsia="Times New Roman" w:hAnsi="Arial" w:cs="Arial"/>
                <w:color w:val="000000"/>
                <w:sz w:val="20"/>
                <w:szCs w:val="20"/>
                <w:lang w:eastAsia="es-MX"/>
              </w:rPr>
              <w:t>Mario Becerril Martínez</w:t>
            </w:r>
          </w:p>
        </w:tc>
        <w:tc>
          <w:tcPr>
            <w:tcW w:w="1296" w:type="dxa"/>
            <w:tcBorders>
              <w:top w:val="nil"/>
              <w:left w:val="nil"/>
              <w:bottom w:val="single" w:sz="4" w:space="0" w:color="auto"/>
              <w:right w:val="single" w:sz="4" w:space="0" w:color="auto"/>
            </w:tcBorders>
            <w:shd w:val="clear" w:color="auto" w:fill="auto"/>
            <w:noWrap/>
            <w:vAlign w:val="center"/>
            <w:hideMark/>
          </w:tcPr>
          <w:p w14:paraId="0E3CCEA7" w14:textId="77777777" w:rsidR="00535A76" w:rsidRPr="00535A76" w:rsidRDefault="00535A76" w:rsidP="00535A76">
            <w:pPr>
              <w:spacing w:after="0" w:line="240" w:lineRule="auto"/>
              <w:jc w:val="center"/>
              <w:rPr>
                <w:rFonts w:ascii="Arial" w:eastAsia="Times New Roman" w:hAnsi="Arial" w:cs="Arial"/>
                <w:color w:val="000000"/>
                <w:sz w:val="20"/>
                <w:szCs w:val="20"/>
                <w:lang w:eastAsia="es-MX"/>
              </w:rPr>
            </w:pPr>
            <w:r w:rsidRPr="00535A76">
              <w:rPr>
                <w:rFonts w:ascii="Arial" w:eastAsia="Times New Roman" w:hAnsi="Arial" w:cs="Arial"/>
                <w:color w:val="000000"/>
                <w:sz w:val="20"/>
                <w:szCs w:val="20"/>
                <w:lang w:eastAsia="es-MX"/>
              </w:rPr>
              <w:t>3A</w:t>
            </w:r>
          </w:p>
        </w:tc>
      </w:tr>
    </w:tbl>
    <w:p w14:paraId="5350E2F8" w14:textId="77777777" w:rsidR="00535A76" w:rsidRPr="00535A76" w:rsidRDefault="00535A76" w:rsidP="00535A76">
      <w:pPr>
        <w:rPr>
          <w:rFonts w:ascii="Arial" w:eastAsia="Calibri" w:hAnsi="Arial" w:cs="Arial"/>
        </w:rPr>
      </w:pPr>
    </w:p>
    <w:tbl>
      <w:tblPr>
        <w:tblW w:w="8672" w:type="dxa"/>
        <w:jc w:val="center"/>
        <w:tblCellMar>
          <w:left w:w="70" w:type="dxa"/>
          <w:right w:w="70" w:type="dxa"/>
        </w:tblCellMar>
        <w:tblLook w:val="04A0" w:firstRow="1" w:lastRow="0" w:firstColumn="1" w:lastColumn="0" w:noHBand="0" w:noVBand="1"/>
      </w:tblPr>
      <w:tblGrid>
        <w:gridCol w:w="463"/>
        <w:gridCol w:w="3673"/>
        <w:gridCol w:w="2894"/>
        <w:gridCol w:w="1642"/>
      </w:tblGrid>
      <w:tr w:rsidR="00535A76" w:rsidRPr="00535A76" w14:paraId="28FB020F" w14:textId="77777777" w:rsidTr="00535A76">
        <w:trPr>
          <w:trHeight w:val="263"/>
          <w:jc w:val="center"/>
        </w:trPr>
        <w:tc>
          <w:tcPr>
            <w:tcW w:w="8672" w:type="dxa"/>
            <w:gridSpan w:val="4"/>
            <w:tcBorders>
              <w:top w:val="single" w:sz="4" w:space="0" w:color="auto"/>
              <w:left w:val="single" w:sz="4" w:space="0" w:color="auto"/>
              <w:bottom w:val="single" w:sz="4" w:space="0" w:color="auto"/>
              <w:right w:val="single" w:sz="4" w:space="0" w:color="000000"/>
            </w:tcBorders>
            <w:shd w:val="clear" w:color="auto" w:fill="FFC000"/>
            <w:noWrap/>
            <w:vAlign w:val="center"/>
            <w:hideMark/>
          </w:tcPr>
          <w:p w14:paraId="61202367"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ASIGNACIÓN PRD (IECM y PLANTEAMIENTO)</w:t>
            </w:r>
          </w:p>
        </w:tc>
      </w:tr>
      <w:tr w:rsidR="00535A76" w:rsidRPr="00535A76" w14:paraId="5A5DEFDC" w14:textId="77777777" w:rsidTr="00C65D42">
        <w:trPr>
          <w:trHeight w:val="263"/>
          <w:jc w:val="center"/>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408AB28B"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No.</w:t>
            </w:r>
          </w:p>
        </w:tc>
        <w:tc>
          <w:tcPr>
            <w:tcW w:w="3673" w:type="dxa"/>
            <w:tcBorders>
              <w:top w:val="nil"/>
              <w:left w:val="nil"/>
              <w:bottom w:val="single" w:sz="4" w:space="0" w:color="auto"/>
              <w:right w:val="single" w:sz="4" w:space="0" w:color="auto"/>
            </w:tcBorders>
            <w:shd w:val="clear" w:color="auto" w:fill="auto"/>
            <w:noWrap/>
            <w:vAlign w:val="bottom"/>
            <w:hideMark/>
          </w:tcPr>
          <w:p w14:paraId="23F06812"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Propietario</w:t>
            </w:r>
          </w:p>
        </w:tc>
        <w:tc>
          <w:tcPr>
            <w:tcW w:w="2894" w:type="dxa"/>
            <w:tcBorders>
              <w:top w:val="nil"/>
              <w:left w:val="nil"/>
              <w:bottom w:val="single" w:sz="4" w:space="0" w:color="auto"/>
              <w:right w:val="single" w:sz="4" w:space="0" w:color="auto"/>
            </w:tcBorders>
            <w:shd w:val="clear" w:color="auto" w:fill="auto"/>
            <w:vAlign w:val="bottom"/>
            <w:hideMark/>
          </w:tcPr>
          <w:p w14:paraId="58D551C1"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Suplente</w:t>
            </w:r>
          </w:p>
        </w:tc>
        <w:tc>
          <w:tcPr>
            <w:tcW w:w="1642" w:type="dxa"/>
            <w:tcBorders>
              <w:top w:val="nil"/>
              <w:left w:val="nil"/>
              <w:bottom w:val="single" w:sz="4" w:space="0" w:color="auto"/>
              <w:right w:val="single" w:sz="4" w:space="0" w:color="auto"/>
            </w:tcBorders>
            <w:shd w:val="clear" w:color="auto" w:fill="auto"/>
            <w:noWrap/>
            <w:vAlign w:val="bottom"/>
            <w:hideMark/>
          </w:tcPr>
          <w:p w14:paraId="0AAE4371"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Lista origen</w:t>
            </w:r>
          </w:p>
        </w:tc>
      </w:tr>
      <w:tr w:rsidR="00535A76" w:rsidRPr="00535A76" w14:paraId="6ED5640D" w14:textId="77777777" w:rsidTr="00C65D42">
        <w:trPr>
          <w:trHeight w:val="263"/>
          <w:jc w:val="center"/>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60C7B265"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1</w:t>
            </w:r>
          </w:p>
        </w:tc>
        <w:tc>
          <w:tcPr>
            <w:tcW w:w="3673" w:type="dxa"/>
            <w:tcBorders>
              <w:top w:val="nil"/>
              <w:left w:val="nil"/>
              <w:bottom w:val="single" w:sz="4" w:space="0" w:color="auto"/>
              <w:right w:val="single" w:sz="4" w:space="0" w:color="auto"/>
            </w:tcBorders>
            <w:shd w:val="clear" w:color="auto" w:fill="auto"/>
            <w:noWrap/>
            <w:vAlign w:val="center"/>
            <w:hideMark/>
          </w:tcPr>
          <w:p w14:paraId="6813C6F9" w14:textId="77777777" w:rsidR="00535A76" w:rsidRPr="00535A76" w:rsidRDefault="00535A76" w:rsidP="00535A76">
            <w:pPr>
              <w:spacing w:after="0" w:line="240" w:lineRule="auto"/>
              <w:jc w:val="center"/>
              <w:rPr>
                <w:rFonts w:ascii="Arial" w:eastAsia="Times New Roman" w:hAnsi="Arial" w:cs="Arial"/>
                <w:color w:val="000000"/>
                <w:sz w:val="20"/>
                <w:szCs w:val="20"/>
                <w:lang w:eastAsia="es-MX"/>
              </w:rPr>
            </w:pPr>
            <w:r w:rsidRPr="00535A76">
              <w:rPr>
                <w:rFonts w:ascii="Arial" w:eastAsia="Times New Roman" w:hAnsi="Arial" w:cs="Arial"/>
                <w:color w:val="000000"/>
                <w:sz w:val="20"/>
                <w:szCs w:val="20"/>
                <w:lang w:eastAsia="es-MX"/>
              </w:rPr>
              <w:t>Víctor Hugo Lobo Román</w:t>
            </w:r>
          </w:p>
        </w:tc>
        <w:tc>
          <w:tcPr>
            <w:tcW w:w="2894" w:type="dxa"/>
            <w:tcBorders>
              <w:top w:val="nil"/>
              <w:left w:val="nil"/>
              <w:bottom w:val="single" w:sz="4" w:space="0" w:color="auto"/>
              <w:right w:val="single" w:sz="4" w:space="0" w:color="auto"/>
            </w:tcBorders>
            <w:shd w:val="clear" w:color="auto" w:fill="auto"/>
            <w:noWrap/>
            <w:vAlign w:val="center"/>
            <w:hideMark/>
          </w:tcPr>
          <w:p w14:paraId="59C52914" w14:textId="77777777" w:rsidR="00535A76" w:rsidRPr="00535A76" w:rsidRDefault="00535A76" w:rsidP="00535A76">
            <w:pPr>
              <w:spacing w:after="0" w:line="240" w:lineRule="auto"/>
              <w:jc w:val="center"/>
              <w:rPr>
                <w:rFonts w:ascii="Arial" w:eastAsia="Times New Roman" w:hAnsi="Arial" w:cs="Arial"/>
                <w:color w:val="000000"/>
                <w:sz w:val="20"/>
                <w:szCs w:val="20"/>
                <w:lang w:eastAsia="es-MX"/>
              </w:rPr>
            </w:pPr>
            <w:r w:rsidRPr="00535A76">
              <w:rPr>
                <w:rFonts w:ascii="Arial" w:eastAsia="Times New Roman" w:hAnsi="Arial" w:cs="Arial"/>
                <w:color w:val="000000"/>
                <w:sz w:val="20"/>
                <w:szCs w:val="20"/>
                <w:lang w:eastAsia="es-MX"/>
              </w:rPr>
              <w:t>Esteban Mario Torres Ruiz</w:t>
            </w:r>
          </w:p>
        </w:tc>
        <w:tc>
          <w:tcPr>
            <w:tcW w:w="1642" w:type="dxa"/>
            <w:tcBorders>
              <w:top w:val="nil"/>
              <w:left w:val="nil"/>
              <w:bottom w:val="single" w:sz="4" w:space="0" w:color="auto"/>
              <w:right w:val="single" w:sz="4" w:space="0" w:color="auto"/>
            </w:tcBorders>
            <w:shd w:val="clear" w:color="auto" w:fill="auto"/>
            <w:noWrap/>
            <w:vAlign w:val="center"/>
            <w:hideMark/>
          </w:tcPr>
          <w:p w14:paraId="7BC5D04F" w14:textId="77777777" w:rsidR="00535A76" w:rsidRPr="00535A76" w:rsidRDefault="00535A76" w:rsidP="00535A76">
            <w:pPr>
              <w:spacing w:after="0" w:line="240" w:lineRule="auto"/>
              <w:jc w:val="center"/>
              <w:rPr>
                <w:rFonts w:ascii="Arial" w:eastAsia="Times New Roman" w:hAnsi="Arial" w:cs="Arial"/>
                <w:color w:val="000000"/>
                <w:sz w:val="20"/>
                <w:szCs w:val="20"/>
                <w:lang w:eastAsia="es-MX"/>
              </w:rPr>
            </w:pPr>
            <w:r w:rsidRPr="00535A76">
              <w:rPr>
                <w:rFonts w:ascii="Arial" w:eastAsia="Times New Roman" w:hAnsi="Arial" w:cs="Arial"/>
                <w:color w:val="000000"/>
                <w:sz w:val="20"/>
                <w:szCs w:val="20"/>
                <w:lang w:eastAsia="es-MX"/>
              </w:rPr>
              <w:t>1A</w:t>
            </w:r>
          </w:p>
        </w:tc>
      </w:tr>
      <w:tr w:rsidR="00535A76" w:rsidRPr="00535A76" w14:paraId="133F15FD" w14:textId="77777777" w:rsidTr="00C65D42">
        <w:trPr>
          <w:trHeight w:val="263"/>
          <w:jc w:val="center"/>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0B6C4295"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2</w:t>
            </w:r>
          </w:p>
        </w:tc>
        <w:tc>
          <w:tcPr>
            <w:tcW w:w="3673" w:type="dxa"/>
            <w:tcBorders>
              <w:top w:val="nil"/>
              <w:left w:val="nil"/>
              <w:bottom w:val="single" w:sz="4" w:space="0" w:color="auto"/>
              <w:right w:val="single" w:sz="4" w:space="0" w:color="auto"/>
            </w:tcBorders>
            <w:shd w:val="clear" w:color="auto" w:fill="auto"/>
            <w:noWrap/>
            <w:vAlign w:val="center"/>
            <w:hideMark/>
          </w:tcPr>
          <w:p w14:paraId="53430B58" w14:textId="77777777" w:rsidR="00535A76" w:rsidRPr="00535A76" w:rsidRDefault="00535A76" w:rsidP="00535A76">
            <w:pPr>
              <w:spacing w:after="0" w:line="240" w:lineRule="auto"/>
              <w:jc w:val="center"/>
              <w:rPr>
                <w:rFonts w:ascii="Arial" w:eastAsia="Times New Roman" w:hAnsi="Arial" w:cs="Arial"/>
                <w:color w:val="000000"/>
                <w:sz w:val="20"/>
                <w:szCs w:val="20"/>
                <w:lang w:eastAsia="es-MX"/>
              </w:rPr>
            </w:pPr>
            <w:r w:rsidRPr="00535A76">
              <w:rPr>
                <w:rFonts w:ascii="Arial" w:eastAsia="Times New Roman" w:hAnsi="Arial" w:cs="Arial"/>
                <w:color w:val="000000"/>
                <w:sz w:val="20"/>
                <w:szCs w:val="20"/>
                <w:lang w:eastAsia="es-MX"/>
              </w:rPr>
              <w:t xml:space="preserve">Ricardo </w:t>
            </w:r>
            <w:proofErr w:type="spellStart"/>
            <w:r w:rsidRPr="00535A76">
              <w:rPr>
                <w:rFonts w:ascii="Arial" w:eastAsia="Times New Roman" w:hAnsi="Arial" w:cs="Arial"/>
                <w:color w:val="000000"/>
                <w:sz w:val="20"/>
                <w:szCs w:val="20"/>
                <w:lang w:eastAsia="es-MX"/>
              </w:rPr>
              <w:t>Janecarlo</w:t>
            </w:r>
            <w:proofErr w:type="spellEnd"/>
            <w:r w:rsidRPr="00535A76">
              <w:rPr>
                <w:rFonts w:ascii="Arial" w:eastAsia="Times New Roman" w:hAnsi="Arial" w:cs="Arial"/>
                <w:color w:val="000000"/>
                <w:sz w:val="20"/>
                <w:szCs w:val="20"/>
                <w:lang w:eastAsia="es-MX"/>
              </w:rPr>
              <w:t xml:space="preserve"> Lozano Reynoso</w:t>
            </w:r>
          </w:p>
        </w:tc>
        <w:tc>
          <w:tcPr>
            <w:tcW w:w="2894" w:type="dxa"/>
            <w:tcBorders>
              <w:top w:val="nil"/>
              <w:left w:val="nil"/>
              <w:bottom w:val="single" w:sz="4" w:space="0" w:color="auto"/>
              <w:right w:val="single" w:sz="4" w:space="0" w:color="auto"/>
            </w:tcBorders>
            <w:shd w:val="clear" w:color="auto" w:fill="auto"/>
            <w:noWrap/>
            <w:vAlign w:val="center"/>
            <w:hideMark/>
          </w:tcPr>
          <w:p w14:paraId="4E17182B" w14:textId="77777777" w:rsidR="00535A76" w:rsidRPr="00535A76" w:rsidRDefault="00535A76" w:rsidP="00535A76">
            <w:pPr>
              <w:spacing w:after="0" w:line="240" w:lineRule="auto"/>
              <w:jc w:val="center"/>
              <w:rPr>
                <w:rFonts w:ascii="Arial" w:eastAsia="Times New Roman" w:hAnsi="Arial" w:cs="Arial"/>
                <w:color w:val="000000"/>
                <w:sz w:val="20"/>
                <w:szCs w:val="20"/>
                <w:lang w:eastAsia="es-MX"/>
              </w:rPr>
            </w:pPr>
            <w:r w:rsidRPr="00535A76">
              <w:rPr>
                <w:rFonts w:ascii="Arial" w:eastAsia="Times New Roman" w:hAnsi="Arial" w:cs="Arial"/>
                <w:color w:val="000000"/>
                <w:sz w:val="20"/>
                <w:szCs w:val="20"/>
                <w:lang w:eastAsia="es-MX"/>
              </w:rPr>
              <w:t>Israel Ramírez Mosqueda</w:t>
            </w:r>
          </w:p>
        </w:tc>
        <w:tc>
          <w:tcPr>
            <w:tcW w:w="1642" w:type="dxa"/>
            <w:tcBorders>
              <w:top w:val="nil"/>
              <w:left w:val="nil"/>
              <w:bottom w:val="single" w:sz="4" w:space="0" w:color="auto"/>
              <w:right w:val="single" w:sz="4" w:space="0" w:color="auto"/>
            </w:tcBorders>
            <w:shd w:val="clear" w:color="auto" w:fill="auto"/>
            <w:noWrap/>
            <w:vAlign w:val="center"/>
            <w:hideMark/>
          </w:tcPr>
          <w:p w14:paraId="6707045B" w14:textId="77777777" w:rsidR="00535A76" w:rsidRPr="00535A76" w:rsidRDefault="00535A76" w:rsidP="00535A76">
            <w:pPr>
              <w:spacing w:after="0" w:line="240" w:lineRule="auto"/>
              <w:jc w:val="center"/>
              <w:rPr>
                <w:rFonts w:ascii="Arial" w:eastAsia="Times New Roman" w:hAnsi="Arial" w:cs="Arial"/>
                <w:color w:val="000000"/>
                <w:sz w:val="20"/>
                <w:szCs w:val="20"/>
                <w:lang w:eastAsia="es-MX"/>
              </w:rPr>
            </w:pPr>
            <w:r w:rsidRPr="00535A76">
              <w:rPr>
                <w:rFonts w:ascii="Arial" w:eastAsia="Times New Roman" w:hAnsi="Arial" w:cs="Arial"/>
                <w:color w:val="000000"/>
                <w:sz w:val="20"/>
                <w:szCs w:val="20"/>
                <w:lang w:eastAsia="es-MX"/>
              </w:rPr>
              <w:t>1B</w:t>
            </w:r>
          </w:p>
        </w:tc>
      </w:tr>
    </w:tbl>
    <w:p w14:paraId="763B5935" w14:textId="77777777" w:rsidR="00535A76" w:rsidRPr="00535A76" w:rsidRDefault="00535A76" w:rsidP="00535A76">
      <w:pPr>
        <w:jc w:val="center"/>
        <w:rPr>
          <w:rFonts w:ascii="Arial" w:eastAsia="Calibri" w:hAnsi="Arial" w:cs="Arial"/>
        </w:rPr>
      </w:pPr>
    </w:p>
    <w:tbl>
      <w:tblPr>
        <w:tblW w:w="8904" w:type="dxa"/>
        <w:jc w:val="center"/>
        <w:tblCellMar>
          <w:left w:w="70" w:type="dxa"/>
          <w:right w:w="70" w:type="dxa"/>
        </w:tblCellMar>
        <w:tblLook w:val="04A0" w:firstRow="1" w:lastRow="0" w:firstColumn="1" w:lastColumn="0" w:noHBand="0" w:noVBand="1"/>
      </w:tblPr>
      <w:tblGrid>
        <w:gridCol w:w="929"/>
        <w:gridCol w:w="3347"/>
        <w:gridCol w:w="3332"/>
        <w:gridCol w:w="1296"/>
      </w:tblGrid>
      <w:tr w:rsidR="00535A76" w:rsidRPr="00535A76" w14:paraId="18BCB477" w14:textId="77777777" w:rsidTr="00535A76">
        <w:trPr>
          <w:trHeight w:val="259"/>
          <w:jc w:val="center"/>
        </w:trPr>
        <w:tc>
          <w:tcPr>
            <w:tcW w:w="8904" w:type="dxa"/>
            <w:gridSpan w:val="4"/>
            <w:tcBorders>
              <w:top w:val="single" w:sz="4" w:space="0" w:color="auto"/>
              <w:left w:val="single" w:sz="4" w:space="0" w:color="auto"/>
              <w:bottom w:val="single" w:sz="4" w:space="0" w:color="auto"/>
              <w:right w:val="single" w:sz="4" w:space="0" w:color="000000"/>
            </w:tcBorders>
            <w:shd w:val="clear" w:color="auto" w:fill="ED7D31"/>
            <w:noWrap/>
            <w:vAlign w:val="center"/>
            <w:hideMark/>
          </w:tcPr>
          <w:p w14:paraId="5DDA3F56"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ASIGNACIÓN MC</w:t>
            </w:r>
          </w:p>
        </w:tc>
      </w:tr>
      <w:tr w:rsidR="00535A76" w:rsidRPr="00535A76" w14:paraId="5978AAFF" w14:textId="77777777" w:rsidTr="00C65D42">
        <w:trPr>
          <w:trHeight w:val="285"/>
          <w:jc w:val="center"/>
        </w:trPr>
        <w:tc>
          <w:tcPr>
            <w:tcW w:w="929" w:type="dxa"/>
            <w:tcBorders>
              <w:top w:val="nil"/>
              <w:left w:val="single" w:sz="4" w:space="0" w:color="auto"/>
              <w:bottom w:val="single" w:sz="4" w:space="0" w:color="auto"/>
              <w:right w:val="single" w:sz="4" w:space="0" w:color="auto"/>
            </w:tcBorders>
            <w:shd w:val="clear" w:color="auto" w:fill="auto"/>
            <w:vAlign w:val="center"/>
            <w:hideMark/>
          </w:tcPr>
          <w:p w14:paraId="1A63F420"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Fórmula</w:t>
            </w:r>
          </w:p>
        </w:tc>
        <w:tc>
          <w:tcPr>
            <w:tcW w:w="3347" w:type="dxa"/>
            <w:tcBorders>
              <w:top w:val="single" w:sz="4" w:space="0" w:color="auto"/>
              <w:left w:val="nil"/>
              <w:bottom w:val="single" w:sz="4" w:space="0" w:color="auto"/>
              <w:right w:val="single" w:sz="4" w:space="0" w:color="000000"/>
            </w:tcBorders>
            <w:shd w:val="clear" w:color="auto" w:fill="auto"/>
            <w:noWrap/>
            <w:vAlign w:val="center"/>
            <w:hideMark/>
          </w:tcPr>
          <w:p w14:paraId="079940A0"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Propietario</w:t>
            </w:r>
          </w:p>
        </w:tc>
        <w:tc>
          <w:tcPr>
            <w:tcW w:w="3332" w:type="dxa"/>
            <w:tcBorders>
              <w:top w:val="nil"/>
              <w:left w:val="nil"/>
              <w:bottom w:val="single" w:sz="4" w:space="0" w:color="auto"/>
              <w:right w:val="single" w:sz="4" w:space="0" w:color="auto"/>
            </w:tcBorders>
            <w:shd w:val="clear" w:color="auto" w:fill="auto"/>
            <w:noWrap/>
            <w:vAlign w:val="center"/>
            <w:hideMark/>
          </w:tcPr>
          <w:p w14:paraId="1D50FB2A"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Suplente</w:t>
            </w:r>
          </w:p>
        </w:tc>
        <w:tc>
          <w:tcPr>
            <w:tcW w:w="1296" w:type="dxa"/>
            <w:tcBorders>
              <w:top w:val="nil"/>
              <w:left w:val="nil"/>
              <w:bottom w:val="single" w:sz="4" w:space="0" w:color="auto"/>
              <w:right w:val="single" w:sz="4" w:space="0" w:color="auto"/>
            </w:tcBorders>
            <w:shd w:val="clear" w:color="auto" w:fill="auto"/>
            <w:vAlign w:val="center"/>
            <w:hideMark/>
          </w:tcPr>
          <w:p w14:paraId="46C04736"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Lista origen</w:t>
            </w:r>
          </w:p>
        </w:tc>
      </w:tr>
      <w:tr w:rsidR="00535A76" w:rsidRPr="00535A76" w14:paraId="43FB741F" w14:textId="77777777" w:rsidTr="00C65D42">
        <w:trPr>
          <w:trHeight w:val="259"/>
          <w:jc w:val="center"/>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0544E450"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1</w:t>
            </w:r>
          </w:p>
        </w:tc>
        <w:tc>
          <w:tcPr>
            <w:tcW w:w="3347" w:type="dxa"/>
            <w:tcBorders>
              <w:top w:val="single" w:sz="4" w:space="0" w:color="auto"/>
              <w:left w:val="nil"/>
              <w:bottom w:val="single" w:sz="4" w:space="0" w:color="auto"/>
              <w:right w:val="single" w:sz="4" w:space="0" w:color="auto"/>
            </w:tcBorders>
            <w:shd w:val="clear" w:color="auto" w:fill="auto"/>
            <w:noWrap/>
            <w:vAlign w:val="bottom"/>
            <w:hideMark/>
          </w:tcPr>
          <w:p w14:paraId="3EF78537" w14:textId="77777777" w:rsidR="00535A76" w:rsidRPr="00535A76" w:rsidRDefault="00535A76" w:rsidP="00535A76">
            <w:pPr>
              <w:spacing w:after="0" w:line="240" w:lineRule="auto"/>
              <w:jc w:val="center"/>
              <w:rPr>
                <w:rFonts w:ascii="Arial" w:eastAsia="Times New Roman" w:hAnsi="Arial" w:cs="Arial"/>
                <w:color w:val="000000"/>
                <w:sz w:val="20"/>
                <w:szCs w:val="20"/>
                <w:lang w:eastAsia="es-MX"/>
              </w:rPr>
            </w:pPr>
            <w:proofErr w:type="spellStart"/>
            <w:r w:rsidRPr="00535A76">
              <w:rPr>
                <w:rFonts w:ascii="Arial" w:eastAsia="Times New Roman" w:hAnsi="Arial" w:cs="Arial"/>
                <w:color w:val="000000"/>
                <w:sz w:val="20"/>
                <w:szCs w:val="20"/>
                <w:lang w:eastAsia="es-MX"/>
              </w:rPr>
              <w:t>Royfid</w:t>
            </w:r>
            <w:proofErr w:type="spellEnd"/>
            <w:r w:rsidRPr="00535A76">
              <w:rPr>
                <w:rFonts w:ascii="Arial" w:eastAsia="Times New Roman" w:hAnsi="Arial" w:cs="Arial"/>
                <w:color w:val="000000"/>
                <w:sz w:val="20"/>
                <w:szCs w:val="20"/>
                <w:lang w:eastAsia="es-MX"/>
              </w:rPr>
              <w:t xml:space="preserve"> Torres González</w:t>
            </w:r>
          </w:p>
        </w:tc>
        <w:tc>
          <w:tcPr>
            <w:tcW w:w="3332" w:type="dxa"/>
            <w:tcBorders>
              <w:top w:val="nil"/>
              <w:left w:val="nil"/>
              <w:bottom w:val="single" w:sz="4" w:space="0" w:color="auto"/>
              <w:right w:val="single" w:sz="4" w:space="0" w:color="auto"/>
            </w:tcBorders>
            <w:shd w:val="clear" w:color="auto" w:fill="auto"/>
            <w:noWrap/>
            <w:vAlign w:val="bottom"/>
            <w:hideMark/>
          </w:tcPr>
          <w:p w14:paraId="38BE52A4" w14:textId="77777777" w:rsidR="00535A76" w:rsidRPr="00535A76" w:rsidRDefault="00535A76" w:rsidP="00535A76">
            <w:pPr>
              <w:spacing w:after="0" w:line="240" w:lineRule="auto"/>
              <w:jc w:val="center"/>
              <w:rPr>
                <w:rFonts w:ascii="Arial" w:eastAsia="Times New Roman" w:hAnsi="Arial" w:cs="Arial"/>
                <w:color w:val="000000"/>
                <w:sz w:val="20"/>
                <w:szCs w:val="20"/>
                <w:lang w:eastAsia="es-MX"/>
              </w:rPr>
            </w:pPr>
            <w:r w:rsidRPr="00535A76">
              <w:rPr>
                <w:rFonts w:ascii="Arial" w:eastAsia="Times New Roman" w:hAnsi="Arial" w:cs="Arial"/>
                <w:color w:val="000000"/>
                <w:sz w:val="20"/>
                <w:szCs w:val="20"/>
                <w:lang w:eastAsia="es-MX"/>
              </w:rPr>
              <w:t>Esteban Alejandro Barrales Magdaleno</w:t>
            </w:r>
          </w:p>
        </w:tc>
        <w:tc>
          <w:tcPr>
            <w:tcW w:w="1296" w:type="dxa"/>
            <w:tcBorders>
              <w:top w:val="nil"/>
              <w:left w:val="nil"/>
              <w:bottom w:val="single" w:sz="4" w:space="0" w:color="auto"/>
              <w:right w:val="single" w:sz="4" w:space="0" w:color="auto"/>
            </w:tcBorders>
            <w:shd w:val="clear" w:color="auto" w:fill="auto"/>
            <w:noWrap/>
            <w:vAlign w:val="center"/>
            <w:hideMark/>
          </w:tcPr>
          <w:p w14:paraId="7875383D" w14:textId="77777777" w:rsidR="00535A76" w:rsidRPr="00535A76" w:rsidRDefault="00535A76" w:rsidP="00535A76">
            <w:pPr>
              <w:spacing w:after="0" w:line="240" w:lineRule="auto"/>
              <w:jc w:val="center"/>
              <w:rPr>
                <w:rFonts w:ascii="Arial" w:eastAsia="Times New Roman" w:hAnsi="Arial" w:cs="Arial"/>
                <w:color w:val="000000"/>
                <w:sz w:val="20"/>
                <w:szCs w:val="20"/>
                <w:lang w:eastAsia="es-MX"/>
              </w:rPr>
            </w:pPr>
            <w:r w:rsidRPr="00535A76">
              <w:rPr>
                <w:rFonts w:ascii="Arial" w:eastAsia="Times New Roman" w:hAnsi="Arial" w:cs="Arial"/>
                <w:color w:val="000000"/>
                <w:sz w:val="20"/>
                <w:szCs w:val="20"/>
                <w:lang w:eastAsia="es-MX"/>
              </w:rPr>
              <w:t>1A</w:t>
            </w:r>
          </w:p>
        </w:tc>
      </w:tr>
    </w:tbl>
    <w:p w14:paraId="20A29BC3" w14:textId="77777777" w:rsidR="00535A76" w:rsidRPr="00535A76" w:rsidRDefault="00535A76" w:rsidP="00535A76">
      <w:pPr>
        <w:jc w:val="center"/>
        <w:rPr>
          <w:rFonts w:ascii="Arial" w:eastAsia="Calibri" w:hAnsi="Arial" w:cs="Arial"/>
        </w:rPr>
      </w:pPr>
    </w:p>
    <w:tbl>
      <w:tblPr>
        <w:tblW w:w="8904" w:type="dxa"/>
        <w:jc w:val="center"/>
        <w:tblCellMar>
          <w:left w:w="70" w:type="dxa"/>
          <w:right w:w="70" w:type="dxa"/>
        </w:tblCellMar>
        <w:tblLook w:val="04A0" w:firstRow="1" w:lastRow="0" w:firstColumn="1" w:lastColumn="0" w:noHBand="0" w:noVBand="1"/>
      </w:tblPr>
      <w:tblGrid>
        <w:gridCol w:w="929"/>
        <w:gridCol w:w="3347"/>
        <w:gridCol w:w="3332"/>
        <w:gridCol w:w="1296"/>
      </w:tblGrid>
      <w:tr w:rsidR="00535A76" w:rsidRPr="00535A76" w14:paraId="03624502" w14:textId="77777777" w:rsidTr="00C65D42">
        <w:trPr>
          <w:trHeight w:val="259"/>
          <w:jc w:val="center"/>
        </w:trPr>
        <w:tc>
          <w:tcPr>
            <w:tcW w:w="8904" w:type="dxa"/>
            <w:gridSpan w:val="4"/>
            <w:tcBorders>
              <w:top w:val="single" w:sz="4" w:space="0" w:color="auto"/>
              <w:left w:val="single" w:sz="4" w:space="0" w:color="auto"/>
              <w:bottom w:val="single" w:sz="4" w:space="0" w:color="auto"/>
              <w:right w:val="single" w:sz="4" w:space="0" w:color="000000"/>
            </w:tcBorders>
            <w:shd w:val="clear" w:color="auto" w:fill="92D050"/>
            <w:noWrap/>
            <w:vAlign w:val="center"/>
            <w:hideMark/>
          </w:tcPr>
          <w:p w14:paraId="193E3ACB"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ASIGNACIÓN PVEM</w:t>
            </w:r>
          </w:p>
        </w:tc>
      </w:tr>
      <w:tr w:rsidR="00535A76" w:rsidRPr="00535A76" w14:paraId="20E2CBF8" w14:textId="77777777" w:rsidTr="00C65D42">
        <w:trPr>
          <w:trHeight w:val="285"/>
          <w:jc w:val="center"/>
        </w:trPr>
        <w:tc>
          <w:tcPr>
            <w:tcW w:w="929" w:type="dxa"/>
            <w:tcBorders>
              <w:top w:val="nil"/>
              <w:left w:val="single" w:sz="4" w:space="0" w:color="auto"/>
              <w:bottom w:val="single" w:sz="4" w:space="0" w:color="auto"/>
              <w:right w:val="single" w:sz="4" w:space="0" w:color="auto"/>
            </w:tcBorders>
            <w:shd w:val="clear" w:color="auto" w:fill="auto"/>
            <w:vAlign w:val="center"/>
            <w:hideMark/>
          </w:tcPr>
          <w:p w14:paraId="6BFE073C"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Fórmula</w:t>
            </w:r>
          </w:p>
        </w:tc>
        <w:tc>
          <w:tcPr>
            <w:tcW w:w="3347" w:type="dxa"/>
            <w:tcBorders>
              <w:top w:val="single" w:sz="4" w:space="0" w:color="auto"/>
              <w:left w:val="nil"/>
              <w:bottom w:val="single" w:sz="4" w:space="0" w:color="auto"/>
              <w:right w:val="single" w:sz="4" w:space="0" w:color="000000"/>
            </w:tcBorders>
            <w:shd w:val="clear" w:color="auto" w:fill="auto"/>
            <w:noWrap/>
            <w:vAlign w:val="center"/>
            <w:hideMark/>
          </w:tcPr>
          <w:p w14:paraId="0B687AC4"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Propietario</w:t>
            </w:r>
          </w:p>
        </w:tc>
        <w:tc>
          <w:tcPr>
            <w:tcW w:w="3332" w:type="dxa"/>
            <w:tcBorders>
              <w:top w:val="nil"/>
              <w:left w:val="nil"/>
              <w:bottom w:val="single" w:sz="4" w:space="0" w:color="auto"/>
              <w:right w:val="single" w:sz="4" w:space="0" w:color="auto"/>
            </w:tcBorders>
            <w:shd w:val="clear" w:color="auto" w:fill="auto"/>
            <w:noWrap/>
            <w:vAlign w:val="center"/>
            <w:hideMark/>
          </w:tcPr>
          <w:p w14:paraId="423A6F52"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Suplente</w:t>
            </w:r>
          </w:p>
        </w:tc>
        <w:tc>
          <w:tcPr>
            <w:tcW w:w="1296" w:type="dxa"/>
            <w:tcBorders>
              <w:top w:val="nil"/>
              <w:left w:val="nil"/>
              <w:bottom w:val="single" w:sz="4" w:space="0" w:color="auto"/>
              <w:right w:val="single" w:sz="4" w:space="0" w:color="auto"/>
            </w:tcBorders>
            <w:shd w:val="clear" w:color="auto" w:fill="auto"/>
            <w:vAlign w:val="center"/>
            <w:hideMark/>
          </w:tcPr>
          <w:p w14:paraId="56CD6684"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Lista origen</w:t>
            </w:r>
          </w:p>
        </w:tc>
      </w:tr>
      <w:tr w:rsidR="00535A76" w:rsidRPr="00535A76" w14:paraId="257E0CC3" w14:textId="77777777" w:rsidTr="00C65D42">
        <w:trPr>
          <w:trHeight w:val="259"/>
          <w:jc w:val="center"/>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7B79FCB" w14:textId="77777777" w:rsidR="00535A76" w:rsidRPr="00535A76" w:rsidRDefault="00535A76" w:rsidP="00535A76">
            <w:pPr>
              <w:spacing w:after="0" w:line="240" w:lineRule="auto"/>
              <w:jc w:val="center"/>
              <w:rPr>
                <w:rFonts w:ascii="Arial" w:eastAsia="Times New Roman" w:hAnsi="Arial" w:cs="Arial"/>
                <w:b/>
                <w:bCs/>
                <w:color w:val="000000"/>
                <w:sz w:val="20"/>
                <w:szCs w:val="20"/>
                <w:lang w:eastAsia="es-MX"/>
              </w:rPr>
            </w:pPr>
            <w:r w:rsidRPr="00535A76">
              <w:rPr>
                <w:rFonts w:ascii="Arial" w:eastAsia="Times New Roman" w:hAnsi="Arial" w:cs="Arial"/>
                <w:b/>
                <w:bCs/>
                <w:color w:val="000000"/>
                <w:sz w:val="20"/>
                <w:szCs w:val="20"/>
                <w:lang w:eastAsia="es-MX"/>
              </w:rPr>
              <w:t>1</w:t>
            </w:r>
          </w:p>
        </w:tc>
        <w:tc>
          <w:tcPr>
            <w:tcW w:w="3347" w:type="dxa"/>
            <w:tcBorders>
              <w:top w:val="single" w:sz="4" w:space="0" w:color="auto"/>
              <w:left w:val="nil"/>
              <w:bottom w:val="single" w:sz="4" w:space="0" w:color="auto"/>
              <w:right w:val="single" w:sz="4" w:space="0" w:color="auto"/>
            </w:tcBorders>
            <w:shd w:val="clear" w:color="auto" w:fill="auto"/>
            <w:noWrap/>
            <w:vAlign w:val="bottom"/>
            <w:hideMark/>
          </w:tcPr>
          <w:p w14:paraId="1A79F927" w14:textId="77777777" w:rsidR="00535A76" w:rsidRPr="00535A76" w:rsidRDefault="00535A76" w:rsidP="00535A76">
            <w:pPr>
              <w:spacing w:after="0" w:line="240" w:lineRule="auto"/>
              <w:jc w:val="center"/>
              <w:rPr>
                <w:rFonts w:ascii="Arial" w:eastAsia="Times New Roman" w:hAnsi="Arial" w:cs="Arial"/>
                <w:color w:val="000000"/>
                <w:sz w:val="20"/>
                <w:szCs w:val="20"/>
                <w:lang w:eastAsia="es-MX"/>
              </w:rPr>
            </w:pPr>
            <w:r w:rsidRPr="00535A76">
              <w:rPr>
                <w:rFonts w:ascii="Arial" w:eastAsia="Times New Roman" w:hAnsi="Arial" w:cs="Arial"/>
                <w:color w:val="000000"/>
                <w:sz w:val="20"/>
                <w:szCs w:val="20"/>
                <w:lang w:eastAsia="es-MX"/>
              </w:rPr>
              <w:t xml:space="preserve">Manuel </w:t>
            </w:r>
            <w:proofErr w:type="spellStart"/>
            <w:r w:rsidRPr="00535A76">
              <w:rPr>
                <w:rFonts w:ascii="Arial" w:eastAsia="Times New Roman" w:hAnsi="Arial" w:cs="Arial"/>
                <w:color w:val="000000"/>
                <w:sz w:val="20"/>
                <w:szCs w:val="20"/>
                <w:lang w:eastAsia="es-MX"/>
              </w:rPr>
              <w:t>Talayero</w:t>
            </w:r>
            <w:proofErr w:type="spellEnd"/>
            <w:r w:rsidRPr="00535A76">
              <w:rPr>
                <w:rFonts w:ascii="Arial" w:eastAsia="Times New Roman" w:hAnsi="Arial" w:cs="Arial"/>
                <w:color w:val="000000"/>
                <w:sz w:val="20"/>
                <w:szCs w:val="20"/>
                <w:lang w:eastAsia="es-MX"/>
              </w:rPr>
              <w:t xml:space="preserve"> Pariente</w:t>
            </w:r>
          </w:p>
        </w:tc>
        <w:tc>
          <w:tcPr>
            <w:tcW w:w="3332" w:type="dxa"/>
            <w:tcBorders>
              <w:top w:val="nil"/>
              <w:left w:val="nil"/>
              <w:bottom w:val="single" w:sz="4" w:space="0" w:color="auto"/>
              <w:right w:val="single" w:sz="4" w:space="0" w:color="auto"/>
            </w:tcBorders>
            <w:shd w:val="clear" w:color="auto" w:fill="auto"/>
            <w:noWrap/>
            <w:vAlign w:val="bottom"/>
            <w:hideMark/>
          </w:tcPr>
          <w:p w14:paraId="54580ECE" w14:textId="77777777" w:rsidR="00535A76" w:rsidRPr="00535A76" w:rsidRDefault="00535A76" w:rsidP="00535A76">
            <w:pPr>
              <w:spacing w:after="0" w:line="240" w:lineRule="auto"/>
              <w:jc w:val="center"/>
              <w:rPr>
                <w:rFonts w:ascii="Arial" w:eastAsia="Times New Roman" w:hAnsi="Arial" w:cs="Arial"/>
                <w:color w:val="000000"/>
                <w:sz w:val="20"/>
                <w:szCs w:val="20"/>
                <w:lang w:eastAsia="es-MX"/>
              </w:rPr>
            </w:pPr>
            <w:r w:rsidRPr="00535A76">
              <w:rPr>
                <w:rFonts w:ascii="Arial" w:eastAsia="Times New Roman" w:hAnsi="Arial" w:cs="Arial"/>
                <w:color w:val="000000"/>
                <w:sz w:val="20"/>
                <w:szCs w:val="20"/>
                <w:lang w:eastAsia="es-MX"/>
              </w:rPr>
              <w:t>**</w:t>
            </w:r>
          </w:p>
        </w:tc>
        <w:tc>
          <w:tcPr>
            <w:tcW w:w="1296" w:type="dxa"/>
            <w:tcBorders>
              <w:top w:val="nil"/>
              <w:left w:val="nil"/>
              <w:bottom w:val="single" w:sz="4" w:space="0" w:color="auto"/>
              <w:right w:val="single" w:sz="4" w:space="0" w:color="auto"/>
            </w:tcBorders>
            <w:shd w:val="clear" w:color="auto" w:fill="auto"/>
            <w:noWrap/>
            <w:vAlign w:val="center"/>
            <w:hideMark/>
          </w:tcPr>
          <w:p w14:paraId="513CD32C" w14:textId="77777777" w:rsidR="00535A76" w:rsidRPr="00535A76" w:rsidRDefault="00535A76" w:rsidP="00535A76">
            <w:pPr>
              <w:spacing w:after="0" w:line="240" w:lineRule="auto"/>
              <w:jc w:val="center"/>
              <w:rPr>
                <w:rFonts w:ascii="Arial" w:eastAsia="Times New Roman" w:hAnsi="Arial" w:cs="Arial"/>
                <w:color w:val="000000"/>
                <w:sz w:val="20"/>
                <w:szCs w:val="20"/>
                <w:lang w:eastAsia="es-MX"/>
              </w:rPr>
            </w:pPr>
            <w:r w:rsidRPr="00535A76">
              <w:rPr>
                <w:rFonts w:ascii="Arial" w:eastAsia="Times New Roman" w:hAnsi="Arial" w:cs="Arial"/>
                <w:color w:val="000000"/>
                <w:sz w:val="20"/>
                <w:szCs w:val="20"/>
                <w:lang w:eastAsia="es-MX"/>
              </w:rPr>
              <w:t>1A</w:t>
            </w:r>
          </w:p>
        </w:tc>
      </w:tr>
    </w:tbl>
    <w:p w14:paraId="6FBC5D25" w14:textId="77777777" w:rsidR="00535A76" w:rsidRPr="00535A76" w:rsidRDefault="00535A76" w:rsidP="00535A76">
      <w:pPr>
        <w:jc w:val="center"/>
        <w:rPr>
          <w:rFonts w:ascii="Arial" w:eastAsia="Calibri" w:hAnsi="Arial" w:cs="Arial"/>
        </w:rPr>
      </w:pPr>
    </w:p>
    <w:p w14:paraId="5BF31F13" w14:textId="77777777" w:rsidR="00535A76" w:rsidRPr="00535A76" w:rsidRDefault="00535A76" w:rsidP="00535A76">
      <w:pPr>
        <w:spacing w:after="0" w:line="360" w:lineRule="auto"/>
        <w:jc w:val="both"/>
        <w:rPr>
          <w:rFonts w:ascii="Arial" w:eastAsia="Calibri" w:hAnsi="Arial" w:cs="Times New Roman"/>
          <w:sz w:val="28"/>
        </w:rPr>
      </w:pPr>
      <w:r w:rsidRPr="00535A76">
        <w:rPr>
          <w:rFonts w:ascii="Arial" w:eastAsia="Calibri" w:hAnsi="Arial" w:cs="Times New Roman"/>
          <w:sz w:val="28"/>
        </w:rPr>
        <w:t xml:space="preserve">De esta manera, se considera que no debió incorporarse la figura no </w:t>
      </w:r>
      <w:proofErr w:type="spellStart"/>
      <w:r w:rsidRPr="00535A76">
        <w:rPr>
          <w:rFonts w:ascii="Arial" w:eastAsia="Calibri" w:hAnsi="Arial" w:cs="Times New Roman"/>
          <w:sz w:val="28"/>
        </w:rPr>
        <w:t>prevbisat</w:t>
      </w:r>
      <w:proofErr w:type="spellEnd"/>
      <w:r w:rsidRPr="00535A76">
        <w:rPr>
          <w:rFonts w:ascii="Arial" w:eastAsia="Calibri" w:hAnsi="Arial" w:cs="Times New Roman"/>
          <w:sz w:val="28"/>
        </w:rPr>
        <w:t xml:space="preserve"> en la normatividad, como lo es la votación distrital emitida, ni implementarse un procedimiento para definir o contar con dicha votación, pues no hay sustento normativo para ello, que bien pudo ser elaborado de forma previa a la determinación de quiénes ocuparían las diputaciones por representación proporcional, pero no al mismo tiempo, pues ya no resultaba oportuna. </w:t>
      </w:r>
    </w:p>
    <w:p w14:paraId="18FC058E" w14:textId="77777777" w:rsidR="00535A76" w:rsidRPr="00535A76" w:rsidRDefault="00535A76" w:rsidP="00535A76">
      <w:pPr>
        <w:spacing w:after="0" w:line="360" w:lineRule="auto"/>
        <w:jc w:val="both"/>
        <w:rPr>
          <w:rFonts w:ascii="Arial" w:eastAsia="Calibri" w:hAnsi="Arial" w:cs="Times New Roman"/>
          <w:sz w:val="28"/>
        </w:rPr>
      </w:pPr>
    </w:p>
    <w:p w14:paraId="176DD069" w14:textId="77777777" w:rsidR="00535A76" w:rsidRPr="00535A76" w:rsidRDefault="00535A76" w:rsidP="00535A76">
      <w:pPr>
        <w:spacing w:after="0" w:line="360" w:lineRule="auto"/>
        <w:jc w:val="both"/>
        <w:rPr>
          <w:rFonts w:ascii="Arial" w:eastAsia="Calibri" w:hAnsi="Arial" w:cs="Times New Roman"/>
          <w:sz w:val="28"/>
        </w:rPr>
      </w:pPr>
      <w:r w:rsidRPr="00535A76">
        <w:rPr>
          <w:rFonts w:ascii="Arial" w:eastAsia="Calibri" w:hAnsi="Arial" w:cs="Times New Roman"/>
          <w:sz w:val="28"/>
        </w:rPr>
        <w:lastRenderedPageBreak/>
        <w:t>Es un criterio establecido por la Sala Superior que no se pueden crear figuras jurídicas ni procedimientos cuando se toma una determinación en materia de integración de las diputaciones plurinominales, pues se afectan los principios de certeza y legalidad, al no ser oportuna, no estar justificada la necesidad de su implementación -porque en la resolución mayoritaria sólo se asume sin hacer justificación alguna al respecto- y no buscar beneficiar a la generalidad o a algún sector vulnerable de la población</w:t>
      </w:r>
      <w:r w:rsidRPr="00535A76">
        <w:rPr>
          <w:rFonts w:ascii="Arial" w:eastAsia="Calibri" w:hAnsi="Arial" w:cs="Times New Roman"/>
          <w:sz w:val="28"/>
          <w:vertAlign w:val="superscript"/>
        </w:rPr>
        <w:footnoteReference w:id="81"/>
      </w:r>
      <w:r w:rsidRPr="00535A76">
        <w:rPr>
          <w:rFonts w:ascii="Arial" w:eastAsia="Calibri" w:hAnsi="Arial" w:cs="Times New Roman"/>
          <w:sz w:val="28"/>
        </w:rPr>
        <w:t>.</w:t>
      </w:r>
    </w:p>
    <w:p w14:paraId="6AE10BFB" w14:textId="77777777" w:rsidR="00535A76" w:rsidRPr="00535A76" w:rsidRDefault="00535A76" w:rsidP="00535A76">
      <w:pPr>
        <w:spacing w:after="0" w:line="360" w:lineRule="auto"/>
        <w:jc w:val="both"/>
        <w:rPr>
          <w:rFonts w:ascii="Arial" w:eastAsia="Calibri" w:hAnsi="Arial" w:cs="Times New Roman"/>
          <w:sz w:val="28"/>
        </w:rPr>
      </w:pPr>
    </w:p>
    <w:p w14:paraId="56959318" w14:textId="77777777" w:rsidR="00535A76" w:rsidRPr="00535A76" w:rsidRDefault="00535A76" w:rsidP="00535A76">
      <w:pPr>
        <w:spacing w:after="0" w:line="360" w:lineRule="auto"/>
        <w:jc w:val="both"/>
        <w:rPr>
          <w:rFonts w:ascii="Arial" w:eastAsia="Calibri" w:hAnsi="Arial" w:cs="Times New Roman"/>
          <w:sz w:val="28"/>
        </w:rPr>
      </w:pPr>
    </w:p>
    <w:p w14:paraId="4338E3C0" w14:textId="77777777" w:rsidR="00535A76" w:rsidRPr="00535A76" w:rsidRDefault="00535A76" w:rsidP="00535A76">
      <w:pPr>
        <w:spacing w:after="0" w:line="360" w:lineRule="auto"/>
        <w:jc w:val="both"/>
        <w:rPr>
          <w:rFonts w:ascii="Arial" w:eastAsia="Calibri" w:hAnsi="Arial" w:cs="Times New Roman"/>
          <w:bCs/>
          <w:sz w:val="28"/>
        </w:rPr>
      </w:pPr>
      <w:r w:rsidRPr="00535A76">
        <w:rPr>
          <w:rFonts w:ascii="Arial" w:eastAsia="Calibri" w:hAnsi="Arial" w:cs="Arial"/>
          <w:b/>
          <w:sz w:val="28"/>
          <w:szCs w:val="28"/>
        </w:rPr>
        <w:t>CONCLUYE EL VOTO CONCURRENTE RESPECTO DEL RESOLUTIVO SEGUNDO, ASÍ COMO PARTICULAR, DE LOS RESOLUTIVOS QUINTO Y SEXTO, QUE FORMULA EL MAGISTRADO ARMANDO AMBRIZ HERNÁNDEZ RESPECTO DEL JUICIO ELECTORAL TECDMX-JEL-204/2021 Y ACUMULADOS.</w:t>
      </w:r>
    </w:p>
    <w:bookmarkEnd w:id="69"/>
    <w:p w14:paraId="78860308" w14:textId="77777777" w:rsidR="00535A76" w:rsidRPr="00535A76" w:rsidRDefault="00535A76" w:rsidP="00535A76">
      <w:pPr>
        <w:spacing w:after="0" w:line="360" w:lineRule="auto"/>
        <w:jc w:val="both"/>
        <w:rPr>
          <w:rFonts w:ascii="Calibri" w:eastAsia="Calibri" w:hAnsi="Calibri" w:cs="Times New Roman"/>
          <w:sz w:val="28"/>
          <w:szCs w:val="28"/>
        </w:rPr>
      </w:pPr>
    </w:p>
    <w:p w14:paraId="2F66F5C9" w14:textId="15CF03F8" w:rsidR="00142AAE" w:rsidRDefault="00142AAE" w:rsidP="00142AAE">
      <w:pPr>
        <w:spacing w:after="0" w:line="360" w:lineRule="auto"/>
        <w:jc w:val="both"/>
        <w:rPr>
          <w:rFonts w:ascii="Arial" w:hAnsi="Arial" w:cs="Arial"/>
          <w:sz w:val="36"/>
          <w:szCs w:val="36"/>
          <w:lang w:val="es-ES_tradnl"/>
        </w:rPr>
      </w:pPr>
    </w:p>
    <w:p w14:paraId="41D7F698" w14:textId="77777777" w:rsidR="00E76FD6" w:rsidRPr="00F32542" w:rsidRDefault="00E76FD6" w:rsidP="00142AAE">
      <w:pPr>
        <w:spacing w:after="0" w:line="360" w:lineRule="auto"/>
        <w:jc w:val="both"/>
        <w:rPr>
          <w:rFonts w:ascii="Arial" w:hAnsi="Arial" w:cs="Arial"/>
          <w:sz w:val="36"/>
          <w:szCs w:val="36"/>
          <w:lang w:val="es-ES_tradnl"/>
        </w:rPr>
      </w:pPr>
    </w:p>
    <w:p w14:paraId="1BEFE2EF" w14:textId="77777777" w:rsidR="00142AAE" w:rsidRPr="00F32542" w:rsidRDefault="00142AAE" w:rsidP="00142AAE">
      <w:pPr>
        <w:autoSpaceDE w:val="0"/>
        <w:autoSpaceDN w:val="0"/>
        <w:adjustRightInd w:val="0"/>
        <w:spacing w:after="0" w:line="360" w:lineRule="auto"/>
        <w:jc w:val="both"/>
        <w:rPr>
          <w:rFonts w:ascii="Arial" w:eastAsia="Times New Roman" w:hAnsi="Arial" w:cs="Arial"/>
          <w:sz w:val="28"/>
          <w:szCs w:val="28"/>
          <w:lang w:val="es-ES_tradnl" w:eastAsia="es-MX"/>
        </w:rPr>
      </w:pPr>
    </w:p>
    <w:tbl>
      <w:tblPr>
        <w:tblW w:w="9390" w:type="dxa"/>
        <w:tblInd w:w="-601" w:type="dxa"/>
        <w:tblLook w:val="04A0" w:firstRow="1" w:lastRow="0" w:firstColumn="1" w:lastColumn="0" w:noHBand="0" w:noVBand="1"/>
      </w:tblPr>
      <w:tblGrid>
        <w:gridCol w:w="4537"/>
        <w:gridCol w:w="4853"/>
      </w:tblGrid>
      <w:tr w:rsidR="00142AAE" w:rsidRPr="00F32542" w14:paraId="5A056065" w14:textId="77777777" w:rsidTr="009B6ED0">
        <w:tc>
          <w:tcPr>
            <w:tcW w:w="9390" w:type="dxa"/>
            <w:gridSpan w:val="2"/>
            <w:shd w:val="clear" w:color="auto" w:fill="auto"/>
          </w:tcPr>
          <w:p w14:paraId="5CE1A62A" w14:textId="77777777" w:rsidR="00142AAE" w:rsidRPr="00F32542" w:rsidRDefault="00142AAE" w:rsidP="00D3248E">
            <w:pPr>
              <w:spacing w:after="0" w:line="240" w:lineRule="auto"/>
              <w:rPr>
                <w:rFonts w:ascii="Arial" w:hAnsi="Arial" w:cs="Arial"/>
                <w:bCs/>
                <w:sz w:val="28"/>
                <w:szCs w:val="28"/>
                <w:lang w:val="es-ES_tradnl"/>
              </w:rPr>
            </w:pPr>
          </w:p>
          <w:p w14:paraId="57B09410" w14:textId="77777777" w:rsidR="00142AAE" w:rsidRPr="00F32542" w:rsidRDefault="00142AAE" w:rsidP="00D3248E">
            <w:pPr>
              <w:spacing w:after="0" w:line="240" w:lineRule="auto"/>
              <w:jc w:val="center"/>
              <w:rPr>
                <w:rFonts w:ascii="Arial" w:hAnsi="Arial" w:cs="Arial"/>
                <w:bCs/>
                <w:sz w:val="28"/>
                <w:szCs w:val="28"/>
                <w:lang w:val="es-ES_tradnl"/>
              </w:rPr>
            </w:pPr>
            <w:r w:rsidRPr="00F32542">
              <w:rPr>
                <w:rFonts w:ascii="Arial" w:hAnsi="Arial" w:cs="Arial"/>
                <w:bCs/>
                <w:sz w:val="28"/>
                <w:szCs w:val="28"/>
                <w:lang w:val="es-ES_tradnl"/>
              </w:rPr>
              <w:t>GUSTAVO ANZALDO HERNÁNDEZ</w:t>
            </w:r>
          </w:p>
          <w:p w14:paraId="2C2D1EDA" w14:textId="77777777" w:rsidR="00142AAE" w:rsidRPr="00F32542" w:rsidRDefault="00142AAE" w:rsidP="00D3248E">
            <w:pPr>
              <w:spacing w:after="0" w:line="240" w:lineRule="auto"/>
              <w:jc w:val="center"/>
              <w:rPr>
                <w:rFonts w:ascii="Arial" w:hAnsi="Arial" w:cs="Arial"/>
                <w:b/>
                <w:bCs/>
                <w:sz w:val="28"/>
                <w:szCs w:val="28"/>
                <w:lang w:val="es-ES_tradnl"/>
              </w:rPr>
            </w:pPr>
            <w:r w:rsidRPr="00F32542">
              <w:rPr>
                <w:rFonts w:ascii="Arial" w:hAnsi="Arial" w:cs="Arial"/>
                <w:b/>
                <w:bCs/>
                <w:sz w:val="28"/>
                <w:szCs w:val="28"/>
                <w:lang w:val="es-ES_tradnl"/>
              </w:rPr>
              <w:t>MAGISTRADO PRESIDENTE</w:t>
            </w:r>
          </w:p>
        </w:tc>
      </w:tr>
      <w:tr w:rsidR="00142AAE" w:rsidRPr="00F32542" w14:paraId="16C1A767" w14:textId="77777777" w:rsidTr="009B6ED0">
        <w:tc>
          <w:tcPr>
            <w:tcW w:w="4537" w:type="dxa"/>
            <w:shd w:val="clear" w:color="auto" w:fill="auto"/>
          </w:tcPr>
          <w:p w14:paraId="1B4FDC4F" w14:textId="77777777" w:rsidR="00142AAE" w:rsidRPr="00F32542" w:rsidRDefault="00142AAE" w:rsidP="00D3248E">
            <w:pPr>
              <w:spacing w:after="0" w:line="240" w:lineRule="auto"/>
              <w:jc w:val="center"/>
              <w:rPr>
                <w:rFonts w:ascii="Arial" w:hAnsi="Arial" w:cs="Arial"/>
                <w:bCs/>
                <w:sz w:val="28"/>
                <w:szCs w:val="28"/>
                <w:lang w:val="es-ES_tradnl"/>
              </w:rPr>
            </w:pPr>
          </w:p>
          <w:p w14:paraId="61C37F77" w14:textId="77777777" w:rsidR="00142AAE" w:rsidRPr="00F32542" w:rsidRDefault="00142AAE" w:rsidP="00D3248E">
            <w:pPr>
              <w:spacing w:after="0" w:line="240" w:lineRule="auto"/>
              <w:jc w:val="center"/>
              <w:rPr>
                <w:rFonts w:ascii="Arial" w:hAnsi="Arial" w:cs="Arial"/>
                <w:bCs/>
                <w:sz w:val="28"/>
                <w:szCs w:val="28"/>
                <w:lang w:val="es-ES_tradnl"/>
              </w:rPr>
            </w:pPr>
          </w:p>
          <w:p w14:paraId="23FDDDFC" w14:textId="73480FED" w:rsidR="00142AAE" w:rsidRDefault="00142AAE" w:rsidP="00D3248E">
            <w:pPr>
              <w:spacing w:after="0" w:line="240" w:lineRule="auto"/>
              <w:jc w:val="center"/>
              <w:rPr>
                <w:rFonts w:ascii="Arial" w:hAnsi="Arial" w:cs="Arial"/>
                <w:bCs/>
                <w:sz w:val="28"/>
                <w:szCs w:val="28"/>
                <w:lang w:val="es-ES_tradnl"/>
              </w:rPr>
            </w:pPr>
          </w:p>
          <w:p w14:paraId="2E97EF95" w14:textId="77777777" w:rsidR="00E76FD6" w:rsidRPr="00F32542" w:rsidRDefault="00E76FD6" w:rsidP="00D3248E">
            <w:pPr>
              <w:spacing w:after="0" w:line="240" w:lineRule="auto"/>
              <w:jc w:val="center"/>
              <w:rPr>
                <w:rFonts w:ascii="Arial" w:hAnsi="Arial" w:cs="Arial"/>
                <w:bCs/>
                <w:sz w:val="28"/>
                <w:szCs w:val="28"/>
                <w:lang w:val="es-ES_tradnl"/>
              </w:rPr>
            </w:pPr>
          </w:p>
          <w:p w14:paraId="5D39D9A6" w14:textId="77777777" w:rsidR="00142AAE" w:rsidRPr="00F32542" w:rsidRDefault="00142AAE" w:rsidP="00D3248E">
            <w:pPr>
              <w:spacing w:after="0" w:line="240" w:lineRule="auto"/>
              <w:jc w:val="center"/>
              <w:rPr>
                <w:rFonts w:ascii="Arial" w:hAnsi="Arial" w:cs="Arial"/>
                <w:bCs/>
                <w:sz w:val="28"/>
                <w:szCs w:val="28"/>
                <w:lang w:val="es-ES_tradnl"/>
              </w:rPr>
            </w:pPr>
          </w:p>
          <w:p w14:paraId="6C4E888D" w14:textId="77777777" w:rsidR="00E76FD6" w:rsidRDefault="00E76FD6" w:rsidP="00D3248E">
            <w:pPr>
              <w:spacing w:after="0" w:line="240" w:lineRule="auto"/>
              <w:jc w:val="center"/>
              <w:rPr>
                <w:rFonts w:ascii="Arial" w:hAnsi="Arial" w:cs="Arial"/>
                <w:bCs/>
                <w:sz w:val="28"/>
                <w:szCs w:val="28"/>
                <w:lang w:val="es-ES_tradnl"/>
              </w:rPr>
            </w:pPr>
          </w:p>
          <w:p w14:paraId="03406EEF" w14:textId="6D512128" w:rsidR="00E76FD6" w:rsidRDefault="00E76FD6" w:rsidP="00D3248E">
            <w:pPr>
              <w:spacing w:after="0" w:line="240" w:lineRule="auto"/>
              <w:jc w:val="center"/>
              <w:rPr>
                <w:rFonts w:ascii="Arial" w:hAnsi="Arial" w:cs="Arial"/>
                <w:bCs/>
                <w:sz w:val="28"/>
                <w:szCs w:val="28"/>
                <w:lang w:val="es-ES_tradnl"/>
              </w:rPr>
            </w:pPr>
          </w:p>
          <w:p w14:paraId="5C71DEA9" w14:textId="1777DF3A" w:rsidR="00E76FD6" w:rsidRDefault="00E76FD6" w:rsidP="00D3248E">
            <w:pPr>
              <w:spacing w:after="0" w:line="240" w:lineRule="auto"/>
              <w:jc w:val="center"/>
              <w:rPr>
                <w:rFonts w:ascii="Arial" w:hAnsi="Arial" w:cs="Arial"/>
                <w:bCs/>
                <w:sz w:val="28"/>
                <w:szCs w:val="28"/>
                <w:lang w:val="es-ES_tradnl"/>
              </w:rPr>
            </w:pPr>
          </w:p>
          <w:p w14:paraId="6CBB61C6" w14:textId="77777777" w:rsidR="00E76FD6" w:rsidRDefault="00E76FD6" w:rsidP="00D3248E">
            <w:pPr>
              <w:spacing w:after="0" w:line="240" w:lineRule="auto"/>
              <w:jc w:val="center"/>
              <w:rPr>
                <w:rFonts w:ascii="Arial" w:hAnsi="Arial" w:cs="Arial"/>
                <w:bCs/>
                <w:sz w:val="28"/>
                <w:szCs w:val="28"/>
                <w:lang w:val="es-ES_tradnl"/>
              </w:rPr>
            </w:pPr>
          </w:p>
          <w:p w14:paraId="61F13891" w14:textId="77777777" w:rsidR="00E76FD6" w:rsidRDefault="00E76FD6" w:rsidP="00D3248E">
            <w:pPr>
              <w:spacing w:after="0" w:line="240" w:lineRule="auto"/>
              <w:jc w:val="center"/>
              <w:rPr>
                <w:rFonts w:ascii="Arial" w:hAnsi="Arial" w:cs="Arial"/>
                <w:bCs/>
                <w:sz w:val="28"/>
                <w:szCs w:val="28"/>
                <w:lang w:val="es-ES_tradnl"/>
              </w:rPr>
            </w:pPr>
          </w:p>
          <w:p w14:paraId="0F5F8BA0" w14:textId="59EC8683" w:rsidR="00142AAE" w:rsidRPr="00F32542" w:rsidRDefault="00142AAE" w:rsidP="00D3248E">
            <w:pPr>
              <w:spacing w:after="0" w:line="240" w:lineRule="auto"/>
              <w:jc w:val="center"/>
              <w:rPr>
                <w:rFonts w:ascii="Arial" w:hAnsi="Arial" w:cs="Arial"/>
                <w:bCs/>
                <w:sz w:val="28"/>
                <w:szCs w:val="28"/>
                <w:lang w:val="es-ES_tradnl"/>
              </w:rPr>
            </w:pPr>
            <w:r w:rsidRPr="00F32542">
              <w:rPr>
                <w:rFonts w:ascii="Arial" w:hAnsi="Arial" w:cs="Arial"/>
                <w:bCs/>
                <w:sz w:val="28"/>
                <w:szCs w:val="28"/>
                <w:lang w:val="es-ES_tradnl"/>
              </w:rPr>
              <w:t>ARMANDO AMBRIZ HERNÁNDEZ</w:t>
            </w:r>
          </w:p>
          <w:p w14:paraId="5F7C3631" w14:textId="77777777" w:rsidR="00142AAE" w:rsidRPr="00F32542" w:rsidRDefault="00142AAE" w:rsidP="00D3248E">
            <w:pPr>
              <w:spacing w:after="0" w:line="240" w:lineRule="auto"/>
              <w:jc w:val="center"/>
              <w:rPr>
                <w:rFonts w:ascii="Arial" w:hAnsi="Arial" w:cs="Arial"/>
                <w:sz w:val="28"/>
                <w:szCs w:val="28"/>
                <w:lang w:val="es-ES_tradnl" w:eastAsia="es-MX"/>
              </w:rPr>
            </w:pPr>
            <w:r w:rsidRPr="00F32542">
              <w:rPr>
                <w:rFonts w:ascii="Arial" w:hAnsi="Arial" w:cs="Arial"/>
                <w:b/>
                <w:bCs/>
                <w:sz w:val="28"/>
                <w:szCs w:val="28"/>
                <w:lang w:val="es-ES_tradnl"/>
              </w:rPr>
              <w:t>MAGISTRADO</w:t>
            </w:r>
          </w:p>
        </w:tc>
        <w:tc>
          <w:tcPr>
            <w:tcW w:w="4853" w:type="dxa"/>
            <w:shd w:val="clear" w:color="auto" w:fill="auto"/>
          </w:tcPr>
          <w:p w14:paraId="3B37D110" w14:textId="77777777" w:rsidR="00142AAE" w:rsidRPr="00F32542" w:rsidRDefault="00142AAE" w:rsidP="00D3248E">
            <w:pPr>
              <w:spacing w:after="0" w:line="240" w:lineRule="auto"/>
              <w:rPr>
                <w:rFonts w:ascii="Arial" w:hAnsi="Arial" w:cs="Arial"/>
                <w:sz w:val="28"/>
                <w:szCs w:val="28"/>
                <w:lang w:val="es-ES_tradnl"/>
              </w:rPr>
            </w:pPr>
          </w:p>
          <w:p w14:paraId="675C35CA" w14:textId="77777777" w:rsidR="00142AAE" w:rsidRPr="00F32542" w:rsidRDefault="00142AAE" w:rsidP="00D3248E">
            <w:pPr>
              <w:spacing w:after="0" w:line="240" w:lineRule="auto"/>
              <w:rPr>
                <w:rFonts w:ascii="Arial" w:hAnsi="Arial" w:cs="Arial"/>
                <w:sz w:val="28"/>
                <w:szCs w:val="28"/>
                <w:lang w:val="es-ES_tradnl"/>
              </w:rPr>
            </w:pPr>
          </w:p>
          <w:p w14:paraId="57888490" w14:textId="77777777" w:rsidR="00142AAE" w:rsidRPr="00F32542" w:rsidRDefault="00142AAE" w:rsidP="00D3248E">
            <w:pPr>
              <w:spacing w:after="0" w:line="240" w:lineRule="auto"/>
              <w:rPr>
                <w:rFonts w:ascii="Arial" w:hAnsi="Arial" w:cs="Arial"/>
                <w:sz w:val="28"/>
                <w:szCs w:val="28"/>
                <w:lang w:val="es-ES_tradnl"/>
              </w:rPr>
            </w:pPr>
          </w:p>
          <w:p w14:paraId="2B525DA8" w14:textId="77777777" w:rsidR="00142AAE" w:rsidRPr="00F32542" w:rsidRDefault="00142AAE" w:rsidP="00D3248E">
            <w:pPr>
              <w:spacing w:after="0" w:line="240" w:lineRule="auto"/>
              <w:rPr>
                <w:rFonts w:ascii="Arial" w:hAnsi="Arial" w:cs="Arial"/>
                <w:sz w:val="28"/>
                <w:szCs w:val="28"/>
                <w:lang w:val="es-ES_tradnl"/>
              </w:rPr>
            </w:pPr>
          </w:p>
          <w:p w14:paraId="5DD85073" w14:textId="77777777" w:rsidR="00E76FD6" w:rsidRDefault="00E76FD6" w:rsidP="00D3248E">
            <w:pPr>
              <w:adjustRightInd w:val="0"/>
              <w:spacing w:after="0" w:line="240" w:lineRule="auto"/>
              <w:jc w:val="center"/>
              <w:rPr>
                <w:rFonts w:ascii="Arial" w:hAnsi="Arial" w:cs="Arial"/>
                <w:bCs/>
                <w:sz w:val="28"/>
                <w:szCs w:val="28"/>
                <w:lang w:val="es-ES_tradnl"/>
              </w:rPr>
            </w:pPr>
          </w:p>
          <w:p w14:paraId="02164209" w14:textId="77777777" w:rsidR="00E76FD6" w:rsidRDefault="00E76FD6" w:rsidP="00D3248E">
            <w:pPr>
              <w:adjustRightInd w:val="0"/>
              <w:spacing w:after="0" w:line="240" w:lineRule="auto"/>
              <w:jc w:val="center"/>
              <w:rPr>
                <w:rFonts w:ascii="Arial" w:hAnsi="Arial" w:cs="Arial"/>
                <w:bCs/>
                <w:sz w:val="28"/>
                <w:szCs w:val="28"/>
                <w:lang w:val="es-ES_tradnl"/>
              </w:rPr>
            </w:pPr>
          </w:p>
          <w:p w14:paraId="53C9EFDF" w14:textId="6BA2E17D" w:rsidR="00E76FD6" w:rsidRDefault="00E76FD6" w:rsidP="00D3248E">
            <w:pPr>
              <w:adjustRightInd w:val="0"/>
              <w:spacing w:after="0" w:line="240" w:lineRule="auto"/>
              <w:jc w:val="center"/>
              <w:rPr>
                <w:rFonts w:ascii="Arial" w:hAnsi="Arial" w:cs="Arial"/>
                <w:bCs/>
                <w:sz w:val="28"/>
                <w:szCs w:val="28"/>
                <w:lang w:val="es-ES_tradnl"/>
              </w:rPr>
            </w:pPr>
          </w:p>
          <w:p w14:paraId="62B15C4A" w14:textId="492E61AB" w:rsidR="00E76FD6" w:rsidRDefault="00E76FD6" w:rsidP="00D3248E">
            <w:pPr>
              <w:adjustRightInd w:val="0"/>
              <w:spacing w:after="0" w:line="240" w:lineRule="auto"/>
              <w:jc w:val="center"/>
              <w:rPr>
                <w:rFonts w:ascii="Arial" w:hAnsi="Arial" w:cs="Arial"/>
                <w:bCs/>
                <w:sz w:val="28"/>
                <w:szCs w:val="28"/>
                <w:lang w:val="es-ES_tradnl"/>
              </w:rPr>
            </w:pPr>
          </w:p>
          <w:p w14:paraId="1365AE59" w14:textId="77777777" w:rsidR="00E76FD6" w:rsidRDefault="00E76FD6" w:rsidP="00D3248E">
            <w:pPr>
              <w:adjustRightInd w:val="0"/>
              <w:spacing w:after="0" w:line="240" w:lineRule="auto"/>
              <w:jc w:val="center"/>
              <w:rPr>
                <w:rFonts w:ascii="Arial" w:hAnsi="Arial" w:cs="Arial"/>
                <w:bCs/>
                <w:sz w:val="28"/>
                <w:szCs w:val="28"/>
                <w:lang w:val="es-ES_tradnl"/>
              </w:rPr>
            </w:pPr>
          </w:p>
          <w:p w14:paraId="0C415345" w14:textId="77777777" w:rsidR="00E76FD6" w:rsidRDefault="00E76FD6" w:rsidP="00D3248E">
            <w:pPr>
              <w:adjustRightInd w:val="0"/>
              <w:spacing w:after="0" w:line="240" w:lineRule="auto"/>
              <w:jc w:val="center"/>
              <w:rPr>
                <w:rFonts w:ascii="Arial" w:hAnsi="Arial" w:cs="Arial"/>
                <w:bCs/>
                <w:sz w:val="28"/>
                <w:szCs w:val="28"/>
                <w:lang w:val="es-ES_tradnl"/>
              </w:rPr>
            </w:pPr>
          </w:p>
          <w:p w14:paraId="5192970E" w14:textId="05042D0F" w:rsidR="00142AAE" w:rsidRPr="00F32542" w:rsidRDefault="00142AAE" w:rsidP="00D3248E">
            <w:pPr>
              <w:adjustRightInd w:val="0"/>
              <w:spacing w:after="0" w:line="240" w:lineRule="auto"/>
              <w:jc w:val="center"/>
              <w:rPr>
                <w:rFonts w:ascii="Arial" w:hAnsi="Arial" w:cs="Arial"/>
                <w:bCs/>
                <w:sz w:val="28"/>
                <w:szCs w:val="28"/>
                <w:lang w:val="es-ES_tradnl"/>
              </w:rPr>
            </w:pPr>
            <w:r w:rsidRPr="00F32542">
              <w:rPr>
                <w:rFonts w:ascii="Arial" w:hAnsi="Arial" w:cs="Arial"/>
                <w:bCs/>
                <w:sz w:val="28"/>
                <w:szCs w:val="28"/>
                <w:lang w:val="es-ES_tradnl"/>
              </w:rPr>
              <w:t>MARTHA ALEJANDRA</w:t>
            </w:r>
            <w:r w:rsidR="009B6ED0">
              <w:rPr>
                <w:rFonts w:ascii="Arial" w:hAnsi="Arial" w:cs="Arial"/>
                <w:bCs/>
                <w:sz w:val="28"/>
                <w:szCs w:val="28"/>
                <w:lang w:val="es-ES_tradnl"/>
              </w:rPr>
              <w:t xml:space="preserve"> </w:t>
            </w:r>
            <w:r w:rsidRPr="00F32542">
              <w:rPr>
                <w:rFonts w:ascii="Arial" w:hAnsi="Arial" w:cs="Arial"/>
                <w:bCs/>
                <w:sz w:val="28"/>
                <w:szCs w:val="28"/>
                <w:lang w:val="es-ES_tradnl"/>
              </w:rPr>
              <w:t>CHÁVEZ CAMARENA</w:t>
            </w:r>
          </w:p>
          <w:p w14:paraId="7FB9D231" w14:textId="77777777" w:rsidR="00142AAE" w:rsidRPr="00F32542" w:rsidRDefault="00142AAE" w:rsidP="00D3248E">
            <w:pPr>
              <w:adjustRightInd w:val="0"/>
              <w:spacing w:after="0" w:line="240" w:lineRule="auto"/>
              <w:jc w:val="center"/>
              <w:rPr>
                <w:rFonts w:ascii="Arial" w:hAnsi="Arial" w:cs="Arial"/>
                <w:sz w:val="28"/>
                <w:szCs w:val="28"/>
                <w:lang w:val="es-ES_tradnl" w:eastAsia="es-MX"/>
              </w:rPr>
            </w:pPr>
            <w:r w:rsidRPr="00F32542">
              <w:rPr>
                <w:rFonts w:ascii="Arial" w:hAnsi="Arial" w:cs="Arial"/>
                <w:b/>
                <w:bCs/>
                <w:sz w:val="28"/>
                <w:szCs w:val="28"/>
                <w:lang w:val="es-ES_tradnl"/>
              </w:rPr>
              <w:t>MAGISTRADA</w:t>
            </w:r>
          </w:p>
        </w:tc>
      </w:tr>
      <w:tr w:rsidR="00142AAE" w:rsidRPr="00F32542" w14:paraId="19B50555" w14:textId="77777777" w:rsidTr="009B6ED0">
        <w:tc>
          <w:tcPr>
            <w:tcW w:w="4537" w:type="dxa"/>
            <w:shd w:val="clear" w:color="auto" w:fill="auto"/>
          </w:tcPr>
          <w:p w14:paraId="1E3FC8CD" w14:textId="77777777" w:rsidR="00142AAE" w:rsidRPr="00F32542" w:rsidRDefault="00142AAE" w:rsidP="00D3248E">
            <w:pPr>
              <w:adjustRightInd w:val="0"/>
              <w:spacing w:after="0" w:line="240" w:lineRule="auto"/>
              <w:rPr>
                <w:rFonts w:ascii="Arial" w:hAnsi="Arial" w:cs="Arial"/>
                <w:bCs/>
                <w:sz w:val="28"/>
                <w:szCs w:val="28"/>
                <w:lang w:val="es-ES_tradnl"/>
              </w:rPr>
            </w:pPr>
          </w:p>
          <w:p w14:paraId="100724A9" w14:textId="77777777" w:rsidR="00142AAE" w:rsidRPr="00F32542" w:rsidRDefault="00142AAE" w:rsidP="00D3248E">
            <w:pPr>
              <w:adjustRightInd w:val="0"/>
              <w:spacing w:after="0" w:line="240" w:lineRule="auto"/>
              <w:rPr>
                <w:rFonts w:ascii="Arial" w:hAnsi="Arial" w:cs="Arial"/>
                <w:bCs/>
                <w:sz w:val="28"/>
                <w:szCs w:val="28"/>
                <w:lang w:val="es-ES_tradnl"/>
              </w:rPr>
            </w:pPr>
          </w:p>
          <w:p w14:paraId="7D16261B" w14:textId="77777777" w:rsidR="00142AAE" w:rsidRPr="00F32542" w:rsidRDefault="00142AAE" w:rsidP="00D3248E">
            <w:pPr>
              <w:adjustRightInd w:val="0"/>
              <w:spacing w:after="0" w:line="240" w:lineRule="auto"/>
              <w:rPr>
                <w:rFonts w:ascii="Arial" w:hAnsi="Arial" w:cs="Arial"/>
                <w:bCs/>
                <w:sz w:val="28"/>
                <w:szCs w:val="28"/>
                <w:lang w:val="es-ES_tradnl"/>
              </w:rPr>
            </w:pPr>
          </w:p>
          <w:p w14:paraId="55C0DB49" w14:textId="41244819" w:rsidR="00142AAE" w:rsidRDefault="00142AAE" w:rsidP="00D3248E">
            <w:pPr>
              <w:adjustRightInd w:val="0"/>
              <w:spacing w:after="0" w:line="240" w:lineRule="auto"/>
              <w:rPr>
                <w:rFonts w:ascii="Arial" w:hAnsi="Arial" w:cs="Arial"/>
                <w:bCs/>
                <w:sz w:val="28"/>
                <w:szCs w:val="28"/>
                <w:lang w:val="es-ES_tradnl"/>
              </w:rPr>
            </w:pPr>
          </w:p>
          <w:p w14:paraId="27EEAC3E" w14:textId="3EDE3BE9" w:rsidR="00E76FD6" w:rsidRDefault="00E76FD6" w:rsidP="00D3248E">
            <w:pPr>
              <w:adjustRightInd w:val="0"/>
              <w:spacing w:after="0" w:line="240" w:lineRule="auto"/>
              <w:rPr>
                <w:rFonts w:ascii="Arial" w:hAnsi="Arial" w:cs="Arial"/>
                <w:bCs/>
                <w:sz w:val="28"/>
                <w:szCs w:val="28"/>
                <w:lang w:val="es-ES_tradnl"/>
              </w:rPr>
            </w:pPr>
          </w:p>
          <w:p w14:paraId="6EAD4098" w14:textId="0793F717" w:rsidR="00E76FD6" w:rsidRDefault="00E76FD6" w:rsidP="00D3248E">
            <w:pPr>
              <w:adjustRightInd w:val="0"/>
              <w:spacing w:after="0" w:line="240" w:lineRule="auto"/>
              <w:rPr>
                <w:rFonts w:ascii="Arial" w:hAnsi="Arial" w:cs="Arial"/>
                <w:bCs/>
                <w:sz w:val="28"/>
                <w:szCs w:val="28"/>
                <w:lang w:val="es-ES_tradnl"/>
              </w:rPr>
            </w:pPr>
          </w:p>
          <w:p w14:paraId="527AE82C" w14:textId="5539D8D5" w:rsidR="00E76FD6" w:rsidRDefault="00E76FD6" w:rsidP="00D3248E">
            <w:pPr>
              <w:adjustRightInd w:val="0"/>
              <w:spacing w:after="0" w:line="240" w:lineRule="auto"/>
              <w:rPr>
                <w:rFonts w:ascii="Arial" w:hAnsi="Arial" w:cs="Arial"/>
                <w:bCs/>
                <w:sz w:val="28"/>
                <w:szCs w:val="28"/>
                <w:lang w:val="es-ES_tradnl"/>
              </w:rPr>
            </w:pPr>
          </w:p>
          <w:p w14:paraId="27403C78" w14:textId="77777777" w:rsidR="00E76FD6" w:rsidRDefault="00E76FD6" w:rsidP="00D3248E">
            <w:pPr>
              <w:adjustRightInd w:val="0"/>
              <w:spacing w:after="0" w:line="240" w:lineRule="auto"/>
              <w:rPr>
                <w:rFonts w:ascii="Arial" w:hAnsi="Arial" w:cs="Arial"/>
                <w:bCs/>
                <w:sz w:val="28"/>
                <w:szCs w:val="28"/>
                <w:lang w:val="es-ES_tradnl"/>
              </w:rPr>
            </w:pPr>
          </w:p>
          <w:p w14:paraId="4EC59EA3" w14:textId="77777777" w:rsidR="00E76FD6" w:rsidRDefault="00E76FD6" w:rsidP="00D3248E">
            <w:pPr>
              <w:adjustRightInd w:val="0"/>
              <w:spacing w:after="0" w:line="240" w:lineRule="auto"/>
              <w:rPr>
                <w:rFonts w:ascii="Arial" w:hAnsi="Arial" w:cs="Arial"/>
                <w:bCs/>
                <w:sz w:val="28"/>
                <w:szCs w:val="28"/>
                <w:lang w:val="es-ES_tradnl"/>
              </w:rPr>
            </w:pPr>
          </w:p>
          <w:p w14:paraId="1CE2185A" w14:textId="77777777" w:rsidR="00E76FD6" w:rsidRPr="00F32542" w:rsidRDefault="00E76FD6" w:rsidP="00D3248E">
            <w:pPr>
              <w:adjustRightInd w:val="0"/>
              <w:spacing w:after="0" w:line="240" w:lineRule="auto"/>
              <w:rPr>
                <w:rFonts w:ascii="Arial" w:hAnsi="Arial" w:cs="Arial"/>
                <w:bCs/>
                <w:sz w:val="28"/>
                <w:szCs w:val="28"/>
                <w:lang w:val="es-ES_tradnl"/>
              </w:rPr>
            </w:pPr>
          </w:p>
          <w:p w14:paraId="151DF860" w14:textId="6A8BE7B9" w:rsidR="00142AAE" w:rsidRPr="00F32542" w:rsidRDefault="00142AAE" w:rsidP="00D3248E">
            <w:pPr>
              <w:adjustRightInd w:val="0"/>
              <w:spacing w:after="0" w:line="240" w:lineRule="auto"/>
              <w:jc w:val="center"/>
              <w:rPr>
                <w:rFonts w:ascii="Arial" w:hAnsi="Arial" w:cs="Arial"/>
                <w:bCs/>
                <w:sz w:val="28"/>
                <w:szCs w:val="28"/>
                <w:lang w:val="es-ES_tradnl"/>
              </w:rPr>
            </w:pPr>
            <w:r w:rsidRPr="00F32542">
              <w:rPr>
                <w:rFonts w:ascii="Arial" w:hAnsi="Arial" w:cs="Arial"/>
                <w:bCs/>
                <w:sz w:val="28"/>
                <w:szCs w:val="28"/>
                <w:lang w:val="es-ES_tradnl"/>
              </w:rPr>
              <w:t>MARTHA LETICIA</w:t>
            </w:r>
            <w:r w:rsidR="009B6ED0">
              <w:rPr>
                <w:rFonts w:ascii="Arial" w:hAnsi="Arial" w:cs="Arial"/>
                <w:bCs/>
                <w:sz w:val="28"/>
                <w:szCs w:val="28"/>
                <w:lang w:val="es-ES_tradnl"/>
              </w:rPr>
              <w:t xml:space="preserve"> </w:t>
            </w:r>
            <w:r w:rsidRPr="00F32542">
              <w:rPr>
                <w:rFonts w:ascii="Arial" w:hAnsi="Arial" w:cs="Arial"/>
                <w:bCs/>
                <w:sz w:val="28"/>
                <w:szCs w:val="28"/>
                <w:lang w:val="es-ES_tradnl"/>
              </w:rPr>
              <w:t>MERCADO RAMÍREZ</w:t>
            </w:r>
          </w:p>
          <w:p w14:paraId="39CE291B" w14:textId="77777777" w:rsidR="00142AAE" w:rsidRPr="00F32542" w:rsidRDefault="00142AAE" w:rsidP="00D3248E">
            <w:pPr>
              <w:spacing w:after="0" w:line="240" w:lineRule="auto"/>
              <w:jc w:val="center"/>
              <w:rPr>
                <w:rFonts w:ascii="Arial" w:hAnsi="Arial" w:cs="Arial"/>
                <w:b/>
                <w:bCs/>
                <w:sz w:val="28"/>
                <w:szCs w:val="28"/>
                <w:lang w:val="es-ES_tradnl"/>
              </w:rPr>
            </w:pPr>
            <w:r w:rsidRPr="00F32542">
              <w:rPr>
                <w:rFonts w:ascii="Arial" w:hAnsi="Arial" w:cs="Arial"/>
                <w:b/>
                <w:bCs/>
                <w:sz w:val="28"/>
                <w:szCs w:val="28"/>
                <w:lang w:val="es-ES_tradnl"/>
              </w:rPr>
              <w:t>MAGISTRADA</w:t>
            </w:r>
          </w:p>
          <w:p w14:paraId="350BCD6C" w14:textId="77777777" w:rsidR="00142AAE" w:rsidRPr="00F32542" w:rsidRDefault="00142AAE" w:rsidP="00D3248E">
            <w:pPr>
              <w:spacing w:after="0" w:line="240" w:lineRule="auto"/>
              <w:rPr>
                <w:rFonts w:ascii="Arial" w:hAnsi="Arial" w:cs="Arial"/>
                <w:bCs/>
                <w:sz w:val="28"/>
                <w:szCs w:val="28"/>
                <w:lang w:val="es-ES_tradnl"/>
              </w:rPr>
            </w:pPr>
          </w:p>
        </w:tc>
        <w:tc>
          <w:tcPr>
            <w:tcW w:w="4853" w:type="dxa"/>
            <w:shd w:val="clear" w:color="auto" w:fill="auto"/>
          </w:tcPr>
          <w:p w14:paraId="20D46F32" w14:textId="77777777" w:rsidR="00142AAE" w:rsidRPr="00F32542" w:rsidRDefault="00142AAE" w:rsidP="00D3248E">
            <w:pPr>
              <w:spacing w:after="0" w:line="240" w:lineRule="auto"/>
              <w:jc w:val="center"/>
              <w:rPr>
                <w:rFonts w:ascii="Arial" w:hAnsi="Arial" w:cs="Arial"/>
                <w:sz w:val="28"/>
                <w:szCs w:val="28"/>
                <w:lang w:val="es-ES_tradnl"/>
              </w:rPr>
            </w:pPr>
          </w:p>
          <w:p w14:paraId="10BA852B" w14:textId="77777777" w:rsidR="00142AAE" w:rsidRPr="00F32542" w:rsidRDefault="00142AAE" w:rsidP="00D3248E">
            <w:pPr>
              <w:spacing w:after="0" w:line="240" w:lineRule="auto"/>
              <w:jc w:val="center"/>
              <w:rPr>
                <w:rFonts w:ascii="Arial" w:hAnsi="Arial" w:cs="Arial"/>
                <w:sz w:val="28"/>
                <w:szCs w:val="28"/>
                <w:lang w:val="es-ES_tradnl"/>
              </w:rPr>
            </w:pPr>
          </w:p>
          <w:p w14:paraId="5E937858" w14:textId="77777777" w:rsidR="00142AAE" w:rsidRPr="00F32542" w:rsidRDefault="00142AAE" w:rsidP="00D3248E">
            <w:pPr>
              <w:spacing w:after="0" w:line="240" w:lineRule="auto"/>
              <w:jc w:val="center"/>
              <w:rPr>
                <w:rFonts w:ascii="Arial" w:hAnsi="Arial" w:cs="Arial"/>
                <w:sz w:val="28"/>
                <w:szCs w:val="28"/>
                <w:lang w:val="es-ES_tradnl"/>
              </w:rPr>
            </w:pPr>
          </w:p>
          <w:p w14:paraId="5A7CAADF" w14:textId="0E63A1E5" w:rsidR="00142AAE" w:rsidRDefault="00142AAE" w:rsidP="00D3248E">
            <w:pPr>
              <w:spacing w:after="0" w:line="240" w:lineRule="auto"/>
              <w:jc w:val="center"/>
              <w:rPr>
                <w:rFonts w:ascii="Arial" w:hAnsi="Arial" w:cs="Arial"/>
                <w:sz w:val="28"/>
                <w:szCs w:val="28"/>
                <w:lang w:val="es-ES_tradnl"/>
              </w:rPr>
            </w:pPr>
          </w:p>
          <w:p w14:paraId="1F467708" w14:textId="77777777" w:rsidR="00E76FD6" w:rsidRDefault="00E76FD6" w:rsidP="00D3248E">
            <w:pPr>
              <w:spacing w:after="0" w:line="240" w:lineRule="auto"/>
              <w:jc w:val="center"/>
              <w:rPr>
                <w:rFonts w:ascii="Arial" w:hAnsi="Arial" w:cs="Arial"/>
                <w:sz w:val="28"/>
                <w:szCs w:val="28"/>
                <w:lang w:val="es-ES_tradnl"/>
              </w:rPr>
            </w:pPr>
          </w:p>
          <w:p w14:paraId="57F69187" w14:textId="5029D060" w:rsidR="00E76FD6" w:rsidRDefault="00E76FD6" w:rsidP="00D3248E">
            <w:pPr>
              <w:spacing w:after="0" w:line="240" w:lineRule="auto"/>
              <w:jc w:val="center"/>
              <w:rPr>
                <w:rFonts w:ascii="Arial" w:hAnsi="Arial" w:cs="Arial"/>
                <w:sz w:val="28"/>
                <w:szCs w:val="28"/>
                <w:lang w:val="es-ES_tradnl"/>
              </w:rPr>
            </w:pPr>
          </w:p>
          <w:p w14:paraId="6F2BDE65" w14:textId="00FFBBA3" w:rsidR="00E76FD6" w:rsidRDefault="00E76FD6" w:rsidP="00D3248E">
            <w:pPr>
              <w:spacing w:after="0" w:line="240" w:lineRule="auto"/>
              <w:jc w:val="center"/>
              <w:rPr>
                <w:rFonts w:ascii="Arial" w:hAnsi="Arial" w:cs="Arial"/>
                <w:sz w:val="28"/>
                <w:szCs w:val="28"/>
                <w:lang w:val="es-ES_tradnl"/>
              </w:rPr>
            </w:pPr>
          </w:p>
          <w:p w14:paraId="6DCE01E7" w14:textId="665CA04F" w:rsidR="00E76FD6" w:rsidRDefault="00E76FD6" w:rsidP="00D3248E">
            <w:pPr>
              <w:spacing w:after="0" w:line="240" w:lineRule="auto"/>
              <w:jc w:val="center"/>
              <w:rPr>
                <w:rFonts w:ascii="Arial" w:hAnsi="Arial" w:cs="Arial"/>
                <w:sz w:val="28"/>
                <w:szCs w:val="28"/>
                <w:lang w:val="es-ES_tradnl"/>
              </w:rPr>
            </w:pPr>
          </w:p>
          <w:p w14:paraId="0A7ED2F1" w14:textId="1A59925F" w:rsidR="00E76FD6" w:rsidRDefault="00E76FD6" w:rsidP="00D3248E">
            <w:pPr>
              <w:spacing w:after="0" w:line="240" w:lineRule="auto"/>
              <w:jc w:val="center"/>
              <w:rPr>
                <w:rFonts w:ascii="Arial" w:hAnsi="Arial" w:cs="Arial"/>
                <w:sz w:val="28"/>
                <w:szCs w:val="28"/>
                <w:lang w:val="es-ES_tradnl"/>
              </w:rPr>
            </w:pPr>
          </w:p>
          <w:p w14:paraId="795117BB" w14:textId="77777777" w:rsidR="00390446" w:rsidRDefault="00390446" w:rsidP="00D3248E">
            <w:pPr>
              <w:spacing w:after="0" w:line="240" w:lineRule="auto"/>
              <w:jc w:val="center"/>
              <w:rPr>
                <w:rFonts w:ascii="Arial" w:hAnsi="Arial" w:cs="Arial"/>
                <w:sz w:val="28"/>
                <w:szCs w:val="28"/>
                <w:lang w:val="es-ES_tradnl"/>
              </w:rPr>
            </w:pPr>
          </w:p>
          <w:p w14:paraId="272074AA" w14:textId="77777777" w:rsidR="00E76FD6" w:rsidRPr="00F32542" w:rsidRDefault="00E76FD6" w:rsidP="00D3248E">
            <w:pPr>
              <w:spacing w:after="0" w:line="240" w:lineRule="auto"/>
              <w:jc w:val="center"/>
              <w:rPr>
                <w:rFonts w:ascii="Arial" w:hAnsi="Arial" w:cs="Arial"/>
                <w:sz w:val="28"/>
                <w:szCs w:val="28"/>
                <w:lang w:val="es-ES_tradnl"/>
              </w:rPr>
            </w:pPr>
          </w:p>
          <w:p w14:paraId="4B09AC9F" w14:textId="77777777" w:rsidR="009B6ED0" w:rsidRDefault="00142AAE" w:rsidP="00D3248E">
            <w:pPr>
              <w:spacing w:after="0" w:line="240" w:lineRule="auto"/>
              <w:jc w:val="center"/>
              <w:rPr>
                <w:rFonts w:ascii="Arial" w:hAnsi="Arial" w:cs="Arial"/>
                <w:sz w:val="28"/>
                <w:szCs w:val="28"/>
                <w:lang w:val="es-ES_tradnl"/>
              </w:rPr>
            </w:pPr>
            <w:r w:rsidRPr="00F32542">
              <w:rPr>
                <w:rFonts w:ascii="Arial" w:hAnsi="Arial" w:cs="Arial"/>
                <w:sz w:val="28"/>
                <w:szCs w:val="28"/>
                <w:lang w:val="es-ES_tradnl"/>
              </w:rPr>
              <w:t xml:space="preserve">JUAN CARLOS SÁNCHEZ </w:t>
            </w:r>
          </w:p>
          <w:p w14:paraId="7BB42438" w14:textId="14458B9C" w:rsidR="00142AAE" w:rsidRPr="00F32542" w:rsidRDefault="00142AAE" w:rsidP="00D3248E">
            <w:pPr>
              <w:spacing w:after="0" w:line="240" w:lineRule="auto"/>
              <w:jc w:val="center"/>
              <w:rPr>
                <w:rFonts w:ascii="Arial" w:hAnsi="Arial" w:cs="Arial"/>
                <w:sz w:val="28"/>
                <w:szCs w:val="28"/>
                <w:lang w:val="es-ES_tradnl"/>
              </w:rPr>
            </w:pPr>
            <w:r w:rsidRPr="00F32542">
              <w:rPr>
                <w:rFonts w:ascii="Arial" w:hAnsi="Arial" w:cs="Arial"/>
                <w:sz w:val="28"/>
                <w:szCs w:val="28"/>
                <w:lang w:val="es-ES_tradnl"/>
              </w:rPr>
              <w:t>LEÓN</w:t>
            </w:r>
          </w:p>
          <w:p w14:paraId="48DE782C" w14:textId="77777777" w:rsidR="00142AAE" w:rsidRPr="00F32542" w:rsidRDefault="00142AAE" w:rsidP="00D3248E">
            <w:pPr>
              <w:spacing w:after="0" w:line="240" w:lineRule="auto"/>
              <w:jc w:val="center"/>
              <w:rPr>
                <w:rFonts w:ascii="Arial" w:hAnsi="Arial" w:cs="Arial"/>
                <w:b/>
                <w:sz w:val="28"/>
                <w:szCs w:val="28"/>
                <w:lang w:val="es-ES_tradnl"/>
              </w:rPr>
            </w:pPr>
            <w:r w:rsidRPr="00F32542">
              <w:rPr>
                <w:rFonts w:ascii="Arial" w:hAnsi="Arial" w:cs="Arial"/>
                <w:b/>
                <w:sz w:val="28"/>
                <w:szCs w:val="28"/>
                <w:lang w:val="es-ES_tradnl"/>
              </w:rPr>
              <w:t>MAGISTRADO</w:t>
            </w:r>
          </w:p>
        </w:tc>
      </w:tr>
      <w:tr w:rsidR="00142AAE" w:rsidRPr="003446B1" w14:paraId="5EEBFB38" w14:textId="77777777" w:rsidTr="009B6ED0">
        <w:tc>
          <w:tcPr>
            <w:tcW w:w="9390" w:type="dxa"/>
            <w:gridSpan w:val="2"/>
            <w:shd w:val="clear" w:color="auto" w:fill="auto"/>
          </w:tcPr>
          <w:p w14:paraId="509A3D15" w14:textId="77777777" w:rsidR="00142AAE" w:rsidRPr="00F32542" w:rsidRDefault="00142AAE" w:rsidP="00D3248E">
            <w:pPr>
              <w:spacing w:after="0" w:line="240" w:lineRule="auto"/>
              <w:jc w:val="center"/>
              <w:rPr>
                <w:rFonts w:ascii="Arial" w:hAnsi="Arial" w:cs="Arial"/>
                <w:bCs/>
                <w:sz w:val="28"/>
                <w:szCs w:val="28"/>
                <w:lang w:val="es-ES_tradnl"/>
              </w:rPr>
            </w:pPr>
          </w:p>
          <w:p w14:paraId="4826391A" w14:textId="232865FE" w:rsidR="00142AAE" w:rsidRDefault="00142AAE" w:rsidP="00D3248E">
            <w:pPr>
              <w:spacing w:after="0" w:line="240" w:lineRule="auto"/>
              <w:jc w:val="center"/>
              <w:rPr>
                <w:rFonts w:ascii="Arial" w:hAnsi="Arial" w:cs="Arial"/>
                <w:bCs/>
                <w:sz w:val="28"/>
                <w:szCs w:val="28"/>
                <w:lang w:val="es-ES_tradnl"/>
              </w:rPr>
            </w:pPr>
          </w:p>
          <w:p w14:paraId="5FDD78A5" w14:textId="132BE2C6" w:rsidR="00E76FD6" w:rsidRDefault="00E76FD6" w:rsidP="00D3248E">
            <w:pPr>
              <w:spacing w:after="0" w:line="240" w:lineRule="auto"/>
              <w:jc w:val="center"/>
              <w:rPr>
                <w:rFonts w:ascii="Arial" w:hAnsi="Arial" w:cs="Arial"/>
                <w:bCs/>
                <w:sz w:val="28"/>
                <w:szCs w:val="28"/>
                <w:lang w:val="es-ES_tradnl"/>
              </w:rPr>
            </w:pPr>
          </w:p>
          <w:p w14:paraId="15A77B82" w14:textId="77777777" w:rsidR="00E76FD6" w:rsidRDefault="00E76FD6" w:rsidP="00D3248E">
            <w:pPr>
              <w:spacing w:after="0" w:line="240" w:lineRule="auto"/>
              <w:jc w:val="center"/>
              <w:rPr>
                <w:rFonts w:ascii="Arial" w:hAnsi="Arial" w:cs="Arial"/>
                <w:bCs/>
                <w:sz w:val="28"/>
                <w:szCs w:val="28"/>
                <w:lang w:val="es-ES_tradnl"/>
              </w:rPr>
            </w:pPr>
          </w:p>
          <w:p w14:paraId="5B7479F0" w14:textId="77777777" w:rsidR="00E76FD6" w:rsidRPr="00F32542" w:rsidRDefault="00E76FD6" w:rsidP="00D3248E">
            <w:pPr>
              <w:spacing w:after="0" w:line="240" w:lineRule="auto"/>
              <w:jc w:val="center"/>
              <w:rPr>
                <w:rFonts w:ascii="Arial" w:hAnsi="Arial" w:cs="Arial"/>
                <w:bCs/>
                <w:sz w:val="28"/>
                <w:szCs w:val="28"/>
                <w:lang w:val="es-ES_tradnl"/>
              </w:rPr>
            </w:pPr>
          </w:p>
          <w:p w14:paraId="7D69788D" w14:textId="77777777" w:rsidR="00142AAE" w:rsidRPr="00F32542" w:rsidRDefault="00142AAE" w:rsidP="00D3248E">
            <w:pPr>
              <w:spacing w:after="0" w:line="240" w:lineRule="auto"/>
              <w:jc w:val="center"/>
              <w:rPr>
                <w:rFonts w:ascii="Arial" w:hAnsi="Arial" w:cs="Arial"/>
                <w:bCs/>
                <w:sz w:val="28"/>
                <w:szCs w:val="28"/>
                <w:lang w:val="es-ES_tradnl"/>
              </w:rPr>
            </w:pPr>
          </w:p>
          <w:p w14:paraId="5242BED2" w14:textId="77777777" w:rsidR="00142AAE" w:rsidRPr="00F32542" w:rsidRDefault="00142AAE" w:rsidP="00D3248E">
            <w:pPr>
              <w:spacing w:after="0" w:line="240" w:lineRule="auto"/>
              <w:jc w:val="center"/>
              <w:rPr>
                <w:rFonts w:ascii="Arial" w:hAnsi="Arial" w:cs="Arial"/>
                <w:bCs/>
                <w:sz w:val="28"/>
                <w:szCs w:val="28"/>
                <w:lang w:val="es-ES_tradnl"/>
              </w:rPr>
            </w:pPr>
          </w:p>
          <w:p w14:paraId="659F5308" w14:textId="77777777" w:rsidR="00142AAE" w:rsidRPr="00F32542" w:rsidRDefault="00142AAE" w:rsidP="00D3248E">
            <w:pPr>
              <w:tabs>
                <w:tab w:val="left" w:pos="2141"/>
                <w:tab w:val="center" w:pos="4145"/>
              </w:tabs>
              <w:spacing w:after="0" w:line="240" w:lineRule="auto"/>
              <w:jc w:val="center"/>
              <w:rPr>
                <w:rFonts w:ascii="Arial" w:hAnsi="Arial" w:cs="Arial"/>
                <w:bCs/>
                <w:sz w:val="28"/>
                <w:szCs w:val="28"/>
                <w:lang w:val="es-ES_tradnl"/>
              </w:rPr>
            </w:pPr>
            <w:r w:rsidRPr="00F32542">
              <w:rPr>
                <w:rFonts w:ascii="Arial" w:hAnsi="Arial" w:cs="Arial"/>
                <w:bCs/>
                <w:sz w:val="28"/>
                <w:szCs w:val="28"/>
                <w:lang w:val="es-ES_tradnl"/>
              </w:rPr>
              <w:t xml:space="preserve">PABLO HERNÁNDEZ </w:t>
            </w:r>
            <w:proofErr w:type="spellStart"/>
            <w:r w:rsidRPr="00F32542">
              <w:rPr>
                <w:rFonts w:ascii="Arial" w:hAnsi="Arial" w:cs="Arial"/>
                <w:bCs/>
                <w:sz w:val="28"/>
                <w:szCs w:val="28"/>
                <w:lang w:val="es-ES_tradnl"/>
              </w:rPr>
              <w:t>HERNÁNDEZ</w:t>
            </w:r>
            <w:proofErr w:type="spellEnd"/>
          </w:p>
          <w:p w14:paraId="2C414475" w14:textId="77777777" w:rsidR="00142AAE" w:rsidRPr="003446B1" w:rsidRDefault="00142AAE" w:rsidP="00D3248E">
            <w:pPr>
              <w:adjustRightInd w:val="0"/>
              <w:spacing w:after="0" w:line="240" w:lineRule="auto"/>
              <w:jc w:val="center"/>
              <w:rPr>
                <w:rFonts w:ascii="Arial" w:hAnsi="Arial" w:cs="Arial"/>
                <w:sz w:val="28"/>
                <w:szCs w:val="28"/>
                <w:lang w:val="es-ES_tradnl" w:eastAsia="es-MX"/>
              </w:rPr>
            </w:pPr>
            <w:r w:rsidRPr="00F32542">
              <w:rPr>
                <w:rFonts w:ascii="Arial" w:hAnsi="Arial" w:cs="Arial"/>
                <w:b/>
                <w:bCs/>
                <w:sz w:val="28"/>
                <w:szCs w:val="28"/>
                <w:lang w:val="es-ES_tradnl"/>
              </w:rPr>
              <w:t>SECRETARIO GENERAL</w:t>
            </w:r>
          </w:p>
        </w:tc>
      </w:tr>
    </w:tbl>
    <w:p w14:paraId="1E116E75" w14:textId="77777777" w:rsidR="00142AAE" w:rsidRPr="003446B1" w:rsidRDefault="00142AAE" w:rsidP="00142AAE">
      <w:pPr>
        <w:pStyle w:val="Textoindependiente"/>
        <w:spacing w:line="360" w:lineRule="auto"/>
        <w:rPr>
          <w:szCs w:val="28"/>
        </w:rPr>
      </w:pPr>
    </w:p>
    <w:p w14:paraId="1DC7538D" w14:textId="77777777" w:rsidR="001978CD" w:rsidRPr="003446B1" w:rsidRDefault="001978CD">
      <w:pPr>
        <w:rPr>
          <w:lang w:val="es-ES_tradnl"/>
        </w:rPr>
      </w:pPr>
    </w:p>
    <w:sectPr w:rsidR="001978CD" w:rsidRPr="003446B1" w:rsidSect="00D755A9">
      <w:headerReference w:type="even" r:id="rId19"/>
      <w:headerReference w:type="default" r:id="rId20"/>
      <w:footerReference w:type="even" r:id="rId21"/>
      <w:footerReference w:type="default" r:id="rId22"/>
      <w:headerReference w:type="first" r:id="rId23"/>
      <w:footerReference w:type="first" r:id="rId24"/>
      <w:pgSz w:w="12242" w:h="18722" w:code="124"/>
      <w:pgMar w:top="2552" w:right="1418" w:bottom="1701" w:left="25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DFCA2" w14:textId="77777777" w:rsidR="002624E2" w:rsidRDefault="002624E2" w:rsidP="00142AAE">
      <w:pPr>
        <w:spacing w:after="0" w:line="240" w:lineRule="auto"/>
      </w:pPr>
      <w:r>
        <w:separator/>
      </w:r>
    </w:p>
  </w:endnote>
  <w:endnote w:type="continuationSeparator" w:id="0">
    <w:p w14:paraId="477897BD" w14:textId="77777777" w:rsidR="002624E2" w:rsidRDefault="002624E2" w:rsidP="0014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0460635"/>
      <w:docPartObj>
        <w:docPartGallery w:val="Page Numbers (Bottom of Page)"/>
        <w:docPartUnique/>
      </w:docPartObj>
    </w:sdtPr>
    <w:sdtEndPr/>
    <w:sdtContent>
      <w:p w14:paraId="2066E71E" w14:textId="77777777" w:rsidR="00653185" w:rsidRDefault="00653185">
        <w:pPr>
          <w:pStyle w:val="Piedepgina"/>
          <w:jc w:val="center"/>
        </w:pPr>
        <w:r>
          <w:fldChar w:fldCharType="begin"/>
        </w:r>
        <w:r>
          <w:instrText>PAGE   \* MERGEFORMAT</w:instrText>
        </w:r>
        <w:r>
          <w:fldChar w:fldCharType="separate"/>
        </w:r>
        <w:r w:rsidR="00A6776D" w:rsidRPr="00A6776D">
          <w:rPr>
            <w:noProof/>
            <w:lang w:val="es-ES"/>
          </w:rPr>
          <w:t>248</w:t>
        </w:r>
        <w:r>
          <w:fldChar w:fldCharType="end"/>
        </w:r>
      </w:p>
    </w:sdtContent>
  </w:sdt>
  <w:p w14:paraId="26BD2971" w14:textId="77777777" w:rsidR="00653185" w:rsidRDefault="00653185" w:rsidP="00B65D24">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1060860959"/>
      <w:docPartObj>
        <w:docPartGallery w:val="Page Numbers (Bottom of Page)"/>
        <w:docPartUnique/>
      </w:docPartObj>
    </w:sdtPr>
    <w:sdtEndPr/>
    <w:sdtContent>
      <w:p w14:paraId="03E915A6" w14:textId="77777777" w:rsidR="00653185" w:rsidRPr="0050440D" w:rsidRDefault="00653185">
        <w:pPr>
          <w:pStyle w:val="Piedepgina"/>
          <w:jc w:val="center"/>
          <w:rPr>
            <w:rFonts w:cs="Arial"/>
          </w:rPr>
        </w:pPr>
        <w:r w:rsidRPr="0050440D">
          <w:rPr>
            <w:rFonts w:cs="Arial"/>
          </w:rPr>
          <w:fldChar w:fldCharType="begin"/>
        </w:r>
        <w:r w:rsidRPr="0050440D">
          <w:rPr>
            <w:rFonts w:cs="Arial"/>
          </w:rPr>
          <w:instrText>PAGE   \* MERGEFORMAT</w:instrText>
        </w:r>
        <w:r w:rsidRPr="0050440D">
          <w:rPr>
            <w:rFonts w:cs="Arial"/>
          </w:rPr>
          <w:fldChar w:fldCharType="separate"/>
        </w:r>
        <w:r w:rsidR="00A6776D" w:rsidRPr="00A6776D">
          <w:rPr>
            <w:rFonts w:cs="Arial"/>
            <w:noProof/>
            <w:lang w:val="es-ES"/>
          </w:rPr>
          <w:t>247</w:t>
        </w:r>
        <w:r w:rsidRPr="0050440D">
          <w:rPr>
            <w:rFonts w:cs="Arial"/>
          </w:rPr>
          <w:fldChar w:fldCharType="end"/>
        </w:r>
      </w:p>
    </w:sdtContent>
  </w:sdt>
  <w:p w14:paraId="1FF03F1F" w14:textId="77777777" w:rsidR="00653185" w:rsidRPr="0050440D" w:rsidRDefault="00653185">
    <w:pPr>
      <w:pStyle w:val="Piedepgina"/>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8151" w14:textId="51E4C9C3" w:rsidR="00045F13" w:rsidRDefault="00045F1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2693808"/>
      <w:docPartObj>
        <w:docPartGallery w:val="Page Numbers (Bottom of Page)"/>
        <w:docPartUnique/>
      </w:docPartObj>
    </w:sdtPr>
    <w:sdtEndPr>
      <w:rPr>
        <w:rFonts w:cstheme="minorHAnsi"/>
      </w:rPr>
    </w:sdtEndPr>
    <w:sdtContent>
      <w:p w14:paraId="353442D9" w14:textId="77777777" w:rsidR="00653185" w:rsidRPr="00EB40F1" w:rsidRDefault="00653185" w:rsidP="00EB40F1">
        <w:pPr>
          <w:pStyle w:val="Piedepgina"/>
          <w:tabs>
            <w:tab w:val="left" w:pos="1080"/>
            <w:tab w:val="center" w:pos="3853"/>
          </w:tabs>
          <w:jc w:val="center"/>
          <w:rPr>
            <w:rFonts w:cstheme="minorHAnsi"/>
          </w:rPr>
        </w:pPr>
        <w:r w:rsidRPr="00EB40F1">
          <w:rPr>
            <w:rFonts w:cstheme="minorHAnsi"/>
          </w:rPr>
          <w:fldChar w:fldCharType="begin"/>
        </w:r>
        <w:r w:rsidRPr="00EB40F1">
          <w:rPr>
            <w:rFonts w:cstheme="minorHAnsi"/>
          </w:rPr>
          <w:instrText>PAGE   \* MERGEFORMAT</w:instrText>
        </w:r>
        <w:r w:rsidRPr="00EB40F1">
          <w:rPr>
            <w:rFonts w:cstheme="minorHAnsi"/>
          </w:rPr>
          <w:fldChar w:fldCharType="separate"/>
        </w:r>
        <w:r w:rsidR="009F5F68" w:rsidRPr="00EB40F1">
          <w:rPr>
            <w:rFonts w:cstheme="minorHAnsi"/>
            <w:noProof/>
            <w:lang w:val="es-ES"/>
          </w:rPr>
          <w:t>252</w:t>
        </w:r>
        <w:r w:rsidRPr="00EB40F1">
          <w:rPr>
            <w:rFonts w:cstheme="minorHAnsi"/>
          </w:rPr>
          <w:fldChar w:fldCharType="end"/>
        </w:r>
      </w:p>
    </w:sdtContent>
  </w:sdt>
  <w:p w14:paraId="30F54A83" w14:textId="77777777" w:rsidR="00653185" w:rsidRDefault="0065318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548348106"/>
      <w:docPartObj>
        <w:docPartGallery w:val="Page Numbers (Bottom of Page)"/>
        <w:docPartUnique/>
      </w:docPartObj>
    </w:sdtPr>
    <w:sdtEndPr>
      <w:rPr>
        <w:rFonts w:ascii="Arial" w:hAnsi="Arial" w:cs="Arial"/>
      </w:rPr>
    </w:sdtEndPr>
    <w:sdtContent>
      <w:p w14:paraId="04FF36BD" w14:textId="77777777" w:rsidR="00653185" w:rsidRPr="00FF3D1A" w:rsidRDefault="00653185" w:rsidP="00EB40F1">
        <w:pPr>
          <w:pStyle w:val="Piedepgina"/>
          <w:jc w:val="center"/>
          <w:rPr>
            <w:rFonts w:ascii="Arial" w:hAnsi="Arial" w:cs="Arial"/>
            <w:sz w:val="20"/>
            <w:szCs w:val="20"/>
          </w:rPr>
        </w:pPr>
        <w:r w:rsidRPr="00FF3D1A">
          <w:rPr>
            <w:rFonts w:ascii="Arial" w:hAnsi="Arial" w:cs="Arial"/>
            <w:sz w:val="20"/>
            <w:szCs w:val="20"/>
          </w:rPr>
          <w:fldChar w:fldCharType="begin"/>
        </w:r>
        <w:r w:rsidRPr="00FF3D1A">
          <w:rPr>
            <w:rFonts w:ascii="Arial" w:hAnsi="Arial" w:cs="Arial"/>
            <w:sz w:val="20"/>
            <w:szCs w:val="20"/>
          </w:rPr>
          <w:instrText>PAGE   \* MERGEFORMAT</w:instrText>
        </w:r>
        <w:r w:rsidRPr="00FF3D1A">
          <w:rPr>
            <w:rFonts w:ascii="Arial" w:hAnsi="Arial" w:cs="Arial"/>
            <w:sz w:val="20"/>
            <w:szCs w:val="20"/>
          </w:rPr>
          <w:fldChar w:fldCharType="separate"/>
        </w:r>
        <w:r w:rsidR="009F5F68" w:rsidRPr="009F5F68">
          <w:rPr>
            <w:rFonts w:ascii="Arial" w:hAnsi="Arial" w:cs="Arial"/>
            <w:noProof/>
            <w:sz w:val="20"/>
            <w:szCs w:val="20"/>
            <w:lang w:val="es-ES"/>
          </w:rPr>
          <w:t>257</w:t>
        </w:r>
        <w:r w:rsidRPr="00FF3D1A">
          <w:rPr>
            <w:rFonts w:ascii="Arial" w:hAnsi="Arial" w:cs="Arial"/>
            <w:sz w:val="20"/>
            <w:szCs w:val="20"/>
          </w:rPr>
          <w:fldChar w:fldCharType="end"/>
        </w:r>
      </w:p>
    </w:sdtContent>
  </w:sdt>
  <w:p w14:paraId="4DE39ED1" w14:textId="77777777" w:rsidR="00653185" w:rsidRDefault="0065318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BA913" w14:textId="77777777" w:rsidR="00653185" w:rsidRPr="00A23D45" w:rsidRDefault="00653185">
    <w:pPr>
      <w:pStyle w:val="Piedepgina"/>
      <w:jc w:val="center"/>
      <w:rPr>
        <w:rFonts w:ascii="Arial" w:hAnsi="Arial" w:cs="Arial"/>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D01EC" w14:textId="77777777" w:rsidR="002624E2" w:rsidRDefault="002624E2" w:rsidP="00142AAE">
      <w:pPr>
        <w:spacing w:after="0" w:line="240" w:lineRule="auto"/>
      </w:pPr>
      <w:r>
        <w:separator/>
      </w:r>
    </w:p>
  </w:footnote>
  <w:footnote w:type="continuationSeparator" w:id="0">
    <w:p w14:paraId="458AA858" w14:textId="77777777" w:rsidR="002624E2" w:rsidRDefault="002624E2" w:rsidP="00142AAE">
      <w:pPr>
        <w:spacing w:after="0" w:line="240" w:lineRule="auto"/>
      </w:pPr>
      <w:r>
        <w:continuationSeparator/>
      </w:r>
    </w:p>
  </w:footnote>
  <w:footnote w:id="1">
    <w:p w14:paraId="5F705D54" w14:textId="77777777" w:rsidR="00653185" w:rsidRPr="00F9314D" w:rsidRDefault="00653185" w:rsidP="003D29D2">
      <w:pPr>
        <w:pStyle w:val="Textonotapie"/>
        <w:jc w:val="both"/>
        <w:rPr>
          <w:rFonts w:ascii="Arial" w:hAnsi="Arial" w:cs="Arial"/>
          <w:lang w:val="es-MX"/>
        </w:rPr>
      </w:pPr>
      <w:r w:rsidRPr="00F9314D">
        <w:rPr>
          <w:rStyle w:val="Refdenotaalpie"/>
          <w:rFonts w:ascii="Arial" w:hAnsi="Arial" w:cs="Arial"/>
        </w:rPr>
        <w:footnoteRef/>
      </w:r>
      <w:r w:rsidRPr="00F9314D">
        <w:rPr>
          <w:rFonts w:ascii="Arial" w:hAnsi="Arial" w:cs="Arial"/>
        </w:rPr>
        <w:t xml:space="preserve"> </w:t>
      </w:r>
      <w:r w:rsidRPr="00F9314D">
        <w:rPr>
          <w:rFonts w:ascii="Arial" w:hAnsi="Arial" w:cs="Arial"/>
          <w:lang w:val="es-MX"/>
        </w:rPr>
        <w:t xml:space="preserve">TECDMX-JEL-205/2021, TECDMX-JEL-206/2021, </w:t>
      </w:r>
      <w:r w:rsidRPr="00F9314D">
        <w:rPr>
          <w:rFonts w:ascii="Arial" w:hAnsi="Arial" w:cs="Arial"/>
        </w:rPr>
        <w:t xml:space="preserve">TECDMX-JLDC-088/2021, </w:t>
      </w:r>
      <w:r w:rsidRPr="00F9314D">
        <w:rPr>
          <w:rFonts w:ascii="Arial" w:hAnsi="Arial" w:cs="Arial"/>
          <w:lang w:val="es-MX"/>
        </w:rPr>
        <w:t>TECDMX-JLDC-089/2021, TECDMX-JLDC-090/2021, TECDMX-JLDC-091/2021, TECDMX-JLDC-092/2021, TECDMX-JLDC-093/2021, TECDMX-JLDC-094/2021, TECDMX-JLDC-095/2021, TECDMX-JLDC-096/2021, TECDMX-JLDC-097/2021, TECDMX-JLDC-099/2021, TECDMX-JLDC-100/2021, TECDMX-JLDC-101/2021, TECDMX-JLDC-102/2021, TECDMX-JLDC-103/2021, TECDMX-JLDC-104/2021, TECDMX-JLDC-108/2021, TECDMX-JLDC-109/2021 y TECDMX-JLDC-110/2021.</w:t>
      </w:r>
    </w:p>
  </w:footnote>
  <w:footnote w:id="2">
    <w:p w14:paraId="74B95A3F" w14:textId="77777777" w:rsidR="00653185" w:rsidRPr="00F9314D" w:rsidRDefault="00653185" w:rsidP="003D29D2">
      <w:pPr>
        <w:pStyle w:val="Textonotapie"/>
        <w:jc w:val="both"/>
        <w:rPr>
          <w:rFonts w:ascii="Arial" w:hAnsi="Arial" w:cs="Arial"/>
          <w:lang w:val="es-MX"/>
        </w:rPr>
      </w:pPr>
      <w:r w:rsidRPr="00F9314D">
        <w:rPr>
          <w:rStyle w:val="Refdenotaalpie"/>
          <w:rFonts w:ascii="Arial" w:hAnsi="Arial" w:cs="Arial"/>
        </w:rPr>
        <w:footnoteRef/>
      </w:r>
      <w:r w:rsidRPr="00F9314D">
        <w:rPr>
          <w:rFonts w:ascii="Arial" w:hAnsi="Arial" w:cs="Arial"/>
        </w:rPr>
        <w:t xml:space="preserve"> </w:t>
      </w:r>
      <w:r w:rsidRPr="00F9314D">
        <w:rPr>
          <w:rFonts w:ascii="Arial" w:hAnsi="Arial" w:cs="Arial"/>
          <w:lang w:val="es-MX"/>
        </w:rPr>
        <w:t>En adelante todas las fechas harán referencia al año dos mil veintiuno salvo indicación en contrario.</w:t>
      </w:r>
    </w:p>
  </w:footnote>
  <w:footnote w:id="3">
    <w:p w14:paraId="05C810F6" w14:textId="77777777" w:rsidR="00653185" w:rsidRPr="00F9314D" w:rsidRDefault="00653185" w:rsidP="003D29D2">
      <w:pPr>
        <w:spacing w:after="0"/>
        <w:jc w:val="both"/>
        <w:rPr>
          <w:rFonts w:ascii="Arial" w:hAnsi="Arial" w:cs="Arial"/>
          <w:color w:val="000000"/>
          <w:sz w:val="20"/>
          <w:szCs w:val="20"/>
        </w:rPr>
      </w:pPr>
      <w:r w:rsidRPr="00F9314D">
        <w:rPr>
          <w:rStyle w:val="Refdenotaalpie"/>
          <w:rFonts w:ascii="Arial" w:hAnsi="Arial" w:cs="Arial"/>
          <w:sz w:val="20"/>
          <w:szCs w:val="20"/>
        </w:rPr>
        <w:footnoteRef/>
      </w:r>
      <w:r w:rsidRPr="00F9314D">
        <w:rPr>
          <w:rFonts w:ascii="Arial" w:hAnsi="Arial" w:cs="Arial"/>
          <w:sz w:val="20"/>
          <w:szCs w:val="20"/>
        </w:rPr>
        <w:t xml:space="preserve"> </w:t>
      </w:r>
      <w:r w:rsidRPr="00F9314D">
        <w:rPr>
          <w:rFonts w:ascii="Arial" w:hAnsi="Arial" w:cs="Arial"/>
          <w:color w:val="000000"/>
          <w:sz w:val="20"/>
          <w:szCs w:val="20"/>
          <w:lang w:val="es-ES_tradnl"/>
        </w:rPr>
        <w:t xml:space="preserve">Se precisa que el escrito de demanda fue presentado como juicio electoral, inicialmente registrado bajo el expediente TECDMX-JEL-197/2021, mismo que se reencauzó en sesión privada de cinco de julio a juicio de la ciudadanía </w:t>
      </w:r>
      <w:r w:rsidRPr="00F9314D">
        <w:rPr>
          <w:rFonts w:ascii="Arial" w:hAnsi="Arial" w:cs="Arial"/>
          <w:color w:val="000000"/>
          <w:sz w:val="20"/>
          <w:szCs w:val="20"/>
        </w:rPr>
        <w:t>TECDMX-JLDC-108/2021.</w:t>
      </w:r>
    </w:p>
  </w:footnote>
  <w:footnote w:id="4">
    <w:p w14:paraId="673F5A66" w14:textId="77777777" w:rsidR="00653185" w:rsidRPr="00F9314D" w:rsidRDefault="00653185" w:rsidP="003D29D2">
      <w:pPr>
        <w:spacing w:after="0"/>
        <w:jc w:val="both"/>
        <w:rPr>
          <w:rFonts w:ascii="Arial" w:hAnsi="Arial" w:cs="Arial"/>
          <w:color w:val="000000"/>
          <w:sz w:val="20"/>
          <w:szCs w:val="20"/>
        </w:rPr>
      </w:pPr>
      <w:r w:rsidRPr="00F9314D">
        <w:rPr>
          <w:rStyle w:val="Refdenotaalpie"/>
          <w:rFonts w:ascii="Arial" w:hAnsi="Arial" w:cs="Arial"/>
          <w:sz w:val="20"/>
          <w:szCs w:val="20"/>
        </w:rPr>
        <w:footnoteRef/>
      </w:r>
      <w:r w:rsidRPr="00F9314D">
        <w:rPr>
          <w:rFonts w:ascii="Arial" w:hAnsi="Arial" w:cs="Arial"/>
          <w:sz w:val="20"/>
          <w:szCs w:val="20"/>
        </w:rPr>
        <w:t xml:space="preserve"> </w:t>
      </w:r>
      <w:r w:rsidRPr="00F9314D">
        <w:rPr>
          <w:rFonts w:ascii="Arial" w:hAnsi="Arial" w:cs="Arial"/>
          <w:color w:val="000000"/>
          <w:sz w:val="20"/>
          <w:szCs w:val="20"/>
          <w:lang w:val="es-ES_tradnl"/>
        </w:rPr>
        <w:t>Se precisa que el escrito de demanda fue presentado como juicio electoral que motivó el expediente TECDMX-JEL-199/2021, mismo que se reencauzó en sesión privada de cinco de julio a juicio de la ciudadanía identificado como </w:t>
      </w:r>
      <w:r w:rsidRPr="00F9314D">
        <w:rPr>
          <w:rFonts w:ascii="Arial" w:hAnsi="Arial" w:cs="Arial"/>
          <w:color w:val="000000"/>
          <w:sz w:val="20"/>
          <w:szCs w:val="20"/>
        </w:rPr>
        <w:t>TECDMX-JLDC-109/2021.</w:t>
      </w:r>
    </w:p>
  </w:footnote>
  <w:footnote w:id="5">
    <w:p w14:paraId="047BDB44"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Se precisa que el escrito de demanda fue presentado como juicio electoral, que originó el expediente TECDMX-JEL-200/2021, mismo que se reencauzó en sesión privada de cinco de julio a juico de la ciudadanía identificado como TECDMX-JLDC-110/2021.</w:t>
      </w:r>
    </w:p>
  </w:footnote>
  <w:footnote w:id="6">
    <w:p w14:paraId="1E977BDF" w14:textId="77777777" w:rsidR="00653185" w:rsidRPr="00F9314D" w:rsidRDefault="00653185" w:rsidP="003D29D2">
      <w:pPr>
        <w:pStyle w:val="Textonotapie"/>
        <w:jc w:val="both"/>
        <w:rPr>
          <w:rFonts w:ascii="Arial" w:hAnsi="Arial" w:cs="Arial"/>
          <w:lang w:val="es-ES_tradnl"/>
        </w:rPr>
      </w:pPr>
      <w:r w:rsidRPr="00F9314D">
        <w:rPr>
          <w:rStyle w:val="Refdenotaalpie"/>
          <w:rFonts w:ascii="Arial" w:hAnsi="Arial" w:cs="Arial"/>
        </w:rPr>
        <w:footnoteRef/>
      </w:r>
      <w:r w:rsidRPr="00F9314D">
        <w:rPr>
          <w:rFonts w:ascii="Arial" w:hAnsi="Arial" w:cs="Arial"/>
        </w:rPr>
        <w:t xml:space="preserve"> </w:t>
      </w:r>
      <w:r w:rsidRPr="00F9314D">
        <w:rPr>
          <w:rFonts w:ascii="Arial" w:hAnsi="Arial" w:cs="Arial"/>
          <w:lang w:val="es-ES_tradnl"/>
        </w:rPr>
        <w:t>El escrito del tercero interesado se recibió en la oficialía de partes del Tribunal Electoral.</w:t>
      </w:r>
    </w:p>
  </w:footnote>
  <w:footnote w:id="7">
    <w:p w14:paraId="3477EE62" w14:textId="77777777" w:rsidR="00653185" w:rsidRPr="00F9314D" w:rsidRDefault="00653185" w:rsidP="003D29D2">
      <w:pPr>
        <w:pStyle w:val="Textonotapie"/>
        <w:jc w:val="both"/>
        <w:rPr>
          <w:rFonts w:ascii="Arial" w:hAnsi="Arial" w:cs="Arial"/>
          <w:lang w:val="es-MX"/>
        </w:rPr>
      </w:pPr>
      <w:r w:rsidRPr="00F9314D">
        <w:rPr>
          <w:rStyle w:val="Refdenotaalpie"/>
          <w:rFonts w:ascii="Arial" w:hAnsi="Arial" w:cs="Arial"/>
        </w:rPr>
        <w:footnoteRef/>
      </w:r>
      <w:r w:rsidRPr="00F9314D">
        <w:rPr>
          <w:rFonts w:ascii="Arial" w:hAnsi="Arial" w:cs="Arial"/>
        </w:rPr>
        <w:t xml:space="preserve"> </w:t>
      </w:r>
      <w:r w:rsidRPr="00F9314D">
        <w:rPr>
          <w:rFonts w:ascii="Arial" w:hAnsi="Arial" w:cs="Arial"/>
          <w:lang w:val="es-MX"/>
        </w:rPr>
        <w:t>Consultable en:</w:t>
      </w:r>
    </w:p>
    <w:p w14:paraId="7800ED4E" w14:textId="77777777" w:rsidR="00653185" w:rsidRPr="00F9314D" w:rsidRDefault="00653185" w:rsidP="003D29D2">
      <w:pPr>
        <w:pStyle w:val="Textonotapie"/>
        <w:jc w:val="both"/>
        <w:rPr>
          <w:rFonts w:ascii="Arial" w:hAnsi="Arial" w:cs="Arial"/>
          <w:lang w:val="es-MX"/>
        </w:rPr>
      </w:pPr>
      <w:r w:rsidRPr="00F9314D">
        <w:rPr>
          <w:rFonts w:ascii="Arial" w:hAnsi="Arial" w:cs="Arial"/>
          <w:lang w:val="es-MX"/>
        </w:rPr>
        <w:t xml:space="preserve"> http://sief.te.gob.mx/iuse/tesisjur.aspx?idtesis=2/2004&amp;tpoBusqueda=S&amp;sWord=2/2004</w:t>
      </w:r>
    </w:p>
  </w:footnote>
  <w:footnote w:id="8">
    <w:p w14:paraId="569CC305" w14:textId="77777777" w:rsidR="00653185" w:rsidRPr="00F9314D" w:rsidRDefault="00653185" w:rsidP="003D29D2">
      <w:pPr>
        <w:pStyle w:val="Textonotapie"/>
        <w:jc w:val="both"/>
        <w:rPr>
          <w:rFonts w:ascii="Arial" w:hAnsi="Arial" w:cs="Arial"/>
        </w:rPr>
      </w:pPr>
      <w:r w:rsidRPr="00F9314D">
        <w:rPr>
          <w:rStyle w:val="Refdenotaalpie"/>
          <w:rFonts w:ascii="Arial" w:eastAsiaTheme="majorEastAsia" w:hAnsi="Arial" w:cs="Arial"/>
        </w:rPr>
        <w:footnoteRef/>
      </w:r>
      <w:r w:rsidRPr="00F9314D">
        <w:rPr>
          <w:rFonts w:ascii="Arial" w:hAnsi="Arial" w:cs="Arial"/>
        </w:rPr>
        <w:t xml:space="preserve"> Sirve como criterio orientador el sostenido en la jurisprudencia de la </w:t>
      </w:r>
      <w:r w:rsidRPr="00F9314D">
        <w:rPr>
          <w:rFonts w:ascii="Arial" w:hAnsi="Arial" w:cs="Arial"/>
          <w:i/>
          <w:iCs/>
        </w:rPr>
        <w:t>Sala Superior</w:t>
      </w:r>
      <w:r w:rsidRPr="00F9314D">
        <w:rPr>
          <w:rFonts w:ascii="Arial" w:hAnsi="Arial" w:cs="Arial"/>
        </w:rPr>
        <w:t xml:space="preserve"> 1/99, de rubro: “</w:t>
      </w:r>
      <w:r w:rsidRPr="00F9314D">
        <w:rPr>
          <w:rFonts w:ascii="Arial" w:hAnsi="Arial" w:cs="Arial"/>
          <w:b/>
          <w:bCs/>
        </w:rPr>
        <w:t>FIRMA AUTÓGRAFA. EN LA PROMOCIÓN DE UN MEDIO DE IMPUGNACIÓN EN MATERIA ELECTORAL SE SATISFACE ESTE REQUISITO, AUN CUANDO LA FIRMA NO APAREZCA EN EL ESCRITO DE EXPRESIÓN DE AGRAVIOS Y SÍ EN EL DOCUMENTO DE PRESENTACIÓN DE DICHO MEDIO IMPUGNATIVO</w:t>
      </w:r>
      <w:r w:rsidRPr="00F9314D">
        <w:rPr>
          <w:rFonts w:ascii="Arial" w:hAnsi="Arial" w:cs="Arial"/>
        </w:rPr>
        <w:t>”.</w:t>
      </w:r>
    </w:p>
  </w:footnote>
  <w:footnote w:id="9">
    <w:p w14:paraId="56F2700E"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En la Cédula de publicación en estrados se señala como fecha de fijación el 18 de junio; sin embargo, en la razón de fijación se asentó el 17 de junio, lo cual constituye un lapsus calami toda vez que el retiro se efectuó el veintiuno siguiente, de ahí que sea inconcuso que la fijación se realizó el dieciocho de junio.</w:t>
      </w:r>
    </w:p>
  </w:footnote>
  <w:footnote w:id="10">
    <w:p w14:paraId="2DC1AFBD"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En la Cédula de publicación en estrados se señala como fecha de fijación el 18 de junio; sin embargo, en la razón de fijación se asentó el 17 de junio, lo cual constituye un lapsus calami toda vez que el retiro se efectuó el veintiuno siguiente, de ahí que sea inconcuso que la fijación se realizó el dieciocho de junio.</w:t>
      </w:r>
    </w:p>
  </w:footnote>
  <w:footnote w:id="11">
    <w:p w14:paraId="7A7FB9A7" w14:textId="77777777" w:rsidR="00653185" w:rsidRPr="00F9314D" w:rsidRDefault="00653185" w:rsidP="003D29D2">
      <w:pPr>
        <w:pStyle w:val="Textonotapie"/>
        <w:jc w:val="both"/>
        <w:rPr>
          <w:rFonts w:ascii="Arial" w:hAnsi="Arial" w:cs="Arial"/>
          <w:lang w:val="es-ES_tradnl"/>
        </w:rPr>
      </w:pPr>
      <w:r w:rsidRPr="00F9314D">
        <w:rPr>
          <w:rStyle w:val="Refdenotaalpie"/>
          <w:rFonts w:ascii="Arial" w:hAnsi="Arial" w:cs="Arial"/>
        </w:rPr>
        <w:footnoteRef/>
      </w:r>
      <w:r w:rsidRPr="00F9314D">
        <w:rPr>
          <w:rFonts w:ascii="Arial" w:hAnsi="Arial" w:cs="Arial"/>
        </w:rPr>
        <w:t xml:space="preserve"> </w:t>
      </w:r>
      <w:r w:rsidRPr="00F9314D">
        <w:rPr>
          <w:rFonts w:ascii="Arial" w:hAnsi="Arial" w:cs="Arial"/>
          <w:lang w:val="es-ES_tradnl"/>
        </w:rPr>
        <w:t>El escrito del tercero interesado se recibió en la oficialía de partes del Tribunal Electoral.</w:t>
      </w:r>
    </w:p>
  </w:footnote>
  <w:footnote w:id="12">
    <w:p w14:paraId="11022D43" w14:textId="77777777" w:rsidR="00653185" w:rsidRPr="00F9314D" w:rsidRDefault="00653185" w:rsidP="003D29D2">
      <w:pPr>
        <w:pStyle w:val="Textonotapie"/>
        <w:ind w:left="180" w:hanging="180"/>
        <w:jc w:val="both"/>
        <w:rPr>
          <w:rFonts w:ascii="Arial" w:hAnsi="Arial" w:cs="Arial"/>
        </w:rPr>
      </w:pPr>
      <w:r w:rsidRPr="00F9314D">
        <w:rPr>
          <w:rStyle w:val="Refdenotaalpie"/>
          <w:rFonts w:ascii="Arial" w:hAnsi="Arial" w:cs="Arial"/>
        </w:rPr>
        <w:footnoteRef/>
      </w:r>
      <w:r w:rsidRPr="00F9314D">
        <w:rPr>
          <w:rFonts w:ascii="Arial" w:hAnsi="Arial" w:cs="Arial"/>
        </w:rPr>
        <w:t xml:space="preserve"> Compilación de Jurisprudencia y Tesis Relevantes 1999-2012, Tribunal Electoral del Distrito Federal, p. 13.</w:t>
      </w:r>
    </w:p>
  </w:footnote>
  <w:footnote w:id="13">
    <w:p w14:paraId="1B8F24E8" w14:textId="77777777" w:rsidR="00653185" w:rsidRPr="00F9314D" w:rsidRDefault="00653185" w:rsidP="003D29D2">
      <w:pPr>
        <w:pStyle w:val="Textonotapie"/>
        <w:jc w:val="both"/>
        <w:rPr>
          <w:rFonts w:ascii="Arial" w:hAnsi="Arial" w:cs="Arial"/>
          <w:lang w:val="es-MX"/>
        </w:rPr>
      </w:pPr>
      <w:r w:rsidRPr="00F9314D">
        <w:rPr>
          <w:rStyle w:val="Refdenotaalpie"/>
          <w:rFonts w:ascii="Arial" w:hAnsi="Arial" w:cs="Arial"/>
        </w:rPr>
        <w:footnoteRef/>
      </w:r>
      <w:r w:rsidRPr="00F9314D">
        <w:rPr>
          <w:rFonts w:ascii="Arial" w:hAnsi="Arial" w:cs="Arial"/>
        </w:rPr>
        <w:t xml:space="preserve"> Consultable en el </w:t>
      </w:r>
      <w:r w:rsidRPr="00F9314D">
        <w:rPr>
          <w:rFonts w:ascii="Arial" w:hAnsi="Arial" w:cs="Arial"/>
          <w:lang w:val="es-MX"/>
        </w:rPr>
        <w:t>Semanario Judicial de la Federación y su Gaceta, Libro XVII, febrero de 2013, Tomo 2 Materia(s): Común, Tesis de Jurisprudencia: VI.3o.A. J/2 (10a.), página: 1241.</w:t>
      </w:r>
    </w:p>
  </w:footnote>
  <w:footnote w:id="14">
    <w:p w14:paraId="5D878948"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lang w:val="es-MX"/>
        </w:rPr>
        <w:t xml:space="preserve"> </w:t>
      </w:r>
      <w:r w:rsidRPr="00F9314D">
        <w:rPr>
          <w:rFonts w:ascii="Arial" w:hAnsi="Arial" w:cs="Arial"/>
        </w:rPr>
        <w:t>Consultable en el Semanario Judicial de la Federación y su Gaceta, Libro XXVI, noviembre de 2013, Tomo 1, Materia(s): Constitucional, Tesis de Jurisprudencia: XI.1o.A.T. J/1 (10a.), página: 699.</w:t>
      </w:r>
    </w:p>
  </w:footnote>
  <w:footnote w:id="15">
    <w:p w14:paraId="33AA876B" w14:textId="77777777" w:rsidR="00653185" w:rsidRPr="00F9314D" w:rsidRDefault="00653185" w:rsidP="003D29D2">
      <w:pPr>
        <w:pStyle w:val="Textonotapie"/>
        <w:jc w:val="both"/>
        <w:rPr>
          <w:rFonts w:ascii="Arial" w:hAnsi="Arial" w:cs="Arial"/>
          <w:lang w:val="es-MX"/>
        </w:rPr>
      </w:pPr>
      <w:r w:rsidRPr="00F9314D">
        <w:rPr>
          <w:rStyle w:val="Refdenotaalpie"/>
          <w:rFonts w:ascii="Arial" w:hAnsi="Arial" w:cs="Arial"/>
        </w:rPr>
        <w:footnoteRef/>
      </w:r>
      <w:r w:rsidRPr="00F9314D">
        <w:rPr>
          <w:rFonts w:ascii="Arial" w:hAnsi="Arial" w:cs="Arial"/>
        </w:rPr>
        <w:t xml:space="preserve"> Consultable en Semanario Judicial de la Federación y su Gaceta. Novena Época. Tomo VI, Julio de 1997, pág. 5.  </w:t>
      </w:r>
    </w:p>
  </w:footnote>
  <w:footnote w:id="16">
    <w:p w14:paraId="3019DBCE"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Consultable en: </w:t>
      </w:r>
    </w:p>
    <w:p w14:paraId="6B122FB2" w14:textId="77777777" w:rsidR="00653185" w:rsidRPr="00F9314D" w:rsidRDefault="00653185" w:rsidP="003D29D2">
      <w:pPr>
        <w:pStyle w:val="Textonotapie"/>
        <w:jc w:val="both"/>
        <w:rPr>
          <w:rFonts w:ascii="Arial" w:hAnsi="Arial" w:cs="Arial"/>
        </w:rPr>
      </w:pPr>
      <w:r w:rsidRPr="00F9314D">
        <w:rPr>
          <w:rFonts w:ascii="Arial" w:hAnsi="Arial" w:cs="Arial"/>
        </w:rPr>
        <w:t>http://sief.te.gob.mx/IUSE/tesisjur.aspx?idtesis=33/2002&amp;tpoBusqueda=S&amp;sWord=33/2002</w:t>
      </w:r>
    </w:p>
  </w:footnote>
  <w:footnote w:id="17">
    <w:p w14:paraId="33BCB2E8" w14:textId="77777777" w:rsidR="00653185" w:rsidRPr="00F9314D" w:rsidRDefault="00653185" w:rsidP="003D29D2">
      <w:pPr>
        <w:pStyle w:val="Textonotapie"/>
        <w:jc w:val="both"/>
        <w:rPr>
          <w:rFonts w:ascii="Arial" w:hAnsi="Arial" w:cs="Arial"/>
          <w:lang w:val="es-MX"/>
        </w:rPr>
      </w:pPr>
      <w:r w:rsidRPr="00F9314D">
        <w:rPr>
          <w:rStyle w:val="Refdenotaalpie"/>
          <w:rFonts w:ascii="Arial" w:hAnsi="Arial" w:cs="Arial"/>
        </w:rPr>
        <w:footnoteRef/>
      </w:r>
      <w:r w:rsidRPr="00F9314D">
        <w:rPr>
          <w:rFonts w:ascii="Arial" w:hAnsi="Arial" w:cs="Arial"/>
        </w:rPr>
        <w:t xml:space="preserve"> Consultable en la Gaceta de Jurisprudencias y Tesis en materia electoral, Tribunal Electoral del Poder Judicial de la Federación, Año 3, Número 5, 2010, página 18.</w:t>
      </w:r>
    </w:p>
  </w:footnote>
  <w:footnote w:id="18">
    <w:p w14:paraId="69282FD7"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Consultable a través del </w:t>
      </w:r>
      <w:proofErr w:type="gramStart"/>
      <w:r w:rsidRPr="00F9314D">
        <w:rPr>
          <w:rFonts w:ascii="Arial" w:hAnsi="Arial" w:cs="Arial"/>
        </w:rPr>
        <w:t>link</w:t>
      </w:r>
      <w:proofErr w:type="gramEnd"/>
      <w:r w:rsidRPr="00F9314D">
        <w:rPr>
          <w:rFonts w:ascii="Arial" w:hAnsi="Arial" w:cs="Arial"/>
        </w:rPr>
        <w:t xml:space="preserve">: </w:t>
      </w:r>
      <w:hyperlink r:id="rId1" w:history="1">
        <w:r w:rsidRPr="00F9314D">
          <w:rPr>
            <w:rStyle w:val="Hipervnculo"/>
            <w:rFonts w:ascii="Arial" w:eastAsiaTheme="majorEastAsia" w:hAnsi="Arial" w:cs="Arial"/>
            <w:color w:val="auto"/>
            <w:lang w:val="es-MX"/>
          </w:rPr>
          <w:t>https://www.te.gob.mx/IUSEapp/</w:t>
        </w:r>
      </w:hyperlink>
      <w:r w:rsidRPr="00F9314D">
        <w:rPr>
          <w:rFonts w:ascii="Arial" w:hAnsi="Arial" w:cs="Arial"/>
        </w:rPr>
        <w:t>.</w:t>
      </w:r>
    </w:p>
  </w:footnote>
  <w:footnote w:id="19">
    <w:p w14:paraId="45C048D6" w14:textId="77777777" w:rsidR="00653185" w:rsidRPr="00F9314D" w:rsidRDefault="00653185" w:rsidP="003D29D2">
      <w:pPr>
        <w:pStyle w:val="Textonotapie"/>
        <w:jc w:val="both"/>
        <w:rPr>
          <w:rFonts w:ascii="Arial" w:hAnsi="Arial" w:cs="Arial"/>
          <w:lang w:val="es-MX"/>
        </w:rPr>
      </w:pPr>
      <w:r w:rsidRPr="00F9314D">
        <w:rPr>
          <w:rStyle w:val="Refdenotaalpie"/>
          <w:rFonts w:ascii="Arial" w:hAnsi="Arial" w:cs="Arial"/>
        </w:rPr>
        <w:footnoteRef/>
      </w:r>
      <w:r w:rsidRPr="00F9314D">
        <w:rPr>
          <w:rFonts w:ascii="Arial" w:hAnsi="Arial" w:cs="Arial"/>
        </w:rPr>
        <w:t xml:space="preserve"> Consultable a través del </w:t>
      </w:r>
      <w:proofErr w:type="gramStart"/>
      <w:r w:rsidRPr="00F9314D">
        <w:rPr>
          <w:rFonts w:ascii="Arial" w:hAnsi="Arial" w:cs="Arial"/>
        </w:rPr>
        <w:t>link</w:t>
      </w:r>
      <w:proofErr w:type="gramEnd"/>
      <w:r w:rsidRPr="00F9314D">
        <w:rPr>
          <w:rFonts w:ascii="Arial" w:hAnsi="Arial" w:cs="Arial"/>
        </w:rPr>
        <w:t xml:space="preserve">: </w:t>
      </w:r>
      <w:hyperlink r:id="rId2" w:history="1">
        <w:r w:rsidRPr="00F9314D">
          <w:rPr>
            <w:rStyle w:val="Hipervnculo"/>
            <w:rFonts w:ascii="Arial" w:eastAsiaTheme="majorEastAsia" w:hAnsi="Arial" w:cs="Arial"/>
            <w:color w:val="auto"/>
            <w:lang w:val="es-MX"/>
          </w:rPr>
          <w:t>https://www.te.gob.mx/IUSEapp/</w:t>
        </w:r>
      </w:hyperlink>
      <w:r w:rsidRPr="00F9314D">
        <w:rPr>
          <w:rFonts w:ascii="Arial" w:hAnsi="Arial" w:cs="Arial"/>
        </w:rPr>
        <w:t>.</w:t>
      </w:r>
    </w:p>
  </w:footnote>
  <w:footnote w:id="20">
    <w:p w14:paraId="7CB70BA3" w14:textId="77777777" w:rsidR="00653185" w:rsidRPr="00F9314D" w:rsidRDefault="00653185" w:rsidP="003D29D2">
      <w:pPr>
        <w:pStyle w:val="Textonotapie"/>
        <w:jc w:val="both"/>
        <w:rPr>
          <w:rFonts w:ascii="Arial" w:hAnsi="Arial" w:cs="Arial"/>
          <w:lang w:val="es-MX"/>
        </w:rPr>
      </w:pPr>
      <w:r w:rsidRPr="00F9314D">
        <w:rPr>
          <w:rStyle w:val="Refdenotaalpie"/>
          <w:rFonts w:ascii="Arial" w:eastAsia="Calibri" w:hAnsi="Arial" w:cs="Arial"/>
        </w:rPr>
        <w:footnoteRef/>
      </w:r>
      <w:r w:rsidRPr="00F9314D">
        <w:rPr>
          <w:rFonts w:ascii="Arial" w:hAnsi="Arial" w:cs="Arial"/>
        </w:rPr>
        <w:t xml:space="preserve"> </w:t>
      </w:r>
      <w:r w:rsidRPr="00F9314D">
        <w:rPr>
          <w:rFonts w:ascii="Arial" w:hAnsi="Arial" w:cs="Arial"/>
          <w:lang w:val="es-MX"/>
        </w:rPr>
        <w:t xml:space="preserve">Consultable a través del </w:t>
      </w:r>
      <w:proofErr w:type="gramStart"/>
      <w:r w:rsidRPr="00F9314D">
        <w:rPr>
          <w:rFonts w:ascii="Arial" w:hAnsi="Arial" w:cs="Arial"/>
          <w:lang w:val="es-MX"/>
        </w:rPr>
        <w:t>link</w:t>
      </w:r>
      <w:proofErr w:type="gramEnd"/>
      <w:r w:rsidRPr="00F9314D">
        <w:rPr>
          <w:rFonts w:ascii="Arial" w:hAnsi="Arial" w:cs="Arial"/>
          <w:lang w:val="es-MX"/>
        </w:rPr>
        <w:t xml:space="preserve">: </w:t>
      </w:r>
      <w:r w:rsidRPr="00F9314D">
        <w:rPr>
          <w:rFonts w:ascii="Arial" w:hAnsi="Arial" w:cs="Arial"/>
          <w:u w:val="single"/>
        </w:rPr>
        <w:t>https://www.tecdmx.org.mx/wp-content/uploads/2021/06/libro-jurisprudencias-20218dejunio.pdf</w:t>
      </w:r>
      <w:r w:rsidRPr="00F9314D">
        <w:rPr>
          <w:rFonts w:ascii="Arial" w:hAnsi="Arial" w:cs="Arial"/>
          <w:lang w:val="es-MX"/>
        </w:rPr>
        <w:t>.</w:t>
      </w:r>
    </w:p>
  </w:footnote>
  <w:footnote w:id="21">
    <w:p w14:paraId="15465A83"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Consultable a través del </w:t>
      </w:r>
      <w:proofErr w:type="gramStart"/>
      <w:r w:rsidRPr="00F9314D">
        <w:rPr>
          <w:rFonts w:ascii="Arial" w:hAnsi="Arial" w:cs="Arial"/>
        </w:rPr>
        <w:t>link</w:t>
      </w:r>
      <w:proofErr w:type="gramEnd"/>
      <w:r w:rsidRPr="00F9314D">
        <w:rPr>
          <w:rFonts w:ascii="Arial" w:hAnsi="Arial" w:cs="Arial"/>
        </w:rPr>
        <w:t xml:space="preserve">: </w:t>
      </w:r>
      <w:hyperlink r:id="rId3" w:history="1">
        <w:r w:rsidRPr="00F9314D">
          <w:rPr>
            <w:rStyle w:val="Hipervnculo"/>
            <w:rFonts w:ascii="Arial" w:eastAsiaTheme="majorEastAsia" w:hAnsi="Arial" w:cs="Arial"/>
            <w:color w:val="auto"/>
            <w:lang w:val="es-MX"/>
          </w:rPr>
          <w:t>https://www.te.gob.mx/IUSEapp/</w:t>
        </w:r>
      </w:hyperlink>
      <w:r w:rsidRPr="00F9314D">
        <w:rPr>
          <w:rFonts w:ascii="Arial" w:hAnsi="Arial" w:cs="Arial"/>
        </w:rPr>
        <w:t>.</w:t>
      </w:r>
    </w:p>
  </w:footnote>
  <w:footnote w:id="22">
    <w:p w14:paraId="470B1574" w14:textId="77777777" w:rsidR="00653185" w:rsidRPr="00F9314D" w:rsidRDefault="00653185" w:rsidP="003D29D2">
      <w:pPr>
        <w:pStyle w:val="Textonotapie"/>
        <w:jc w:val="both"/>
        <w:rPr>
          <w:rFonts w:ascii="Arial" w:hAnsi="Arial" w:cs="Arial"/>
          <w:lang w:val="es-MX"/>
        </w:rPr>
      </w:pPr>
      <w:r w:rsidRPr="00F9314D">
        <w:rPr>
          <w:rStyle w:val="Refdenotaalpie"/>
          <w:rFonts w:ascii="Arial" w:hAnsi="Arial" w:cs="Arial"/>
        </w:rPr>
        <w:footnoteRef/>
      </w:r>
      <w:r w:rsidRPr="00F9314D">
        <w:rPr>
          <w:rFonts w:ascii="Arial" w:hAnsi="Arial" w:cs="Arial"/>
        </w:rPr>
        <w:t xml:space="preserve"> Consultable a través del </w:t>
      </w:r>
      <w:proofErr w:type="gramStart"/>
      <w:r w:rsidRPr="00F9314D">
        <w:rPr>
          <w:rFonts w:ascii="Arial" w:hAnsi="Arial" w:cs="Arial"/>
        </w:rPr>
        <w:t>link</w:t>
      </w:r>
      <w:proofErr w:type="gramEnd"/>
      <w:r w:rsidRPr="00F9314D">
        <w:rPr>
          <w:rFonts w:ascii="Arial" w:hAnsi="Arial" w:cs="Arial"/>
          <w:u w:val="single"/>
        </w:rPr>
        <w:t>:</w:t>
      </w:r>
      <w:r w:rsidRPr="00F9314D">
        <w:rPr>
          <w:rFonts w:ascii="Arial" w:hAnsi="Arial" w:cs="Arial"/>
        </w:rPr>
        <w:t xml:space="preserve"> </w:t>
      </w:r>
      <w:hyperlink r:id="rId4" w:history="1">
        <w:r w:rsidRPr="00F9314D">
          <w:rPr>
            <w:rStyle w:val="Hipervnculo"/>
            <w:rFonts w:ascii="Arial" w:eastAsiaTheme="majorEastAsia" w:hAnsi="Arial" w:cs="Arial"/>
            <w:color w:val="auto"/>
          </w:rPr>
          <w:t>https://www.te.gob.mx/IUSEapp/</w:t>
        </w:r>
      </w:hyperlink>
      <w:r w:rsidRPr="00F9314D">
        <w:rPr>
          <w:rStyle w:val="Hipervnculo"/>
          <w:rFonts w:ascii="Arial" w:eastAsiaTheme="majorEastAsia" w:hAnsi="Arial" w:cs="Arial"/>
          <w:color w:val="auto"/>
        </w:rPr>
        <w:t>.</w:t>
      </w:r>
    </w:p>
  </w:footnote>
  <w:footnote w:id="23">
    <w:p w14:paraId="0F42D005" w14:textId="77777777" w:rsidR="00653185" w:rsidRPr="00F9314D" w:rsidRDefault="00653185" w:rsidP="003D29D2">
      <w:pPr>
        <w:pStyle w:val="Textonotapie"/>
        <w:jc w:val="both"/>
        <w:rPr>
          <w:rFonts w:ascii="Arial" w:hAnsi="Arial" w:cs="Arial"/>
          <w:lang w:val="es-MX"/>
        </w:rPr>
      </w:pPr>
      <w:r w:rsidRPr="00F9314D">
        <w:rPr>
          <w:rStyle w:val="Refdenotaalpie"/>
          <w:rFonts w:ascii="Arial" w:hAnsi="Arial" w:cs="Arial"/>
        </w:rPr>
        <w:footnoteRef/>
      </w:r>
      <w:r w:rsidRPr="00F9314D">
        <w:rPr>
          <w:rFonts w:ascii="Arial" w:hAnsi="Arial" w:cs="Arial"/>
        </w:rPr>
        <w:t xml:space="preserve"> Consultable a través del </w:t>
      </w:r>
      <w:proofErr w:type="gramStart"/>
      <w:r w:rsidRPr="00F9314D">
        <w:rPr>
          <w:rFonts w:ascii="Arial" w:hAnsi="Arial" w:cs="Arial"/>
        </w:rPr>
        <w:t>link</w:t>
      </w:r>
      <w:proofErr w:type="gramEnd"/>
      <w:r w:rsidRPr="00F9314D">
        <w:rPr>
          <w:rFonts w:ascii="Arial" w:hAnsi="Arial" w:cs="Arial"/>
        </w:rPr>
        <w:t xml:space="preserve">: </w:t>
      </w:r>
      <w:hyperlink r:id="rId5" w:history="1">
        <w:r w:rsidRPr="00F9314D">
          <w:rPr>
            <w:rStyle w:val="Hipervnculo"/>
            <w:rFonts w:ascii="Arial" w:eastAsiaTheme="majorEastAsia" w:hAnsi="Arial" w:cs="Arial"/>
            <w:color w:val="auto"/>
            <w:lang w:val="es-MX"/>
          </w:rPr>
          <w:t>https://www.te.gob.mx/IUSEapp/</w:t>
        </w:r>
      </w:hyperlink>
      <w:r w:rsidRPr="00F9314D">
        <w:rPr>
          <w:rFonts w:ascii="Arial" w:hAnsi="Arial" w:cs="Arial"/>
        </w:rPr>
        <w:t>.</w:t>
      </w:r>
    </w:p>
  </w:footnote>
  <w:footnote w:id="24">
    <w:p w14:paraId="1133113B" w14:textId="77777777" w:rsidR="00653185" w:rsidRPr="00F9314D" w:rsidRDefault="00653185" w:rsidP="003D29D2">
      <w:pPr>
        <w:pStyle w:val="Piedepgina"/>
        <w:jc w:val="both"/>
        <w:rPr>
          <w:rFonts w:ascii="Arial" w:hAnsi="Arial" w:cs="Arial"/>
          <w:sz w:val="20"/>
          <w:szCs w:val="20"/>
        </w:rPr>
      </w:pPr>
      <w:r w:rsidRPr="00F9314D">
        <w:rPr>
          <w:rStyle w:val="Refdenotaalpie"/>
          <w:rFonts w:ascii="Arial" w:hAnsi="Arial" w:cs="Arial"/>
          <w:sz w:val="20"/>
          <w:szCs w:val="20"/>
        </w:rPr>
        <w:footnoteRef/>
      </w:r>
      <w:r w:rsidRPr="00F9314D">
        <w:rPr>
          <w:rFonts w:ascii="Arial" w:hAnsi="Arial" w:cs="Arial"/>
          <w:sz w:val="20"/>
          <w:szCs w:val="20"/>
        </w:rPr>
        <w:t xml:space="preserve"> Consultable en Justicia Electoral. Revista del Tribunal Electoral del Poder Judicial de la Federación, Suplemento 4, Año 2001, páginas 5 y 6.</w:t>
      </w:r>
    </w:p>
  </w:footnote>
  <w:footnote w:id="25">
    <w:p w14:paraId="6F28CDDC"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TECDMX-JLDC-003/2020, SCM-JDC-27/2020 y SUP-REC-88/2020.</w:t>
      </w:r>
    </w:p>
  </w:footnote>
  <w:footnote w:id="26">
    <w:p w14:paraId="0B6E716D" w14:textId="77777777" w:rsidR="00653185" w:rsidRPr="00F9314D" w:rsidRDefault="00653185" w:rsidP="003D29D2">
      <w:pPr>
        <w:pStyle w:val="Textonotapie"/>
        <w:jc w:val="both"/>
        <w:rPr>
          <w:rFonts w:ascii="Arial" w:hAnsi="Arial" w:cs="Arial"/>
          <w:iCs/>
        </w:rPr>
      </w:pPr>
      <w:r w:rsidRPr="00F9314D">
        <w:rPr>
          <w:rStyle w:val="Refdenotaalpie"/>
          <w:rFonts w:ascii="Arial" w:hAnsi="Arial" w:cs="Arial"/>
        </w:rPr>
        <w:footnoteRef/>
      </w:r>
      <w:r w:rsidRPr="00F9314D">
        <w:rPr>
          <w:rFonts w:ascii="Arial" w:hAnsi="Arial" w:cs="Arial"/>
        </w:rPr>
        <w:t xml:space="preserve"> </w:t>
      </w:r>
      <w:r w:rsidRPr="00F9314D">
        <w:rPr>
          <w:rFonts w:ascii="Arial" w:hAnsi="Arial" w:cs="Arial"/>
          <w:b/>
          <w:iCs/>
        </w:rPr>
        <w:t>Artículo 4.</w:t>
      </w:r>
      <w:r w:rsidRPr="00F9314D">
        <w:rPr>
          <w:rFonts w:ascii="Arial" w:hAnsi="Arial" w:cs="Arial"/>
          <w:iCs/>
        </w:rPr>
        <w:t xml:space="preserve"> Para efectos de este Código se entenderá: </w:t>
      </w:r>
    </w:p>
    <w:p w14:paraId="270229DB" w14:textId="77777777" w:rsidR="00653185" w:rsidRPr="00F9314D" w:rsidRDefault="00653185" w:rsidP="003D29D2">
      <w:pPr>
        <w:pStyle w:val="Textonotapie"/>
        <w:jc w:val="both"/>
        <w:rPr>
          <w:rFonts w:ascii="Arial" w:hAnsi="Arial" w:cs="Arial"/>
          <w:iCs/>
        </w:rPr>
      </w:pPr>
      <w:r w:rsidRPr="00F9314D">
        <w:rPr>
          <w:rFonts w:ascii="Arial" w:hAnsi="Arial" w:cs="Arial"/>
          <w:iCs/>
        </w:rPr>
        <w:t xml:space="preserve"> A) En lo que se refiere a los ordenamientos: </w:t>
      </w:r>
    </w:p>
    <w:p w14:paraId="190C866F" w14:textId="77777777" w:rsidR="00653185" w:rsidRPr="00F9314D" w:rsidRDefault="00653185" w:rsidP="003D29D2">
      <w:pPr>
        <w:pStyle w:val="Textonotapie"/>
        <w:jc w:val="both"/>
        <w:rPr>
          <w:rFonts w:ascii="Arial" w:hAnsi="Arial" w:cs="Arial"/>
          <w:iCs/>
        </w:rPr>
      </w:pPr>
      <w:proofErr w:type="spellStart"/>
      <w:r w:rsidRPr="00F9314D">
        <w:rPr>
          <w:rFonts w:ascii="Arial" w:hAnsi="Arial" w:cs="Arial"/>
          <w:iCs/>
        </w:rPr>
        <w:t>I.a</w:t>
      </w:r>
      <w:proofErr w:type="spellEnd"/>
      <w:r w:rsidRPr="00F9314D">
        <w:rPr>
          <w:rFonts w:ascii="Arial" w:hAnsi="Arial" w:cs="Arial"/>
          <w:iCs/>
        </w:rPr>
        <w:t xml:space="preserve"> XV. … </w:t>
      </w:r>
    </w:p>
    <w:p w14:paraId="108E1BEE" w14:textId="77777777" w:rsidR="00653185" w:rsidRPr="00F9314D" w:rsidRDefault="00653185" w:rsidP="003D29D2">
      <w:pPr>
        <w:pStyle w:val="Textonotapie"/>
        <w:jc w:val="both"/>
        <w:rPr>
          <w:rFonts w:ascii="Arial" w:hAnsi="Arial" w:cs="Arial"/>
          <w:iCs/>
        </w:rPr>
      </w:pPr>
      <w:r w:rsidRPr="00F9314D">
        <w:rPr>
          <w:rFonts w:ascii="Arial" w:hAnsi="Arial" w:cs="Arial"/>
          <w:iCs/>
        </w:rPr>
        <w:t xml:space="preserve"> B) En lo que se refiere a los entes y sujetos de este Código: </w:t>
      </w:r>
    </w:p>
    <w:p w14:paraId="36D23781" w14:textId="77777777" w:rsidR="00653185" w:rsidRPr="00F9314D" w:rsidRDefault="00653185" w:rsidP="003D29D2">
      <w:pPr>
        <w:pStyle w:val="Textonotapie"/>
        <w:jc w:val="both"/>
        <w:rPr>
          <w:rFonts w:ascii="Arial" w:hAnsi="Arial" w:cs="Arial"/>
          <w:iCs/>
        </w:rPr>
      </w:pPr>
      <w:proofErr w:type="spellStart"/>
      <w:r w:rsidRPr="00F9314D">
        <w:rPr>
          <w:rFonts w:ascii="Arial" w:hAnsi="Arial" w:cs="Arial"/>
          <w:iCs/>
        </w:rPr>
        <w:t>I.a</w:t>
      </w:r>
      <w:proofErr w:type="spellEnd"/>
      <w:r w:rsidRPr="00F9314D">
        <w:rPr>
          <w:rFonts w:ascii="Arial" w:hAnsi="Arial" w:cs="Arial"/>
          <w:iCs/>
        </w:rPr>
        <w:t xml:space="preserve"> II. … </w:t>
      </w:r>
    </w:p>
    <w:p w14:paraId="39A812A0" w14:textId="77777777" w:rsidR="00653185" w:rsidRPr="00F9314D" w:rsidRDefault="00653185" w:rsidP="003D29D2">
      <w:pPr>
        <w:pStyle w:val="Textonotapie"/>
        <w:jc w:val="both"/>
        <w:rPr>
          <w:rFonts w:ascii="Arial" w:hAnsi="Arial" w:cs="Arial"/>
          <w:iCs/>
        </w:rPr>
      </w:pPr>
      <w:r w:rsidRPr="00F9314D">
        <w:rPr>
          <w:rFonts w:ascii="Arial" w:hAnsi="Arial" w:cs="Arial"/>
          <w:iCs/>
        </w:rPr>
        <w:t xml:space="preserve">  III. Candidato a Diputada o Diputado migrante. </w:t>
      </w:r>
    </w:p>
    <w:p w14:paraId="7FDF57E4" w14:textId="77777777" w:rsidR="00653185" w:rsidRPr="00F9314D" w:rsidRDefault="00653185" w:rsidP="003D29D2">
      <w:pPr>
        <w:pStyle w:val="Textonotapie"/>
        <w:jc w:val="both"/>
        <w:rPr>
          <w:rFonts w:ascii="Arial" w:hAnsi="Arial" w:cs="Arial"/>
          <w:iCs/>
        </w:rPr>
      </w:pPr>
      <w:r w:rsidRPr="00F9314D">
        <w:rPr>
          <w:rFonts w:ascii="Arial" w:hAnsi="Arial" w:cs="Arial"/>
          <w:iCs/>
        </w:rPr>
        <w:t xml:space="preserve">La persona residente en el extranjero con calidad de originaria en la Ciudad de México, que cumple con los requisitos dispuestos por la Constitución Federal y su Ley Reglamentaria en materia de nacionalidad y ciudadanía para ocupar el cargo de Diputada o Diputado por el principio de mayoría relativa; </w:t>
      </w:r>
    </w:p>
    <w:p w14:paraId="363BC8E1" w14:textId="77777777" w:rsidR="00653185" w:rsidRPr="00F9314D" w:rsidRDefault="00653185" w:rsidP="003D29D2">
      <w:pPr>
        <w:pStyle w:val="Textonotapie"/>
        <w:jc w:val="both"/>
        <w:rPr>
          <w:rFonts w:ascii="Arial" w:hAnsi="Arial" w:cs="Arial"/>
          <w:iCs/>
        </w:rPr>
      </w:pPr>
    </w:p>
    <w:p w14:paraId="2E962DBD" w14:textId="77777777" w:rsidR="00653185" w:rsidRPr="00F9314D" w:rsidRDefault="00653185" w:rsidP="003D29D2">
      <w:pPr>
        <w:pStyle w:val="Textonotapie"/>
        <w:jc w:val="both"/>
        <w:rPr>
          <w:rFonts w:ascii="Arial" w:hAnsi="Arial" w:cs="Arial"/>
          <w:iCs/>
        </w:rPr>
      </w:pPr>
      <w:r w:rsidRPr="00F9314D">
        <w:rPr>
          <w:rFonts w:ascii="Arial" w:hAnsi="Arial" w:cs="Arial"/>
          <w:b/>
          <w:iCs/>
        </w:rPr>
        <w:t>Artículo 6.</w:t>
      </w:r>
      <w:r w:rsidRPr="00F9314D">
        <w:rPr>
          <w:rFonts w:ascii="Arial" w:hAnsi="Arial" w:cs="Arial"/>
          <w:iCs/>
        </w:rPr>
        <w:t xml:space="preserve"> En la Ciudad de México, son derechos de las ciudadanas y de los ciudadanos: </w:t>
      </w:r>
    </w:p>
    <w:p w14:paraId="526588DF" w14:textId="77777777" w:rsidR="00653185" w:rsidRPr="00F9314D" w:rsidRDefault="00653185" w:rsidP="003D29D2">
      <w:pPr>
        <w:pStyle w:val="Textonotapie"/>
        <w:jc w:val="both"/>
        <w:rPr>
          <w:rFonts w:ascii="Arial" w:hAnsi="Arial" w:cs="Arial"/>
          <w:iCs/>
        </w:rPr>
      </w:pPr>
      <w:r w:rsidRPr="00F9314D">
        <w:rPr>
          <w:rFonts w:ascii="Arial" w:hAnsi="Arial" w:cs="Arial"/>
          <w:iCs/>
        </w:rPr>
        <w:t xml:space="preserve">I. Votar y participar en las elecciones federales, locales, consultas populares y demás mecanismos e instrumentos de participación ciudadana conforme lo dispuesto por este Código y demás disposiciones aplicables. </w:t>
      </w:r>
      <w:proofErr w:type="gramStart"/>
      <w:r w:rsidRPr="00F9314D">
        <w:rPr>
          <w:rFonts w:ascii="Arial" w:hAnsi="Arial" w:cs="Arial"/>
          <w:iCs/>
        </w:rPr>
        <w:t>Las ciudadanas y ciudadanos</w:t>
      </w:r>
      <w:proofErr w:type="gramEnd"/>
      <w:r w:rsidRPr="00F9314D">
        <w:rPr>
          <w:rFonts w:ascii="Arial" w:hAnsi="Arial" w:cs="Arial"/>
          <w:iCs/>
        </w:rPr>
        <w:t xml:space="preserve"> de la Ciudad de México residentes en el extranjero, tendrán derecho a emitir su voto en la elección para la Jefatura de Gobierno y para la de Diputadas y Diputados locales exclusivamente para el caso de Candidato a Diputada o Diputado Migrante, en los términos que determinen la Constitución Federal, las Leyes Generales y este Código;</w:t>
      </w:r>
    </w:p>
    <w:p w14:paraId="1C40AB5B" w14:textId="77777777" w:rsidR="00653185" w:rsidRPr="00F9314D" w:rsidRDefault="00653185" w:rsidP="003D29D2">
      <w:pPr>
        <w:pStyle w:val="Textonotapie"/>
        <w:jc w:val="both"/>
        <w:rPr>
          <w:rFonts w:ascii="Arial" w:hAnsi="Arial" w:cs="Arial"/>
          <w:iCs/>
        </w:rPr>
      </w:pPr>
      <w:r w:rsidRPr="00F9314D">
        <w:rPr>
          <w:rFonts w:ascii="Arial" w:hAnsi="Arial" w:cs="Arial"/>
          <w:iCs/>
        </w:rPr>
        <w:t xml:space="preserve"> </w:t>
      </w:r>
    </w:p>
    <w:p w14:paraId="77FA7B73" w14:textId="77777777" w:rsidR="00653185" w:rsidRPr="00F9314D" w:rsidRDefault="00653185" w:rsidP="003D29D2">
      <w:pPr>
        <w:pStyle w:val="Textonotapie"/>
        <w:jc w:val="both"/>
        <w:rPr>
          <w:rFonts w:ascii="Arial" w:hAnsi="Arial" w:cs="Arial"/>
          <w:iCs/>
        </w:rPr>
      </w:pPr>
      <w:r w:rsidRPr="00F9314D">
        <w:rPr>
          <w:rFonts w:ascii="Arial" w:hAnsi="Arial" w:cs="Arial"/>
          <w:b/>
          <w:iCs/>
        </w:rPr>
        <w:t>Artículo 13.</w:t>
      </w:r>
      <w:r w:rsidRPr="00F9314D">
        <w:rPr>
          <w:rFonts w:ascii="Arial" w:hAnsi="Arial" w:cs="Arial"/>
          <w:iCs/>
        </w:rPr>
        <w:t xml:space="preserve"> Las ciudadanas y los ciudadanos originarios que se encuentren en el extranjero podrán ejercer su derecho al sufragio en la fórmula de Candidatos a Diputadas o Diputados migrantes, de conformidad con lo que dispone el Código y los lineamientos que al efecto emita el propio Instituto Electoral, quien tendrá bajo su responsabilidad el registro de las Candidaturas a Diputadas o Diputados migrantes y la organización de esos comicios; para ello podrá emitir acuerdos y suscribir convenios con el Instituto Nacional, dependencias de competencia federal y local, así como con instituciones de carácter social y privado, debiendo su Consejo General determinar las modalidades que se habrán de emplear para recepción de esos sufragios, apoyándose para ello en un Comité especial y un área técnica prevista en el reglamento interno del Instituto Electoral, que le auxilien a valorar los diversos mecanismos empleados para ese efecto por otros organismos electorales y/o proponer elementos innovadores para su instrumentación. </w:t>
      </w:r>
    </w:p>
    <w:p w14:paraId="5F5EF039" w14:textId="77777777" w:rsidR="00653185" w:rsidRPr="00F9314D" w:rsidRDefault="00653185" w:rsidP="003D29D2">
      <w:pPr>
        <w:pStyle w:val="Textonotapie"/>
        <w:jc w:val="both"/>
        <w:rPr>
          <w:rFonts w:ascii="Arial" w:hAnsi="Arial" w:cs="Arial"/>
          <w:iCs/>
        </w:rPr>
      </w:pPr>
      <w:r w:rsidRPr="00F9314D">
        <w:rPr>
          <w:rFonts w:ascii="Arial" w:hAnsi="Arial" w:cs="Arial"/>
          <w:iCs/>
        </w:rPr>
        <w:t xml:space="preserve">Para ejercer el derecho al voto, </w:t>
      </w:r>
      <w:proofErr w:type="gramStart"/>
      <w:r w:rsidRPr="00F9314D">
        <w:rPr>
          <w:rFonts w:ascii="Arial" w:hAnsi="Arial" w:cs="Arial"/>
          <w:iCs/>
        </w:rPr>
        <w:t>las ciudadanas y los ciudadanos</w:t>
      </w:r>
      <w:proofErr w:type="gramEnd"/>
      <w:r w:rsidRPr="00F9314D">
        <w:rPr>
          <w:rFonts w:ascii="Arial" w:hAnsi="Arial" w:cs="Arial"/>
          <w:iCs/>
        </w:rPr>
        <w:t xml:space="preserve"> originarios residentes en el extranjero deberán contar con credencial para votar con fotografía expedida por el organismo electoral federal cuyo registro corresponda a la Ciudad de México, lo que permitirá acreditar la residencia en esta entidad federativa, aun sin radicar en ella.</w:t>
      </w:r>
    </w:p>
    <w:p w14:paraId="5832A7E0" w14:textId="77777777" w:rsidR="00653185" w:rsidRPr="00F9314D" w:rsidRDefault="00653185" w:rsidP="003D29D2">
      <w:pPr>
        <w:pStyle w:val="Textonotapie"/>
        <w:jc w:val="both"/>
        <w:rPr>
          <w:rFonts w:ascii="Arial" w:hAnsi="Arial" w:cs="Arial"/>
          <w:iCs/>
        </w:rPr>
      </w:pPr>
      <w:r w:rsidRPr="00F9314D">
        <w:rPr>
          <w:rFonts w:ascii="Arial" w:hAnsi="Arial" w:cs="Arial"/>
          <w:iCs/>
        </w:rPr>
        <w:t>Los partidos políticos podrán postular candidatos comunes en esos comicios.</w:t>
      </w:r>
    </w:p>
    <w:p w14:paraId="2A5F2F2B" w14:textId="77777777" w:rsidR="00653185" w:rsidRPr="00F9314D" w:rsidRDefault="00653185" w:rsidP="003D29D2">
      <w:pPr>
        <w:pStyle w:val="Textonotapie"/>
        <w:jc w:val="both"/>
        <w:rPr>
          <w:rFonts w:ascii="Arial" w:hAnsi="Arial" w:cs="Arial"/>
          <w:iCs/>
        </w:rPr>
      </w:pPr>
    </w:p>
    <w:p w14:paraId="20A14297" w14:textId="77777777" w:rsidR="00653185" w:rsidRPr="00F9314D" w:rsidRDefault="00653185" w:rsidP="003D29D2">
      <w:pPr>
        <w:pStyle w:val="Textonotapie"/>
        <w:jc w:val="both"/>
        <w:rPr>
          <w:rFonts w:ascii="Arial" w:hAnsi="Arial" w:cs="Arial"/>
          <w:iCs/>
        </w:rPr>
      </w:pPr>
      <w:r w:rsidRPr="00F9314D">
        <w:rPr>
          <w:rFonts w:ascii="Arial" w:hAnsi="Arial" w:cs="Arial"/>
          <w:b/>
          <w:iCs/>
        </w:rPr>
        <w:t>Artículo 76.</w:t>
      </w:r>
      <w:r w:rsidRPr="00F9314D">
        <w:rPr>
          <w:rFonts w:ascii="Arial" w:hAnsi="Arial" w:cs="Arial"/>
          <w:iCs/>
        </w:rPr>
        <w:t xml:space="preserve"> En los procesos electorales en que tenga verificativo la elección de </w:t>
      </w:r>
      <w:proofErr w:type="gramStart"/>
      <w:r w:rsidRPr="00F9314D">
        <w:rPr>
          <w:rFonts w:ascii="Arial" w:hAnsi="Arial" w:cs="Arial"/>
          <w:iCs/>
        </w:rPr>
        <w:t>Jefa</w:t>
      </w:r>
      <w:proofErr w:type="gramEnd"/>
      <w:r w:rsidRPr="00F9314D">
        <w:rPr>
          <w:rFonts w:ascii="Arial" w:hAnsi="Arial" w:cs="Arial"/>
          <w:iCs/>
        </w:rPr>
        <w:t xml:space="preserve"> o Jefe de Gobierno, y de Diputado Migrante, se conformará un Comité encargado de coordinar las actividades tendientes a recabar el voto de las y los ciudadanos de la Ciudad de México residentes en el extranjero, únicamente en cuanto a esa elección.  </w:t>
      </w:r>
    </w:p>
    <w:p w14:paraId="658456A5" w14:textId="77777777" w:rsidR="00653185" w:rsidRPr="00F9314D" w:rsidRDefault="00653185" w:rsidP="003D29D2">
      <w:pPr>
        <w:pStyle w:val="Textonotapie"/>
        <w:jc w:val="both"/>
        <w:rPr>
          <w:rFonts w:ascii="Arial" w:hAnsi="Arial" w:cs="Arial"/>
          <w:iCs/>
        </w:rPr>
      </w:pPr>
      <w:r w:rsidRPr="00F9314D">
        <w:rPr>
          <w:rFonts w:ascii="Arial" w:hAnsi="Arial" w:cs="Arial"/>
          <w:iCs/>
        </w:rPr>
        <w:t xml:space="preserve">I. a IV. … </w:t>
      </w:r>
    </w:p>
    <w:p w14:paraId="20FCF633" w14:textId="77777777" w:rsidR="00653185" w:rsidRPr="00F9314D" w:rsidRDefault="00653185" w:rsidP="003D29D2">
      <w:pPr>
        <w:pStyle w:val="Textonotapie"/>
        <w:jc w:val="both"/>
        <w:rPr>
          <w:rFonts w:ascii="Arial" w:hAnsi="Arial" w:cs="Arial"/>
          <w:iCs/>
        </w:rPr>
      </w:pPr>
      <w:r w:rsidRPr="00F9314D">
        <w:rPr>
          <w:rFonts w:ascii="Arial" w:hAnsi="Arial" w:cs="Arial"/>
          <w:iCs/>
        </w:rPr>
        <w:t xml:space="preserve">V. Proponer al Consejo General para el escrutinio y cómputo de </w:t>
      </w:r>
      <w:proofErr w:type="gramStart"/>
      <w:r w:rsidRPr="00F9314D">
        <w:rPr>
          <w:rFonts w:ascii="Arial" w:hAnsi="Arial" w:cs="Arial"/>
          <w:iCs/>
        </w:rPr>
        <w:t>Jefe</w:t>
      </w:r>
      <w:proofErr w:type="gramEnd"/>
      <w:r w:rsidRPr="00F9314D">
        <w:rPr>
          <w:rFonts w:ascii="Arial" w:hAnsi="Arial" w:cs="Arial"/>
          <w:iCs/>
        </w:rPr>
        <w:t xml:space="preserve"> de Gobierno y de Diputado Migrante el sistema electrónico que se habilite para hacer constar los resultados en las actas y aplicando, en lo que resulte conducente, las disposiciones de la Ley General;</w:t>
      </w:r>
    </w:p>
    <w:p w14:paraId="237DB87A" w14:textId="77777777" w:rsidR="00653185" w:rsidRPr="00F9314D" w:rsidRDefault="00653185" w:rsidP="003D29D2">
      <w:pPr>
        <w:pStyle w:val="Textonotapie"/>
        <w:jc w:val="both"/>
        <w:rPr>
          <w:rFonts w:ascii="Arial" w:hAnsi="Arial" w:cs="Arial"/>
          <w:iCs/>
        </w:rPr>
      </w:pPr>
      <w:r w:rsidRPr="00F9314D">
        <w:rPr>
          <w:rFonts w:ascii="Arial" w:hAnsi="Arial" w:cs="Arial"/>
          <w:iCs/>
        </w:rPr>
        <w:t xml:space="preserve">VI. a VII. … </w:t>
      </w:r>
    </w:p>
    <w:p w14:paraId="291AF1C5" w14:textId="77777777" w:rsidR="00653185" w:rsidRPr="00F9314D" w:rsidRDefault="00653185" w:rsidP="003D29D2">
      <w:pPr>
        <w:pStyle w:val="Textonotapie"/>
        <w:jc w:val="both"/>
        <w:rPr>
          <w:rFonts w:ascii="Arial" w:hAnsi="Arial" w:cs="Arial"/>
          <w:iCs/>
        </w:rPr>
      </w:pPr>
      <w:r w:rsidRPr="00F9314D">
        <w:rPr>
          <w:rFonts w:ascii="Arial" w:hAnsi="Arial" w:cs="Arial"/>
          <w:iCs/>
        </w:rPr>
        <w:t xml:space="preserve">VIII. Las demás que le confiere este Código. </w:t>
      </w:r>
    </w:p>
    <w:p w14:paraId="09B9D70E" w14:textId="77777777" w:rsidR="00653185" w:rsidRPr="00F9314D" w:rsidRDefault="00653185" w:rsidP="003D29D2">
      <w:pPr>
        <w:pStyle w:val="Textonotapie"/>
        <w:jc w:val="both"/>
        <w:rPr>
          <w:rFonts w:ascii="Arial" w:hAnsi="Arial" w:cs="Arial"/>
          <w:iCs/>
        </w:rPr>
      </w:pPr>
      <w:r w:rsidRPr="00F9314D">
        <w:rPr>
          <w:rFonts w:ascii="Arial" w:hAnsi="Arial" w:cs="Arial"/>
          <w:iCs/>
        </w:rPr>
        <w:t xml:space="preserve">   …</w:t>
      </w:r>
    </w:p>
    <w:p w14:paraId="397BE850" w14:textId="77777777" w:rsidR="00653185" w:rsidRPr="00F9314D" w:rsidRDefault="00653185" w:rsidP="003D29D2">
      <w:pPr>
        <w:pStyle w:val="Textonotapie"/>
        <w:jc w:val="both"/>
        <w:rPr>
          <w:rFonts w:ascii="Arial" w:hAnsi="Arial" w:cs="Arial"/>
          <w:b/>
          <w:iCs/>
        </w:rPr>
      </w:pPr>
      <w:r w:rsidRPr="00F9314D">
        <w:rPr>
          <w:rFonts w:ascii="Arial" w:hAnsi="Arial" w:cs="Arial"/>
          <w:b/>
          <w:iCs/>
        </w:rPr>
        <w:t>TRANSITORIOS</w:t>
      </w:r>
    </w:p>
    <w:p w14:paraId="618C0FB0" w14:textId="77777777" w:rsidR="00653185" w:rsidRPr="00F9314D" w:rsidRDefault="00653185" w:rsidP="003D29D2">
      <w:pPr>
        <w:pStyle w:val="Textonotapie"/>
        <w:jc w:val="both"/>
        <w:rPr>
          <w:rFonts w:ascii="Arial" w:hAnsi="Arial" w:cs="Arial"/>
          <w:iCs/>
        </w:rPr>
      </w:pPr>
      <w:r w:rsidRPr="00F9314D">
        <w:rPr>
          <w:rFonts w:ascii="Arial" w:hAnsi="Arial" w:cs="Arial"/>
          <w:iCs/>
        </w:rPr>
        <w:t>PRIMERO. - a VIGÉSIMO CUARTO.-…</w:t>
      </w:r>
    </w:p>
    <w:p w14:paraId="5542CFD8" w14:textId="77777777" w:rsidR="00653185" w:rsidRPr="00F9314D" w:rsidRDefault="00653185" w:rsidP="003D29D2">
      <w:pPr>
        <w:pStyle w:val="Textonotapie"/>
        <w:jc w:val="both"/>
        <w:rPr>
          <w:rFonts w:ascii="Arial" w:hAnsi="Arial" w:cs="Arial"/>
          <w:iCs/>
        </w:rPr>
      </w:pPr>
      <w:r w:rsidRPr="00F9314D">
        <w:rPr>
          <w:rFonts w:ascii="Arial" w:hAnsi="Arial" w:cs="Arial"/>
          <w:iCs/>
        </w:rPr>
        <w:t>VIGÉSIMO QUINTO. – Las disposiciones referidas en el presente Decreto, a la regulación del Candidato a Diputado Migrante serán aplicables hasta el proceso electoral 2021.</w:t>
      </w:r>
    </w:p>
  </w:footnote>
  <w:footnote w:id="27">
    <w:p w14:paraId="7F2C6370" w14:textId="77777777" w:rsidR="00653185" w:rsidRPr="00F9314D" w:rsidRDefault="00653185" w:rsidP="003D29D2">
      <w:pPr>
        <w:spacing w:line="240" w:lineRule="auto"/>
        <w:jc w:val="both"/>
        <w:rPr>
          <w:rFonts w:ascii="Arial" w:hAnsi="Arial" w:cs="Arial"/>
          <w:sz w:val="20"/>
          <w:szCs w:val="20"/>
        </w:rPr>
      </w:pPr>
      <w:r w:rsidRPr="00F9314D">
        <w:rPr>
          <w:rStyle w:val="Refdenotaalpie"/>
          <w:rFonts w:ascii="Arial" w:hAnsi="Arial" w:cs="Arial"/>
          <w:sz w:val="20"/>
          <w:szCs w:val="20"/>
        </w:rPr>
        <w:footnoteRef/>
      </w:r>
      <w:r w:rsidRPr="00F9314D">
        <w:rPr>
          <w:rFonts w:ascii="Arial" w:hAnsi="Arial" w:cs="Arial"/>
          <w:sz w:val="20"/>
          <w:szCs w:val="20"/>
        </w:rPr>
        <w:t xml:space="preserve"> </w:t>
      </w:r>
      <w:r w:rsidRPr="00F9314D">
        <w:rPr>
          <w:rFonts w:ascii="Arial" w:hAnsi="Arial" w:cs="Arial"/>
          <w:sz w:val="20"/>
          <w:szCs w:val="20"/>
          <w:shd w:val="clear" w:color="auto" w:fill="FFFFFF"/>
        </w:rPr>
        <w:t xml:space="preserve">Publicada en la página 11, Tomo XXVII, </w:t>
      </w:r>
      <w:proofErr w:type="gramStart"/>
      <w:r w:rsidRPr="00F9314D">
        <w:rPr>
          <w:rFonts w:ascii="Arial" w:hAnsi="Arial" w:cs="Arial"/>
          <w:sz w:val="20"/>
          <w:szCs w:val="20"/>
          <w:shd w:val="clear" w:color="auto" w:fill="FFFFFF"/>
        </w:rPr>
        <w:t>Febrero</w:t>
      </w:r>
      <w:proofErr w:type="gramEnd"/>
      <w:r w:rsidRPr="00F9314D">
        <w:rPr>
          <w:rFonts w:ascii="Arial" w:hAnsi="Arial" w:cs="Arial"/>
          <w:sz w:val="20"/>
          <w:szCs w:val="20"/>
          <w:shd w:val="clear" w:color="auto" w:fill="FFFFFF"/>
        </w:rPr>
        <w:t xml:space="preserve"> de 2008, Novena Época del Semanario Judicial de la Federación y su Gaceta.</w:t>
      </w:r>
    </w:p>
  </w:footnote>
  <w:footnote w:id="28">
    <w:p w14:paraId="64EFB4F3"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Consultable en </w:t>
      </w:r>
      <w:hyperlink r:id="rId6" w:history="1">
        <w:r w:rsidRPr="00F9314D">
          <w:rPr>
            <w:rStyle w:val="Hipervnculo"/>
            <w:rFonts w:ascii="Arial" w:hAnsi="Arial" w:cs="Arial"/>
          </w:rPr>
          <w:t>https://www.iecm.mx/www/taip/cg/acu/2020/IECM-ACU-CG-060-2020.pdf</w:t>
        </w:r>
      </w:hyperlink>
      <w:r w:rsidRPr="00F9314D">
        <w:rPr>
          <w:rFonts w:ascii="Arial" w:hAnsi="Arial" w:cs="Arial"/>
        </w:rPr>
        <w:t xml:space="preserve">. </w:t>
      </w:r>
    </w:p>
  </w:footnote>
  <w:footnote w:id="29">
    <w:p w14:paraId="5AFDB275"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hyperlink r:id="rId7" w:history="1">
        <w:r w:rsidRPr="00F9314D">
          <w:rPr>
            <w:rStyle w:val="Hipervnculo"/>
            <w:rFonts w:ascii="Arial" w:hAnsi="Arial" w:cs="Arial"/>
          </w:rPr>
          <w:t>https://data.consejeria.cdmx.gob.mx/portal_old/uploads/gacetas/da477d6f516209588a397072f0115c4d.pdf</w:t>
        </w:r>
      </w:hyperlink>
      <w:r w:rsidRPr="00F9314D">
        <w:rPr>
          <w:rFonts w:ascii="Arial" w:hAnsi="Arial" w:cs="Arial"/>
        </w:rPr>
        <w:t xml:space="preserve">. </w:t>
      </w:r>
    </w:p>
  </w:footnote>
  <w:footnote w:id="30">
    <w:p w14:paraId="51B406B9" w14:textId="77777777" w:rsidR="00653185" w:rsidRPr="00F9314D" w:rsidRDefault="00653185" w:rsidP="003D29D2">
      <w:pPr>
        <w:spacing w:line="240" w:lineRule="auto"/>
        <w:jc w:val="both"/>
        <w:rPr>
          <w:rFonts w:ascii="Arial" w:hAnsi="Arial" w:cs="Arial"/>
          <w:sz w:val="20"/>
          <w:szCs w:val="20"/>
        </w:rPr>
      </w:pPr>
      <w:r w:rsidRPr="00F9314D">
        <w:rPr>
          <w:rStyle w:val="Refdenotaalpie"/>
          <w:rFonts w:ascii="Arial" w:hAnsi="Arial" w:cs="Arial"/>
          <w:sz w:val="20"/>
          <w:szCs w:val="20"/>
        </w:rPr>
        <w:footnoteRef/>
      </w:r>
      <w:r w:rsidRPr="00F9314D">
        <w:rPr>
          <w:rFonts w:ascii="Arial" w:hAnsi="Arial" w:cs="Arial"/>
          <w:sz w:val="20"/>
          <w:szCs w:val="20"/>
        </w:rPr>
        <w:t xml:space="preserve"> Como lo ha considerado la Sala Regional, en sentencias como la del juicio de la ciudadanía SCM-JDC-183/2021.</w:t>
      </w:r>
    </w:p>
  </w:footnote>
  <w:footnote w:id="31">
    <w:p w14:paraId="0272C758"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La única impugnación presentada fue el juicio de la ciudadanía TECDMX-JLDC-061/2020, la cual fue improcedente, ante la falta de interés jurídico del ciudadano promovente; decisión que fue confirmada por la Sala Regional en sentencia dictada en el expediente SCM-JDC-280/2020.</w:t>
      </w:r>
    </w:p>
  </w:footnote>
  <w:footnote w:id="32">
    <w:p w14:paraId="0856302C"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Consultable en </w:t>
      </w:r>
      <w:hyperlink r:id="rId8" w:history="1">
        <w:r w:rsidRPr="00F9314D">
          <w:rPr>
            <w:rStyle w:val="Hipervnculo"/>
            <w:rFonts w:ascii="Arial" w:hAnsi="Arial" w:cs="Arial"/>
          </w:rPr>
          <w:t>https://www.tecdmx.org.mx/wp-content/uploads/2021/02/VERSIO%CC%81N-DEFINITIVA-SENTENCIA-TECDMX-JEL-416-2020-Y-ACUMULADOS.pdf</w:t>
        </w:r>
      </w:hyperlink>
      <w:r w:rsidRPr="00F9314D">
        <w:rPr>
          <w:rFonts w:ascii="Arial" w:hAnsi="Arial" w:cs="Arial"/>
        </w:rPr>
        <w:t xml:space="preserve">. </w:t>
      </w:r>
    </w:p>
  </w:footnote>
  <w:footnote w:id="33">
    <w:p w14:paraId="6D82BA1C"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w:t>
      </w:r>
      <w:hyperlink r:id="rId9" w:history="1">
        <w:r w:rsidRPr="00F9314D">
          <w:rPr>
            <w:rStyle w:val="Hipervnculo"/>
            <w:rFonts w:ascii="Arial" w:hAnsi="Arial" w:cs="Arial"/>
          </w:rPr>
          <w:t>https://www.te.gob.mx/buscador/</w:t>
        </w:r>
      </w:hyperlink>
      <w:r w:rsidRPr="00F9314D">
        <w:rPr>
          <w:rFonts w:ascii="Arial" w:hAnsi="Arial" w:cs="Arial"/>
        </w:rPr>
        <w:t xml:space="preserve">. </w:t>
      </w:r>
    </w:p>
  </w:footnote>
  <w:footnote w:id="34">
    <w:p w14:paraId="4B2AC8DC"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Visibles en la página 589 y 590, Tomo XXVIII, </w:t>
      </w:r>
      <w:proofErr w:type="gramStart"/>
      <w:r w:rsidRPr="00F9314D">
        <w:rPr>
          <w:rFonts w:ascii="Arial" w:hAnsi="Arial" w:cs="Arial"/>
        </w:rPr>
        <w:t>Septiembre</w:t>
      </w:r>
      <w:proofErr w:type="gramEnd"/>
      <w:r w:rsidRPr="00F9314D">
        <w:rPr>
          <w:rFonts w:ascii="Arial" w:hAnsi="Arial" w:cs="Arial"/>
        </w:rPr>
        <w:t xml:space="preserve"> de 2008, Novena Época del Semanario Judicial de la Federación y su Gaceta.</w:t>
      </w:r>
    </w:p>
  </w:footnote>
  <w:footnote w:id="35">
    <w:p w14:paraId="436884DA" w14:textId="77777777" w:rsidR="00653185" w:rsidRPr="00F9314D" w:rsidRDefault="00653185" w:rsidP="003D29D2">
      <w:pPr>
        <w:pStyle w:val="Textonotapie"/>
        <w:jc w:val="both"/>
        <w:rPr>
          <w:rFonts w:ascii="Arial" w:hAnsi="Arial" w:cs="Arial"/>
          <w:b/>
          <w:iCs/>
        </w:rPr>
      </w:pPr>
      <w:r w:rsidRPr="00F9314D">
        <w:rPr>
          <w:rStyle w:val="Refdenotaalpie"/>
          <w:rFonts w:ascii="Arial" w:hAnsi="Arial" w:cs="Arial"/>
        </w:rPr>
        <w:footnoteRef/>
      </w:r>
      <w:r w:rsidRPr="00F9314D">
        <w:rPr>
          <w:rFonts w:ascii="Arial" w:hAnsi="Arial" w:cs="Arial"/>
        </w:rPr>
        <w:t xml:space="preserve"> (…)</w:t>
      </w:r>
    </w:p>
    <w:p w14:paraId="1BBD6C60" w14:textId="77777777" w:rsidR="00653185" w:rsidRPr="00F9314D" w:rsidRDefault="00653185" w:rsidP="003D29D2">
      <w:pPr>
        <w:pStyle w:val="Textonotapie"/>
        <w:ind w:left="180"/>
        <w:jc w:val="both"/>
        <w:rPr>
          <w:rFonts w:ascii="Arial" w:hAnsi="Arial" w:cs="Arial"/>
          <w:iCs/>
        </w:rPr>
      </w:pPr>
      <w:r w:rsidRPr="00F9314D">
        <w:rPr>
          <w:rFonts w:ascii="Arial" w:hAnsi="Arial" w:cs="Arial"/>
          <w:b/>
          <w:iCs/>
        </w:rPr>
        <w:t>XV</w:t>
      </w:r>
      <w:r w:rsidRPr="00F9314D">
        <w:rPr>
          <w:rFonts w:ascii="Arial" w:hAnsi="Arial" w:cs="Arial"/>
          <w:iCs/>
        </w:rPr>
        <w:t xml:space="preserve">. </w:t>
      </w:r>
      <w:r w:rsidRPr="00F9314D">
        <w:rPr>
          <w:rFonts w:ascii="Arial" w:hAnsi="Arial" w:cs="Arial"/>
          <w:b/>
          <w:iCs/>
        </w:rPr>
        <w:t xml:space="preserve">Homogeneidad en la fórmula: </w:t>
      </w:r>
      <w:r w:rsidRPr="00F9314D">
        <w:rPr>
          <w:rFonts w:ascii="Arial" w:hAnsi="Arial" w:cs="Arial"/>
          <w:iCs/>
        </w:rPr>
        <w:t>Condición de uniformidad en la composición de una fórmula, cuyas personas propietaria y suplente pertenecen al mismo género. Para maximizar la participación efectiva de las mujeres en la postulación de candidaturas, se permitirá que la posición de suplente en las fórmulas con un hombre propuesto como propietario, pueda ser ocupada por una mujer”.</w:t>
      </w:r>
    </w:p>
  </w:footnote>
  <w:footnote w:id="36">
    <w:p w14:paraId="4CF355CC" w14:textId="77777777" w:rsidR="00653185" w:rsidRPr="00F9314D" w:rsidRDefault="00653185" w:rsidP="003D29D2">
      <w:pPr>
        <w:pStyle w:val="Textonotapie"/>
        <w:jc w:val="both"/>
        <w:rPr>
          <w:rFonts w:ascii="Arial" w:hAnsi="Arial" w:cs="Arial"/>
          <w:iCs/>
        </w:rPr>
      </w:pPr>
      <w:r w:rsidRPr="00F9314D">
        <w:rPr>
          <w:rStyle w:val="Refdenotaalpie"/>
          <w:rFonts w:ascii="Arial" w:hAnsi="Arial" w:cs="Arial"/>
          <w:iCs/>
        </w:rPr>
        <w:footnoteRef/>
      </w:r>
      <w:r w:rsidRPr="00F9314D">
        <w:rPr>
          <w:rFonts w:ascii="Arial" w:hAnsi="Arial" w:cs="Arial"/>
          <w:iCs/>
        </w:rPr>
        <w:t xml:space="preserve"> </w:t>
      </w:r>
      <w:r w:rsidRPr="00F9314D">
        <w:rPr>
          <w:rFonts w:ascii="Arial" w:hAnsi="Arial" w:cs="Arial"/>
          <w:b/>
          <w:bCs/>
          <w:iCs/>
        </w:rPr>
        <w:t>Artículo 23.</w:t>
      </w:r>
    </w:p>
    <w:p w14:paraId="2E2F526B" w14:textId="77777777" w:rsidR="00653185" w:rsidRPr="00F9314D" w:rsidRDefault="00653185" w:rsidP="003D29D2">
      <w:pPr>
        <w:pStyle w:val="Textonotapie"/>
        <w:ind w:left="180"/>
        <w:jc w:val="both"/>
        <w:rPr>
          <w:rFonts w:ascii="Arial" w:hAnsi="Arial" w:cs="Arial"/>
          <w:iCs/>
        </w:rPr>
      </w:pPr>
      <w:r w:rsidRPr="00F9314D">
        <w:rPr>
          <w:rFonts w:ascii="Arial" w:hAnsi="Arial" w:cs="Arial"/>
          <w:iCs/>
        </w:rPr>
        <w:t>(…)</w:t>
      </w:r>
    </w:p>
    <w:p w14:paraId="6879AE82" w14:textId="77777777" w:rsidR="00653185" w:rsidRPr="00F9314D" w:rsidRDefault="00653185" w:rsidP="003D29D2">
      <w:pPr>
        <w:pStyle w:val="Textonotapie"/>
        <w:ind w:left="180"/>
        <w:jc w:val="both"/>
        <w:rPr>
          <w:rFonts w:ascii="Arial" w:hAnsi="Arial" w:cs="Arial"/>
          <w:iCs/>
        </w:rPr>
      </w:pPr>
      <w:r w:rsidRPr="00F9314D">
        <w:rPr>
          <w:rFonts w:ascii="Arial" w:hAnsi="Arial" w:cs="Arial"/>
          <w:iCs/>
        </w:rPr>
        <w:t xml:space="preserve">Las listas de representación proporcional que presenten los Partidos Políticos y </w:t>
      </w:r>
      <w:proofErr w:type="gramStart"/>
      <w:r w:rsidRPr="00F9314D">
        <w:rPr>
          <w:rFonts w:ascii="Arial" w:hAnsi="Arial" w:cs="Arial"/>
          <w:iCs/>
        </w:rPr>
        <w:t>Coaliciones,</w:t>
      </w:r>
      <w:proofErr w:type="gramEnd"/>
      <w:r w:rsidRPr="00F9314D">
        <w:rPr>
          <w:rFonts w:ascii="Arial" w:hAnsi="Arial" w:cs="Arial"/>
          <w:iCs/>
        </w:rPr>
        <w:t xml:space="preserve"> se integrarán por fórmulas de candidatos compuestas cada una por un propietario y un suplente del mismo género. En cada lista se alternarán las fórmulas de distinto género para garantizar el principio de paridad hasta agotar cada una de las listas. Posteriormente se intercalará la lista “A” y la “B”, para crear la lista definitiva en términos del presente Código</w:t>
      </w:r>
      <w:r w:rsidRPr="00F9314D">
        <w:rPr>
          <w:rFonts w:ascii="Arial" w:hAnsi="Arial" w:cs="Arial"/>
          <w:i/>
        </w:rPr>
        <w:t>.</w:t>
      </w:r>
    </w:p>
    <w:p w14:paraId="1F2890B0" w14:textId="77777777" w:rsidR="00653185" w:rsidRPr="00F9314D" w:rsidRDefault="00653185" w:rsidP="003D29D2">
      <w:pPr>
        <w:pStyle w:val="Estilo"/>
        <w:rPr>
          <w:rFonts w:cs="Arial"/>
          <w:sz w:val="20"/>
          <w:szCs w:val="20"/>
        </w:rPr>
      </w:pPr>
    </w:p>
    <w:p w14:paraId="72437325" w14:textId="77777777" w:rsidR="00653185" w:rsidRPr="00F9314D" w:rsidRDefault="00653185" w:rsidP="003D29D2">
      <w:pPr>
        <w:pStyle w:val="Textonotapie"/>
        <w:jc w:val="both"/>
        <w:rPr>
          <w:rFonts w:ascii="Arial" w:hAnsi="Arial" w:cs="Arial"/>
        </w:rPr>
      </w:pPr>
    </w:p>
  </w:footnote>
  <w:footnote w:id="37">
    <w:p w14:paraId="20A55006" w14:textId="77777777" w:rsidR="00653185" w:rsidRPr="00F9314D" w:rsidRDefault="00653185" w:rsidP="003D29D2">
      <w:pPr>
        <w:pStyle w:val="Textonotapie"/>
        <w:jc w:val="both"/>
        <w:rPr>
          <w:rFonts w:ascii="Arial" w:hAnsi="Arial" w:cs="Arial"/>
          <w:bCs/>
        </w:rPr>
      </w:pPr>
      <w:r w:rsidRPr="00F9314D">
        <w:rPr>
          <w:rStyle w:val="Refdenotaalpie"/>
          <w:rFonts w:ascii="Arial" w:hAnsi="Arial" w:cs="Arial"/>
        </w:rPr>
        <w:footnoteRef/>
      </w:r>
      <w:r w:rsidRPr="00F9314D">
        <w:rPr>
          <w:rFonts w:ascii="Arial" w:hAnsi="Arial" w:cs="Arial"/>
        </w:rPr>
        <w:t xml:space="preserve"> Al respecto, véase en lo conducente la jurisprudencia 36/2015, de la Sala Superior, de rubro: “</w:t>
      </w:r>
      <w:r w:rsidRPr="00F9314D">
        <w:rPr>
          <w:rFonts w:ascii="Arial" w:hAnsi="Arial" w:cs="Arial"/>
          <w:b/>
          <w:bCs/>
        </w:rPr>
        <w:t>REPRESENTACIÓN PROPORCIONAL. PARIDAD DE GÉNERO COMO SUPUESTO DE MODIFICACIÓN DEL ORDEN DE PRELACIÓN DE LA LISTA DE CANDIDATURAS REGISTRADA</w:t>
      </w:r>
      <w:r w:rsidRPr="00F9314D">
        <w:rPr>
          <w:rFonts w:ascii="Arial" w:hAnsi="Arial" w:cs="Arial"/>
          <w:bCs/>
        </w:rPr>
        <w:t>”. Gaceta de Jurisprudencia y Tesis en materia electoral, Tribunal Electoral del Poder Judicial de la Federación, Año 8, Número 17, 2015, páginas 49, 50 y 51.</w:t>
      </w:r>
    </w:p>
  </w:footnote>
  <w:footnote w:id="38">
    <w:p w14:paraId="00FBBA25"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Consideración que, de forma literal, fue citada en las sentencias de los expedientes </w:t>
      </w:r>
      <w:r w:rsidRPr="00F9314D">
        <w:rPr>
          <w:rFonts w:ascii="Arial" w:hAnsi="Arial" w:cs="Arial"/>
          <w:b/>
          <w:bCs/>
        </w:rPr>
        <w:t>TECDMX-JEL-416/2020 y acumulados</w:t>
      </w:r>
      <w:r w:rsidRPr="00F9314D">
        <w:rPr>
          <w:rFonts w:ascii="Arial" w:hAnsi="Arial" w:cs="Arial"/>
        </w:rPr>
        <w:t xml:space="preserve"> y </w:t>
      </w:r>
      <w:r w:rsidRPr="00F9314D">
        <w:rPr>
          <w:rFonts w:ascii="Arial" w:hAnsi="Arial" w:cs="Arial"/>
          <w:b/>
          <w:bCs/>
        </w:rPr>
        <w:t>SCM-JRC-13/2021 y acumulado</w:t>
      </w:r>
      <w:r w:rsidRPr="00F9314D">
        <w:rPr>
          <w:rFonts w:ascii="Arial" w:hAnsi="Arial" w:cs="Arial"/>
        </w:rPr>
        <w:t>.</w:t>
      </w:r>
    </w:p>
  </w:footnote>
  <w:footnote w:id="39">
    <w:p w14:paraId="5420C740" w14:textId="77777777" w:rsidR="00653185" w:rsidRPr="00F9314D" w:rsidRDefault="00653185" w:rsidP="003D29D2">
      <w:pPr>
        <w:pStyle w:val="Estilo"/>
        <w:ind w:left="180" w:hanging="270"/>
        <w:rPr>
          <w:rFonts w:cs="Arial"/>
          <w:iCs/>
          <w:sz w:val="20"/>
          <w:szCs w:val="20"/>
        </w:rPr>
      </w:pPr>
      <w:r w:rsidRPr="00F9314D">
        <w:rPr>
          <w:rStyle w:val="Refdenotaalpie"/>
          <w:rFonts w:cs="Arial"/>
          <w:sz w:val="20"/>
          <w:szCs w:val="20"/>
        </w:rPr>
        <w:footnoteRef/>
      </w:r>
      <w:r w:rsidRPr="00F9314D">
        <w:rPr>
          <w:rFonts w:cs="Arial"/>
          <w:sz w:val="20"/>
          <w:szCs w:val="20"/>
        </w:rPr>
        <w:t xml:space="preserve"> </w:t>
      </w:r>
      <w:r w:rsidRPr="00F9314D">
        <w:rPr>
          <w:rFonts w:cs="Arial"/>
          <w:b/>
          <w:iCs/>
          <w:sz w:val="20"/>
          <w:szCs w:val="20"/>
        </w:rPr>
        <w:t>Artículo 386.</w:t>
      </w:r>
      <w:r w:rsidRPr="00F9314D">
        <w:rPr>
          <w:rFonts w:cs="Arial"/>
          <w:iCs/>
          <w:sz w:val="20"/>
          <w:szCs w:val="20"/>
        </w:rPr>
        <w:t xml:space="preserve"> El Consejo General, con base en los lineamientos y medidas de seguridad que apruebe el Instituto Nacional en lo que resulte aplicable de conformidad con sus atribuciones; y las medidas de certeza que estime pertinentes, aprobará los modelos de boletas electorales, documentación electoral y auxiliar y los materiales electorales y en su caso, los sistemas e instrumentos electrónicos que se utilizarán para la elección de representantes populares o en los procesos de participación ciudadana.</w:t>
      </w:r>
    </w:p>
    <w:p w14:paraId="0888C9BB" w14:textId="77777777" w:rsidR="00653185" w:rsidRPr="00F9314D" w:rsidRDefault="00653185" w:rsidP="003D29D2">
      <w:pPr>
        <w:pStyle w:val="Estilo"/>
        <w:ind w:left="180"/>
        <w:rPr>
          <w:rFonts w:cs="Arial"/>
          <w:iCs/>
          <w:sz w:val="20"/>
          <w:szCs w:val="20"/>
        </w:rPr>
      </w:pPr>
      <w:r w:rsidRPr="00F9314D">
        <w:rPr>
          <w:rFonts w:cs="Arial"/>
          <w:iCs/>
          <w:sz w:val="20"/>
          <w:szCs w:val="20"/>
        </w:rPr>
        <w:t>(…)</w:t>
      </w:r>
    </w:p>
    <w:p w14:paraId="02AFC3F5" w14:textId="77777777" w:rsidR="00653185" w:rsidRPr="00F9314D" w:rsidRDefault="00653185" w:rsidP="003D29D2">
      <w:pPr>
        <w:pStyle w:val="Estilo"/>
        <w:ind w:left="180"/>
        <w:rPr>
          <w:rFonts w:cs="Arial"/>
          <w:iCs/>
          <w:sz w:val="20"/>
          <w:szCs w:val="20"/>
        </w:rPr>
      </w:pPr>
      <w:r w:rsidRPr="00F9314D">
        <w:rPr>
          <w:rFonts w:cs="Arial"/>
          <w:b/>
          <w:iCs/>
          <w:sz w:val="20"/>
          <w:szCs w:val="20"/>
        </w:rPr>
        <w:t>VIII.</w:t>
      </w:r>
      <w:r w:rsidRPr="00F9314D">
        <w:rPr>
          <w:rFonts w:cs="Arial"/>
          <w:iCs/>
          <w:sz w:val="20"/>
          <w:szCs w:val="20"/>
        </w:rPr>
        <w:t xml:space="preserve"> El reverso de la boleta de la elección de Diputaciones al Congreso Local contendrá un recuadro por Partido Político con los nombres completos de las fórmulas de candidatos a Diputados por el principio de representación proporcional.</w:t>
      </w:r>
    </w:p>
    <w:p w14:paraId="2BFD4A3F" w14:textId="77777777" w:rsidR="00653185" w:rsidRPr="00F9314D" w:rsidRDefault="00653185" w:rsidP="003D29D2">
      <w:pPr>
        <w:pStyle w:val="Estilo"/>
        <w:ind w:left="180"/>
        <w:rPr>
          <w:rFonts w:cs="Arial"/>
          <w:iCs/>
          <w:sz w:val="20"/>
          <w:szCs w:val="20"/>
        </w:rPr>
      </w:pPr>
      <w:r w:rsidRPr="00F9314D">
        <w:rPr>
          <w:rFonts w:cs="Arial"/>
          <w:iCs/>
          <w:sz w:val="20"/>
          <w:szCs w:val="20"/>
        </w:rPr>
        <w:t>(…)</w:t>
      </w:r>
    </w:p>
    <w:p w14:paraId="2F162E3A" w14:textId="77777777" w:rsidR="00653185" w:rsidRPr="00F9314D" w:rsidRDefault="00653185" w:rsidP="003D29D2">
      <w:pPr>
        <w:pStyle w:val="Textonotapie"/>
        <w:jc w:val="both"/>
        <w:rPr>
          <w:rFonts w:ascii="Arial" w:hAnsi="Arial" w:cs="Arial"/>
          <w:iCs/>
        </w:rPr>
      </w:pPr>
    </w:p>
  </w:footnote>
  <w:footnote w:id="40">
    <w:p w14:paraId="00F841AA"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Visible en la página 1326, Libro XIII, </w:t>
      </w:r>
      <w:proofErr w:type="gramStart"/>
      <w:r w:rsidRPr="00F9314D">
        <w:rPr>
          <w:rFonts w:ascii="Arial" w:hAnsi="Arial" w:cs="Arial"/>
        </w:rPr>
        <w:t>Octubre</w:t>
      </w:r>
      <w:proofErr w:type="gramEnd"/>
      <w:r w:rsidRPr="00F9314D">
        <w:rPr>
          <w:rFonts w:ascii="Arial" w:hAnsi="Arial" w:cs="Arial"/>
        </w:rPr>
        <w:t xml:space="preserve"> de 2012, Tomo 3, Décima Época del Semanario Judicial de la Federación y su Gaceta.</w:t>
      </w:r>
    </w:p>
  </w:footnote>
  <w:footnote w:id="41">
    <w:p w14:paraId="4EFBBB06"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Consultable a través del </w:t>
      </w:r>
      <w:proofErr w:type="gramStart"/>
      <w:r w:rsidRPr="00F9314D">
        <w:rPr>
          <w:rFonts w:ascii="Arial" w:hAnsi="Arial" w:cs="Arial"/>
        </w:rPr>
        <w:t>link</w:t>
      </w:r>
      <w:proofErr w:type="gramEnd"/>
      <w:r w:rsidRPr="00F9314D">
        <w:rPr>
          <w:rFonts w:ascii="Arial" w:hAnsi="Arial" w:cs="Arial"/>
        </w:rPr>
        <w:t xml:space="preserve">: </w:t>
      </w:r>
      <w:r w:rsidRPr="00F9314D">
        <w:rPr>
          <w:rFonts w:ascii="Arial" w:hAnsi="Arial" w:cs="Arial"/>
          <w:u w:val="single"/>
        </w:rPr>
        <w:t>https://sjf2.scjn.gob.mx/busqueda-principal-tesis</w:t>
      </w:r>
      <w:r w:rsidRPr="00F9314D">
        <w:rPr>
          <w:rFonts w:ascii="Arial" w:hAnsi="Arial" w:cs="Arial"/>
        </w:rPr>
        <w:t>.</w:t>
      </w:r>
    </w:p>
  </w:footnote>
  <w:footnote w:id="42">
    <w:p w14:paraId="2A42ABBA"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Consultables a través del </w:t>
      </w:r>
      <w:proofErr w:type="gramStart"/>
      <w:r w:rsidRPr="00F9314D">
        <w:rPr>
          <w:rFonts w:ascii="Arial" w:hAnsi="Arial" w:cs="Arial"/>
        </w:rPr>
        <w:t>link</w:t>
      </w:r>
      <w:proofErr w:type="gramEnd"/>
      <w:r w:rsidRPr="00F9314D">
        <w:rPr>
          <w:rFonts w:ascii="Arial" w:hAnsi="Arial" w:cs="Arial"/>
        </w:rPr>
        <w:t xml:space="preserve">: </w:t>
      </w:r>
      <w:r w:rsidRPr="00F9314D">
        <w:rPr>
          <w:rFonts w:ascii="Arial" w:hAnsi="Arial" w:cs="Arial"/>
          <w:u w:val="single"/>
        </w:rPr>
        <w:t>https://sjf2.scjn.gob.mx/busqueda-principal-tesis</w:t>
      </w:r>
      <w:r w:rsidRPr="00F9314D">
        <w:rPr>
          <w:rFonts w:ascii="Arial" w:hAnsi="Arial" w:cs="Arial"/>
        </w:rPr>
        <w:t>.</w:t>
      </w:r>
    </w:p>
  </w:footnote>
  <w:footnote w:id="43">
    <w:p w14:paraId="5AC2B5A4"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Consultable a través del </w:t>
      </w:r>
      <w:proofErr w:type="gramStart"/>
      <w:r w:rsidRPr="00F9314D">
        <w:rPr>
          <w:rFonts w:ascii="Arial" w:hAnsi="Arial" w:cs="Arial"/>
        </w:rPr>
        <w:t>link</w:t>
      </w:r>
      <w:proofErr w:type="gramEnd"/>
      <w:r w:rsidRPr="00F9314D">
        <w:rPr>
          <w:rFonts w:ascii="Arial" w:hAnsi="Arial" w:cs="Arial"/>
        </w:rPr>
        <w:t xml:space="preserve">: </w:t>
      </w:r>
      <w:hyperlink r:id="rId10" w:history="1">
        <w:r w:rsidRPr="00F9314D">
          <w:rPr>
            <w:rStyle w:val="Hipervnculo"/>
            <w:rFonts w:ascii="Arial" w:eastAsiaTheme="majorEastAsia" w:hAnsi="Arial" w:cs="Arial"/>
            <w:lang w:val="es-MX"/>
          </w:rPr>
          <w:t>https://www.te.gob.mx/IUSEapp/</w:t>
        </w:r>
      </w:hyperlink>
      <w:r w:rsidRPr="00F9314D">
        <w:rPr>
          <w:rFonts w:ascii="Arial" w:hAnsi="Arial" w:cs="Arial"/>
        </w:rPr>
        <w:t>.</w:t>
      </w:r>
    </w:p>
  </w:footnote>
  <w:footnote w:id="44">
    <w:p w14:paraId="7ABF41D2" w14:textId="77777777" w:rsidR="00653185" w:rsidRPr="00F9314D" w:rsidRDefault="00653185" w:rsidP="003D29D2">
      <w:pPr>
        <w:pStyle w:val="Textonotapie"/>
        <w:jc w:val="both"/>
        <w:rPr>
          <w:rFonts w:ascii="Arial" w:hAnsi="Arial" w:cs="Arial"/>
          <w:lang w:val="es-MX"/>
        </w:rPr>
      </w:pPr>
      <w:r w:rsidRPr="00F9314D">
        <w:rPr>
          <w:rStyle w:val="Refdenotaalpie"/>
          <w:rFonts w:ascii="Arial" w:hAnsi="Arial" w:cs="Arial"/>
        </w:rPr>
        <w:footnoteRef/>
      </w:r>
      <w:r w:rsidRPr="00F9314D">
        <w:rPr>
          <w:rFonts w:ascii="Arial" w:hAnsi="Arial" w:cs="Arial"/>
        </w:rPr>
        <w:t xml:space="preserve"> Consultable a través del </w:t>
      </w:r>
      <w:proofErr w:type="gramStart"/>
      <w:r w:rsidRPr="00F9314D">
        <w:rPr>
          <w:rFonts w:ascii="Arial" w:hAnsi="Arial" w:cs="Arial"/>
        </w:rPr>
        <w:t>link</w:t>
      </w:r>
      <w:proofErr w:type="gramEnd"/>
      <w:r w:rsidRPr="00F9314D">
        <w:rPr>
          <w:rFonts w:ascii="Arial" w:hAnsi="Arial" w:cs="Arial"/>
        </w:rPr>
        <w:t xml:space="preserve">: </w:t>
      </w:r>
      <w:hyperlink r:id="rId11" w:history="1">
        <w:r w:rsidRPr="00F9314D">
          <w:rPr>
            <w:rStyle w:val="Hipervnculo"/>
            <w:rFonts w:ascii="Arial" w:eastAsiaTheme="majorEastAsia" w:hAnsi="Arial" w:cs="Arial"/>
            <w:lang w:val="es-MX"/>
          </w:rPr>
          <w:t>https://www.te.gob.mx/IUSEapp/</w:t>
        </w:r>
      </w:hyperlink>
      <w:r w:rsidRPr="00F9314D">
        <w:rPr>
          <w:rFonts w:ascii="Arial" w:hAnsi="Arial" w:cs="Arial"/>
        </w:rPr>
        <w:t>.</w:t>
      </w:r>
    </w:p>
  </w:footnote>
  <w:footnote w:id="45">
    <w:p w14:paraId="164D0F0D"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Entre otras, en la sentencia del recurso de reconsideración SUP-REC-0249/2021 y acumulado.</w:t>
      </w:r>
    </w:p>
  </w:footnote>
  <w:footnote w:id="46">
    <w:p w14:paraId="25471FA5"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w:t>
      </w:r>
      <w:r w:rsidRPr="00F9314D">
        <w:rPr>
          <w:rFonts w:ascii="Arial" w:hAnsi="Arial" w:cs="Arial"/>
          <w:bCs/>
          <w:color w:val="000000"/>
          <w:shd w:val="clear" w:color="auto" w:fill="FFFFFF"/>
        </w:rPr>
        <w:t>Gaceta de Jurisprudencia y Tesis en materia electoral, Tribunal Electoral del Poder Judicial de la Federación, Año 8, Número 16, 2015, páginas 13, 14 y 15.</w:t>
      </w:r>
    </w:p>
  </w:footnote>
  <w:footnote w:id="47">
    <w:p w14:paraId="3495C014"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Jurisprudencia P./J. 87/2007, de rubro: </w:t>
      </w:r>
      <w:r w:rsidRPr="00F9314D">
        <w:rPr>
          <w:rFonts w:ascii="Arial" w:hAnsi="Arial" w:cs="Arial"/>
          <w:b/>
        </w:rPr>
        <w:t>“ACCIÓN DE INCONSTITUCIONALIDAD. ALCANCE DE LA EXPRESIÓN "MODIFICACIONES LEGALES FUNDAMENTALES", CONTENIDA EN LA FRACCIÓN II, PENÚLTIMO PÁRRAFO, DEL ARTÍCULO 105 DE LA CONSTITUCIÓN POLÍTICA DE LOS ESTADOS UNIDOS MEXICANOS”,</w:t>
      </w:r>
      <w:r w:rsidRPr="00F9314D">
        <w:rPr>
          <w:rFonts w:ascii="Arial" w:hAnsi="Arial" w:cs="Arial"/>
        </w:rPr>
        <w:t xml:space="preserve"> publicada en la Novena Época del Semanario Judicial de la Federación y su Gaceta, Tomo XXVI, diciembre de 2007, página 563.</w:t>
      </w:r>
    </w:p>
  </w:footnote>
  <w:footnote w:id="48">
    <w:p w14:paraId="6FF68F83"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SUP-REC-343/2020 y SUP-REC-249/2021 y acumulados. </w:t>
      </w:r>
    </w:p>
  </w:footnote>
  <w:footnote w:id="49">
    <w:p w14:paraId="60EC8308"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Como lo ha sostenido la Sala Superior, entre otras, en la sentencia del recurso de apelación SUP-RAP-136/2021 y acumulado.</w:t>
      </w:r>
    </w:p>
  </w:footnote>
  <w:footnote w:id="50">
    <w:p w14:paraId="6C6BC037"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w:t>
      </w:r>
      <w:proofErr w:type="gramStart"/>
      <w:r w:rsidRPr="00F9314D">
        <w:rPr>
          <w:rFonts w:ascii="Arial" w:hAnsi="Arial" w:cs="Arial"/>
          <w:u w:val="single"/>
        </w:rPr>
        <w:t>De acuerdo al</w:t>
      </w:r>
      <w:proofErr w:type="gramEnd"/>
      <w:r w:rsidRPr="00F9314D">
        <w:rPr>
          <w:rFonts w:ascii="Arial" w:hAnsi="Arial" w:cs="Arial"/>
          <w:u w:val="single"/>
        </w:rPr>
        <w:t xml:space="preserve"> artículo 24 del </w:t>
      </w:r>
      <w:r w:rsidRPr="00F9314D">
        <w:rPr>
          <w:rFonts w:ascii="Arial" w:hAnsi="Arial" w:cs="Arial"/>
          <w:i/>
          <w:u w:val="single"/>
        </w:rPr>
        <w:t xml:space="preserve">Código local, </w:t>
      </w:r>
      <w:r w:rsidRPr="00F9314D">
        <w:rPr>
          <w:rFonts w:ascii="Arial" w:hAnsi="Arial" w:cs="Arial"/>
          <w:u w:val="single"/>
        </w:rPr>
        <w:t>para conformar la lista definitiva se intercala una fórmula de la lista A y otra de la B. Así, el primer lugar de la lista definitiva debe ser el primer lugar de la lista A, seguido del primer lugar de la lista B, y así sucesivamente se arman los bloques.</w:t>
      </w:r>
      <w:r w:rsidRPr="00F9314D">
        <w:rPr>
          <w:rFonts w:ascii="Arial" w:hAnsi="Arial" w:cs="Arial"/>
        </w:rPr>
        <w:t xml:space="preserve"> </w:t>
      </w:r>
    </w:p>
  </w:footnote>
  <w:footnote w:id="51">
    <w:p w14:paraId="7CB9F6E9"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Su suplente es Fabiola Menocal del Moral.</w:t>
      </w:r>
    </w:p>
  </w:footnote>
  <w:footnote w:id="52">
    <w:p w14:paraId="05424F72"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Consultable en: Semanario Judicial de la Federación, Décima Época, Primera Sala, Libro 49, </w:t>
      </w:r>
      <w:proofErr w:type="gramStart"/>
      <w:r w:rsidRPr="00F9314D">
        <w:rPr>
          <w:rFonts w:ascii="Arial" w:hAnsi="Arial" w:cs="Arial"/>
        </w:rPr>
        <w:t>Diciembre</w:t>
      </w:r>
      <w:proofErr w:type="gramEnd"/>
      <w:r w:rsidRPr="00F9314D">
        <w:rPr>
          <w:rFonts w:ascii="Arial" w:hAnsi="Arial" w:cs="Arial"/>
        </w:rPr>
        <w:t xml:space="preserve"> de 2017, Tomo I, p. 119</w:t>
      </w:r>
    </w:p>
  </w:footnote>
  <w:footnote w:id="53">
    <w:p w14:paraId="5BEE7332"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Comisión Interamericana de Derechos Humanos, EL CAMINO HACIA UNA DEMOCRACIA SUSTANTIVA: LA PARTICIPACIÓN POLÍTICA DE LAS MUJERES EN LAS AMÉRICAS”, OEA/</w:t>
      </w:r>
      <w:proofErr w:type="spellStart"/>
      <w:r w:rsidRPr="00F9314D">
        <w:rPr>
          <w:rFonts w:ascii="Arial" w:hAnsi="Arial" w:cs="Arial"/>
        </w:rPr>
        <w:t>Ser.L</w:t>
      </w:r>
      <w:proofErr w:type="spellEnd"/>
      <w:r w:rsidRPr="00F9314D">
        <w:rPr>
          <w:rFonts w:ascii="Arial" w:hAnsi="Arial" w:cs="Arial"/>
        </w:rPr>
        <w:t>/V/II., Doc. 79, 18 abril 2011.</w:t>
      </w:r>
    </w:p>
  </w:footnote>
  <w:footnote w:id="54">
    <w:p w14:paraId="65C63A80"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https://www.iecm.mx/www/Elecciones2021/site/page26.html</w:t>
      </w:r>
    </w:p>
  </w:footnote>
  <w:footnote w:id="55">
    <w:p w14:paraId="00BF2B94"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[J]; 9a. Época; T.C.C.; S.J.F. y su Gaceta; Tomo XXIX, </w:t>
      </w:r>
      <w:proofErr w:type="gramStart"/>
      <w:r w:rsidRPr="00F9314D">
        <w:rPr>
          <w:rFonts w:ascii="Arial" w:hAnsi="Arial" w:cs="Arial"/>
        </w:rPr>
        <w:t>Enero</w:t>
      </w:r>
      <w:proofErr w:type="gramEnd"/>
      <w:r w:rsidRPr="00F9314D">
        <w:rPr>
          <w:rFonts w:ascii="Arial" w:hAnsi="Arial" w:cs="Arial"/>
        </w:rPr>
        <w:t xml:space="preserve"> de 2009; Pág. 2470. XX.2o. J/24.</w:t>
      </w:r>
    </w:p>
  </w:footnote>
  <w:footnote w:id="56">
    <w:p w14:paraId="40F76F88"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[J]; 9a. Época; T.C.C.; S.J.F. y su Gaceta; Tomo XXIX, </w:t>
      </w:r>
      <w:proofErr w:type="gramStart"/>
      <w:r w:rsidRPr="00F9314D">
        <w:rPr>
          <w:rFonts w:ascii="Arial" w:hAnsi="Arial" w:cs="Arial"/>
        </w:rPr>
        <w:t>Enero</w:t>
      </w:r>
      <w:proofErr w:type="gramEnd"/>
      <w:r w:rsidRPr="00F9314D">
        <w:rPr>
          <w:rFonts w:ascii="Arial" w:hAnsi="Arial" w:cs="Arial"/>
        </w:rPr>
        <w:t xml:space="preserve"> de 2009; Pág. 2470. XX.2o. J/24.</w:t>
      </w:r>
    </w:p>
  </w:footnote>
  <w:footnote w:id="57">
    <w:p w14:paraId="6F7E9909"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Consultable en la Gaceta de Jurisprudencia y Tesis en materia electoral, Tribunal Electoral del Poder Judicial de la Federación, Año 3, Número 5, 2010, página 32.</w:t>
      </w:r>
    </w:p>
  </w:footnote>
  <w:footnote w:id="58">
    <w:p w14:paraId="66C1D166" w14:textId="77777777" w:rsidR="00653185" w:rsidRPr="00F9314D" w:rsidRDefault="00653185" w:rsidP="003D29D2">
      <w:pPr>
        <w:spacing w:line="240" w:lineRule="auto"/>
        <w:contextualSpacing/>
        <w:jc w:val="both"/>
        <w:rPr>
          <w:rFonts w:ascii="Arial" w:hAnsi="Arial" w:cs="Arial"/>
          <w:sz w:val="20"/>
          <w:szCs w:val="20"/>
        </w:rPr>
      </w:pPr>
      <w:r w:rsidRPr="00F9314D">
        <w:rPr>
          <w:rStyle w:val="Refdenotaalpie"/>
          <w:rFonts w:ascii="Arial" w:hAnsi="Arial" w:cs="Arial"/>
          <w:sz w:val="20"/>
          <w:szCs w:val="20"/>
        </w:rPr>
        <w:footnoteRef/>
      </w:r>
      <w:r w:rsidRPr="00F9314D">
        <w:rPr>
          <w:rFonts w:ascii="Arial" w:hAnsi="Arial" w:cs="Arial"/>
          <w:sz w:val="20"/>
          <w:szCs w:val="20"/>
        </w:rPr>
        <w:t xml:space="preserve"> TECDMX-JEL-111/2021, TECDMX-JEL-100/2021 y TECDMX-JEL-101/2021 acumulados, TECDMC-JEL-84/2021, TECDMX-JEL-92/2021,TECDMX-JEL-128/2021, TECDMX-JEL-159/2021 y TECDMX-JEL-160/2021, TECDMX-JEL-124/2021 y TECDMX-JEL-126/2021 acumulado, TECDMX-JEL-143/2021 y TECDMX-JEL-165/2021, TECDMX-JEL-145/2021, TECDMX-JEL-114/2021 y TECDMX-JEL-115/2021 acumulado, TECDMX-JEL-98/2021 y acumulado TECDMX-JEL-153/2021, TECDMX-JEL-119/2021 y acumulado TECDMX-JEL-151/2021, TECDMX-JEL-131/2021, TECDMX-JEL-135/2021 y TECDMX-JEL-113/2021.</w:t>
      </w:r>
    </w:p>
  </w:footnote>
  <w:footnote w:id="59">
    <w:p w14:paraId="348B1BE2"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Promovidas por diversos partidos políticos, </w:t>
      </w:r>
      <w:proofErr w:type="gramStart"/>
      <w:r w:rsidRPr="00F9314D">
        <w:rPr>
          <w:rFonts w:ascii="Arial" w:hAnsi="Arial" w:cs="Arial"/>
        </w:rPr>
        <w:t>diputadas y diputados</w:t>
      </w:r>
      <w:proofErr w:type="gramEnd"/>
      <w:r w:rsidRPr="00F9314D">
        <w:rPr>
          <w:rFonts w:ascii="Arial" w:hAnsi="Arial" w:cs="Arial"/>
        </w:rPr>
        <w:t xml:space="preserve"> integrantes de la entonces Asamblea Legislativa del Distrito Federal y la otrora Procuraduría General de la República.</w:t>
      </w:r>
    </w:p>
  </w:footnote>
  <w:footnote w:id="60">
    <w:p w14:paraId="57B9812C"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SUP-RAP-433/2019.</w:t>
      </w:r>
    </w:p>
  </w:footnote>
  <w:footnote w:id="61">
    <w:p w14:paraId="029D472F" w14:textId="77777777" w:rsidR="00653185" w:rsidRPr="00F9314D"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Consultable en la Gaceta de Jurisprudencia y Tesis en materia electoral, Tribunal Electoral del Poder Judicial de la Federación, Año 9, Número 19, 2016, páginas 47, 48 y 49.</w:t>
      </w:r>
    </w:p>
  </w:footnote>
  <w:footnote w:id="62">
    <w:p w14:paraId="66C09383" w14:textId="77777777" w:rsidR="00653185" w:rsidRPr="003D29D2" w:rsidRDefault="00653185" w:rsidP="003D29D2">
      <w:pPr>
        <w:pStyle w:val="Textonotapie"/>
        <w:jc w:val="both"/>
        <w:rPr>
          <w:rFonts w:ascii="Arial" w:hAnsi="Arial" w:cs="Arial"/>
        </w:rPr>
      </w:pPr>
      <w:r w:rsidRPr="00F9314D">
        <w:rPr>
          <w:rStyle w:val="Refdenotaalpie"/>
          <w:rFonts w:ascii="Arial" w:hAnsi="Arial" w:cs="Arial"/>
        </w:rPr>
        <w:footnoteRef/>
      </w:r>
      <w:r w:rsidRPr="00F9314D">
        <w:rPr>
          <w:rFonts w:ascii="Arial" w:hAnsi="Arial" w:cs="Arial"/>
        </w:rPr>
        <w:t xml:space="preserve"> </w:t>
      </w:r>
      <w:r w:rsidRPr="00F9314D">
        <w:rPr>
          <w:rFonts w:ascii="Arial" w:hAnsi="Arial" w:cs="Arial"/>
          <w:color w:val="000000"/>
        </w:rPr>
        <w:t>“DECRETO por el que se reforman los artículos 2, 4, 35, 41, 52, 53, 56, 94 y 115; de la Constitución Política de los Estados Unidos Mexicanos, en materia de Paridad entre Géneros”, consultable en el Diario Oficial de la Federación, Tomo DCCLXXXIX No. 5 Ciudad de México, jueves 6 de junio de 2019, Edición Vespertina</w:t>
      </w:r>
    </w:p>
  </w:footnote>
  <w:footnote w:id="63">
    <w:p w14:paraId="4EC1DC6B" w14:textId="77777777" w:rsidR="00535A76" w:rsidRPr="00535A76" w:rsidRDefault="00535A76" w:rsidP="00535A76">
      <w:pPr>
        <w:jc w:val="both"/>
        <w:rPr>
          <w:sz w:val="20"/>
          <w:szCs w:val="20"/>
        </w:rPr>
      </w:pPr>
      <w:r w:rsidRPr="00535A76">
        <w:rPr>
          <w:rStyle w:val="PrrafodelistaCar"/>
          <w:rFonts w:ascii="Arial" w:eastAsia="Calibri" w:hAnsi="Arial" w:cs="Arial"/>
          <w:sz w:val="20"/>
          <w:szCs w:val="20"/>
          <w:vertAlign w:val="superscript"/>
        </w:rPr>
        <w:footnoteRef/>
      </w:r>
      <w:r w:rsidRPr="00535A76">
        <w:rPr>
          <w:rFonts w:ascii="Arial" w:hAnsi="Arial" w:cs="Arial"/>
          <w:sz w:val="20"/>
          <w:szCs w:val="20"/>
        </w:rPr>
        <w:t xml:space="preserve"> Consultable en Jurisprudencia y Tesis Relevantes 1997-2005. Compilación Oficial, Tribunal Electoral del Poder Judicial de la Federación, página 109.</w:t>
      </w:r>
    </w:p>
  </w:footnote>
  <w:footnote w:id="64">
    <w:p w14:paraId="7E31DC32" w14:textId="77777777" w:rsidR="00535A76" w:rsidRPr="00535A76" w:rsidRDefault="00535A76" w:rsidP="00535A76">
      <w:pPr>
        <w:spacing w:after="0"/>
        <w:jc w:val="both"/>
        <w:rPr>
          <w:rFonts w:ascii="Arial" w:hAnsi="Arial" w:cs="Arial"/>
          <w:sz w:val="20"/>
          <w:szCs w:val="20"/>
        </w:rPr>
      </w:pPr>
      <w:r w:rsidRPr="00535A76">
        <w:rPr>
          <w:rStyle w:val="PrrafodelistaCar"/>
          <w:rFonts w:ascii="Arial" w:eastAsia="Calibri" w:hAnsi="Arial" w:cs="Arial"/>
          <w:sz w:val="20"/>
          <w:szCs w:val="20"/>
          <w:vertAlign w:val="superscript"/>
        </w:rPr>
        <w:footnoteRef/>
      </w:r>
      <w:r w:rsidRPr="00535A76">
        <w:rPr>
          <w:rFonts w:ascii="Arial" w:hAnsi="Arial" w:cs="Arial"/>
          <w:sz w:val="20"/>
          <w:szCs w:val="20"/>
        </w:rPr>
        <w:t xml:space="preserve"> Con fundamento en los artículos 87, fracción IV, de la Ley Procesal Electoral para la Ciudad de México, 185, fracción VII, del Código de Instituciones y Procedimientos Electorales de la Ciudad de México, así como los artículos 9 y 100, párrafo segundo, fracción I, del Reglamento Interior de este órgano jurisdiccional.</w:t>
      </w:r>
    </w:p>
  </w:footnote>
  <w:footnote w:id="65">
    <w:p w14:paraId="59D95682" w14:textId="77777777" w:rsidR="00535A76" w:rsidRPr="00896BD3" w:rsidRDefault="00535A76" w:rsidP="00535A76">
      <w:pPr>
        <w:jc w:val="both"/>
        <w:rPr>
          <w:rFonts w:ascii="Arial" w:hAnsi="Arial" w:cs="Arial"/>
          <w:sz w:val="18"/>
          <w:szCs w:val="18"/>
        </w:rPr>
      </w:pPr>
      <w:r w:rsidRPr="00535A76">
        <w:rPr>
          <w:rStyle w:val="PrrafodelistaCar"/>
          <w:rFonts w:ascii="Arial" w:eastAsia="Calibri" w:hAnsi="Arial" w:cs="Arial"/>
          <w:sz w:val="18"/>
          <w:szCs w:val="18"/>
          <w:vertAlign w:val="superscript"/>
        </w:rPr>
        <w:footnoteRef/>
      </w:r>
      <w:r w:rsidRPr="00896BD3">
        <w:rPr>
          <w:rFonts w:ascii="Arial" w:hAnsi="Arial" w:cs="Arial"/>
          <w:sz w:val="18"/>
          <w:szCs w:val="18"/>
        </w:rPr>
        <w:t xml:space="preserve"> Jurisprudencia 1a./J. 81/2004 emitida por la Primera Sala de la Suprema Corte de rubro </w:t>
      </w:r>
      <w:r w:rsidRPr="00896BD3">
        <w:rPr>
          <w:rFonts w:ascii="Arial" w:hAnsi="Arial" w:cs="Arial"/>
          <w:b/>
          <w:bCs/>
          <w:sz w:val="18"/>
          <w:szCs w:val="18"/>
        </w:rPr>
        <w:t>“IGUALDAD. LÍMITES A ESTE PRINCIPIO”</w:t>
      </w:r>
      <w:r w:rsidRPr="00896BD3">
        <w:rPr>
          <w:rFonts w:ascii="Arial" w:hAnsi="Arial" w:cs="Arial"/>
          <w:sz w:val="18"/>
          <w:szCs w:val="18"/>
        </w:rPr>
        <w:t>.</w:t>
      </w:r>
    </w:p>
  </w:footnote>
  <w:footnote w:id="66">
    <w:p w14:paraId="01D8AC3F" w14:textId="77777777" w:rsidR="00535A76" w:rsidRPr="00896BD3" w:rsidRDefault="00535A76" w:rsidP="00535A76">
      <w:pPr>
        <w:jc w:val="both"/>
        <w:rPr>
          <w:rFonts w:ascii="Arial" w:hAnsi="Arial" w:cs="Arial"/>
          <w:sz w:val="18"/>
          <w:szCs w:val="18"/>
        </w:rPr>
      </w:pPr>
      <w:r w:rsidRPr="00535A76">
        <w:rPr>
          <w:rStyle w:val="PrrafodelistaCar"/>
          <w:rFonts w:ascii="Arial" w:eastAsia="Calibri" w:hAnsi="Arial" w:cs="Arial"/>
          <w:sz w:val="18"/>
          <w:szCs w:val="18"/>
          <w:vertAlign w:val="superscript"/>
        </w:rPr>
        <w:footnoteRef/>
      </w:r>
      <w:r w:rsidRPr="00896BD3">
        <w:rPr>
          <w:rFonts w:ascii="Arial" w:hAnsi="Arial" w:cs="Arial"/>
          <w:sz w:val="18"/>
          <w:szCs w:val="18"/>
        </w:rPr>
        <w:t xml:space="preserve"> Al resolver el amparo en revisión 1464/2013. </w:t>
      </w:r>
    </w:p>
  </w:footnote>
  <w:footnote w:id="67">
    <w:p w14:paraId="70549964" w14:textId="77777777" w:rsidR="00535A76" w:rsidRPr="00896BD3" w:rsidRDefault="00535A76" w:rsidP="00535A76">
      <w:pPr>
        <w:jc w:val="both"/>
        <w:rPr>
          <w:rFonts w:ascii="Arial" w:hAnsi="Arial" w:cs="Arial"/>
          <w:sz w:val="18"/>
          <w:szCs w:val="18"/>
        </w:rPr>
      </w:pPr>
      <w:r w:rsidRPr="00535A76">
        <w:rPr>
          <w:rStyle w:val="PrrafodelistaCar"/>
          <w:rFonts w:ascii="Arial" w:eastAsia="Calibri" w:hAnsi="Arial" w:cs="Arial"/>
          <w:sz w:val="18"/>
          <w:szCs w:val="18"/>
          <w:vertAlign w:val="superscript"/>
        </w:rPr>
        <w:footnoteRef/>
      </w:r>
      <w:r w:rsidRPr="00896BD3">
        <w:rPr>
          <w:rFonts w:ascii="Arial" w:hAnsi="Arial" w:cs="Arial"/>
          <w:sz w:val="18"/>
          <w:szCs w:val="18"/>
        </w:rPr>
        <w:t xml:space="preserve"> En el expediente SCM-JDC-163/2020.</w:t>
      </w:r>
    </w:p>
  </w:footnote>
  <w:footnote w:id="68">
    <w:p w14:paraId="788D8D7C" w14:textId="77777777" w:rsidR="00535A76" w:rsidRPr="00CB6DBB" w:rsidRDefault="00535A76" w:rsidP="00535A76">
      <w:pPr>
        <w:jc w:val="both"/>
        <w:rPr>
          <w:rFonts w:ascii="Arial" w:hAnsi="Arial" w:cs="Arial"/>
        </w:rPr>
      </w:pPr>
      <w:r w:rsidRPr="00535A76">
        <w:rPr>
          <w:rStyle w:val="PrrafodelistaCar"/>
          <w:rFonts w:ascii="Arial" w:eastAsia="Calibri" w:hAnsi="Arial" w:cs="Arial"/>
          <w:vertAlign w:val="superscript"/>
        </w:rPr>
        <w:footnoteRef/>
      </w:r>
      <w:r w:rsidRPr="00CB6DBB">
        <w:rPr>
          <w:rFonts w:ascii="Arial" w:hAnsi="Arial" w:cs="Arial"/>
        </w:rPr>
        <w:t xml:space="preserve"> Se utilizará la expresión Código Electoral para hacer referencia al Código de Instituciones y Procedimientos Electorales de la Ciudad de México.</w:t>
      </w:r>
    </w:p>
  </w:footnote>
  <w:footnote w:id="69">
    <w:p w14:paraId="6979BE10" w14:textId="77777777" w:rsidR="00535A76" w:rsidRPr="00E35DD4" w:rsidRDefault="00535A76" w:rsidP="00535A76">
      <w:pPr>
        <w:jc w:val="both"/>
        <w:rPr>
          <w:rFonts w:ascii="Arial" w:hAnsi="Arial" w:cs="Arial"/>
        </w:rPr>
      </w:pPr>
      <w:r w:rsidRPr="00535A76">
        <w:rPr>
          <w:rStyle w:val="PrrafodelistaCar"/>
          <w:rFonts w:ascii="Arial" w:eastAsia="Calibri" w:hAnsi="Arial" w:cs="Arial"/>
          <w:vertAlign w:val="superscript"/>
        </w:rPr>
        <w:footnoteRef/>
      </w:r>
      <w:r w:rsidRPr="00535A76">
        <w:rPr>
          <w:rFonts w:ascii="Arial" w:hAnsi="Arial" w:cs="Arial"/>
          <w:vertAlign w:val="superscript"/>
        </w:rPr>
        <w:t xml:space="preserve"> </w:t>
      </w:r>
      <w:r>
        <w:rPr>
          <w:rFonts w:ascii="Arial" w:hAnsi="Arial" w:cs="Arial"/>
          <w:bCs/>
        </w:rPr>
        <w:t>A</w:t>
      </w:r>
      <w:r w:rsidRPr="00E35DD4">
        <w:rPr>
          <w:rFonts w:ascii="Arial" w:hAnsi="Arial" w:cs="Arial"/>
          <w:bCs/>
        </w:rPr>
        <w:t xml:space="preserve"> partir del argumento de que con ello se favorece a la persona candidata que recibió un mejor índice de votación, sin que con ello se afecte la integración final de MORENA, pues se continua con una composición mayoritariamente femenina (armonización del principio democrático con el de paridad)</w:t>
      </w:r>
    </w:p>
  </w:footnote>
  <w:footnote w:id="70">
    <w:p w14:paraId="7E7D5AED" w14:textId="77777777" w:rsidR="00535A76" w:rsidRPr="00CB6DBB" w:rsidRDefault="00535A76" w:rsidP="00535A76">
      <w:pPr>
        <w:jc w:val="both"/>
        <w:rPr>
          <w:rFonts w:ascii="Arial" w:hAnsi="Arial" w:cs="Arial"/>
        </w:rPr>
      </w:pPr>
      <w:r w:rsidRPr="009B6ED0">
        <w:rPr>
          <w:rStyle w:val="PrrafodelistaCar"/>
          <w:rFonts w:ascii="Arial" w:eastAsia="Calibri" w:hAnsi="Arial" w:cs="Arial"/>
          <w:vertAlign w:val="superscript"/>
        </w:rPr>
        <w:footnoteRef/>
      </w:r>
      <w:r w:rsidRPr="00CB6DBB">
        <w:rPr>
          <w:rFonts w:ascii="Arial" w:hAnsi="Arial" w:cs="Arial"/>
        </w:rPr>
        <w:t xml:space="preserve"> </w:t>
      </w:r>
      <w:r w:rsidRPr="00CB6DBB">
        <w:rPr>
          <w:rFonts w:ascii="Arial" w:hAnsi="Arial" w:cs="Arial"/>
          <w:b/>
          <w:bCs/>
        </w:rPr>
        <w:t>IV.</w:t>
      </w:r>
      <w:r>
        <w:rPr>
          <w:rFonts w:ascii="Arial" w:hAnsi="Arial" w:cs="Arial"/>
        </w:rPr>
        <w:t xml:space="preserve"> </w:t>
      </w:r>
      <w:r w:rsidRPr="00CB6DBB">
        <w:rPr>
          <w:rFonts w:ascii="Arial" w:hAnsi="Arial" w:cs="Arial"/>
        </w:rPr>
        <w:t xml:space="preserve">Lista "B": Relación de diecisiete fórmulas de candidaturas a las diputaciones que no lograron el triunfo en la elección por el principio de mayoría relativa del distrito en que participaron, pero que alcanzaron a nivel distrital los mayores porcentajes de la votación local emitida, comparados respecto de otras fórmulas de su propio partido en esa misma elección; con la finalidad de garantizar la paridad de género, una vez que se determinó el primer lugar de ésta lista, el segundo lugar será ocupado por la fórmula del otro género con mayor porcentaje de la votación local emitida, </w:t>
      </w:r>
      <w:r w:rsidRPr="00CB6DBB">
        <w:rPr>
          <w:rFonts w:ascii="Arial" w:hAnsi="Arial" w:cs="Arial"/>
          <w:b/>
          <w:bCs/>
        </w:rPr>
        <w:t>e irán intercalando</w:t>
      </w:r>
      <w:r w:rsidRPr="00CB6DBB">
        <w:rPr>
          <w:rFonts w:ascii="Arial" w:hAnsi="Arial" w:cs="Arial"/>
        </w:rPr>
        <w:t xml:space="preserve"> de esta manera hasta concluir la integración de la lista.</w:t>
      </w:r>
    </w:p>
  </w:footnote>
  <w:footnote w:id="71">
    <w:p w14:paraId="2A16449D" w14:textId="77777777" w:rsidR="00535A76" w:rsidRPr="00CB6DBB" w:rsidRDefault="00535A76" w:rsidP="00535A76">
      <w:pPr>
        <w:jc w:val="both"/>
        <w:rPr>
          <w:rFonts w:ascii="Arial" w:hAnsi="Arial" w:cs="Arial"/>
        </w:rPr>
      </w:pPr>
      <w:r w:rsidRPr="009B6ED0">
        <w:rPr>
          <w:rStyle w:val="PrrafodelistaCar"/>
          <w:rFonts w:ascii="Arial" w:eastAsia="Calibri" w:hAnsi="Arial" w:cs="Arial"/>
          <w:vertAlign w:val="superscript"/>
        </w:rPr>
        <w:footnoteRef/>
      </w:r>
      <w:r w:rsidRPr="00CB6DBB">
        <w:rPr>
          <w:rFonts w:ascii="Arial" w:hAnsi="Arial" w:cs="Arial"/>
        </w:rPr>
        <w:t xml:space="preserve"> </w:t>
      </w:r>
      <w:r w:rsidRPr="00CB6DBB">
        <w:rPr>
          <w:rFonts w:ascii="Arial" w:hAnsi="Arial" w:cs="Arial"/>
          <w:b/>
        </w:rPr>
        <w:t>V.</w:t>
      </w:r>
      <w:r w:rsidRPr="00CB6DBB">
        <w:rPr>
          <w:rFonts w:ascii="Arial" w:hAnsi="Arial" w:cs="Arial"/>
        </w:rPr>
        <w:t xml:space="preserve"> Lista Definitiva, es el resultado de intercalar las fórmulas de candidatos de las Listas "A" y "B", que será encabezada siempre por la primera fórmula de la Lista "A". Tal intercalado podrá generar bloques de hasta dos fórmulas del mismo género, pero de diferente lista de origen.</w:t>
      </w:r>
    </w:p>
  </w:footnote>
  <w:footnote w:id="72">
    <w:p w14:paraId="33530118" w14:textId="77777777" w:rsidR="00535A76" w:rsidRPr="00896BD3" w:rsidRDefault="00535A76" w:rsidP="00535A76">
      <w:pPr>
        <w:jc w:val="both"/>
        <w:rPr>
          <w:rFonts w:ascii="Arial" w:hAnsi="Arial" w:cs="Arial"/>
          <w:sz w:val="18"/>
          <w:szCs w:val="18"/>
        </w:rPr>
      </w:pPr>
      <w:r w:rsidRPr="009B6ED0">
        <w:rPr>
          <w:rStyle w:val="PrrafodelistaCar"/>
          <w:rFonts w:ascii="Arial" w:eastAsia="Calibri" w:hAnsi="Arial" w:cs="Arial"/>
          <w:sz w:val="18"/>
          <w:szCs w:val="18"/>
          <w:vertAlign w:val="superscript"/>
        </w:rPr>
        <w:footnoteRef/>
      </w:r>
      <w:r w:rsidRPr="00896BD3">
        <w:rPr>
          <w:rFonts w:ascii="Arial" w:hAnsi="Arial" w:cs="Arial"/>
          <w:sz w:val="18"/>
          <w:szCs w:val="18"/>
        </w:rPr>
        <w:t xml:space="preserve"> Tesis 1ª. CCLXV/2016 (10a.) de rubro </w:t>
      </w:r>
      <w:r w:rsidRPr="00896BD3">
        <w:rPr>
          <w:rFonts w:ascii="Arial" w:hAnsi="Arial" w:cs="Arial"/>
          <w:b/>
          <w:bCs/>
          <w:sz w:val="18"/>
          <w:szCs w:val="18"/>
        </w:rPr>
        <w:t xml:space="preserve">“PRIMERA ETAPA </w:t>
      </w:r>
      <w:proofErr w:type="gramStart"/>
      <w:r w:rsidRPr="00896BD3">
        <w:rPr>
          <w:rFonts w:ascii="Arial" w:hAnsi="Arial" w:cs="Arial"/>
          <w:b/>
          <w:bCs/>
          <w:sz w:val="18"/>
          <w:szCs w:val="18"/>
        </w:rPr>
        <w:t>DEL TEST</w:t>
      </w:r>
      <w:proofErr w:type="gramEnd"/>
      <w:r w:rsidRPr="00896BD3">
        <w:rPr>
          <w:rFonts w:ascii="Arial" w:hAnsi="Arial" w:cs="Arial"/>
          <w:b/>
          <w:bCs/>
          <w:sz w:val="18"/>
          <w:szCs w:val="18"/>
        </w:rPr>
        <w:t xml:space="preserve"> DE PROPORCIONALIDAD. IDENTIFICACIÓN DE UNA FINALIDAD CONSTITUCIONALMENTE VÁLIDA.”</w:t>
      </w:r>
    </w:p>
  </w:footnote>
  <w:footnote w:id="73">
    <w:p w14:paraId="125DC931" w14:textId="77777777" w:rsidR="00535A76" w:rsidRPr="00896BD3" w:rsidRDefault="00535A76" w:rsidP="00535A76">
      <w:pPr>
        <w:jc w:val="both"/>
        <w:rPr>
          <w:rFonts w:ascii="Arial" w:hAnsi="Arial" w:cs="Arial"/>
          <w:sz w:val="18"/>
          <w:szCs w:val="18"/>
        </w:rPr>
      </w:pPr>
      <w:r w:rsidRPr="009B6ED0">
        <w:rPr>
          <w:rStyle w:val="PrrafodelistaCar"/>
          <w:rFonts w:ascii="Arial" w:eastAsia="Calibri" w:hAnsi="Arial" w:cs="Arial"/>
          <w:sz w:val="18"/>
          <w:szCs w:val="18"/>
          <w:vertAlign w:val="superscript"/>
        </w:rPr>
        <w:footnoteRef/>
      </w:r>
      <w:r w:rsidRPr="00896BD3">
        <w:rPr>
          <w:rFonts w:ascii="Arial" w:hAnsi="Arial" w:cs="Arial"/>
          <w:sz w:val="18"/>
          <w:szCs w:val="18"/>
        </w:rPr>
        <w:t xml:space="preserve"> Tesis 1ª. CCLXVIII/2016 (10a.), de rubro “SEGUNDA ETAPA </w:t>
      </w:r>
      <w:proofErr w:type="gramStart"/>
      <w:r w:rsidRPr="00896BD3">
        <w:rPr>
          <w:rFonts w:ascii="Arial" w:hAnsi="Arial" w:cs="Arial"/>
          <w:sz w:val="18"/>
          <w:szCs w:val="18"/>
        </w:rPr>
        <w:t>DEL TEST</w:t>
      </w:r>
      <w:proofErr w:type="gramEnd"/>
      <w:r w:rsidRPr="00896BD3">
        <w:rPr>
          <w:rFonts w:ascii="Arial" w:hAnsi="Arial" w:cs="Arial"/>
          <w:sz w:val="18"/>
          <w:szCs w:val="18"/>
        </w:rPr>
        <w:t xml:space="preserve"> DE PROPORCIONALIDAD. EXAMEN DE LA IDONEIDAD DE LA MEDIDA LEGISLATIVA.”</w:t>
      </w:r>
    </w:p>
  </w:footnote>
  <w:footnote w:id="74">
    <w:p w14:paraId="32FC1D9D" w14:textId="77777777" w:rsidR="00535A76" w:rsidRPr="00896BD3" w:rsidRDefault="00535A76" w:rsidP="00535A76">
      <w:pPr>
        <w:jc w:val="both"/>
        <w:rPr>
          <w:rFonts w:ascii="Arial" w:hAnsi="Arial" w:cs="Arial"/>
          <w:sz w:val="18"/>
          <w:szCs w:val="18"/>
        </w:rPr>
      </w:pPr>
      <w:r w:rsidRPr="009B6ED0">
        <w:rPr>
          <w:rStyle w:val="PrrafodelistaCar"/>
          <w:rFonts w:ascii="Arial" w:eastAsia="Calibri" w:hAnsi="Arial" w:cs="Arial"/>
          <w:sz w:val="18"/>
          <w:szCs w:val="18"/>
          <w:vertAlign w:val="superscript"/>
        </w:rPr>
        <w:footnoteRef/>
      </w:r>
      <w:r w:rsidRPr="00896BD3">
        <w:rPr>
          <w:rFonts w:ascii="Arial" w:hAnsi="Arial" w:cs="Arial"/>
          <w:sz w:val="18"/>
          <w:szCs w:val="18"/>
        </w:rPr>
        <w:t xml:space="preserve"> Tesis 1ª. CCLXX/2016 (10a.), de rubro “TERCERA ETAPA </w:t>
      </w:r>
      <w:proofErr w:type="gramStart"/>
      <w:r w:rsidRPr="00896BD3">
        <w:rPr>
          <w:rFonts w:ascii="Arial" w:hAnsi="Arial" w:cs="Arial"/>
          <w:sz w:val="18"/>
          <w:szCs w:val="18"/>
        </w:rPr>
        <w:t>DEL TEST</w:t>
      </w:r>
      <w:proofErr w:type="gramEnd"/>
      <w:r w:rsidRPr="00896BD3">
        <w:rPr>
          <w:rFonts w:ascii="Arial" w:hAnsi="Arial" w:cs="Arial"/>
          <w:sz w:val="18"/>
          <w:szCs w:val="18"/>
        </w:rPr>
        <w:t xml:space="preserve"> DE PROPORCIONALIDAD. EXAMEN DE LA NECESIDAD DE LA MEDIDA LEGISLATIVA.”</w:t>
      </w:r>
    </w:p>
  </w:footnote>
  <w:footnote w:id="75">
    <w:p w14:paraId="0D08EE73" w14:textId="77777777" w:rsidR="00535A76" w:rsidRPr="00896BD3" w:rsidRDefault="00535A76" w:rsidP="00535A76">
      <w:pPr>
        <w:jc w:val="both"/>
        <w:rPr>
          <w:rFonts w:ascii="Arial" w:hAnsi="Arial" w:cs="Arial"/>
          <w:sz w:val="18"/>
          <w:szCs w:val="18"/>
        </w:rPr>
      </w:pPr>
      <w:r w:rsidRPr="009B6ED0">
        <w:rPr>
          <w:rStyle w:val="PrrafodelistaCar"/>
          <w:rFonts w:ascii="Arial" w:eastAsia="Calibri" w:hAnsi="Arial" w:cs="Arial"/>
          <w:sz w:val="18"/>
          <w:szCs w:val="18"/>
          <w:vertAlign w:val="superscript"/>
        </w:rPr>
        <w:footnoteRef/>
      </w:r>
      <w:r w:rsidRPr="00896BD3">
        <w:rPr>
          <w:rFonts w:ascii="Arial" w:hAnsi="Arial" w:cs="Arial"/>
          <w:sz w:val="18"/>
          <w:szCs w:val="18"/>
        </w:rPr>
        <w:t xml:space="preserve"> Tesis 1ª. CCLXXII/2016 (10a.), de rubro “CUARTA ETAPA </w:t>
      </w:r>
      <w:proofErr w:type="gramStart"/>
      <w:r w:rsidRPr="00896BD3">
        <w:rPr>
          <w:rFonts w:ascii="Arial" w:hAnsi="Arial" w:cs="Arial"/>
          <w:sz w:val="18"/>
          <w:szCs w:val="18"/>
        </w:rPr>
        <w:t>DEL TEST</w:t>
      </w:r>
      <w:proofErr w:type="gramEnd"/>
      <w:r w:rsidRPr="00896BD3">
        <w:rPr>
          <w:rFonts w:ascii="Arial" w:hAnsi="Arial" w:cs="Arial"/>
          <w:sz w:val="18"/>
          <w:szCs w:val="18"/>
        </w:rPr>
        <w:t xml:space="preserve"> DE PROPORCIONALIDAD. EXAMEN DE LA PROPORCIONALIDAD EN SENTIDO ESTRICTO DE LA MEDIDA LEGISLATIVA.” </w:t>
      </w:r>
    </w:p>
  </w:footnote>
  <w:footnote w:id="76">
    <w:p w14:paraId="2AB06029" w14:textId="77777777" w:rsidR="00535A76" w:rsidRPr="00896BD3" w:rsidRDefault="00535A76" w:rsidP="00535A76">
      <w:pPr>
        <w:jc w:val="both"/>
        <w:rPr>
          <w:rFonts w:ascii="Arial" w:hAnsi="Arial" w:cs="Arial"/>
          <w:sz w:val="18"/>
          <w:szCs w:val="18"/>
        </w:rPr>
      </w:pPr>
      <w:r w:rsidRPr="009B6ED0">
        <w:rPr>
          <w:rStyle w:val="PrrafodelistaCar"/>
          <w:rFonts w:ascii="Arial" w:eastAsia="Calibri" w:hAnsi="Arial" w:cs="Arial"/>
          <w:sz w:val="18"/>
          <w:szCs w:val="18"/>
          <w:vertAlign w:val="superscript"/>
        </w:rPr>
        <w:footnoteRef/>
      </w:r>
      <w:r w:rsidRPr="00896BD3">
        <w:rPr>
          <w:rFonts w:ascii="Arial" w:hAnsi="Arial" w:cs="Arial"/>
          <w:sz w:val="18"/>
          <w:szCs w:val="18"/>
        </w:rPr>
        <w:t xml:space="preserve"> Artículo 24:</w:t>
      </w:r>
    </w:p>
    <w:p w14:paraId="4B65C914" w14:textId="77777777" w:rsidR="00535A76" w:rsidRPr="00896BD3" w:rsidRDefault="00535A76" w:rsidP="00535A76">
      <w:pPr>
        <w:jc w:val="both"/>
        <w:rPr>
          <w:rFonts w:ascii="Arial" w:hAnsi="Arial" w:cs="Arial"/>
          <w:sz w:val="18"/>
          <w:szCs w:val="18"/>
        </w:rPr>
      </w:pPr>
      <w:r w:rsidRPr="00896BD3">
        <w:rPr>
          <w:rFonts w:ascii="Arial" w:hAnsi="Arial" w:cs="Arial"/>
          <w:sz w:val="18"/>
          <w:szCs w:val="18"/>
        </w:rPr>
        <w:t>IV. Lista "B": Relación de diecisiete fórmulas de candidaturas a las diputaciones que no lograron el triunfo en la elección por el principio de mayoría relativa del distrito en que participaron, pero que alcanzaron a nivel distrital los mayores porcentajes de la votación local emitida, comparados respecto de otras fórmulas de su propio partido en esa misma elección; con la finalidad de garantizar la paridad de género, una vez que se determinó el primer lugar de ésta lista, el segundo lugar será ocupado por la fórmula del otro género con mayor porcentaje de la votación local emitida, e irán intercalando de esta manera hasta concluir la integración de la lista.</w:t>
      </w:r>
    </w:p>
  </w:footnote>
  <w:footnote w:id="77">
    <w:p w14:paraId="1ADFE959" w14:textId="77777777" w:rsidR="00535A76" w:rsidRPr="00896BD3" w:rsidRDefault="00535A76" w:rsidP="00535A76">
      <w:pPr>
        <w:jc w:val="both"/>
        <w:rPr>
          <w:rFonts w:ascii="Arial" w:hAnsi="Arial" w:cs="Arial"/>
          <w:sz w:val="18"/>
          <w:szCs w:val="18"/>
        </w:rPr>
      </w:pPr>
      <w:r w:rsidRPr="009B6ED0">
        <w:rPr>
          <w:rStyle w:val="PrrafodelistaCar"/>
          <w:rFonts w:ascii="Arial" w:eastAsia="Calibri" w:hAnsi="Arial" w:cs="Arial"/>
          <w:sz w:val="18"/>
          <w:szCs w:val="18"/>
          <w:vertAlign w:val="superscript"/>
        </w:rPr>
        <w:footnoteRef/>
      </w:r>
      <w:r w:rsidRPr="00896BD3">
        <w:rPr>
          <w:rFonts w:ascii="Arial" w:hAnsi="Arial" w:cs="Arial"/>
          <w:sz w:val="18"/>
          <w:szCs w:val="18"/>
        </w:rPr>
        <w:t xml:space="preserve"> Artículo 10.- Para efectos de la integración de la Lista "B", las coaliciones o candidaturas comunes deberán determinar en el convenio, en cuál Lista "B" de los partidos políticos promoventes de la coalición o candidatura común participarán las personas candidatas a Diputaciones, que no logrando el triunfo en la elección por el principio de mayoría relativa, alcancen a nivel distrital los mayores porcentajes de la votación local emitida comparados respecto de otras fórmulas de su propio partido en esa misma elección, para tales efectos se tomarán en cuenta sólo los votos recibidos por el partido postulante.</w:t>
      </w:r>
    </w:p>
  </w:footnote>
  <w:footnote w:id="78">
    <w:p w14:paraId="1B07B016" w14:textId="77777777" w:rsidR="00535A76" w:rsidRPr="00896BD3" w:rsidRDefault="00535A76" w:rsidP="00535A76">
      <w:pPr>
        <w:jc w:val="both"/>
        <w:rPr>
          <w:rFonts w:ascii="Arial" w:hAnsi="Arial" w:cs="Arial"/>
          <w:sz w:val="18"/>
          <w:szCs w:val="18"/>
        </w:rPr>
      </w:pPr>
      <w:r w:rsidRPr="009B6ED0">
        <w:rPr>
          <w:rStyle w:val="PrrafodelistaCar"/>
          <w:rFonts w:ascii="Arial" w:eastAsia="Calibri" w:hAnsi="Arial" w:cs="Arial"/>
          <w:sz w:val="18"/>
          <w:szCs w:val="18"/>
          <w:vertAlign w:val="superscript"/>
        </w:rPr>
        <w:footnoteRef/>
      </w:r>
      <w:r w:rsidRPr="00896BD3">
        <w:rPr>
          <w:rFonts w:ascii="Arial" w:hAnsi="Arial" w:cs="Arial"/>
          <w:sz w:val="18"/>
          <w:szCs w:val="18"/>
        </w:rPr>
        <w:t xml:space="preserve"> En concordancia con el artículo 298, fracción II, segundo párrafo del Código local</w:t>
      </w:r>
    </w:p>
  </w:footnote>
  <w:footnote w:id="79">
    <w:p w14:paraId="10FAEAAD" w14:textId="77777777" w:rsidR="00535A76" w:rsidRPr="00896BD3" w:rsidRDefault="00535A76" w:rsidP="00535A76">
      <w:pPr>
        <w:jc w:val="both"/>
        <w:rPr>
          <w:rFonts w:ascii="Arial" w:hAnsi="Arial" w:cs="Arial"/>
          <w:sz w:val="18"/>
          <w:szCs w:val="18"/>
        </w:rPr>
      </w:pPr>
      <w:r w:rsidRPr="009B6ED0">
        <w:rPr>
          <w:rStyle w:val="PrrafodelistaCar"/>
          <w:rFonts w:ascii="Arial" w:eastAsia="Calibri" w:hAnsi="Arial" w:cs="Arial"/>
          <w:sz w:val="18"/>
          <w:szCs w:val="18"/>
          <w:vertAlign w:val="superscript"/>
        </w:rPr>
        <w:footnoteRef/>
      </w:r>
      <w:r w:rsidRPr="00896BD3">
        <w:rPr>
          <w:rFonts w:ascii="Arial" w:hAnsi="Arial" w:cs="Arial"/>
          <w:sz w:val="18"/>
          <w:szCs w:val="18"/>
        </w:rPr>
        <w:t xml:space="preserve"> El resaltado es propio.</w:t>
      </w:r>
    </w:p>
  </w:footnote>
  <w:footnote w:id="80">
    <w:p w14:paraId="0509A88C" w14:textId="77777777" w:rsidR="00535A76" w:rsidRPr="00896BD3" w:rsidRDefault="00535A76" w:rsidP="00535A76">
      <w:pPr>
        <w:jc w:val="both"/>
        <w:rPr>
          <w:rFonts w:ascii="Arial" w:hAnsi="Arial" w:cs="Arial"/>
          <w:sz w:val="18"/>
          <w:szCs w:val="18"/>
        </w:rPr>
      </w:pPr>
      <w:r w:rsidRPr="009B6ED0">
        <w:rPr>
          <w:rStyle w:val="PrrafodelistaCar"/>
          <w:rFonts w:ascii="Arial" w:eastAsia="Calibri" w:hAnsi="Arial" w:cs="Arial"/>
          <w:sz w:val="18"/>
          <w:szCs w:val="18"/>
          <w:vertAlign w:val="superscript"/>
        </w:rPr>
        <w:footnoteRef/>
      </w:r>
      <w:r w:rsidRPr="00896BD3">
        <w:rPr>
          <w:rFonts w:ascii="Arial" w:hAnsi="Arial" w:cs="Arial"/>
          <w:sz w:val="18"/>
          <w:szCs w:val="18"/>
        </w:rPr>
        <w:t xml:space="preserve"> Al respecto, se omiten a los partidos MC y PVEM pues solo alcanzaron una asignación, la cual corresponde a la lista A</w:t>
      </w:r>
    </w:p>
  </w:footnote>
  <w:footnote w:id="81">
    <w:p w14:paraId="5E93B117" w14:textId="77777777" w:rsidR="00535A76" w:rsidRPr="00E71A25" w:rsidRDefault="00535A76" w:rsidP="00535A76">
      <w:pPr>
        <w:jc w:val="both"/>
        <w:rPr>
          <w:rFonts w:ascii="Arial" w:hAnsi="Arial" w:cs="Arial"/>
        </w:rPr>
      </w:pPr>
      <w:r w:rsidRPr="009B6ED0">
        <w:rPr>
          <w:rStyle w:val="PrrafodelistaCar"/>
          <w:rFonts w:ascii="Arial" w:eastAsia="Calibri" w:hAnsi="Arial" w:cs="Arial"/>
          <w:vertAlign w:val="superscript"/>
        </w:rPr>
        <w:footnoteRef/>
      </w:r>
      <w:r w:rsidRPr="00E71A25">
        <w:rPr>
          <w:rFonts w:ascii="Arial" w:hAnsi="Arial" w:cs="Arial"/>
        </w:rPr>
        <w:t xml:space="preserve"> SUP-REC-1452/2018; SUP-REC-1453/2018; SUP-REC-1499/2018; SUP-REC-1541/2018 y acumulado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CC503" w14:textId="77777777" w:rsidR="00EB40F1" w:rsidRPr="00EB40F1" w:rsidRDefault="00EB40F1" w:rsidP="00EB40F1">
    <w:pPr>
      <w:spacing w:after="0" w:line="240" w:lineRule="auto"/>
      <w:jc w:val="right"/>
      <w:rPr>
        <w:rFonts w:ascii="Arial" w:eastAsia="Arial" w:hAnsi="Arial" w:cs="Arial"/>
        <w:b/>
        <w:bCs/>
        <w:sz w:val="26"/>
        <w:szCs w:val="26"/>
        <w:lang w:val="es-ES_tradnl"/>
      </w:rPr>
    </w:pPr>
    <w:r w:rsidRPr="00EB40F1">
      <w:rPr>
        <w:rFonts w:ascii="Arial" w:eastAsia="Arial" w:hAnsi="Arial" w:cs="Arial"/>
        <w:b/>
        <w:bCs/>
        <w:sz w:val="26"/>
        <w:szCs w:val="26"/>
        <w:lang w:val="es-ES_tradnl"/>
      </w:rPr>
      <w:t>TECDMX-JEL-204/2021</w:t>
    </w:r>
  </w:p>
  <w:p w14:paraId="5780FDF9" w14:textId="4EBEC102" w:rsidR="00EB40F1" w:rsidRPr="00EB40F1" w:rsidRDefault="00EB40F1" w:rsidP="00EB40F1">
    <w:pPr>
      <w:pStyle w:val="Encabezado"/>
      <w:jc w:val="right"/>
      <w:rPr>
        <w:b/>
        <w:bCs/>
      </w:rPr>
    </w:pPr>
    <w:r w:rsidRPr="00EB40F1">
      <w:rPr>
        <w:rFonts w:ascii="Arial" w:eastAsia="Arial" w:hAnsi="Arial" w:cs="Arial"/>
        <w:b/>
        <w:bCs/>
        <w:sz w:val="26"/>
        <w:szCs w:val="26"/>
        <w:lang w:val="es-ES_tradnl"/>
      </w:rPr>
      <w:t>Y ACUMULADOS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D5075" w14:textId="21790716" w:rsidR="00EB40F1" w:rsidRPr="00EB40F1" w:rsidRDefault="00EB40F1" w:rsidP="00EB40F1">
    <w:pPr>
      <w:spacing w:after="0" w:line="240" w:lineRule="auto"/>
      <w:jc w:val="right"/>
      <w:rPr>
        <w:rFonts w:ascii="Arial" w:eastAsia="Arial" w:hAnsi="Arial" w:cs="Arial"/>
        <w:b/>
        <w:bCs/>
        <w:sz w:val="26"/>
        <w:szCs w:val="26"/>
        <w:lang w:val="es-ES_tradnl"/>
      </w:rPr>
    </w:pPr>
    <w:r w:rsidRPr="00C8743D">
      <w:rPr>
        <w:noProof/>
        <w:color w:val="FFFFFF" w:themeColor="background1"/>
        <w:lang w:eastAsia="es-MX"/>
      </w:rPr>
      <w:drawing>
        <wp:anchor distT="0" distB="0" distL="114300" distR="114300" simplePos="0" relativeHeight="251668480" behindDoc="1" locked="0" layoutInCell="1" allowOverlap="1" wp14:anchorId="3B119449" wp14:editId="56CAB207">
          <wp:simplePos x="0" y="0"/>
          <wp:positionH relativeFrom="margin">
            <wp:posOffset>-154379</wp:posOffset>
          </wp:positionH>
          <wp:positionV relativeFrom="paragraph">
            <wp:posOffset>-463138</wp:posOffset>
          </wp:positionV>
          <wp:extent cx="1414780" cy="1220470"/>
          <wp:effectExtent l="0" t="0" r="0" b="0"/>
          <wp:wrapNone/>
          <wp:docPr id="1" name="Imagen 1" descr="http://intranet/images/avisosycirculares/2017/nueva-imagen/escudo-te-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mages/avisosycirculares/2017/nueva-imagen/escudo-te-ofici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4780"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40F1">
      <w:rPr>
        <w:rFonts w:ascii="Arial" w:eastAsia="Arial" w:hAnsi="Arial" w:cs="Arial"/>
        <w:b/>
        <w:bCs/>
        <w:sz w:val="26"/>
        <w:szCs w:val="26"/>
        <w:lang w:val="es-ES_tradnl"/>
      </w:rPr>
      <w:t>TECDMX-JEL-204/2021</w:t>
    </w:r>
  </w:p>
  <w:p w14:paraId="502458DE" w14:textId="77777777" w:rsidR="00EB40F1" w:rsidRPr="00EB40F1" w:rsidRDefault="00EB40F1" w:rsidP="00EB40F1">
    <w:pPr>
      <w:pStyle w:val="Encabezado"/>
      <w:jc w:val="right"/>
      <w:rPr>
        <w:b/>
        <w:bCs/>
      </w:rPr>
    </w:pPr>
    <w:r w:rsidRPr="00EB40F1">
      <w:rPr>
        <w:rFonts w:ascii="Arial" w:eastAsia="Arial" w:hAnsi="Arial" w:cs="Arial"/>
        <w:b/>
        <w:bCs/>
        <w:sz w:val="26"/>
        <w:szCs w:val="26"/>
        <w:lang w:val="es-ES_tradnl"/>
      </w:rPr>
      <w:t>Y ACUMULADOS</w:t>
    </w:r>
  </w:p>
  <w:p w14:paraId="6564788C" w14:textId="3BAD8392" w:rsidR="00653185" w:rsidRDefault="00653185" w:rsidP="00EB40F1">
    <w:pPr>
      <w:pStyle w:val="Encabezado"/>
      <w:rPr>
        <w:rFonts w:cs="Arial"/>
        <w:b/>
        <w:color w:val="000000" w:themeColor="text1"/>
        <w:sz w:val="24"/>
        <w:szCs w:val="24"/>
      </w:rPr>
    </w:pPr>
  </w:p>
  <w:p w14:paraId="5A7180C7" w14:textId="77777777" w:rsidR="00653185" w:rsidRDefault="0065318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C8AF" w14:textId="637D6A31" w:rsidR="00045F13" w:rsidRPr="00EB40F1" w:rsidRDefault="00045F13" w:rsidP="00045F13">
    <w:pPr>
      <w:spacing w:after="0" w:line="240" w:lineRule="auto"/>
      <w:jc w:val="right"/>
      <w:rPr>
        <w:rFonts w:ascii="Arial" w:eastAsia="Arial" w:hAnsi="Arial" w:cs="Arial"/>
        <w:b/>
        <w:bCs/>
        <w:sz w:val="26"/>
        <w:szCs w:val="26"/>
        <w:lang w:val="es-ES_tradnl"/>
      </w:rPr>
    </w:pPr>
    <w:r w:rsidRPr="00C8743D">
      <w:rPr>
        <w:noProof/>
        <w:color w:val="FFFFFF" w:themeColor="background1"/>
        <w:lang w:eastAsia="es-MX"/>
      </w:rPr>
      <w:drawing>
        <wp:anchor distT="0" distB="0" distL="114300" distR="114300" simplePos="0" relativeHeight="251666432" behindDoc="0" locked="0" layoutInCell="1" allowOverlap="1" wp14:anchorId="60858C03" wp14:editId="214BD797">
          <wp:simplePos x="0" y="0"/>
          <wp:positionH relativeFrom="margin">
            <wp:posOffset>-131445</wp:posOffset>
          </wp:positionH>
          <wp:positionV relativeFrom="paragraph">
            <wp:posOffset>-128270</wp:posOffset>
          </wp:positionV>
          <wp:extent cx="1495425" cy="1238250"/>
          <wp:effectExtent l="0" t="0" r="9525" b="0"/>
          <wp:wrapSquare wrapText="bothSides"/>
          <wp:docPr id="2" name="Imagen 2" descr="http://intranet/images/avisosycirculares/2017/nueva-imagen/escudo-te-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mages/avisosycirculares/2017/nueva-imagen/escudo-te-ofici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40F1">
      <w:rPr>
        <w:rFonts w:ascii="Arial" w:eastAsia="Arial" w:hAnsi="Arial" w:cs="Arial"/>
        <w:b/>
        <w:bCs/>
        <w:sz w:val="26"/>
        <w:szCs w:val="26"/>
        <w:lang w:val="es-ES_tradnl"/>
      </w:rPr>
      <w:t>TECDMX-JEL-204/2021</w:t>
    </w:r>
  </w:p>
  <w:p w14:paraId="40DBA17D" w14:textId="249476ED" w:rsidR="00045F13" w:rsidRPr="00EB40F1" w:rsidRDefault="00045F13" w:rsidP="00045F13">
    <w:pPr>
      <w:pStyle w:val="Encabezado"/>
      <w:jc w:val="right"/>
      <w:rPr>
        <w:b/>
        <w:bCs/>
      </w:rPr>
    </w:pPr>
    <w:r w:rsidRPr="00EB40F1">
      <w:rPr>
        <w:rFonts w:ascii="Arial" w:eastAsia="Arial" w:hAnsi="Arial" w:cs="Arial"/>
        <w:b/>
        <w:bCs/>
        <w:sz w:val="26"/>
        <w:szCs w:val="26"/>
        <w:lang w:val="es-ES_tradnl"/>
      </w:rPr>
      <w:t>Y ACUMULADOS</w:t>
    </w:r>
  </w:p>
  <w:p w14:paraId="7B92BAD0" w14:textId="1AFFD43A" w:rsidR="00653185" w:rsidRDefault="00653185">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2BBE2" w14:textId="77777777" w:rsidR="00045F13" w:rsidRPr="00EB40F1" w:rsidRDefault="00045F13" w:rsidP="00045F13">
    <w:pPr>
      <w:spacing w:after="0" w:line="240" w:lineRule="auto"/>
      <w:jc w:val="right"/>
      <w:rPr>
        <w:rFonts w:ascii="Arial" w:eastAsia="Arial" w:hAnsi="Arial" w:cs="Arial"/>
        <w:b/>
        <w:bCs/>
        <w:sz w:val="26"/>
        <w:szCs w:val="26"/>
        <w:lang w:val="es-ES_tradnl"/>
      </w:rPr>
    </w:pPr>
    <w:r w:rsidRPr="00EB40F1">
      <w:rPr>
        <w:rFonts w:ascii="Arial" w:eastAsia="Arial" w:hAnsi="Arial" w:cs="Arial"/>
        <w:b/>
        <w:bCs/>
        <w:sz w:val="26"/>
        <w:szCs w:val="26"/>
        <w:lang w:val="es-ES_tradnl"/>
      </w:rPr>
      <w:t>TECDMX-JEL-204/2021</w:t>
    </w:r>
  </w:p>
  <w:p w14:paraId="097E85FA" w14:textId="77777777" w:rsidR="00045F13" w:rsidRPr="00EB40F1" w:rsidRDefault="00045F13" w:rsidP="00045F13">
    <w:pPr>
      <w:pStyle w:val="Encabezado"/>
      <w:jc w:val="right"/>
      <w:rPr>
        <w:b/>
        <w:bCs/>
      </w:rPr>
    </w:pPr>
    <w:r w:rsidRPr="00EB40F1">
      <w:rPr>
        <w:rFonts w:ascii="Arial" w:eastAsia="Arial" w:hAnsi="Arial" w:cs="Arial"/>
        <w:b/>
        <w:bCs/>
        <w:sz w:val="26"/>
        <w:szCs w:val="26"/>
        <w:lang w:val="es-ES_tradnl"/>
      </w:rPr>
      <w:t>Y ACUMULADOS</w:t>
    </w:r>
  </w:p>
  <w:p w14:paraId="76CF18DF" w14:textId="77777777" w:rsidR="00653185" w:rsidRDefault="0065318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A677D" w14:textId="0E6A088C" w:rsidR="00045F13" w:rsidRPr="00EB40F1" w:rsidRDefault="00653185" w:rsidP="00045F13">
    <w:pPr>
      <w:spacing w:after="0" w:line="240" w:lineRule="auto"/>
      <w:jc w:val="right"/>
      <w:rPr>
        <w:rFonts w:ascii="Arial" w:eastAsia="Arial" w:hAnsi="Arial" w:cs="Arial"/>
        <w:b/>
        <w:bCs/>
        <w:sz w:val="26"/>
        <w:szCs w:val="26"/>
        <w:lang w:val="es-ES_tradnl"/>
      </w:rPr>
    </w:pPr>
    <w:r w:rsidRPr="00A54B77">
      <w:rPr>
        <w:noProof/>
        <w:sz w:val="20"/>
        <w:szCs w:val="20"/>
        <w:lang w:eastAsia="es-MX"/>
      </w:rPr>
      <w:drawing>
        <wp:anchor distT="0" distB="0" distL="114300" distR="114300" simplePos="0" relativeHeight="251660288" behindDoc="1" locked="0" layoutInCell="1" allowOverlap="1" wp14:anchorId="3D30A7E2" wp14:editId="0EA566FD">
          <wp:simplePos x="0" y="0"/>
          <wp:positionH relativeFrom="column">
            <wp:posOffset>-56444</wp:posOffset>
          </wp:positionH>
          <wp:positionV relativeFrom="paragraph">
            <wp:posOffset>-237067</wp:posOffset>
          </wp:positionV>
          <wp:extent cx="1351915" cy="1171575"/>
          <wp:effectExtent l="0" t="0" r="635" b="9525"/>
          <wp:wrapNone/>
          <wp:docPr id="256" name="Imagen 256" descr="http://intranet/images/temporales/2017/2017-06-30_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mages/temporales/2017/2017-06-30_logo_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191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5F13" w:rsidRPr="00045F13">
      <w:rPr>
        <w:rFonts w:ascii="Arial" w:eastAsia="Arial" w:hAnsi="Arial" w:cs="Arial"/>
        <w:b/>
        <w:bCs/>
        <w:sz w:val="26"/>
        <w:szCs w:val="26"/>
        <w:lang w:val="es-ES_tradnl"/>
      </w:rPr>
      <w:t xml:space="preserve"> </w:t>
    </w:r>
    <w:r w:rsidR="00045F13" w:rsidRPr="00EB40F1">
      <w:rPr>
        <w:rFonts w:ascii="Arial" w:eastAsia="Arial" w:hAnsi="Arial" w:cs="Arial"/>
        <w:b/>
        <w:bCs/>
        <w:sz w:val="26"/>
        <w:szCs w:val="26"/>
        <w:lang w:val="es-ES_tradnl"/>
      </w:rPr>
      <w:t>TECDMX-JEL-204/2021</w:t>
    </w:r>
  </w:p>
  <w:p w14:paraId="5EDA5B1A" w14:textId="14D6A134" w:rsidR="00653185" w:rsidRPr="00045F13" w:rsidRDefault="00045F13" w:rsidP="00045F13">
    <w:pPr>
      <w:pStyle w:val="Encabezado"/>
      <w:jc w:val="right"/>
      <w:rPr>
        <w:b/>
        <w:bCs/>
      </w:rPr>
    </w:pPr>
    <w:r w:rsidRPr="00EB40F1">
      <w:rPr>
        <w:rFonts w:ascii="Arial" w:eastAsia="Arial" w:hAnsi="Arial" w:cs="Arial"/>
        <w:b/>
        <w:bCs/>
        <w:sz w:val="26"/>
        <w:szCs w:val="26"/>
        <w:lang w:val="es-ES_tradnl"/>
      </w:rPr>
      <w:t>Y ACUMULADOS</w:t>
    </w:r>
  </w:p>
  <w:p w14:paraId="79E5D40D" w14:textId="77777777" w:rsidR="00653185" w:rsidRDefault="0065318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2CADE" w14:textId="5247074D" w:rsidR="00045F13" w:rsidRDefault="00045F13" w:rsidP="00045F13">
    <w:pPr>
      <w:spacing w:after="0" w:line="240" w:lineRule="auto"/>
      <w:jc w:val="right"/>
      <w:rPr>
        <w:rFonts w:ascii="Arial" w:eastAsia="Arial" w:hAnsi="Arial" w:cs="Arial"/>
        <w:b/>
        <w:bCs/>
        <w:sz w:val="26"/>
        <w:szCs w:val="26"/>
        <w:lang w:val="es-ES_tradnl"/>
      </w:rPr>
    </w:pPr>
    <w:r>
      <w:rPr>
        <w:noProof/>
        <w:lang w:eastAsia="es-MX"/>
      </w:rPr>
      <w:drawing>
        <wp:anchor distT="0" distB="0" distL="114300" distR="114300" simplePos="0" relativeHeight="251659264" behindDoc="1" locked="0" layoutInCell="1" allowOverlap="1" wp14:anchorId="7A6CC23C" wp14:editId="09EFF20A">
          <wp:simplePos x="0" y="0"/>
          <wp:positionH relativeFrom="margin">
            <wp:align>left</wp:align>
          </wp:positionH>
          <wp:positionV relativeFrom="paragraph">
            <wp:posOffset>7620</wp:posOffset>
          </wp:positionV>
          <wp:extent cx="1351915" cy="1171575"/>
          <wp:effectExtent l="0" t="0" r="635" b="9525"/>
          <wp:wrapNone/>
          <wp:docPr id="258" name="Imagen 258" descr="http://intranet/images/temporales/2017/2017-06-30_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mages/temporales/2017/2017-06-30_logo_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191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67620" w14:textId="2B896DD3" w:rsidR="00045F13" w:rsidRPr="00EB40F1" w:rsidRDefault="00045F13" w:rsidP="00045F13">
    <w:pPr>
      <w:spacing w:after="0" w:line="240" w:lineRule="auto"/>
      <w:jc w:val="right"/>
      <w:rPr>
        <w:rFonts w:ascii="Arial" w:eastAsia="Arial" w:hAnsi="Arial" w:cs="Arial"/>
        <w:b/>
        <w:bCs/>
        <w:sz w:val="26"/>
        <w:szCs w:val="26"/>
        <w:lang w:val="es-ES_tradnl"/>
      </w:rPr>
    </w:pPr>
    <w:r w:rsidRPr="00EB40F1">
      <w:rPr>
        <w:rFonts w:ascii="Arial" w:eastAsia="Arial" w:hAnsi="Arial" w:cs="Arial"/>
        <w:b/>
        <w:bCs/>
        <w:sz w:val="26"/>
        <w:szCs w:val="26"/>
        <w:lang w:val="es-ES_tradnl"/>
      </w:rPr>
      <w:t>TECDMX-JEL-204/2021</w:t>
    </w:r>
  </w:p>
  <w:p w14:paraId="054E8D35" w14:textId="7149CDD9" w:rsidR="00045F13" w:rsidRPr="00EB40F1" w:rsidRDefault="00045F13" w:rsidP="00045F13">
    <w:pPr>
      <w:pStyle w:val="Encabezado"/>
      <w:jc w:val="right"/>
      <w:rPr>
        <w:b/>
        <w:bCs/>
      </w:rPr>
    </w:pPr>
    <w:r w:rsidRPr="00EB40F1">
      <w:rPr>
        <w:rFonts w:ascii="Arial" w:eastAsia="Arial" w:hAnsi="Arial" w:cs="Arial"/>
        <w:b/>
        <w:bCs/>
        <w:sz w:val="26"/>
        <w:szCs w:val="26"/>
        <w:lang w:val="es-ES_tradnl"/>
      </w:rPr>
      <w:t>Y ACUMULADOS</w:t>
    </w:r>
  </w:p>
  <w:p w14:paraId="1D53E51F" w14:textId="0997FE2B" w:rsidR="00653185" w:rsidRDefault="006531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5A16"/>
    <w:multiLevelType w:val="hybridMultilevel"/>
    <w:tmpl w:val="57C0FCA4"/>
    <w:lvl w:ilvl="0" w:tplc="95A0C56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226106C"/>
    <w:multiLevelType w:val="hybridMultilevel"/>
    <w:tmpl w:val="9452B942"/>
    <w:lvl w:ilvl="0" w:tplc="2E82A740">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A90EDD"/>
    <w:multiLevelType w:val="hybridMultilevel"/>
    <w:tmpl w:val="1C60EA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E32733"/>
    <w:multiLevelType w:val="hybridMultilevel"/>
    <w:tmpl w:val="0FBAA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760CBC"/>
    <w:multiLevelType w:val="hybridMultilevel"/>
    <w:tmpl w:val="9452B942"/>
    <w:lvl w:ilvl="0" w:tplc="2E82A740">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341D51"/>
    <w:multiLevelType w:val="hybridMultilevel"/>
    <w:tmpl w:val="B5E0DB22"/>
    <w:lvl w:ilvl="0" w:tplc="5CFE1A5C">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285BB5"/>
    <w:multiLevelType w:val="hybridMultilevel"/>
    <w:tmpl w:val="92F2B594"/>
    <w:lvl w:ilvl="0" w:tplc="080A0001">
      <w:start w:val="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BB32F7"/>
    <w:multiLevelType w:val="hybridMultilevel"/>
    <w:tmpl w:val="FC56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B3671"/>
    <w:multiLevelType w:val="hybridMultilevel"/>
    <w:tmpl w:val="25CED00C"/>
    <w:lvl w:ilvl="0" w:tplc="A906D934">
      <w:start w:val="1"/>
      <w:numFmt w:val="bullet"/>
      <w:lvlText w:val="-"/>
      <w:lvlJc w:val="left"/>
      <w:pPr>
        <w:ind w:left="720" w:hanging="360"/>
      </w:pPr>
      <w:rPr>
        <w:rFonts w:ascii="Arial" w:eastAsiaTheme="minorHAnsi"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801864"/>
    <w:multiLevelType w:val="hybridMultilevel"/>
    <w:tmpl w:val="7A6637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F44B6B"/>
    <w:multiLevelType w:val="hybridMultilevel"/>
    <w:tmpl w:val="E9F4BA18"/>
    <w:lvl w:ilvl="0" w:tplc="B310F51C">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7247FC"/>
    <w:multiLevelType w:val="hybridMultilevel"/>
    <w:tmpl w:val="418865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236FCD"/>
    <w:multiLevelType w:val="hybridMultilevel"/>
    <w:tmpl w:val="9EB40702"/>
    <w:lvl w:ilvl="0" w:tplc="87703F60">
      <w:start w:val="4"/>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053923"/>
    <w:multiLevelType w:val="hybridMultilevel"/>
    <w:tmpl w:val="28DE5530"/>
    <w:lvl w:ilvl="0" w:tplc="E34C8F3A">
      <w:start w:val="1"/>
      <w:numFmt w:val="bullet"/>
      <w:lvlText w:val=""/>
      <w:lvlJc w:val="left"/>
      <w:pPr>
        <w:ind w:left="720" w:hanging="360"/>
      </w:pPr>
      <w:rPr>
        <w:rFonts w:ascii="Symbol" w:eastAsiaTheme="minorHAnsi" w:hAnsi="Symbol"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F314BBD"/>
    <w:multiLevelType w:val="hybridMultilevel"/>
    <w:tmpl w:val="5D804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007F00"/>
    <w:multiLevelType w:val="hybridMultilevel"/>
    <w:tmpl w:val="9FD685A0"/>
    <w:lvl w:ilvl="0" w:tplc="FEC6BB9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34314F"/>
    <w:multiLevelType w:val="hybridMultilevel"/>
    <w:tmpl w:val="FE12BC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495C6C"/>
    <w:multiLevelType w:val="hybridMultilevel"/>
    <w:tmpl w:val="9452B942"/>
    <w:lvl w:ilvl="0" w:tplc="2E82A740">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C5C73B3"/>
    <w:multiLevelType w:val="hybridMultilevel"/>
    <w:tmpl w:val="ED3835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CB83E1D"/>
    <w:multiLevelType w:val="hybridMultilevel"/>
    <w:tmpl w:val="9452B942"/>
    <w:lvl w:ilvl="0" w:tplc="2E82A740">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01F4770"/>
    <w:multiLevelType w:val="hybridMultilevel"/>
    <w:tmpl w:val="D730E98C"/>
    <w:lvl w:ilvl="0" w:tplc="41304DA0">
      <w:start w:val="1"/>
      <w:numFmt w:val="lowerRoman"/>
      <w:lvlText w:val="%1)"/>
      <w:lvlJc w:val="left"/>
      <w:pPr>
        <w:ind w:left="1080" w:hanging="360"/>
      </w:pPr>
      <w:rPr>
        <w:rFonts w:ascii="Arial" w:eastAsia="Times New Roman" w:hAnsi="Arial" w:cs="Arial"/>
        <w:b/>
        <w:bCs/>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1" w15:restartNumberingAfterBreak="0">
    <w:nsid w:val="32534A9E"/>
    <w:multiLevelType w:val="hybridMultilevel"/>
    <w:tmpl w:val="9452B942"/>
    <w:lvl w:ilvl="0" w:tplc="2E82A740">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9F464F"/>
    <w:multiLevelType w:val="hybridMultilevel"/>
    <w:tmpl w:val="9452B942"/>
    <w:lvl w:ilvl="0" w:tplc="2E82A740">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BDF28ED"/>
    <w:multiLevelType w:val="hybridMultilevel"/>
    <w:tmpl w:val="9452B942"/>
    <w:lvl w:ilvl="0" w:tplc="2E82A740">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FC12213"/>
    <w:multiLevelType w:val="hybridMultilevel"/>
    <w:tmpl w:val="EB6AE796"/>
    <w:lvl w:ilvl="0" w:tplc="AB22A2E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FCB1DCB"/>
    <w:multiLevelType w:val="hybridMultilevel"/>
    <w:tmpl w:val="AE80DE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A4481B"/>
    <w:multiLevelType w:val="hybridMultilevel"/>
    <w:tmpl w:val="1E3EA6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8A7673C"/>
    <w:multiLevelType w:val="hybridMultilevel"/>
    <w:tmpl w:val="9452B942"/>
    <w:lvl w:ilvl="0" w:tplc="2E82A740">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61631D"/>
    <w:multiLevelType w:val="hybridMultilevel"/>
    <w:tmpl w:val="C1543A92"/>
    <w:lvl w:ilvl="0" w:tplc="ABD22EAC">
      <w:start w:val="1"/>
      <w:numFmt w:val="upperRoman"/>
      <w:lvlText w:val="%1."/>
      <w:lvlJc w:val="left"/>
      <w:pPr>
        <w:ind w:left="1080" w:hanging="720"/>
      </w:pPr>
      <w:rPr>
        <w:rFonts w:eastAsia="Calibri"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FD6A3C"/>
    <w:multiLevelType w:val="hybridMultilevel"/>
    <w:tmpl w:val="AE208372"/>
    <w:lvl w:ilvl="0" w:tplc="814471FE">
      <w:start w:val="3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1640BD"/>
    <w:multiLevelType w:val="hybridMultilevel"/>
    <w:tmpl w:val="9452B942"/>
    <w:lvl w:ilvl="0" w:tplc="2E82A740">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3B5549"/>
    <w:multiLevelType w:val="hybridMultilevel"/>
    <w:tmpl w:val="1110D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1409E5"/>
    <w:multiLevelType w:val="hybridMultilevel"/>
    <w:tmpl w:val="92903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25033E"/>
    <w:multiLevelType w:val="hybridMultilevel"/>
    <w:tmpl w:val="FB463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1C632AD"/>
    <w:multiLevelType w:val="hybridMultilevel"/>
    <w:tmpl w:val="9452B942"/>
    <w:lvl w:ilvl="0" w:tplc="2E82A740">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2EB2459"/>
    <w:multiLevelType w:val="hybridMultilevel"/>
    <w:tmpl w:val="2D42960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99155F"/>
    <w:multiLevelType w:val="hybridMultilevel"/>
    <w:tmpl w:val="26C268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EBE45AB"/>
    <w:multiLevelType w:val="hybridMultilevel"/>
    <w:tmpl w:val="9452B942"/>
    <w:lvl w:ilvl="0" w:tplc="2E82A740">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667100D"/>
    <w:multiLevelType w:val="hybridMultilevel"/>
    <w:tmpl w:val="DCBA5BE4"/>
    <w:lvl w:ilvl="0" w:tplc="69C636E8">
      <w:start w:val="5"/>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68943C4"/>
    <w:multiLevelType w:val="hybridMultilevel"/>
    <w:tmpl w:val="BC823A9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561C56"/>
    <w:multiLevelType w:val="hybridMultilevel"/>
    <w:tmpl w:val="68E6B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765586"/>
    <w:multiLevelType w:val="hybridMultilevel"/>
    <w:tmpl w:val="8D7EC3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072003"/>
    <w:multiLevelType w:val="hybridMultilevel"/>
    <w:tmpl w:val="D56C0CA2"/>
    <w:lvl w:ilvl="0" w:tplc="6D5AAD16">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B166024"/>
    <w:multiLevelType w:val="hybridMultilevel"/>
    <w:tmpl w:val="6896AE84"/>
    <w:lvl w:ilvl="0" w:tplc="CAC68A70">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28"/>
  </w:num>
  <w:num w:numId="3">
    <w:abstractNumId w:val="36"/>
  </w:num>
  <w:num w:numId="4">
    <w:abstractNumId w:val="31"/>
  </w:num>
  <w:num w:numId="5">
    <w:abstractNumId w:val="7"/>
  </w:num>
  <w:num w:numId="6">
    <w:abstractNumId w:val="3"/>
  </w:num>
  <w:num w:numId="7">
    <w:abstractNumId w:val="20"/>
  </w:num>
  <w:num w:numId="8">
    <w:abstractNumId w:val="12"/>
  </w:num>
  <w:num w:numId="9">
    <w:abstractNumId w:val="24"/>
  </w:num>
  <w:num w:numId="10">
    <w:abstractNumId w:val="10"/>
  </w:num>
  <w:num w:numId="11">
    <w:abstractNumId w:val="26"/>
  </w:num>
  <w:num w:numId="12">
    <w:abstractNumId w:val="11"/>
  </w:num>
  <w:num w:numId="13">
    <w:abstractNumId w:val="8"/>
  </w:num>
  <w:num w:numId="14">
    <w:abstractNumId w:val="5"/>
  </w:num>
  <w:num w:numId="15">
    <w:abstractNumId w:val="6"/>
  </w:num>
  <w:num w:numId="16">
    <w:abstractNumId w:val="43"/>
  </w:num>
  <w:num w:numId="17">
    <w:abstractNumId w:val="15"/>
  </w:num>
  <w:num w:numId="18">
    <w:abstractNumId w:val="4"/>
  </w:num>
  <w:num w:numId="19">
    <w:abstractNumId w:val="18"/>
  </w:num>
  <w:num w:numId="20">
    <w:abstractNumId w:val="25"/>
  </w:num>
  <w:num w:numId="21">
    <w:abstractNumId w:val="42"/>
  </w:num>
  <w:num w:numId="22">
    <w:abstractNumId w:val="27"/>
  </w:num>
  <w:num w:numId="23">
    <w:abstractNumId w:val="19"/>
  </w:num>
  <w:num w:numId="24">
    <w:abstractNumId w:val="21"/>
  </w:num>
  <w:num w:numId="25">
    <w:abstractNumId w:val="34"/>
  </w:num>
  <w:num w:numId="26">
    <w:abstractNumId w:val="30"/>
  </w:num>
  <w:num w:numId="27">
    <w:abstractNumId w:val="29"/>
  </w:num>
  <w:num w:numId="28">
    <w:abstractNumId w:val="9"/>
  </w:num>
  <w:num w:numId="29">
    <w:abstractNumId w:val="13"/>
  </w:num>
  <w:num w:numId="30">
    <w:abstractNumId w:val="38"/>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32"/>
  </w:num>
  <w:num w:numId="34">
    <w:abstractNumId w:val="14"/>
  </w:num>
  <w:num w:numId="35">
    <w:abstractNumId w:val="22"/>
  </w:num>
  <w:num w:numId="36">
    <w:abstractNumId w:val="2"/>
  </w:num>
  <w:num w:numId="37">
    <w:abstractNumId w:val="41"/>
  </w:num>
  <w:num w:numId="38">
    <w:abstractNumId w:val="33"/>
  </w:num>
  <w:num w:numId="39">
    <w:abstractNumId w:val="1"/>
  </w:num>
  <w:num w:numId="40">
    <w:abstractNumId w:val="23"/>
  </w:num>
  <w:num w:numId="41">
    <w:abstractNumId w:val="35"/>
  </w:num>
  <w:num w:numId="42">
    <w:abstractNumId w:val="39"/>
  </w:num>
  <w:num w:numId="43">
    <w:abstractNumId w:val="17"/>
  </w:num>
  <w:num w:numId="44">
    <w:abstractNumId w:val="3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revisionView w:inkAnnotations="0"/>
  <w:defaultTabStop w:val="709"/>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AAE"/>
    <w:rsid w:val="00000CB0"/>
    <w:rsid w:val="00026972"/>
    <w:rsid w:val="000400F4"/>
    <w:rsid w:val="000415BD"/>
    <w:rsid w:val="00044A42"/>
    <w:rsid w:val="00045F13"/>
    <w:rsid w:val="00067D94"/>
    <w:rsid w:val="000713E7"/>
    <w:rsid w:val="00071910"/>
    <w:rsid w:val="00084DE4"/>
    <w:rsid w:val="000B00BB"/>
    <w:rsid w:val="000B0266"/>
    <w:rsid w:val="000C0599"/>
    <w:rsid w:val="000D012D"/>
    <w:rsid w:val="000D5BC0"/>
    <w:rsid w:val="00101AC8"/>
    <w:rsid w:val="001048DA"/>
    <w:rsid w:val="001121CE"/>
    <w:rsid w:val="00112F51"/>
    <w:rsid w:val="0011303B"/>
    <w:rsid w:val="00114630"/>
    <w:rsid w:val="00117502"/>
    <w:rsid w:val="00127B59"/>
    <w:rsid w:val="00130A90"/>
    <w:rsid w:val="00137439"/>
    <w:rsid w:val="00142AAE"/>
    <w:rsid w:val="00145FFB"/>
    <w:rsid w:val="001539E6"/>
    <w:rsid w:val="00157015"/>
    <w:rsid w:val="00171DDF"/>
    <w:rsid w:val="00175978"/>
    <w:rsid w:val="0018677D"/>
    <w:rsid w:val="00187024"/>
    <w:rsid w:val="0019099C"/>
    <w:rsid w:val="001911D5"/>
    <w:rsid w:val="001978CD"/>
    <w:rsid w:val="001B7E4B"/>
    <w:rsid w:val="001C695A"/>
    <w:rsid w:val="001D2B2B"/>
    <w:rsid w:val="001D620B"/>
    <w:rsid w:val="001E4146"/>
    <w:rsid w:val="001F3D97"/>
    <w:rsid w:val="001F4354"/>
    <w:rsid w:val="00213EC5"/>
    <w:rsid w:val="00216E9F"/>
    <w:rsid w:val="00222E36"/>
    <w:rsid w:val="00223D41"/>
    <w:rsid w:val="00250341"/>
    <w:rsid w:val="00252CE5"/>
    <w:rsid w:val="0025375E"/>
    <w:rsid w:val="002578EC"/>
    <w:rsid w:val="002624E2"/>
    <w:rsid w:val="0026281F"/>
    <w:rsid w:val="00286BB3"/>
    <w:rsid w:val="00287873"/>
    <w:rsid w:val="002A1637"/>
    <w:rsid w:val="002B1E2F"/>
    <w:rsid w:val="002C3EA5"/>
    <w:rsid w:val="002D1883"/>
    <w:rsid w:val="002E22BF"/>
    <w:rsid w:val="002E323F"/>
    <w:rsid w:val="00302968"/>
    <w:rsid w:val="0031222B"/>
    <w:rsid w:val="00313B65"/>
    <w:rsid w:val="0033094F"/>
    <w:rsid w:val="00337E2D"/>
    <w:rsid w:val="00340807"/>
    <w:rsid w:val="003446B1"/>
    <w:rsid w:val="00346511"/>
    <w:rsid w:val="003465F4"/>
    <w:rsid w:val="0035033F"/>
    <w:rsid w:val="00352D63"/>
    <w:rsid w:val="00365505"/>
    <w:rsid w:val="003762BC"/>
    <w:rsid w:val="00390446"/>
    <w:rsid w:val="003943A0"/>
    <w:rsid w:val="003A4393"/>
    <w:rsid w:val="003C15E5"/>
    <w:rsid w:val="003C3B09"/>
    <w:rsid w:val="003D047A"/>
    <w:rsid w:val="003D29D2"/>
    <w:rsid w:val="003E221D"/>
    <w:rsid w:val="003F1FE6"/>
    <w:rsid w:val="0040249A"/>
    <w:rsid w:val="0042169D"/>
    <w:rsid w:val="004217D4"/>
    <w:rsid w:val="00435D49"/>
    <w:rsid w:val="00455864"/>
    <w:rsid w:val="00455AF1"/>
    <w:rsid w:val="004565AE"/>
    <w:rsid w:val="00466F1F"/>
    <w:rsid w:val="00467906"/>
    <w:rsid w:val="00470091"/>
    <w:rsid w:val="004730A8"/>
    <w:rsid w:val="0047436C"/>
    <w:rsid w:val="00476E62"/>
    <w:rsid w:val="00484BF1"/>
    <w:rsid w:val="00494710"/>
    <w:rsid w:val="004B0882"/>
    <w:rsid w:val="004B0CC0"/>
    <w:rsid w:val="004D12EA"/>
    <w:rsid w:val="004D4B72"/>
    <w:rsid w:val="004E3FB7"/>
    <w:rsid w:val="004E5B36"/>
    <w:rsid w:val="005112E7"/>
    <w:rsid w:val="00520D2E"/>
    <w:rsid w:val="00522912"/>
    <w:rsid w:val="00523DD8"/>
    <w:rsid w:val="00523F1B"/>
    <w:rsid w:val="0053000A"/>
    <w:rsid w:val="00535A76"/>
    <w:rsid w:val="0055643E"/>
    <w:rsid w:val="00573CD1"/>
    <w:rsid w:val="00576352"/>
    <w:rsid w:val="00581D8F"/>
    <w:rsid w:val="005C00E0"/>
    <w:rsid w:val="005D5BA5"/>
    <w:rsid w:val="005D75EF"/>
    <w:rsid w:val="005E42E5"/>
    <w:rsid w:val="005F063B"/>
    <w:rsid w:val="00612978"/>
    <w:rsid w:val="0061431E"/>
    <w:rsid w:val="00645D6B"/>
    <w:rsid w:val="00653185"/>
    <w:rsid w:val="0066403A"/>
    <w:rsid w:val="00675A34"/>
    <w:rsid w:val="006935ED"/>
    <w:rsid w:val="00694E40"/>
    <w:rsid w:val="00696ED9"/>
    <w:rsid w:val="006A0326"/>
    <w:rsid w:val="006A0AA1"/>
    <w:rsid w:val="006A60ED"/>
    <w:rsid w:val="006C5E1C"/>
    <w:rsid w:val="006D181C"/>
    <w:rsid w:val="006D6D11"/>
    <w:rsid w:val="00723A5E"/>
    <w:rsid w:val="007511F6"/>
    <w:rsid w:val="007525C6"/>
    <w:rsid w:val="00755F15"/>
    <w:rsid w:val="007576C0"/>
    <w:rsid w:val="007A07B6"/>
    <w:rsid w:val="007A0F6A"/>
    <w:rsid w:val="007A1365"/>
    <w:rsid w:val="007B0ECE"/>
    <w:rsid w:val="007B14CB"/>
    <w:rsid w:val="007B6AFA"/>
    <w:rsid w:val="007C4BCF"/>
    <w:rsid w:val="007C71B0"/>
    <w:rsid w:val="007C7F75"/>
    <w:rsid w:val="007D0D40"/>
    <w:rsid w:val="007D3DE2"/>
    <w:rsid w:val="007D6ADF"/>
    <w:rsid w:val="007E6834"/>
    <w:rsid w:val="007F14BE"/>
    <w:rsid w:val="007F44AF"/>
    <w:rsid w:val="007F784E"/>
    <w:rsid w:val="008025B5"/>
    <w:rsid w:val="00810942"/>
    <w:rsid w:val="00815E7D"/>
    <w:rsid w:val="00820635"/>
    <w:rsid w:val="008236AE"/>
    <w:rsid w:val="00825A19"/>
    <w:rsid w:val="00836592"/>
    <w:rsid w:val="00845CA9"/>
    <w:rsid w:val="008554D7"/>
    <w:rsid w:val="00865827"/>
    <w:rsid w:val="00870578"/>
    <w:rsid w:val="00874767"/>
    <w:rsid w:val="00875398"/>
    <w:rsid w:val="00876416"/>
    <w:rsid w:val="008820D2"/>
    <w:rsid w:val="008913D7"/>
    <w:rsid w:val="008B6CCF"/>
    <w:rsid w:val="008B7522"/>
    <w:rsid w:val="008D349F"/>
    <w:rsid w:val="008E07E0"/>
    <w:rsid w:val="00902C5A"/>
    <w:rsid w:val="009058EE"/>
    <w:rsid w:val="00905AE5"/>
    <w:rsid w:val="00913C73"/>
    <w:rsid w:val="0092092D"/>
    <w:rsid w:val="009323D4"/>
    <w:rsid w:val="00940E9C"/>
    <w:rsid w:val="00950A0E"/>
    <w:rsid w:val="00951672"/>
    <w:rsid w:val="009665C0"/>
    <w:rsid w:val="00973E97"/>
    <w:rsid w:val="009803C8"/>
    <w:rsid w:val="009811A6"/>
    <w:rsid w:val="00981C3E"/>
    <w:rsid w:val="00993388"/>
    <w:rsid w:val="00993624"/>
    <w:rsid w:val="009A7414"/>
    <w:rsid w:val="009B6ED0"/>
    <w:rsid w:val="009E30B3"/>
    <w:rsid w:val="009E3748"/>
    <w:rsid w:val="009F3904"/>
    <w:rsid w:val="009F5F68"/>
    <w:rsid w:val="00A00B9F"/>
    <w:rsid w:val="00A011AC"/>
    <w:rsid w:val="00A06BD7"/>
    <w:rsid w:val="00A310C4"/>
    <w:rsid w:val="00A56585"/>
    <w:rsid w:val="00A6776D"/>
    <w:rsid w:val="00A84819"/>
    <w:rsid w:val="00A9503D"/>
    <w:rsid w:val="00AA6984"/>
    <w:rsid w:val="00AB1738"/>
    <w:rsid w:val="00AE3419"/>
    <w:rsid w:val="00B01E6A"/>
    <w:rsid w:val="00B169D7"/>
    <w:rsid w:val="00B250C9"/>
    <w:rsid w:val="00B26425"/>
    <w:rsid w:val="00B30C50"/>
    <w:rsid w:val="00B32F25"/>
    <w:rsid w:val="00B36F68"/>
    <w:rsid w:val="00B37FF6"/>
    <w:rsid w:val="00B44446"/>
    <w:rsid w:val="00B44B9A"/>
    <w:rsid w:val="00B4516B"/>
    <w:rsid w:val="00B45880"/>
    <w:rsid w:val="00B55135"/>
    <w:rsid w:val="00B61306"/>
    <w:rsid w:val="00B65D24"/>
    <w:rsid w:val="00B8751F"/>
    <w:rsid w:val="00B93A60"/>
    <w:rsid w:val="00BA2B97"/>
    <w:rsid w:val="00BA2BA9"/>
    <w:rsid w:val="00BB16A8"/>
    <w:rsid w:val="00BB6E56"/>
    <w:rsid w:val="00BE27A2"/>
    <w:rsid w:val="00BE4877"/>
    <w:rsid w:val="00BE55A4"/>
    <w:rsid w:val="00BF19FC"/>
    <w:rsid w:val="00BF2806"/>
    <w:rsid w:val="00C2724F"/>
    <w:rsid w:val="00C279D9"/>
    <w:rsid w:val="00C3786C"/>
    <w:rsid w:val="00C728FF"/>
    <w:rsid w:val="00C76A17"/>
    <w:rsid w:val="00C82279"/>
    <w:rsid w:val="00C95541"/>
    <w:rsid w:val="00C97D23"/>
    <w:rsid w:val="00CA621E"/>
    <w:rsid w:val="00CB6E82"/>
    <w:rsid w:val="00CD49A5"/>
    <w:rsid w:val="00CD7096"/>
    <w:rsid w:val="00CF2891"/>
    <w:rsid w:val="00CF7C62"/>
    <w:rsid w:val="00D20AC0"/>
    <w:rsid w:val="00D3248E"/>
    <w:rsid w:val="00D33F9D"/>
    <w:rsid w:val="00D42B0B"/>
    <w:rsid w:val="00D47FD3"/>
    <w:rsid w:val="00D56972"/>
    <w:rsid w:val="00D64E89"/>
    <w:rsid w:val="00D738FB"/>
    <w:rsid w:val="00D755A9"/>
    <w:rsid w:val="00D867F7"/>
    <w:rsid w:val="00DA18D3"/>
    <w:rsid w:val="00DA2DE7"/>
    <w:rsid w:val="00DC4161"/>
    <w:rsid w:val="00DC6512"/>
    <w:rsid w:val="00DD4598"/>
    <w:rsid w:val="00DD5C03"/>
    <w:rsid w:val="00DE2D46"/>
    <w:rsid w:val="00E27891"/>
    <w:rsid w:val="00E742D8"/>
    <w:rsid w:val="00E76FD6"/>
    <w:rsid w:val="00E84D46"/>
    <w:rsid w:val="00EA65D2"/>
    <w:rsid w:val="00EA6967"/>
    <w:rsid w:val="00EB40F1"/>
    <w:rsid w:val="00EC4FB4"/>
    <w:rsid w:val="00ED3D56"/>
    <w:rsid w:val="00ED476B"/>
    <w:rsid w:val="00ED6850"/>
    <w:rsid w:val="00EF5502"/>
    <w:rsid w:val="00F05CCB"/>
    <w:rsid w:val="00F11D68"/>
    <w:rsid w:val="00F16F55"/>
    <w:rsid w:val="00F30673"/>
    <w:rsid w:val="00F30F23"/>
    <w:rsid w:val="00F32542"/>
    <w:rsid w:val="00F32550"/>
    <w:rsid w:val="00F43BF1"/>
    <w:rsid w:val="00F57B54"/>
    <w:rsid w:val="00F57E44"/>
    <w:rsid w:val="00F7063C"/>
    <w:rsid w:val="00F80DC9"/>
    <w:rsid w:val="00F9314D"/>
    <w:rsid w:val="00F94B48"/>
    <w:rsid w:val="00F967FE"/>
    <w:rsid w:val="00FC3428"/>
    <w:rsid w:val="00FD02CD"/>
    <w:rsid w:val="00FD170C"/>
    <w:rsid w:val="00FD45CD"/>
    <w:rsid w:val="00FD4C93"/>
    <w:rsid w:val="00FE1673"/>
    <w:rsid w:val="00FF3D1A"/>
    <w:rsid w:val="00FF72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41"/>
    <o:shapelayout v:ext="edit">
      <o:idmap v:ext="edit" data="1"/>
    </o:shapelayout>
  </w:shapeDefaults>
  <w:decimalSymbol w:val="."/>
  <w:listSeparator w:val=","/>
  <w14:docId w14:val="78B5369E"/>
  <w15:chartTrackingRefBased/>
  <w15:docId w15:val="{8B72912B-17DB-9846-8903-9AC08B30B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E2F"/>
    <w:pPr>
      <w:spacing w:after="200" w:line="276" w:lineRule="auto"/>
    </w:pPr>
    <w:rPr>
      <w:sz w:val="22"/>
      <w:szCs w:val="22"/>
    </w:rPr>
  </w:style>
  <w:style w:type="paragraph" w:styleId="Ttulo1">
    <w:name w:val="heading 1"/>
    <w:basedOn w:val="Normal"/>
    <w:next w:val="Normal"/>
    <w:link w:val="Ttulo1Car"/>
    <w:uiPriority w:val="9"/>
    <w:qFormat/>
    <w:rsid w:val="00142AA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42AA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142A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2AAE"/>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42AAE"/>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42AAE"/>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142A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2AAE"/>
    <w:rPr>
      <w:sz w:val="22"/>
      <w:szCs w:val="22"/>
    </w:rPr>
  </w:style>
  <w:style w:type="table" w:styleId="Tablaconcuadrcula">
    <w:name w:val="Table Grid"/>
    <w:basedOn w:val="Tablanormal"/>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142A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2AAE"/>
    <w:rPr>
      <w:sz w:val="22"/>
      <w:szCs w:val="22"/>
    </w:rPr>
  </w:style>
  <w:style w:type="paragraph" w:styleId="NormalWeb">
    <w:name w:val="Normal (Web)"/>
    <w:aliases w:val="Normal (Web) Car,Normal (Web) Car1 Car Car,Normal (Web) Car Car Car Car Car Car Car Car Car Car,Normal (Web) Car Car Car Car Car Car,Car Car Car,Car Car Car Car Car,Car,Car Car, Car Car Car, Car Car Car Car Car, Car Car Car Car, Car Car Ca"/>
    <w:basedOn w:val="Normal"/>
    <w:link w:val="NormalWebCar1"/>
    <w:uiPriority w:val="99"/>
    <w:qFormat/>
    <w:rsid w:val="00142AA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WebCar1">
    <w:name w:val="Normal (Web) Car1"/>
    <w:aliases w:val="Normal (Web) Car Car,Normal (Web) Car1 Car Car Car,Normal (Web) Car Car Car Car Car Car Car Car Car Car Car,Normal (Web) Car Car Car Car Car Car Car,Car Car Car Car,Car Car Car Car Car Car,Car Car1,Car Car Car1, Car Car Car Car1"/>
    <w:link w:val="NormalWeb"/>
    <w:uiPriority w:val="99"/>
    <w:rsid w:val="00142AAE"/>
    <w:rPr>
      <w:rFonts w:ascii="Times New Roman" w:eastAsia="Times New Roman" w:hAnsi="Times New Roman" w:cs="Times New Roman"/>
      <w:lang w:val="es-ES" w:eastAsia="es-ES"/>
    </w:rPr>
  </w:style>
  <w:style w:type="paragraph" w:styleId="Textonotapie">
    <w:name w:val="footnote text"/>
    <w:aliases w:val="Car3,Footnote Text Char Char Char Char Char,Footnote Text Char Char Char Char,Footnote Text Cha,Footnote reference,FA Fu,Footnote Text Char Char Char,FA Fußnotentext,FA Fu?notentext,Footnote Text Char Char,FA Fuﬂnotentext,Ca, Car3,Ca1,C"/>
    <w:basedOn w:val="Normal"/>
    <w:link w:val="TextonotapieCar"/>
    <w:uiPriority w:val="99"/>
    <w:qFormat/>
    <w:rsid w:val="00142AAE"/>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3 Car,Footnote Text Char Char Char Char Char Car,Footnote Text Char Char Char Char Car,Footnote Text Cha Car,Footnote reference Car,FA Fu Car,Footnote Text Char Char Char Car,FA Fußnotentext Car,FA Fu?notentext Car,Ca Car, Car3 Car"/>
    <w:basedOn w:val="Fuentedeprrafopredeter"/>
    <w:link w:val="Textonotapie"/>
    <w:uiPriority w:val="99"/>
    <w:qFormat/>
    <w:rsid w:val="00142AAE"/>
    <w:rPr>
      <w:rFonts w:ascii="Times New Roman" w:eastAsia="Times New Roman" w:hAnsi="Times New Roman" w:cs="Times New Roman"/>
      <w:sz w:val="20"/>
      <w:szCs w:val="20"/>
      <w:lang w:val="es-ES" w:eastAsia="es-ES"/>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link w:val="4GChar"/>
    <w:uiPriority w:val="99"/>
    <w:qFormat/>
    <w:rsid w:val="00142AAE"/>
    <w:rPr>
      <w:vertAlign w:val="superscript"/>
    </w:rPr>
  </w:style>
  <w:style w:type="character" w:styleId="Hipervnculo">
    <w:name w:val="Hyperlink"/>
    <w:basedOn w:val="Fuentedeprrafopredeter"/>
    <w:uiPriority w:val="99"/>
    <w:unhideWhenUsed/>
    <w:rsid w:val="00142AAE"/>
    <w:rPr>
      <w:color w:val="0563C1" w:themeColor="hyperlink"/>
      <w:u w:val="single"/>
    </w:rPr>
  </w:style>
  <w:style w:type="character" w:customStyle="1" w:styleId="FontStyle13">
    <w:name w:val="Font Style13"/>
    <w:uiPriority w:val="99"/>
    <w:rsid w:val="00142AAE"/>
    <w:rPr>
      <w:rFonts w:ascii="Arial" w:hAnsi="Arial" w:cs="Arial"/>
      <w:b/>
      <w:bCs/>
      <w:sz w:val="22"/>
      <w:szCs w:val="22"/>
    </w:rPr>
  </w:style>
  <w:style w:type="paragraph" w:styleId="Prrafodelista">
    <w:name w:val="List Paragraph"/>
    <w:aliases w:val="CNBV Parrafo1,Párrafo de lista1,Cita texto,Parrafo 1,Lista multicolor - Énfasis 11,Lista vistosa - Énfasis 11,Cuadrícula media 1 - Énfasis 21,Footnote,List Paragraph2,List Paragraph1,Colorful List - Accent 11,List Paragraph-Thesis"/>
    <w:basedOn w:val="Normal"/>
    <w:link w:val="PrrafodelistaCar"/>
    <w:uiPriority w:val="34"/>
    <w:qFormat/>
    <w:rsid w:val="00142AAE"/>
    <w:pPr>
      <w:spacing w:after="0" w:line="240" w:lineRule="auto"/>
      <w:ind w:left="708"/>
      <w:jc w:val="both"/>
    </w:pPr>
    <w:rPr>
      <w:rFonts w:ascii="CG Times" w:eastAsia="Times New Roman" w:hAnsi="CG Times" w:cs="Times New Roman"/>
      <w:sz w:val="28"/>
      <w:szCs w:val="24"/>
      <w:lang w:eastAsia="es-ES"/>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Footnote Car,List Paragraph2 Car,List Paragraph1 Car"/>
    <w:link w:val="Prrafodelista"/>
    <w:uiPriority w:val="34"/>
    <w:qFormat/>
    <w:locked/>
    <w:rsid w:val="00142AAE"/>
    <w:rPr>
      <w:rFonts w:ascii="CG Times" w:eastAsia="Times New Roman" w:hAnsi="CG Times" w:cs="Times New Roman"/>
      <w:sz w:val="28"/>
      <w:lang w:eastAsia="es-ES"/>
    </w:rPr>
  </w:style>
  <w:style w:type="paragraph" w:styleId="Textoindependiente3">
    <w:name w:val="Body Text 3"/>
    <w:basedOn w:val="Normal"/>
    <w:link w:val="Textoindependiente3Car"/>
    <w:uiPriority w:val="99"/>
    <w:rsid w:val="00142AAE"/>
    <w:pPr>
      <w:spacing w:after="120" w:line="240" w:lineRule="auto"/>
      <w:jc w:val="both"/>
    </w:pPr>
    <w:rPr>
      <w:rFonts w:ascii="CG Times" w:eastAsia="Times New Roman" w:hAnsi="CG Times" w:cs="Times New Roman"/>
      <w:sz w:val="16"/>
      <w:szCs w:val="16"/>
      <w:lang w:eastAsia="es-ES"/>
    </w:rPr>
  </w:style>
  <w:style w:type="character" w:customStyle="1" w:styleId="Textoindependiente3Car">
    <w:name w:val="Texto independiente 3 Car"/>
    <w:basedOn w:val="Fuentedeprrafopredeter"/>
    <w:link w:val="Textoindependiente3"/>
    <w:uiPriority w:val="99"/>
    <w:rsid w:val="00142AAE"/>
    <w:rPr>
      <w:rFonts w:ascii="CG Times" w:eastAsia="Times New Roman" w:hAnsi="CG Times" w:cs="Times New Roman"/>
      <w:sz w:val="16"/>
      <w:szCs w:val="16"/>
      <w:lang w:eastAsia="es-ES"/>
    </w:rPr>
  </w:style>
  <w:style w:type="paragraph" w:styleId="Textodeglobo">
    <w:name w:val="Balloon Text"/>
    <w:basedOn w:val="Normal"/>
    <w:link w:val="TextodegloboCar"/>
    <w:uiPriority w:val="99"/>
    <w:unhideWhenUsed/>
    <w:rsid w:val="00142A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142AAE"/>
    <w:rPr>
      <w:rFonts w:ascii="Segoe UI" w:hAnsi="Segoe UI" w:cs="Segoe UI"/>
      <w:sz w:val="18"/>
      <w:szCs w:val="18"/>
    </w:rPr>
  </w:style>
  <w:style w:type="character" w:styleId="Refdecomentario">
    <w:name w:val="annotation reference"/>
    <w:basedOn w:val="Fuentedeprrafopredeter"/>
    <w:uiPriority w:val="99"/>
    <w:semiHidden/>
    <w:unhideWhenUsed/>
    <w:rsid w:val="00142AAE"/>
    <w:rPr>
      <w:sz w:val="16"/>
      <w:szCs w:val="16"/>
    </w:rPr>
  </w:style>
  <w:style w:type="paragraph" w:styleId="Textocomentario">
    <w:name w:val="annotation text"/>
    <w:basedOn w:val="Normal"/>
    <w:link w:val="TextocomentarioCar"/>
    <w:uiPriority w:val="99"/>
    <w:semiHidden/>
    <w:unhideWhenUsed/>
    <w:rsid w:val="00142A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42AAE"/>
    <w:rPr>
      <w:sz w:val="20"/>
      <w:szCs w:val="20"/>
    </w:rPr>
  </w:style>
  <w:style w:type="paragraph" w:styleId="Asuntodelcomentario">
    <w:name w:val="annotation subject"/>
    <w:basedOn w:val="Textocomentario"/>
    <w:next w:val="Textocomentario"/>
    <w:link w:val="AsuntodelcomentarioCar"/>
    <w:uiPriority w:val="99"/>
    <w:semiHidden/>
    <w:unhideWhenUsed/>
    <w:rsid w:val="00142AAE"/>
    <w:rPr>
      <w:b/>
      <w:bCs/>
    </w:rPr>
  </w:style>
  <w:style w:type="character" w:customStyle="1" w:styleId="AsuntodelcomentarioCar">
    <w:name w:val="Asunto del comentario Car"/>
    <w:basedOn w:val="TextocomentarioCar"/>
    <w:link w:val="Asuntodelcomentario"/>
    <w:uiPriority w:val="99"/>
    <w:semiHidden/>
    <w:rsid w:val="00142AAE"/>
    <w:rPr>
      <w:b/>
      <w:bCs/>
      <w:sz w:val="20"/>
      <w:szCs w:val="20"/>
    </w:rPr>
  </w:style>
  <w:style w:type="character" w:styleId="Textoennegrita">
    <w:name w:val="Strong"/>
    <w:basedOn w:val="Fuentedeprrafopredeter"/>
    <w:uiPriority w:val="22"/>
    <w:qFormat/>
    <w:rsid w:val="00142AAE"/>
    <w:rPr>
      <w:b/>
      <w:bCs/>
    </w:rPr>
  </w:style>
  <w:style w:type="table" w:styleId="Tablaconcuadrculaclara">
    <w:name w:val="Grid Table Light"/>
    <w:basedOn w:val="Tablanormal"/>
    <w:uiPriority w:val="40"/>
    <w:rsid w:val="00142AAE"/>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
    <w:name w:val="Tabla con cuadrícula1"/>
    <w:basedOn w:val="Tablanormal"/>
    <w:next w:val="Tablaconcuadrcula"/>
    <w:uiPriority w:val="5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Tablaconcuadrculaclara"/>
    <w:uiPriority w:val="40"/>
    <w:rsid w:val="00142AAE"/>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11">
    <w:name w:val="Cuadrícula de tabla clara11"/>
    <w:basedOn w:val="Tablanormal"/>
    <w:next w:val="Tablaconcuadrculaclara"/>
    <w:uiPriority w:val="40"/>
    <w:rsid w:val="00142AAE"/>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12">
    <w:name w:val="Cuadrícula de tabla clara12"/>
    <w:basedOn w:val="Tablanormal"/>
    <w:next w:val="Tablaconcuadrculaclara"/>
    <w:uiPriority w:val="40"/>
    <w:rsid w:val="00142AAE"/>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13">
    <w:name w:val="Cuadrícula de tabla clara13"/>
    <w:basedOn w:val="Tablanormal"/>
    <w:next w:val="Tablaconcuadrculaclara"/>
    <w:uiPriority w:val="40"/>
    <w:rsid w:val="00142AAE"/>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
    <w:name w:val="Cuadrícula de tabla clara2"/>
    <w:basedOn w:val="Tablanormal"/>
    <w:next w:val="Tablaconcuadrculaclara"/>
    <w:uiPriority w:val="40"/>
    <w:rsid w:val="00142AAE"/>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1">
    <w:name w:val="Sin lista1"/>
    <w:next w:val="Sinlista"/>
    <w:uiPriority w:val="99"/>
    <w:semiHidden/>
    <w:unhideWhenUsed/>
    <w:rsid w:val="00142AAE"/>
  </w:style>
  <w:style w:type="table" w:customStyle="1" w:styleId="Tablaconcuadrcula9">
    <w:name w:val="Tabla con cuadrícula9"/>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EHPT,Body Text2,Texto independiente Car Car Car"/>
    <w:basedOn w:val="Normal"/>
    <w:link w:val="TextoindependienteCar"/>
    <w:uiPriority w:val="99"/>
    <w:rsid w:val="00142AAE"/>
    <w:pPr>
      <w:widowControl w:val="0"/>
      <w:tabs>
        <w:tab w:val="left" w:pos="0"/>
        <w:tab w:val="left" w:pos="720"/>
        <w:tab w:val="left" w:pos="1440"/>
        <w:tab w:val="left" w:pos="1854"/>
        <w:tab w:val="left" w:pos="2160"/>
        <w:tab w:val="left" w:pos="2880"/>
        <w:tab w:val="left" w:pos="3600"/>
        <w:tab w:val="left" w:pos="4656"/>
        <w:tab w:val="left" w:pos="4956"/>
        <w:tab w:val="left" w:pos="5664"/>
        <w:tab w:val="left" w:pos="6372"/>
        <w:tab w:val="left" w:pos="7080"/>
        <w:tab w:val="left" w:pos="7788"/>
      </w:tabs>
      <w:suppressAutoHyphens/>
      <w:spacing w:after="0" w:line="240" w:lineRule="auto"/>
      <w:jc w:val="both"/>
    </w:pPr>
    <w:rPr>
      <w:rFonts w:ascii="Arial" w:eastAsia="Times New Roman" w:hAnsi="Arial" w:cs="Times New Roman"/>
      <w:spacing w:val="-3"/>
      <w:sz w:val="28"/>
      <w:szCs w:val="20"/>
      <w:lang w:val="es-ES_tradnl" w:eastAsia="es-ES"/>
    </w:rPr>
  </w:style>
  <w:style w:type="character" w:customStyle="1" w:styleId="TextoindependienteCar">
    <w:name w:val="Texto independiente Car"/>
    <w:aliases w:val="EHPT Car,Body Text2 Car,Texto independiente Car Car Car Car"/>
    <w:basedOn w:val="Fuentedeprrafopredeter"/>
    <w:link w:val="Textoindependiente"/>
    <w:uiPriority w:val="99"/>
    <w:rsid w:val="00142AAE"/>
    <w:rPr>
      <w:rFonts w:ascii="Arial" w:eastAsia="Times New Roman" w:hAnsi="Arial" w:cs="Times New Roman"/>
      <w:spacing w:val="-3"/>
      <w:sz w:val="28"/>
      <w:szCs w:val="20"/>
      <w:lang w:val="es-ES_tradnl" w:eastAsia="es-ES"/>
    </w:rPr>
  </w:style>
  <w:style w:type="table" w:customStyle="1" w:styleId="Cuadrculadetablaclara3">
    <w:name w:val="Cuadrícula de tabla clara3"/>
    <w:basedOn w:val="Tablanormal"/>
    <w:next w:val="Tablaconcuadrculaclara"/>
    <w:uiPriority w:val="40"/>
    <w:rsid w:val="00142AAE"/>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14">
    <w:name w:val="Cuadrícula de tabla clara14"/>
    <w:basedOn w:val="Tablanormal"/>
    <w:next w:val="Tablaconcuadrculaclara"/>
    <w:uiPriority w:val="40"/>
    <w:rsid w:val="00142AAE"/>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1">
    <w:name w:val="Cuadrícula de tabla clara21"/>
    <w:basedOn w:val="Tablanormal"/>
    <w:next w:val="Tablaconcuadrculaclara"/>
    <w:uiPriority w:val="40"/>
    <w:rsid w:val="00142AAE"/>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ARRAFOSENTENCIACar">
    <w:name w:val="PARRAFO SENTENCIA Car"/>
    <w:basedOn w:val="Fuentedeprrafopredeter"/>
    <w:link w:val="PARRAFOSENTENCIA"/>
    <w:locked/>
    <w:rsid w:val="00142AAE"/>
    <w:rPr>
      <w:rFonts w:ascii="Arial" w:hAnsi="Arial" w:cs="Arial"/>
      <w:lang w:eastAsia="es-ES"/>
    </w:rPr>
  </w:style>
  <w:style w:type="paragraph" w:customStyle="1" w:styleId="PARRAFOSENTENCIA">
    <w:name w:val="PARRAFO SENTENCIA"/>
    <w:basedOn w:val="Normal"/>
    <w:link w:val="PARRAFOSENTENCIACar"/>
    <w:qFormat/>
    <w:rsid w:val="00142AAE"/>
    <w:pPr>
      <w:spacing w:before="100" w:beforeAutospacing="1" w:after="100" w:afterAutospacing="1" w:line="360" w:lineRule="auto"/>
      <w:ind w:firstLine="851"/>
      <w:jc w:val="both"/>
    </w:pPr>
    <w:rPr>
      <w:rFonts w:ascii="Arial" w:hAnsi="Arial" w:cs="Arial"/>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142AAE"/>
    <w:pPr>
      <w:spacing w:after="0" w:line="240" w:lineRule="auto"/>
      <w:jc w:val="both"/>
    </w:pPr>
    <w:rPr>
      <w:sz w:val="24"/>
      <w:szCs w:val="24"/>
      <w:vertAlign w:val="superscript"/>
    </w:rPr>
  </w:style>
  <w:style w:type="paragraph" w:styleId="Ttulo">
    <w:name w:val="Title"/>
    <w:basedOn w:val="Normal"/>
    <w:next w:val="Normal"/>
    <w:link w:val="TtuloCar1"/>
    <w:qFormat/>
    <w:rsid w:val="00142A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10"/>
    <w:rsid w:val="00142AAE"/>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142AAE"/>
    <w:rPr>
      <w:rFonts w:asciiTheme="majorHAnsi" w:eastAsiaTheme="majorEastAsia" w:hAnsiTheme="majorHAnsi" w:cstheme="majorBidi"/>
      <w:spacing w:val="-10"/>
      <w:kern w:val="28"/>
      <w:sz w:val="56"/>
      <w:szCs w:val="56"/>
    </w:rPr>
  </w:style>
  <w:style w:type="character" w:styleId="Hipervnculovisitado">
    <w:name w:val="FollowedHyperlink"/>
    <w:basedOn w:val="Fuentedeprrafopredeter"/>
    <w:uiPriority w:val="99"/>
    <w:semiHidden/>
    <w:unhideWhenUsed/>
    <w:rsid w:val="00142AAE"/>
    <w:rPr>
      <w:color w:val="954F72" w:themeColor="followedHyperlink"/>
      <w:u w:val="single"/>
    </w:rPr>
  </w:style>
  <w:style w:type="paragraph" w:customStyle="1" w:styleId="Default">
    <w:name w:val="Default"/>
    <w:qFormat/>
    <w:rsid w:val="00142AAE"/>
    <w:pPr>
      <w:autoSpaceDE w:val="0"/>
      <w:autoSpaceDN w:val="0"/>
      <w:adjustRightInd w:val="0"/>
    </w:pPr>
    <w:rPr>
      <w:rFonts w:ascii="Arial" w:hAnsi="Arial" w:cs="Arial"/>
      <w:color w:val="000000"/>
    </w:rPr>
  </w:style>
  <w:style w:type="numbering" w:customStyle="1" w:styleId="Sinlista2">
    <w:name w:val="Sin lista2"/>
    <w:next w:val="Sinlista"/>
    <w:uiPriority w:val="99"/>
    <w:semiHidden/>
    <w:unhideWhenUsed/>
    <w:rsid w:val="00142AAE"/>
  </w:style>
  <w:style w:type="character" w:customStyle="1" w:styleId="TextonotapieCar1">
    <w:name w:val="Texto nota pie Car1"/>
    <w:basedOn w:val="Fuentedeprrafopredeter"/>
    <w:uiPriority w:val="99"/>
    <w:semiHidden/>
    <w:rsid w:val="00142AAE"/>
    <w:rPr>
      <w:rFonts w:ascii="Times New Roman" w:hAnsi="Times New Roman" w:cs="Times New Roman"/>
      <w:sz w:val="20"/>
      <w:szCs w:val="20"/>
      <w:lang w:eastAsia="es-ES"/>
    </w:rPr>
  </w:style>
  <w:style w:type="numbering" w:customStyle="1" w:styleId="Sinlista3">
    <w:name w:val="Sin lista3"/>
    <w:next w:val="Sinlista"/>
    <w:uiPriority w:val="99"/>
    <w:semiHidden/>
    <w:unhideWhenUsed/>
    <w:rsid w:val="00142AAE"/>
  </w:style>
  <w:style w:type="numbering" w:customStyle="1" w:styleId="Sinlista4">
    <w:name w:val="Sin lista4"/>
    <w:next w:val="Sinlista"/>
    <w:uiPriority w:val="99"/>
    <w:semiHidden/>
    <w:unhideWhenUsed/>
    <w:rsid w:val="00142AAE"/>
  </w:style>
  <w:style w:type="numbering" w:customStyle="1" w:styleId="Sinlista11">
    <w:name w:val="Sin lista11"/>
    <w:next w:val="Sinlista"/>
    <w:uiPriority w:val="99"/>
    <w:semiHidden/>
    <w:unhideWhenUsed/>
    <w:rsid w:val="00142AAE"/>
  </w:style>
  <w:style w:type="table" w:customStyle="1" w:styleId="Tablaconcuadrcula10">
    <w:name w:val="Tabla con cuadrícula10"/>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4">
    <w:name w:val="Cuadrícula de tabla clara4"/>
    <w:basedOn w:val="Tablanormal"/>
    <w:next w:val="Tablaconcuadrculaclara"/>
    <w:uiPriority w:val="40"/>
    <w:rsid w:val="00142AAE"/>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1">
    <w:name w:val="Tabla con cuadrícula11"/>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5">
    <w:name w:val="Cuadrícula de tabla clara15"/>
    <w:basedOn w:val="Tablanormal"/>
    <w:next w:val="Tablaconcuadrculaclara"/>
    <w:uiPriority w:val="40"/>
    <w:rsid w:val="00142AAE"/>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111">
    <w:name w:val="Cuadrícula de tabla clara111"/>
    <w:basedOn w:val="Tablanormal"/>
    <w:next w:val="Tablaconcuadrculaclara"/>
    <w:uiPriority w:val="40"/>
    <w:rsid w:val="00142AAE"/>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121">
    <w:name w:val="Cuadrícula de tabla clara121"/>
    <w:basedOn w:val="Tablanormal"/>
    <w:next w:val="Tablaconcuadrculaclara"/>
    <w:uiPriority w:val="40"/>
    <w:rsid w:val="00142AAE"/>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131">
    <w:name w:val="Cuadrícula de tabla clara131"/>
    <w:basedOn w:val="Tablanormal"/>
    <w:next w:val="Tablaconcuadrculaclara"/>
    <w:uiPriority w:val="40"/>
    <w:rsid w:val="00142AAE"/>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2">
    <w:name w:val="Cuadrícula de tabla clara22"/>
    <w:basedOn w:val="Tablanormal"/>
    <w:next w:val="Tablaconcuadrculaclara"/>
    <w:uiPriority w:val="40"/>
    <w:rsid w:val="00142AAE"/>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111">
    <w:name w:val="Sin lista111"/>
    <w:next w:val="Sinlista"/>
    <w:uiPriority w:val="99"/>
    <w:semiHidden/>
    <w:unhideWhenUsed/>
    <w:rsid w:val="00142AAE"/>
  </w:style>
  <w:style w:type="table" w:customStyle="1" w:styleId="Tablaconcuadrcula91">
    <w:name w:val="Tabla con cuadrícula91"/>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31">
    <w:name w:val="Cuadrícula de tabla clara31"/>
    <w:basedOn w:val="Tablanormal"/>
    <w:next w:val="Tablaconcuadrculaclara"/>
    <w:uiPriority w:val="40"/>
    <w:rsid w:val="00142AAE"/>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141">
    <w:name w:val="Cuadrícula de tabla clara141"/>
    <w:basedOn w:val="Tablanormal"/>
    <w:next w:val="Tablaconcuadrculaclara"/>
    <w:uiPriority w:val="40"/>
    <w:rsid w:val="00142AAE"/>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11">
    <w:name w:val="Cuadrícula de tabla clara211"/>
    <w:basedOn w:val="Tablanormal"/>
    <w:next w:val="Tablaconcuadrculaclara"/>
    <w:uiPriority w:val="40"/>
    <w:rsid w:val="00142AAE"/>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21">
    <w:name w:val="Sin lista21"/>
    <w:next w:val="Sinlista"/>
    <w:uiPriority w:val="99"/>
    <w:semiHidden/>
    <w:unhideWhenUsed/>
    <w:rsid w:val="00142AAE"/>
  </w:style>
  <w:style w:type="table" w:customStyle="1" w:styleId="Tablaconcuadrcula12">
    <w:name w:val="Tabla con cuadrícula12"/>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142AAE"/>
  </w:style>
  <w:style w:type="numbering" w:customStyle="1" w:styleId="Sinlista12">
    <w:name w:val="Sin lista12"/>
    <w:next w:val="Sinlista"/>
    <w:uiPriority w:val="99"/>
    <w:semiHidden/>
    <w:unhideWhenUsed/>
    <w:rsid w:val="00142AAE"/>
  </w:style>
  <w:style w:type="table" w:customStyle="1" w:styleId="Tablaconcuadrcula13">
    <w:name w:val="Tabla con cuadrícula13"/>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5">
    <w:name w:val="Cuadrícula de tabla clara5"/>
    <w:basedOn w:val="Tablanormal"/>
    <w:next w:val="Tablaconcuadrculaclara"/>
    <w:uiPriority w:val="40"/>
    <w:rsid w:val="00142AAE"/>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4">
    <w:name w:val="Tabla con cuadrícula14"/>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6">
    <w:name w:val="Cuadrícula de tabla clara16"/>
    <w:basedOn w:val="Tablanormal"/>
    <w:next w:val="Tablaconcuadrculaclara"/>
    <w:uiPriority w:val="40"/>
    <w:rsid w:val="00142AAE"/>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112">
    <w:name w:val="Cuadrícula de tabla clara112"/>
    <w:basedOn w:val="Tablanormal"/>
    <w:next w:val="Tablaconcuadrculaclara"/>
    <w:uiPriority w:val="40"/>
    <w:rsid w:val="00142AAE"/>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122">
    <w:name w:val="Cuadrícula de tabla clara122"/>
    <w:basedOn w:val="Tablanormal"/>
    <w:next w:val="Tablaconcuadrculaclara"/>
    <w:uiPriority w:val="40"/>
    <w:rsid w:val="00142AAE"/>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132">
    <w:name w:val="Cuadrícula de tabla clara132"/>
    <w:basedOn w:val="Tablanormal"/>
    <w:next w:val="Tablaconcuadrculaclara"/>
    <w:uiPriority w:val="40"/>
    <w:rsid w:val="00142AAE"/>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3">
    <w:name w:val="Cuadrícula de tabla clara23"/>
    <w:basedOn w:val="Tablanormal"/>
    <w:next w:val="Tablaconcuadrculaclara"/>
    <w:uiPriority w:val="40"/>
    <w:rsid w:val="00142AAE"/>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112">
    <w:name w:val="Sin lista112"/>
    <w:next w:val="Sinlista"/>
    <w:uiPriority w:val="99"/>
    <w:semiHidden/>
    <w:unhideWhenUsed/>
    <w:rsid w:val="00142AAE"/>
  </w:style>
  <w:style w:type="table" w:customStyle="1" w:styleId="Tablaconcuadrcula92">
    <w:name w:val="Tabla con cuadrícula92"/>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32">
    <w:name w:val="Cuadrícula de tabla clara32"/>
    <w:basedOn w:val="Tablanormal"/>
    <w:next w:val="Tablaconcuadrculaclara"/>
    <w:uiPriority w:val="40"/>
    <w:rsid w:val="00142AAE"/>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142">
    <w:name w:val="Cuadrícula de tabla clara142"/>
    <w:basedOn w:val="Tablanormal"/>
    <w:next w:val="Tablaconcuadrculaclara"/>
    <w:uiPriority w:val="40"/>
    <w:rsid w:val="00142AAE"/>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12">
    <w:name w:val="Cuadrícula de tabla clara212"/>
    <w:basedOn w:val="Tablanormal"/>
    <w:next w:val="Tablaconcuadrculaclara"/>
    <w:uiPriority w:val="40"/>
    <w:rsid w:val="00142AAE"/>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22">
    <w:name w:val="Sin lista22"/>
    <w:next w:val="Sinlista"/>
    <w:uiPriority w:val="99"/>
    <w:semiHidden/>
    <w:unhideWhenUsed/>
    <w:rsid w:val="00142AAE"/>
  </w:style>
  <w:style w:type="numbering" w:customStyle="1" w:styleId="Sinlista6">
    <w:name w:val="Sin lista6"/>
    <w:next w:val="Sinlista"/>
    <w:uiPriority w:val="99"/>
    <w:semiHidden/>
    <w:unhideWhenUsed/>
    <w:rsid w:val="00142AAE"/>
  </w:style>
  <w:style w:type="numbering" w:customStyle="1" w:styleId="Sinlista13">
    <w:name w:val="Sin lista13"/>
    <w:next w:val="Sinlista"/>
    <w:uiPriority w:val="99"/>
    <w:semiHidden/>
    <w:unhideWhenUsed/>
    <w:rsid w:val="00142AAE"/>
  </w:style>
  <w:style w:type="table" w:customStyle="1" w:styleId="Tablaconcuadrcula15">
    <w:name w:val="Tabla con cuadrícula15"/>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6">
    <w:name w:val="Cuadrícula de tabla clara6"/>
    <w:basedOn w:val="Tablanormal"/>
    <w:next w:val="Tablaconcuadrculaclara"/>
    <w:uiPriority w:val="40"/>
    <w:rsid w:val="00142AAE"/>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6">
    <w:name w:val="Tabla con cuadrícula16"/>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7">
    <w:name w:val="Cuadrícula de tabla clara17"/>
    <w:basedOn w:val="Tablanormal"/>
    <w:next w:val="Tablaconcuadrculaclara"/>
    <w:uiPriority w:val="40"/>
    <w:rsid w:val="00142AAE"/>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113">
    <w:name w:val="Cuadrícula de tabla clara113"/>
    <w:basedOn w:val="Tablanormal"/>
    <w:next w:val="Tablaconcuadrculaclara"/>
    <w:uiPriority w:val="40"/>
    <w:rsid w:val="00142AAE"/>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123">
    <w:name w:val="Cuadrícula de tabla clara123"/>
    <w:basedOn w:val="Tablanormal"/>
    <w:next w:val="Tablaconcuadrculaclara"/>
    <w:uiPriority w:val="40"/>
    <w:rsid w:val="00142AAE"/>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133">
    <w:name w:val="Cuadrícula de tabla clara133"/>
    <w:basedOn w:val="Tablanormal"/>
    <w:next w:val="Tablaconcuadrculaclara"/>
    <w:uiPriority w:val="40"/>
    <w:rsid w:val="00142AAE"/>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4">
    <w:name w:val="Cuadrícula de tabla clara24"/>
    <w:basedOn w:val="Tablanormal"/>
    <w:next w:val="Tablaconcuadrculaclara"/>
    <w:uiPriority w:val="40"/>
    <w:rsid w:val="00142AAE"/>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113">
    <w:name w:val="Sin lista113"/>
    <w:next w:val="Sinlista"/>
    <w:uiPriority w:val="99"/>
    <w:semiHidden/>
    <w:unhideWhenUsed/>
    <w:rsid w:val="00142AAE"/>
  </w:style>
  <w:style w:type="table" w:customStyle="1" w:styleId="Tablaconcuadrcula93">
    <w:name w:val="Tabla con cuadrícula93"/>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33">
    <w:name w:val="Cuadrícula de tabla clara33"/>
    <w:basedOn w:val="Tablanormal"/>
    <w:next w:val="Tablaconcuadrculaclara"/>
    <w:uiPriority w:val="40"/>
    <w:rsid w:val="00142AAE"/>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143">
    <w:name w:val="Cuadrícula de tabla clara143"/>
    <w:basedOn w:val="Tablanormal"/>
    <w:next w:val="Tablaconcuadrculaclara"/>
    <w:uiPriority w:val="40"/>
    <w:rsid w:val="00142AAE"/>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13">
    <w:name w:val="Cuadrícula de tabla clara213"/>
    <w:basedOn w:val="Tablanormal"/>
    <w:next w:val="Tablaconcuadrculaclara"/>
    <w:uiPriority w:val="40"/>
    <w:rsid w:val="00142AAE"/>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23">
    <w:name w:val="Sin lista23"/>
    <w:next w:val="Sinlista"/>
    <w:uiPriority w:val="99"/>
    <w:semiHidden/>
    <w:unhideWhenUsed/>
    <w:rsid w:val="00142AAE"/>
  </w:style>
  <w:style w:type="table" w:customStyle="1" w:styleId="Tablaconcuadrcula17">
    <w:name w:val="Tabla con cuadrícula17"/>
    <w:basedOn w:val="Tablanormal"/>
    <w:next w:val="Tablaconcuadrcula"/>
    <w:uiPriority w:val="3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142AA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142AAE"/>
    <w:rPr>
      <w:sz w:val="22"/>
      <w:szCs w:val="22"/>
    </w:rPr>
  </w:style>
  <w:style w:type="numbering" w:customStyle="1" w:styleId="Sinlista7">
    <w:name w:val="Sin lista7"/>
    <w:next w:val="Sinlista"/>
    <w:uiPriority w:val="99"/>
    <w:semiHidden/>
    <w:unhideWhenUsed/>
    <w:rsid w:val="00142AAE"/>
  </w:style>
  <w:style w:type="character" w:styleId="Nmerodepgina">
    <w:name w:val="page number"/>
    <w:basedOn w:val="Fuentedeprrafopredeter"/>
    <w:rsid w:val="00142AAE"/>
  </w:style>
  <w:style w:type="paragraph" w:customStyle="1" w:styleId="Ttulo10">
    <w:name w:val="Título1"/>
    <w:basedOn w:val="Normal"/>
    <w:link w:val="TtuloCar"/>
    <w:qFormat/>
    <w:rsid w:val="00142AAE"/>
    <w:pPr>
      <w:spacing w:before="240" w:after="60" w:line="240" w:lineRule="auto"/>
      <w:jc w:val="center"/>
      <w:outlineLvl w:val="0"/>
    </w:pPr>
    <w:rPr>
      <w:rFonts w:asciiTheme="majorHAnsi" w:eastAsiaTheme="majorEastAsia" w:hAnsiTheme="majorHAnsi" w:cstheme="majorBidi"/>
      <w:spacing w:val="-10"/>
      <w:kern w:val="28"/>
      <w:sz w:val="56"/>
      <w:szCs w:val="56"/>
    </w:rPr>
  </w:style>
  <w:style w:type="table" w:customStyle="1" w:styleId="Tablaconcuadrcula18">
    <w:name w:val="Tabla con cuadrícula18"/>
    <w:basedOn w:val="Tablanormal"/>
    <w:next w:val="Tablaconcuadrcula"/>
    <w:uiPriority w:val="5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142AAE"/>
    <w:pPr>
      <w:widowControl w:val="0"/>
      <w:autoSpaceDE w:val="0"/>
      <w:autoSpaceDN w:val="0"/>
      <w:adjustRightInd w:val="0"/>
      <w:spacing w:after="0" w:line="415" w:lineRule="exact"/>
      <w:jc w:val="both"/>
    </w:pPr>
    <w:rPr>
      <w:rFonts w:ascii="Arial" w:eastAsia="Times New Roman" w:hAnsi="Arial" w:cs="Arial"/>
      <w:sz w:val="24"/>
      <w:szCs w:val="24"/>
      <w:lang w:eastAsia="es-MX"/>
    </w:rPr>
  </w:style>
  <w:style w:type="character" w:customStyle="1" w:styleId="apple-converted-space">
    <w:name w:val="apple-converted-space"/>
    <w:rsid w:val="00142AAE"/>
  </w:style>
  <w:style w:type="paragraph" w:customStyle="1" w:styleId="Cuadrculamedia21">
    <w:name w:val="Cuadrícula media 21"/>
    <w:uiPriority w:val="1"/>
    <w:qFormat/>
    <w:rsid w:val="00142AAE"/>
    <w:rPr>
      <w:rFonts w:ascii="Calibri" w:eastAsia="Calibri" w:hAnsi="Calibri" w:cs="Times New Roman"/>
      <w:sz w:val="22"/>
      <w:szCs w:val="22"/>
    </w:rPr>
  </w:style>
  <w:style w:type="character" w:customStyle="1" w:styleId="lbl-encabezado-negro">
    <w:name w:val="lbl-encabezado-negro"/>
    <w:basedOn w:val="Fuentedeprrafopredeter"/>
    <w:rsid w:val="00142AAE"/>
  </w:style>
  <w:style w:type="character" w:customStyle="1" w:styleId="Cuerpodeltexto2">
    <w:name w:val="Cuerpo del texto (2)_"/>
    <w:basedOn w:val="Fuentedeprrafopredeter"/>
    <w:link w:val="Cuerpodeltexto20"/>
    <w:uiPriority w:val="99"/>
    <w:locked/>
    <w:rsid w:val="00142AAE"/>
    <w:rPr>
      <w:rFonts w:ascii="Arial" w:hAnsi="Arial" w:cs="Arial"/>
      <w:sz w:val="26"/>
      <w:szCs w:val="26"/>
      <w:shd w:val="clear" w:color="auto" w:fill="FFFFFF"/>
    </w:rPr>
  </w:style>
  <w:style w:type="paragraph" w:customStyle="1" w:styleId="Cuerpodeltexto20">
    <w:name w:val="Cuerpo del texto (2)"/>
    <w:basedOn w:val="Normal"/>
    <w:link w:val="Cuerpodeltexto2"/>
    <w:uiPriority w:val="99"/>
    <w:rsid w:val="00142AAE"/>
    <w:pPr>
      <w:widowControl w:val="0"/>
      <w:shd w:val="clear" w:color="auto" w:fill="FFFFFF"/>
      <w:spacing w:before="300" w:after="420" w:line="240" w:lineRule="atLeast"/>
      <w:jc w:val="both"/>
    </w:pPr>
    <w:rPr>
      <w:rFonts w:ascii="Arial" w:hAnsi="Arial" w:cs="Arial"/>
      <w:sz w:val="26"/>
      <w:szCs w:val="26"/>
    </w:rPr>
  </w:style>
  <w:style w:type="paragraph" w:customStyle="1" w:styleId="msonormal0">
    <w:name w:val="msonormal"/>
    <w:basedOn w:val="Normal"/>
    <w:rsid w:val="00142AA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3">
    <w:name w:val="xl63"/>
    <w:basedOn w:val="Normal"/>
    <w:rsid w:val="00142AA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es-MX"/>
    </w:rPr>
  </w:style>
  <w:style w:type="paragraph" w:customStyle="1" w:styleId="xl64">
    <w:name w:val="xl64"/>
    <w:basedOn w:val="Normal"/>
    <w:rsid w:val="00142AAE"/>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es-MX"/>
    </w:rPr>
  </w:style>
  <w:style w:type="paragraph" w:customStyle="1" w:styleId="xl65">
    <w:name w:val="xl65"/>
    <w:basedOn w:val="Normal"/>
    <w:rsid w:val="00142AAE"/>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24"/>
      <w:szCs w:val="24"/>
      <w:lang w:eastAsia="es-MX"/>
    </w:rPr>
  </w:style>
  <w:style w:type="paragraph" w:customStyle="1" w:styleId="xl66">
    <w:name w:val="xl66"/>
    <w:basedOn w:val="Normal"/>
    <w:rsid w:val="00142AAE"/>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000000"/>
      <w:sz w:val="24"/>
      <w:szCs w:val="24"/>
      <w:lang w:eastAsia="es-MX"/>
    </w:rPr>
  </w:style>
  <w:style w:type="paragraph" w:customStyle="1" w:styleId="xl67">
    <w:name w:val="xl67"/>
    <w:basedOn w:val="Normal"/>
    <w:rsid w:val="00142AAE"/>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es-MX"/>
    </w:rPr>
  </w:style>
  <w:style w:type="paragraph" w:customStyle="1" w:styleId="xl68">
    <w:name w:val="xl68"/>
    <w:basedOn w:val="Normal"/>
    <w:rsid w:val="00142AAE"/>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24"/>
      <w:szCs w:val="24"/>
      <w:lang w:eastAsia="es-MX"/>
    </w:rPr>
  </w:style>
  <w:style w:type="paragraph" w:customStyle="1" w:styleId="xl69">
    <w:name w:val="xl69"/>
    <w:basedOn w:val="Normal"/>
    <w:rsid w:val="00142AA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4"/>
      <w:szCs w:val="24"/>
      <w:u w:val="single"/>
      <w:lang w:eastAsia="es-MX"/>
    </w:rPr>
  </w:style>
  <w:style w:type="paragraph" w:customStyle="1" w:styleId="xl70">
    <w:name w:val="xl70"/>
    <w:basedOn w:val="Normal"/>
    <w:rsid w:val="00142AAE"/>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4"/>
      <w:szCs w:val="24"/>
      <w:u w:val="single"/>
      <w:lang w:eastAsia="es-MX"/>
    </w:rPr>
  </w:style>
  <w:style w:type="paragraph" w:customStyle="1" w:styleId="xl71">
    <w:name w:val="xl71"/>
    <w:basedOn w:val="Normal"/>
    <w:rsid w:val="00142AAE"/>
    <w:pPr>
      <w:spacing w:before="100" w:beforeAutospacing="1" w:after="100" w:afterAutospacing="1" w:line="240" w:lineRule="auto"/>
      <w:jc w:val="center"/>
      <w:textAlignment w:val="center"/>
    </w:pPr>
    <w:rPr>
      <w:rFonts w:ascii="Arial" w:eastAsia="Times New Roman" w:hAnsi="Arial" w:cs="Arial"/>
      <w:b/>
      <w:bCs/>
      <w:color w:val="000000"/>
      <w:sz w:val="24"/>
      <w:szCs w:val="24"/>
      <w:lang w:eastAsia="es-MX"/>
    </w:rPr>
  </w:style>
  <w:style w:type="paragraph" w:customStyle="1" w:styleId="xl72">
    <w:name w:val="xl72"/>
    <w:basedOn w:val="Normal"/>
    <w:rsid w:val="00142AAE"/>
    <w:pPr>
      <w:spacing w:before="100" w:beforeAutospacing="1" w:after="100" w:afterAutospacing="1" w:line="240" w:lineRule="auto"/>
      <w:jc w:val="center"/>
      <w:textAlignment w:val="center"/>
    </w:pPr>
    <w:rPr>
      <w:rFonts w:ascii="Arial" w:eastAsia="Times New Roman" w:hAnsi="Arial" w:cs="Arial"/>
      <w:color w:val="000000"/>
      <w:sz w:val="24"/>
      <w:szCs w:val="24"/>
      <w:lang w:eastAsia="es-MX"/>
    </w:rPr>
  </w:style>
  <w:style w:type="paragraph" w:customStyle="1" w:styleId="xl73">
    <w:name w:val="xl73"/>
    <w:basedOn w:val="Normal"/>
    <w:rsid w:val="00142AAE"/>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24"/>
      <w:szCs w:val="24"/>
      <w:lang w:eastAsia="es-MX"/>
    </w:rPr>
  </w:style>
  <w:style w:type="paragraph" w:customStyle="1" w:styleId="xl74">
    <w:name w:val="xl74"/>
    <w:basedOn w:val="Normal"/>
    <w:rsid w:val="00142AAE"/>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000000"/>
      <w:sz w:val="24"/>
      <w:szCs w:val="24"/>
      <w:lang w:eastAsia="es-MX"/>
    </w:rPr>
  </w:style>
  <w:style w:type="paragraph" w:customStyle="1" w:styleId="xl75">
    <w:name w:val="xl75"/>
    <w:basedOn w:val="Normal"/>
    <w:rsid w:val="00142AAE"/>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000000"/>
      <w:sz w:val="24"/>
      <w:szCs w:val="24"/>
      <w:lang w:eastAsia="es-MX"/>
    </w:rPr>
  </w:style>
  <w:style w:type="table" w:customStyle="1" w:styleId="Tablaconcuadrcula19">
    <w:name w:val="Tabla con cuadrícula19"/>
    <w:basedOn w:val="Tablanormal"/>
    <w:next w:val="Tablaconcuadrcula"/>
    <w:uiPriority w:val="5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142AAE"/>
  </w:style>
  <w:style w:type="table" w:customStyle="1" w:styleId="Tablaconcuadrcula24">
    <w:name w:val="Tabla con cuadrícula24"/>
    <w:basedOn w:val="Tablanormal"/>
    <w:next w:val="Tablaconcuadrcula"/>
    <w:uiPriority w:val="59"/>
    <w:rsid w:val="00142A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142AAE"/>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uiPriority w:val="99"/>
    <w:semiHidden/>
    <w:rsid w:val="00142AAE"/>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142AAE"/>
    <w:rPr>
      <w:vertAlign w:val="superscript"/>
    </w:rPr>
  </w:style>
  <w:style w:type="table" w:styleId="Tablaconcuadrcula1clara">
    <w:name w:val="Grid Table 1 Light"/>
    <w:basedOn w:val="Tablanormal"/>
    <w:uiPriority w:val="46"/>
    <w:rsid w:val="00142AAE"/>
    <w:rPr>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30">
    <w:name w:val="Título #3_"/>
    <w:basedOn w:val="Fuentedeprrafopredeter"/>
    <w:link w:val="Ttulo31"/>
    <w:rsid w:val="00142AAE"/>
    <w:rPr>
      <w:rFonts w:ascii="Arial" w:eastAsia="Arial" w:hAnsi="Arial" w:cs="Arial"/>
      <w:b/>
      <w:bCs/>
      <w:sz w:val="26"/>
      <w:szCs w:val="26"/>
      <w:shd w:val="clear" w:color="auto" w:fill="FFFFFF"/>
    </w:rPr>
  </w:style>
  <w:style w:type="character" w:customStyle="1" w:styleId="Cuerpodeltexto2Cursiva">
    <w:name w:val="Cuerpo del texto (2) + Cursiva"/>
    <w:basedOn w:val="Fuentedeprrafopredeter"/>
    <w:rsid w:val="00142AAE"/>
    <w:rPr>
      <w:rFonts w:ascii="Arial" w:eastAsia="Arial" w:hAnsi="Arial" w:cs="Arial"/>
      <w:b w:val="0"/>
      <w:bCs w:val="0"/>
      <w:i/>
      <w:iCs/>
      <w:smallCaps w:val="0"/>
      <w:strike w:val="0"/>
      <w:color w:val="000000"/>
      <w:spacing w:val="0"/>
      <w:w w:val="100"/>
      <w:position w:val="0"/>
      <w:sz w:val="26"/>
      <w:szCs w:val="26"/>
      <w:u w:val="none"/>
      <w:shd w:val="clear" w:color="auto" w:fill="FFFFFF"/>
      <w:lang w:val="es-ES" w:eastAsia="es-ES" w:bidi="es-ES"/>
    </w:rPr>
  </w:style>
  <w:style w:type="paragraph" w:customStyle="1" w:styleId="Ttulo31">
    <w:name w:val="Título #3"/>
    <w:basedOn w:val="Normal"/>
    <w:link w:val="Ttulo30"/>
    <w:rsid w:val="00142AAE"/>
    <w:pPr>
      <w:widowControl w:val="0"/>
      <w:shd w:val="clear" w:color="auto" w:fill="FFFFFF"/>
      <w:spacing w:before="240" w:after="60" w:line="0" w:lineRule="atLeast"/>
      <w:ind w:hanging="360"/>
      <w:jc w:val="both"/>
      <w:outlineLvl w:val="2"/>
    </w:pPr>
    <w:rPr>
      <w:rFonts w:ascii="Arial" w:eastAsia="Arial" w:hAnsi="Arial" w:cs="Arial"/>
      <w:b/>
      <w:bCs/>
      <w:sz w:val="26"/>
      <w:szCs w:val="26"/>
    </w:rPr>
  </w:style>
  <w:style w:type="character" w:customStyle="1" w:styleId="Ttulo314pto">
    <w:name w:val="Título #3 + 14 pto"/>
    <w:aliases w:val="Cursiva,Título #3 + Sin negrita,Cuerpo del texto (3) + 14 pto"/>
    <w:basedOn w:val="Ttulo30"/>
    <w:rsid w:val="00142AAE"/>
    <w:rPr>
      <w:rFonts w:ascii="Arial" w:eastAsia="Arial" w:hAnsi="Arial" w:cs="Arial"/>
      <w:b/>
      <w:bCs/>
      <w:i/>
      <w:iCs/>
      <w:smallCaps w:val="0"/>
      <w:strike w:val="0"/>
      <w:color w:val="000000"/>
      <w:spacing w:val="0"/>
      <w:w w:val="100"/>
      <w:position w:val="0"/>
      <w:sz w:val="28"/>
      <w:szCs w:val="28"/>
      <w:u w:val="none"/>
      <w:shd w:val="clear" w:color="auto" w:fill="FFFFFF"/>
      <w:lang w:val="es-ES" w:eastAsia="es-ES" w:bidi="es-ES"/>
    </w:rPr>
  </w:style>
  <w:style w:type="character" w:customStyle="1" w:styleId="bold">
    <w:name w:val="bold"/>
    <w:basedOn w:val="Fuentedeprrafopredeter"/>
    <w:rsid w:val="00142AAE"/>
  </w:style>
  <w:style w:type="table" w:customStyle="1" w:styleId="Estilo1">
    <w:name w:val="Estilo1"/>
    <w:basedOn w:val="Tablanormal1"/>
    <w:uiPriority w:val="99"/>
    <w:rsid w:val="00142AAE"/>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nfasis3">
    <w:name w:val="Grid Table 1 Light Accent 3"/>
    <w:basedOn w:val="Tablanormal"/>
    <w:uiPriority w:val="46"/>
    <w:rsid w:val="00142AAE"/>
    <w:rPr>
      <w:sz w:val="22"/>
      <w:szCs w:val="22"/>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normal1">
    <w:name w:val="Plain Table 1"/>
    <w:basedOn w:val="Tablanormal"/>
    <w:uiPriority w:val="41"/>
    <w:rsid w:val="00142AA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2">
    <w:name w:val="s2"/>
    <w:basedOn w:val="Fuentedeprrafopredeter"/>
    <w:rsid w:val="00142AAE"/>
  </w:style>
  <w:style w:type="character" w:customStyle="1" w:styleId="Notaalpie">
    <w:name w:val="Nota al pie_"/>
    <w:basedOn w:val="Fuentedeprrafopredeter"/>
    <w:link w:val="Notaalpie0"/>
    <w:rsid w:val="00142AAE"/>
    <w:rPr>
      <w:rFonts w:ascii="Arial" w:eastAsia="Arial" w:hAnsi="Arial" w:cs="Arial"/>
      <w:sz w:val="15"/>
      <w:szCs w:val="15"/>
      <w:shd w:val="clear" w:color="auto" w:fill="FFFFFF"/>
    </w:rPr>
  </w:style>
  <w:style w:type="character" w:customStyle="1" w:styleId="Notaalpie2Sincursiva">
    <w:name w:val="Nota al pie (2) + Sin cursiva"/>
    <w:basedOn w:val="Fuentedeprrafopredeter"/>
    <w:rsid w:val="00142AAE"/>
    <w:rPr>
      <w:rFonts w:ascii="Arial" w:eastAsia="Arial" w:hAnsi="Arial" w:cs="Arial"/>
      <w:i/>
      <w:iCs/>
      <w:color w:val="000000"/>
      <w:spacing w:val="0"/>
      <w:w w:val="100"/>
      <w:position w:val="0"/>
      <w:sz w:val="15"/>
      <w:szCs w:val="15"/>
      <w:shd w:val="clear" w:color="auto" w:fill="FFFFFF"/>
      <w:lang w:val="es-ES" w:eastAsia="es-ES" w:bidi="es-ES"/>
    </w:rPr>
  </w:style>
  <w:style w:type="paragraph" w:customStyle="1" w:styleId="Notaalpie0">
    <w:name w:val="Nota al pie"/>
    <w:basedOn w:val="Normal"/>
    <w:link w:val="Notaalpie"/>
    <w:rsid w:val="00142AAE"/>
    <w:pPr>
      <w:widowControl w:val="0"/>
      <w:shd w:val="clear" w:color="auto" w:fill="FFFFFF"/>
      <w:spacing w:after="0" w:line="182" w:lineRule="exact"/>
      <w:jc w:val="both"/>
    </w:pPr>
    <w:rPr>
      <w:rFonts w:ascii="Arial" w:eastAsia="Arial" w:hAnsi="Arial" w:cs="Arial"/>
      <w:sz w:val="15"/>
      <w:szCs w:val="15"/>
    </w:rPr>
  </w:style>
  <w:style w:type="character" w:customStyle="1" w:styleId="NotaalpieNegrita">
    <w:name w:val="Nota al pie + Negrita"/>
    <w:basedOn w:val="Notaalpie"/>
    <w:rsid w:val="00142AAE"/>
    <w:rPr>
      <w:rFonts w:ascii="Arial" w:eastAsia="Arial" w:hAnsi="Arial" w:cs="Arial"/>
      <w:b/>
      <w:bCs/>
      <w:i w:val="0"/>
      <w:iCs w:val="0"/>
      <w:smallCaps w:val="0"/>
      <w:strike w:val="0"/>
      <w:color w:val="000000"/>
      <w:spacing w:val="0"/>
      <w:w w:val="100"/>
      <w:position w:val="0"/>
      <w:sz w:val="15"/>
      <w:szCs w:val="15"/>
      <w:u w:val="none"/>
      <w:shd w:val="clear" w:color="auto" w:fill="FFFFFF"/>
      <w:lang w:val="es-ES" w:eastAsia="es-ES" w:bidi="es-ES"/>
    </w:rPr>
  </w:style>
  <w:style w:type="character" w:customStyle="1" w:styleId="Notaalpie3">
    <w:name w:val="Nota al pie (3)_"/>
    <w:basedOn w:val="Fuentedeprrafopredeter"/>
    <w:link w:val="Notaalpie30"/>
    <w:rsid w:val="00142AAE"/>
    <w:rPr>
      <w:rFonts w:ascii="Arial" w:eastAsia="Arial" w:hAnsi="Arial" w:cs="Arial"/>
      <w:b/>
      <w:bCs/>
      <w:sz w:val="15"/>
      <w:szCs w:val="15"/>
      <w:shd w:val="clear" w:color="auto" w:fill="FFFFFF"/>
    </w:rPr>
  </w:style>
  <w:style w:type="character" w:customStyle="1" w:styleId="Notaalpie3Sinnegrita">
    <w:name w:val="Nota al pie (3) + Sin negrita"/>
    <w:basedOn w:val="Notaalpie3"/>
    <w:rsid w:val="00142AAE"/>
    <w:rPr>
      <w:rFonts w:ascii="Arial" w:eastAsia="Arial" w:hAnsi="Arial" w:cs="Arial"/>
      <w:b/>
      <w:bCs/>
      <w:color w:val="000000"/>
      <w:spacing w:val="0"/>
      <w:w w:val="100"/>
      <w:position w:val="0"/>
      <w:sz w:val="15"/>
      <w:szCs w:val="15"/>
      <w:shd w:val="clear" w:color="auto" w:fill="FFFFFF"/>
      <w:lang w:val="es-ES" w:eastAsia="es-ES" w:bidi="es-ES"/>
    </w:rPr>
  </w:style>
  <w:style w:type="character" w:customStyle="1" w:styleId="Cuerpodeltexto4">
    <w:name w:val="Cuerpo del texto (4)_"/>
    <w:basedOn w:val="Fuentedeprrafopredeter"/>
    <w:link w:val="Cuerpodeltexto40"/>
    <w:rsid w:val="00142AAE"/>
    <w:rPr>
      <w:rFonts w:ascii="Arial" w:eastAsia="Arial" w:hAnsi="Arial" w:cs="Arial"/>
      <w:i/>
      <w:iCs/>
      <w:sz w:val="18"/>
      <w:szCs w:val="18"/>
      <w:shd w:val="clear" w:color="auto" w:fill="FFFFFF"/>
    </w:rPr>
  </w:style>
  <w:style w:type="character" w:customStyle="1" w:styleId="Cuerpodeltexto4Negrita">
    <w:name w:val="Cuerpo del texto (4) + Negrita"/>
    <w:basedOn w:val="Cuerpodeltexto4"/>
    <w:rsid w:val="00142AAE"/>
    <w:rPr>
      <w:rFonts w:ascii="Arial" w:eastAsia="Arial" w:hAnsi="Arial" w:cs="Arial"/>
      <w:b/>
      <w:bCs/>
      <w:i/>
      <w:iCs/>
      <w:color w:val="000000"/>
      <w:spacing w:val="0"/>
      <w:w w:val="100"/>
      <w:position w:val="0"/>
      <w:sz w:val="18"/>
      <w:szCs w:val="18"/>
      <w:shd w:val="clear" w:color="auto" w:fill="FFFFFF"/>
      <w:lang w:val="es-ES" w:eastAsia="es-ES" w:bidi="es-ES"/>
    </w:rPr>
  </w:style>
  <w:style w:type="character" w:customStyle="1" w:styleId="Cuerpodeltexto4Sincursiva">
    <w:name w:val="Cuerpo del texto (4) + Sin cursiva"/>
    <w:basedOn w:val="Cuerpodeltexto4"/>
    <w:rsid w:val="00142AAE"/>
    <w:rPr>
      <w:rFonts w:ascii="Arial" w:eastAsia="Arial" w:hAnsi="Arial" w:cs="Arial"/>
      <w:i/>
      <w:iCs/>
      <w:color w:val="000000"/>
      <w:spacing w:val="0"/>
      <w:w w:val="100"/>
      <w:position w:val="0"/>
      <w:sz w:val="18"/>
      <w:szCs w:val="18"/>
      <w:shd w:val="clear" w:color="auto" w:fill="FFFFFF"/>
      <w:lang w:val="es-ES" w:eastAsia="es-ES" w:bidi="es-ES"/>
    </w:rPr>
  </w:style>
  <w:style w:type="paragraph" w:customStyle="1" w:styleId="Notaalpie30">
    <w:name w:val="Nota al pie (3)"/>
    <w:basedOn w:val="Normal"/>
    <w:link w:val="Notaalpie3"/>
    <w:rsid w:val="00142AAE"/>
    <w:pPr>
      <w:widowControl w:val="0"/>
      <w:shd w:val="clear" w:color="auto" w:fill="FFFFFF"/>
      <w:spacing w:after="0" w:line="178" w:lineRule="exact"/>
      <w:jc w:val="both"/>
    </w:pPr>
    <w:rPr>
      <w:rFonts w:ascii="Arial" w:eastAsia="Arial" w:hAnsi="Arial" w:cs="Arial"/>
      <w:b/>
      <w:bCs/>
      <w:sz w:val="15"/>
      <w:szCs w:val="15"/>
    </w:rPr>
  </w:style>
  <w:style w:type="paragraph" w:customStyle="1" w:styleId="Cuerpodeltexto40">
    <w:name w:val="Cuerpo del texto (4)"/>
    <w:basedOn w:val="Normal"/>
    <w:link w:val="Cuerpodeltexto4"/>
    <w:rsid w:val="00142AAE"/>
    <w:pPr>
      <w:widowControl w:val="0"/>
      <w:shd w:val="clear" w:color="auto" w:fill="FFFFFF"/>
      <w:spacing w:after="120" w:line="211" w:lineRule="exact"/>
      <w:jc w:val="both"/>
    </w:pPr>
    <w:rPr>
      <w:rFonts w:ascii="Arial" w:eastAsia="Arial" w:hAnsi="Arial" w:cs="Arial"/>
      <w:i/>
      <w:iCs/>
      <w:sz w:val="18"/>
      <w:szCs w:val="18"/>
    </w:rPr>
  </w:style>
  <w:style w:type="paragraph" w:customStyle="1" w:styleId="p1">
    <w:name w:val="p1"/>
    <w:basedOn w:val="Normal"/>
    <w:rsid w:val="00142AAE"/>
    <w:pPr>
      <w:spacing w:before="100" w:beforeAutospacing="1" w:after="100" w:afterAutospacing="1" w:line="240" w:lineRule="auto"/>
    </w:pPr>
    <w:rPr>
      <w:rFonts w:ascii="Calibri" w:hAnsi="Calibri" w:cs="Calibri"/>
      <w:lang w:eastAsia="es-MX"/>
    </w:rPr>
  </w:style>
  <w:style w:type="paragraph" w:customStyle="1" w:styleId="p2">
    <w:name w:val="p2"/>
    <w:basedOn w:val="Normal"/>
    <w:rsid w:val="00142AAE"/>
    <w:pPr>
      <w:spacing w:before="100" w:beforeAutospacing="1" w:after="100" w:afterAutospacing="1" w:line="240" w:lineRule="auto"/>
    </w:pPr>
    <w:rPr>
      <w:rFonts w:ascii="Calibri" w:hAnsi="Calibri" w:cs="Calibri"/>
      <w:lang w:eastAsia="es-MX"/>
    </w:rPr>
  </w:style>
  <w:style w:type="paragraph" w:customStyle="1" w:styleId="p3">
    <w:name w:val="p3"/>
    <w:basedOn w:val="Normal"/>
    <w:rsid w:val="00142AAE"/>
    <w:pPr>
      <w:spacing w:before="100" w:beforeAutospacing="1" w:after="100" w:afterAutospacing="1" w:line="240" w:lineRule="auto"/>
    </w:pPr>
    <w:rPr>
      <w:rFonts w:ascii="Calibri" w:hAnsi="Calibri" w:cs="Calibri"/>
      <w:lang w:eastAsia="es-MX"/>
    </w:rPr>
  </w:style>
  <w:style w:type="character" w:customStyle="1" w:styleId="s1">
    <w:name w:val="s1"/>
    <w:basedOn w:val="Fuentedeprrafopredeter"/>
    <w:rsid w:val="00142AAE"/>
  </w:style>
  <w:style w:type="character" w:customStyle="1" w:styleId="a1">
    <w:name w:val="a1"/>
    <w:rsid w:val="00142AAE"/>
    <w:rPr>
      <w:rFonts w:ascii="Arial Unicode MS" w:eastAsia="Arial Unicode MS" w:hAnsi="Arial Unicode MS" w:cs="Arial Unicode MS" w:hint="eastAsia"/>
      <w:color w:val="008000"/>
      <w:sz w:val="26"/>
      <w:szCs w:val="26"/>
    </w:rPr>
  </w:style>
  <w:style w:type="character" w:customStyle="1" w:styleId="d1">
    <w:name w:val="d1"/>
    <w:rsid w:val="00142AAE"/>
    <w:rPr>
      <w:color w:val="0000FF"/>
    </w:rPr>
  </w:style>
  <w:style w:type="character" w:customStyle="1" w:styleId="b1">
    <w:name w:val="b1"/>
    <w:rsid w:val="00142AAE"/>
    <w:rPr>
      <w:color w:val="000000"/>
    </w:rPr>
  </w:style>
  <w:style w:type="character" w:customStyle="1" w:styleId="g1">
    <w:name w:val="g1"/>
    <w:rsid w:val="00142AAE"/>
    <w:rPr>
      <w:color w:val="B3B3B3"/>
    </w:rPr>
  </w:style>
  <w:style w:type="paragraph" w:customStyle="1" w:styleId="Cuerpo">
    <w:name w:val="Cuerpo"/>
    <w:rsid w:val="00142AAE"/>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200" w:line="276" w:lineRule="auto"/>
    </w:pPr>
    <w:rPr>
      <w:rFonts w:ascii="Calibri" w:eastAsia="Times New Roman" w:hAnsi="Calibri" w:cs="Calibri"/>
      <w:color w:val="000000"/>
      <w:sz w:val="22"/>
      <w:szCs w:val="22"/>
      <w:u w:color="000000"/>
      <w:lang w:eastAsia="es-MX"/>
    </w:rPr>
  </w:style>
  <w:style w:type="paragraph" w:customStyle="1" w:styleId="xl76">
    <w:name w:val="xl76"/>
    <w:basedOn w:val="Normal"/>
    <w:rsid w:val="00142AAE"/>
    <w:pPr>
      <w:pBdr>
        <w:bottom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7">
    <w:name w:val="xl77"/>
    <w:basedOn w:val="Normal"/>
    <w:rsid w:val="00142AA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8">
    <w:name w:val="xl78"/>
    <w:basedOn w:val="Normal"/>
    <w:rsid w:val="00142AAE"/>
    <w:pPr>
      <w:pBdr>
        <w:bottom w:val="single" w:sz="8" w:space="0" w:color="auto"/>
      </w:pBdr>
      <w:shd w:val="clear" w:color="000000" w:fill="C5E0B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9">
    <w:name w:val="xl79"/>
    <w:basedOn w:val="Normal"/>
    <w:rsid w:val="00142AA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0">
    <w:name w:val="xl80"/>
    <w:basedOn w:val="Normal"/>
    <w:rsid w:val="00142A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1">
    <w:name w:val="xl81"/>
    <w:basedOn w:val="Normal"/>
    <w:rsid w:val="00142AAE"/>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82">
    <w:name w:val="xl82"/>
    <w:basedOn w:val="Normal"/>
    <w:rsid w:val="00142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3">
    <w:name w:val="xl83"/>
    <w:basedOn w:val="Normal"/>
    <w:rsid w:val="00142AAE"/>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84">
    <w:name w:val="xl84"/>
    <w:basedOn w:val="Normal"/>
    <w:rsid w:val="00142AAE"/>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5">
    <w:name w:val="xl85"/>
    <w:basedOn w:val="Normal"/>
    <w:rsid w:val="00142AA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86">
    <w:name w:val="xl86"/>
    <w:basedOn w:val="Normal"/>
    <w:rsid w:val="00142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87">
    <w:name w:val="xl87"/>
    <w:basedOn w:val="Normal"/>
    <w:rsid w:val="00142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msonormal">
    <w:name w:val="x_msonormal"/>
    <w:basedOn w:val="Normal"/>
    <w:rsid w:val="00142AA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tuloTDC">
    <w:name w:val="TOC Heading"/>
    <w:basedOn w:val="Ttulo1"/>
    <w:next w:val="Normal"/>
    <w:uiPriority w:val="39"/>
    <w:unhideWhenUsed/>
    <w:qFormat/>
    <w:rsid w:val="00142AAE"/>
    <w:pPr>
      <w:spacing w:line="259" w:lineRule="auto"/>
      <w:outlineLvl w:val="9"/>
    </w:pPr>
    <w:rPr>
      <w:lang w:eastAsia="es-MX"/>
    </w:rPr>
  </w:style>
  <w:style w:type="paragraph" w:styleId="TDC1">
    <w:name w:val="toc 1"/>
    <w:basedOn w:val="Normal"/>
    <w:next w:val="Normal"/>
    <w:autoRedefine/>
    <w:uiPriority w:val="39"/>
    <w:unhideWhenUsed/>
    <w:rsid w:val="00142AAE"/>
    <w:pPr>
      <w:tabs>
        <w:tab w:val="right" w:pos="8262"/>
      </w:tabs>
      <w:spacing w:after="100"/>
      <w:jc w:val="both"/>
    </w:pPr>
    <w:rPr>
      <w:rFonts w:ascii="Arial" w:hAnsi="Arial" w:cs="Arial"/>
      <w:b/>
      <w:bCs/>
      <w:noProof/>
      <w:sz w:val="24"/>
      <w:szCs w:val="24"/>
    </w:rPr>
  </w:style>
  <w:style w:type="paragraph" w:styleId="TDC2">
    <w:name w:val="toc 2"/>
    <w:basedOn w:val="Normal"/>
    <w:next w:val="Normal"/>
    <w:autoRedefine/>
    <w:uiPriority w:val="39"/>
    <w:unhideWhenUsed/>
    <w:rsid w:val="00142AAE"/>
    <w:pPr>
      <w:tabs>
        <w:tab w:val="right" w:pos="8262"/>
      </w:tabs>
      <w:spacing w:after="100"/>
      <w:ind w:left="220"/>
    </w:pPr>
    <w:rPr>
      <w:rFonts w:ascii="Arial" w:hAnsi="Arial" w:cs="Arial"/>
      <w:noProof/>
      <w:sz w:val="24"/>
      <w:szCs w:val="24"/>
    </w:rPr>
  </w:style>
  <w:style w:type="character" w:customStyle="1" w:styleId="Mencinsinresolver1">
    <w:name w:val="Mención sin resolver1"/>
    <w:basedOn w:val="Fuentedeprrafopredeter"/>
    <w:uiPriority w:val="99"/>
    <w:semiHidden/>
    <w:unhideWhenUsed/>
    <w:rsid w:val="00142AAE"/>
    <w:rPr>
      <w:color w:val="605E5C"/>
      <w:shd w:val="clear" w:color="auto" w:fill="E1DFDD"/>
    </w:rPr>
  </w:style>
  <w:style w:type="paragraph" w:styleId="Textodebloque">
    <w:name w:val="Block Text"/>
    <w:basedOn w:val="Normal"/>
    <w:rsid w:val="00142AAE"/>
    <w:pPr>
      <w:widowControl w:val="0"/>
      <w:tabs>
        <w:tab w:val="left" w:pos="-720"/>
      </w:tabs>
      <w:suppressAutoHyphens/>
      <w:spacing w:after="0" w:line="480" w:lineRule="auto"/>
      <w:ind w:left="1134" w:right="879"/>
      <w:jc w:val="both"/>
    </w:pPr>
    <w:rPr>
      <w:rFonts w:ascii="Arial" w:eastAsia="Times New Roman" w:hAnsi="Arial" w:cs="Times New Roman"/>
      <w:spacing w:val="-3"/>
      <w:sz w:val="28"/>
      <w:szCs w:val="20"/>
      <w:lang w:val="en-US" w:eastAsia="es-ES"/>
    </w:rPr>
  </w:style>
  <w:style w:type="paragraph" w:customStyle="1" w:styleId="xl88">
    <w:name w:val="xl88"/>
    <w:basedOn w:val="Normal"/>
    <w:rsid w:val="00142AAE"/>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7"/>
      <w:szCs w:val="17"/>
      <w:lang w:eastAsia="es-MX"/>
    </w:rPr>
  </w:style>
  <w:style w:type="paragraph" w:customStyle="1" w:styleId="xl89">
    <w:name w:val="xl89"/>
    <w:basedOn w:val="Normal"/>
    <w:rsid w:val="00142AA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7"/>
      <w:szCs w:val="17"/>
      <w:lang w:eastAsia="es-MX"/>
    </w:rPr>
  </w:style>
  <w:style w:type="paragraph" w:customStyle="1" w:styleId="xl90">
    <w:name w:val="xl90"/>
    <w:basedOn w:val="Normal"/>
    <w:rsid w:val="00142AA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1">
    <w:name w:val="xl91"/>
    <w:basedOn w:val="Normal"/>
    <w:rsid w:val="00142AAE"/>
    <w:pPr>
      <w:pBdr>
        <w:top w:val="single" w:sz="8" w:space="0" w:color="auto"/>
        <w:left w:val="single" w:sz="8"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17"/>
      <w:szCs w:val="17"/>
      <w:lang w:eastAsia="es-MX"/>
    </w:rPr>
  </w:style>
  <w:style w:type="paragraph" w:customStyle="1" w:styleId="xl92">
    <w:name w:val="xl92"/>
    <w:basedOn w:val="Normal"/>
    <w:rsid w:val="00142AAE"/>
    <w:pPr>
      <w:pBdr>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17"/>
      <w:szCs w:val="17"/>
      <w:lang w:eastAsia="es-MX"/>
    </w:rPr>
  </w:style>
  <w:style w:type="character" w:styleId="nfasis">
    <w:name w:val="Emphasis"/>
    <w:basedOn w:val="Fuentedeprrafopredeter"/>
    <w:uiPriority w:val="20"/>
    <w:qFormat/>
    <w:rsid w:val="00142AAE"/>
    <w:rPr>
      <w:i/>
      <w:iCs/>
    </w:rPr>
  </w:style>
  <w:style w:type="numbering" w:customStyle="1" w:styleId="Sinlista1111">
    <w:name w:val="Sin lista1111"/>
    <w:next w:val="Sinlista"/>
    <w:uiPriority w:val="99"/>
    <w:semiHidden/>
    <w:unhideWhenUsed/>
    <w:rsid w:val="00142AAE"/>
  </w:style>
  <w:style w:type="paragraph" w:styleId="TDC3">
    <w:name w:val="toc 3"/>
    <w:basedOn w:val="Normal"/>
    <w:next w:val="Normal"/>
    <w:autoRedefine/>
    <w:uiPriority w:val="39"/>
    <w:unhideWhenUsed/>
    <w:rsid w:val="00142AAE"/>
    <w:pPr>
      <w:spacing w:after="100"/>
      <w:ind w:left="360" w:hanging="180"/>
      <w:jc w:val="both"/>
    </w:pPr>
    <w:rPr>
      <w:rFonts w:ascii="Arial" w:hAnsi="Arial" w:cs="Arial"/>
      <w:b/>
      <w:bCs/>
      <w:i/>
      <w:iCs/>
      <w:sz w:val="24"/>
      <w:szCs w:val="24"/>
    </w:rPr>
  </w:style>
  <w:style w:type="paragraph" w:styleId="Lista2">
    <w:name w:val="List 2"/>
    <w:basedOn w:val="Normal"/>
    <w:uiPriority w:val="99"/>
    <w:unhideWhenUsed/>
    <w:rsid w:val="00142AAE"/>
    <w:pPr>
      <w:pBdr>
        <w:top w:val="nil"/>
        <w:left w:val="nil"/>
        <w:bottom w:val="nil"/>
        <w:right w:val="nil"/>
        <w:between w:val="nil"/>
        <w:bar w:val="nil"/>
      </w:pBdr>
      <w:spacing w:after="0" w:line="240" w:lineRule="auto"/>
      <w:ind w:left="566" w:hanging="283"/>
      <w:contextualSpacing/>
    </w:pPr>
    <w:rPr>
      <w:rFonts w:ascii="Times New Roman" w:eastAsia="Arial Unicode MS" w:hAnsi="Times New Roman" w:cs="Times New Roman"/>
      <w:sz w:val="24"/>
      <w:szCs w:val="24"/>
      <w:bdr w:val="nil"/>
      <w:lang w:val="en-US"/>
    </w:rPr>
  </w:style>
  <w:style w:type="paragraph" w:styleId="Lista">
    <w:name w:val="List"/>
    <w:basedOn w:val="Normal"/>
    <w:uiPriority w:val="99"/>
    <w:unhideWhenUsed/>
    <w:rsid w:val="00142AAE"/>
    <w:pPr>
      <w:pBdr>
        <w:top w:val="nil"/>
        <w:left w:val="nil"/>
        <w:bottom w:val="nil"/>
        <w:right w:val="nil"/>
        <w:between w:val="nil"/>
        <w:bar w:val="nil"/>
      </w:pBdr>
      <w:spacing w:after="0" w:line="240" w:lineRule="auto"/>
      <w:ind w:left="283" w:hanging="283"/>
      <w:contextualSpacing/>
    </w:pPr>
    <w:rPr>
      <w:rFonts w:ascii="Times New Roman" w:eastAsia="Arial Unicode MS" w:hAnsi="Times New Roman" w:cs="Times New Roman"/>
      <w:sz w:val="24"/>
      <w:szCs w:val="24"/>
      <w:bdr w:val="nil"/>
      <w:lang w:val="en-US"/>
    </w:rPr>
  </w:style>
  <w:style w:type="paragraph" w:styleId="Subttulo">
    <w:name w:val="Subtitle"/>
    <w:basedOn w:val="Normal"/>
    <w:next w:val="Normal"/>
    <w:link w:val="SubttuloCar"/>
    <w:uiPriority w:val="11"/>
    <w:qFormat/>
    <w:rsid w:val="00951672"/>
    <w:pPr>
      <w:numPr>
        <w:ilvl w:val="1"/>
      </w:numPr>
      <w:spacing w:after="160" w:line="240" w:lineRule="auto"/>
    </w:pPr>
    <w:rPr>
      <w:rFonts w:ascii="Arial" w:eastAsiaTheme="minorEastAsia" w:hAnsi="Arial"/>
      <w:b/>
      <w:sz w:val="28"/>
      <w:lang w:eastAsia="es-ES"/>
    </w:rPr>
  </w:style>
  <w:style w:type="character" w:customStyle="1" w:styleId="SubttuloCar">
    <w:name w:val="Subtítulo Car"/>
    <w:basedOn w:val="Fuentedeprrafopredeter"/>
    <w:link w:val="Subttulo"/>
    <w:uiPriority w:val="11"/>
    <w:rsid w:val="00951672"/>
    <w:rPr>
      <w:rFonts w:ascii="Arial" w:eastAsiaTheme="minorEastAsia" w:hAnsi="Arial"/>
      <w:b/>
      <w:sz w:val="28"/>
      <w:szCs w:val="22"/>
      <w:lang w:eastAsia="es-ES"/>
    </w:rPr>
  </w:style>
  <w:style w:type="numbering" w:customStyle="1" w:styleId="Sinlista9">
    <w:name w:val="Sin lista9"/>
    <w:next w:val="Sinlista"/>
    <w:uiPriority w:val="99"/>
    <w:semiHidden/>
    <w:unhideWhenUsed/>
    <w:rsid w:val="00F94B48"/>
  </w:style>
  <w:style w:type="character" w:customStyle="1" w:styleId="PiedepginaCar1">
    <w:name w:val="Pie de página Car1"/>
    <w:basedOn w:val="Fuentedeprrafopredeter"/>
    <w:uiPriority w:val="99"/>
    <w:semiHidden/>
    <w:rsid w:val="00F94B48"/>
    <w:rPr>
      <w:rFonts w:ascii="Arial" w:hAnsi="Arial"/>
      <w:sz w:val="28"/>
    </w:rPr>
  </w:style>
  <w:style w:type="table" w:customStyle="1" w:styleId="Tablaconcuadrcula25">
    <w:name w:val="Tabla con cuadrícula25"/>
    <w:basedOn w:val="Tablanormal"/>
    <w:next w:val="Tablaconcuadrcula"/>
    <w:uiPriority w:val="39"/>
    <w:rsid w:val="00F94B4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1">
    <w:name w:val="Sin espaciado1"/>
    <w:next w:val="Sinespaciado"/>
    <w:uiPriority w:val="1"/>
    <w:qFormat/>
    <w:rsid w:val="00F94B48"/>
    <w:rPr>
      <w:sz w:val="22"/>
      <w:szCs w:val="22"/>
    </w:rPr>
  </w:style>
  <w:style w:type="character" w:customStyle="1" w:styleId="CarCarCaCar">
    <w:name w:val="Car Car Ca Car"/>
    <w:aliases w:val="Normal (Web) Car Car Car Car1,Normal (Web) Car Car Car Car Car,Car Car C Car, Car Car Ca Car,Car Car Car Car Car1"/>
    <w:uiPriority w:val="99"/>
    <w:rsid w:val="00F94B48"/>
    <w:rPr>
      <w:rFonts w:ascii="Times New Roman" w:eastAsia="Times New Roman" w:hAnsi="Times New Roman" w:cs="Times New Roman"/>
      <w:sz w:val="24"/>
      <w:szCs w:val="24"/>
      <w:lang w:eastAsia="es-MX"/>
    </w:rPr>
  </w:style>
  <w:style w:type="numbering" w:customStyle="1" w:styleId="Sinlista14">
    <w:name w:val="Sin lista14"/>
    <w:next w:val="Sinlista"/>
    <w:uiPriority w:val="99"/>
    <w:semiHidden/>
    <w:unhideWhenUsed/>
    <w:rsid w:val="00F94B48"/>
  </w:style>
  <w:style w:type="table" w:customStyle="1" w:styleId="Tablaconcuadrcula110">
    <w:name w:val="Tabla con cuadrícula110"/>
    <w:basedOn w:val="Tablanormal"/>
    <w:next w:val="Tablaconcuadrcula"/>
    <w:uiPriority w:val="39"/>
    <w:rsid w:val="00F94B4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globo1">
    <w:name w:val="Texto de globo1"/>
    <w:basedOn w:val="Normal"/>
    <w:next w:val="Textodeglobo"/>
    <w:uiPriority w:val="99"/>
    <w:semiHidden/>
    <w:unhideWhenUsed/>
    <w:rsid w:val="00F94B48"/>
    <w:pPr>
      <w:spacing w:after="0" w:line="240" w:lineRule="auto"/>
      <w:jc w:val="both"/>
    </w:pPr>
    <w:rPr>
      <w:rFonts w:ascii="Segoe UI" w:hAnsi="Segoe UI" w:cs="Segoe UI"/>
      <w:sz w:val="18"/>
      <w:szCs w:val="18"/>
    </w:rPr>
  </w:style>
  <w:style w:type="character" w:customStyle="1" w:styleId="TextodegloboCar1">
    <w:name w:val="Texto de globo Car1"/>
    <w:basedOn w:val="Fuentedeprrafopredeter"/>
    <w:uiPriority w:val="99"/>
    <w:semiHidden/>
    <w:rsid w:val="00F94B48"/>
    <w:rPr>
      <w:rFonts w:ascii="Segoe UI" w:hAnsi="Segoe UI" w:cs="Segoe UI"/>
      <w:sz w:val="18"/>
      <w:szCs w:val="18"/>
    </w:rPr>
  </w:style>
  <w:style w:type="character" w:customStyle="1" w:styleId="red">
    <w:name w:val="red"/>
    <w:basedOn w:val="Fuentedeprrafopredeter"/>
    <w:rsid w:val="00F94B48"/>
  </w:style>
  <w:style w:type="table" w:customStyle="1" w:styleId="Tablaconcuadrcula26">
    <w:name w:val="Tabla con cuadrícula26"/>
    <w:basedOn w:val="Tablanormal"/>
    <w:next w:val="Tablaconcuadrcula"/>
    <w:uiPriority w:val="39"/>
    <w:rsid w:val="00F94B48"/>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F94B48"/>
    <w:rPr>
      <w:color w:val="605E5C"/>
      <w:shd w:val="clear" w:color="auto" w:fill="E1DFDD"/>
    </w:rPr>
  </w:style>
  <w:style w:type="character" w:customStyle="1" w:styleId="Mencinsinresolver3">
    <w:name w:val="Mención sin resolver3"/>
    <w:basedOn w:val="Fuentedeprrafopredeter"/>
    <w:uiPriority w:val="99"/>
    <w:semiHidden/>
    <w:unhideWhenUsed/>
    <w:rsid w:val="00F94B48"/>
    <w:rPr>
      <w:color w:val="605E5C"/>
      <w:shd w:val="clear" w:color="auto" w:fill="E1DFDD"/>
    </w:rPr>
  </w:style>
  <w:style w:type="character" w:customStyle="1" w:styleId="Mencinsinresolver4">
    <w:name w:val="Mención sin resolver4"/>
    <w:basedOn w:val="Fuentedeprrafopredeter"/>
    <w:uiPriority w:val="99"/>
    <w:semiHidden/>
    <w:unhideWhenUsed/>
    <w:rsid w:val="00F94B48"/>
    <w:rPr>
      <w:color w:val="605E5C"/>
      <w:shd w:val="clear" w:color="auto" w:fill="E1DFDD"/>
    </w:rPr>
  </w:style>
  <w:style w:type="table" w:customStyle="1" w:styleId="Tablaconcuadrcula34">
    <w:name w:val="Tabla con cuadrícula34"/>
    <w:basedOn w:val="Tablanormal"/>
    <w:next w:val="Tablaconcuadrcula"/>
    <w:uiPriority w:val="39"/>
    <w:rsid w:val="00F94B4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F94B4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rsid w:val="00F94B48"/>
    <w:pPr>
      <w:spacing w:after="0" w:line="240" w:lineRule="auto"/>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uiPriority w:val="99"/>
    <w:rsid w:val="00F94B48"/>
    <w:rPr>
      <w:rFonts w:ascii="Courier New" w:eastAsia="Times New Roman" w:hAnsi="Courier New" w:cs="Times New Roman"/>
      <w:sz w:val="20"/>
      <w:szCs w:val="20"/>
      <w:lang w:val="x-none" w:eastAsia="es-ES"/>
    </w:rPr>
  </w:style>
  <w:style w:type="paragraph" w:customStyle="1" w:styleId="Texto">
    <w:name w:val="Texto"/>
    <w:basedOn w:val="Normal"/>
    <w:rsid w:val="00F94B48"/>
    <w:pPr>
      <w:spacing w:after="101" w:line="216" w:lineRule="exact"/>
      <w:ind w:firstLine="288"/>
      <w:jc w:val="both"/>
    </w:pPr>
    <w:rPr>
      <w:rFonts w:ascii="Arial" w:eastAsia="Times New Roman" w:hAnsi="Arial" w:cs="Arial"/>
      <w:sz w:val="18"/>
      <w:szCs w:val="18"/>
      <w:lang w:eastAsia="es-ES"/>
    </w:rPr>
  </w:style>
  <w:style w:type="paragraph" w:customStyle="1" w:styleId="ROMANOS">
    <w:name w:val="ROMANOS"/>
    <w:basedOn w:val="Normal"/>
    <w:link w:val="ROMANOSCar"/>
    <w:rsid w:val="00F94B48"/>
    <w:pPr>
      <w:tabs>
        <w:tab w:val="left" w:pos="720"/>
      </w:tabs>
      <w:spacing w:after="101" w:line="216" w:lineRule="exact"/>
      <w:ind w:left="720" w:hanging="432"/>
      <w:jc w:val="both"/>
    </w:pPr>
    <w:rPr>
      <w:rFonts w:ascii="Arial" w:eastAsia="Times New Roman" w:hAnsi="Arial" w:cs="Times New Roman"/>
      <w:sz w:val="18"/>
      <w:szCs w:val="18"/>
      <w:lang w:val="x-none" w:eastAsia="x-none"/>
    </w:rPr>
  </w:style>
  <w:style w:type="character" w:customStyle="1" w:styleId="ROMANOSCar">
    <w:name w:val="ROMANOS Car"/>
    <w:link w:val="ROMANOS"/>
    <w:locked/>
    <w:rsid w:val="00F94B48"/>
    <w:rPr>
      <w:rFonts w:ascii="Arial" w:eastAsia="Times New Roman" w:hAnsi="Arial" w:cs="Times New Roman"/>
      <w:sz w:val="18"/>
      <w:szCs w:val="18"/>
      <w:lang w:val="x-none" w:eastAsia="x-none"/>
    </w:rPr>
  </w:style>
  <w:style w:type="paragraph" w:customStyle="1" w:styleId="Estilo">
    <w:name w:val="Estilo"/>
    <w:basedOn w:val="Sinespaciado"/>
    <w:link w:val="EstiloCar"/>
    <w:qFormat/>
    <w:rsid w:val="00F94B48"/>
    <w:pPr>
      <w:jc w:val="both"/>
    </w:pPr>
    <w:rPr>
      <w:rFonts w:ascii="Arial" w:hAnsi="Arial"/>
      <w:sz w:val="24"/>
    </w:rPr>
  </w:style>
  <w:style w:type="character" w:customStyle="1" w:styleId="EstiloCar">
    <w:name w:val="Estilo Car"/>
    <w:basedOn w:val="Fuentedeprrafopredeter"/>
    <w:link w:val="Estilo"/>
    <w:rsid w:val="00F94B48"/>
    <w:rPr>
      <w:rFonts w:ascii="Arial" w:hAnsi="Arial"/>
      <w:szCs w:val="22"/>
    </w:rPr>
  </w:style>
  <w:style w:type="character" w:customStyle="1" w:styleId="Mencinsinresolver5">
    <w:name w:val="Mención sin resolver5"/>
    <w:basedOn w:val="Fuentedeprrafopredeter"/>
    <w:uiPriority w:val="99"/>
    <w:semiHidden/>
    <w:unhideWhenUsed/>
    <w:rsid w:val="00F94B48"/>
    <w:rPr>
      <w:color w:val="605E5C"/>
      <w:shd w:val="clear" w:color="auto" w:fill="E1DFDD"/>
    </w:rPr>
  </w:style>
  <w:style w:type="paragraph" w:customStyle="1" w:styleId="corte4fondo">
    <w:name w:val="corte4 fondo"/>
    <w:basedOn w:val="Normal"/>
    <w:link w:val="corte4fondoCar1"/>
    <w:rsid w:val="00F94B48"/>
    <w:pPr>
      <w:spacing w:after="0" w:line="360" w:lineRule="auto"/>
      <w:ind w:firstLine="709"/>
      <w:jc w:val="both"/>
    </w:pPr>
    <w:rPr>
      <w:rFonts w:ascii="Arial" w:eastAsia="Times New Roman" w:hAnsi="Arial" w:cs="Times New Roman"/>
      <w:sz w:val="30"/>
      <w:szCs w:val="24"/>
      <w:lang w:eastAsia="es-MX"/>
    </w:rPr>
  </w:style>
  <w:style w:type="character" w:customStyle="1" w:styleId="corte4fondoCar1">
    <w:name w:val="corte4 fondo Car1"/>
    <w:link w:val="corte4fondo"/>
    <w:locked/>
    <w:rsid w:val="00F94B48"/>
    <w:rPr>
      <w:rFonts w:ascii="Arial" w:eastAsia="Times New Roman" w:hAnsi="Arial" w:cs="Times New Roman"/>
      <w:sz w:val="30"/>
      <w:lang w:eastAsia="es-MX"/>
    </w:rPr>
  </w:style>
  <w:style w:type="table" w:customStyle="1" w:styleId="Tablaconcuadrcula54">
    <w:name w:val="Tabla con cuadrícula54"/>
    <w:basedOn w:val="Tablanormal"/>
    <w:next w:val="Tablaconcuadrcula"/>
    <w:uiPriority w:val="39"/>
    <w:rsid w:val="00F94B4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
    <w:name w:val="Tabla con cuadrícula721"/>
    <w:basedOn w:val="Tablanormal"/>
    <w:next w:val="Tablaconcuadrcula"/>
    <w:uiPriority w:val="59"/>
    <w:rsid w:val="00F94B4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39"/>
    <w:rsid w:val="00F94B4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F94B4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94B48"/>
  </w:style>
  <w:style w:type="paragraph" w:customStyle="1" w:styleId="footnotedescription">
    <w:name w:val="footnote description"/>
    <w:next w:val="Normal"/>
    <w:link w:val="footnotedescriptionChar"/>
    <w:hidden/>
    <w:rsid w:val="00F94B48"/>
    <w:pPr>
      <w:spacing w:line="259" w:lineRule="auto"/>
      <w:ind w:left="420" w:right="9"/>
      <w:jc w:val="both"/>
    </w:pPr>
    <w:rPr>
      <w:rFonts w:ascii="Times New Roman" w:eastAsia="Times New Roman" w:hAnsi="Times New Roman" w:cs="Times New Roman"/>
      <w:color w:val="000000"/>
      <w:sz w:val="20"/>
      <w:szCs w:val="22"/>
      <w:lang w:eastAsia="es-MX"/>
    </w:rPr>
  </w:style>
  <w:style w:type="character" w:customStyle="1" w:styleId="footnotedescriptionChar">
    <w:name w:val="footnote description Char"/>
    <w:link w:val="footnotedescription"/>
    <w:rsid w:val="00F94B48"/>
    <w:rPr>
      <w:rFonts w:ascii="Times New Roman" w:eastAsia="Times New Roman" w:hAnsi="Times New Roman" w:cs="Times New Roman"/>
      <w:color w:val="000000"/>
      <w:sz w:val="20"/>
      <w:szCs w:val="22"/>
      <w:lang w:eastAsia="es-MX"/>
    </w:rPr>
  </w:style>
  <w:style w:type="character" w:customStyle="1" w:styleId="footnotemark">
    <w:name w:val="footnote mark"/>
    <w:hidden/>
    <w:rsid w:val="00F94B48"/>
    <w:rPr>
      <w:rFonts w:ascii="Times New Roman" w:eastAsia="Times New Roman" w:hAnsi="Times New Roman" w:cs="Times New Roman"/>
      <w:color w:val="000000"/>
      <w:sz w:val="20"/>
      <w:vertAlign w:val="superscript"/>
    </w:rPr>
  </w:style>
  <w:style w:type="table" w:customStyle="1" w:styleId="TableGrid">
    <w:name w:val="TableGrid"/>
    <w:rsid w:val="00F94B48"/>
    <w:rPr>
      <w:rFonts w:eastAsia="Times New Roman"/>
      <w:sz w:val="22"/>
      <w:szCs w:val="22"/>
      <w:lang w:eastAsia="es-MX"/>
    </w:rPr>
    <w:tblPr>
      <w:tblCellMar>
        <w:top w:w="0" w:type="dxa"/>
        <w:left w:w="0" w:type="dxa"/>
        <w:bottom w:w="0" w:type="dxa"/>
        <w:right w:w="0" w:type="dxa"/>
      </w:tblCellMar>
    </w:tblPr>
  </w:style>
  <w:style w:type="character" w:customStyle="1" w:styleId="Ttulo1Car1">
    <w:name w:val="Título 1 Car1"/>
    <w:basedOn w:val="Fuentedeprrafopredeter"/>
    <w:uiPriority w:val="9"/>
    <w:rsid w:val="00F94B48"/>
    <w:rPr>
      <w:rFonts w:ascii="Calibri Light" w:eastAsia="Times New Roman" w:hAnsi="Calibri Light" w:cs="Times New Roman"/>
      <w:color w:val="2E74B5"/>
      <w:sz w:val="32"/>
      <w:szCs w:val="32"/>
      <w:lang w:eastAsia="en-US"/>
    </w:rPr>
  </w:style>
  <w:style w:type="table" w:customStyle="1" w:styleId="Tablaconcuadrcula511">
    <w:name w:val="Tabla con cuadrícula511"/>
    <w:basedOn w:val="Tablanormal"/>
    <w:next w:val="Tablaconcuadrcula"/>
    <w:uiPriority w:val="39"/>
    <w:rsid w:val="00F94B4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F94B4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F94B4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F94B4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F94B4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F94B4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F94B4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qFormat/>
    <w:rsid w:val="00F94B48"/>
    <w:rPr>
      <w:sz w:val="22"/>
      <w:szCs w:val="22"/>
    </w:rPr>
  </w:style>
  <w:style w:type="character" w:customStyle="1" w:styleId="Mencinsinresolver6">
    <w:name w:val="Mención sin resolver6"/>
    <w:basedOn w:val="Fuentedeprrafopredeter"/>
    <w:uiPriority w:val="99"/>
    <w:semiHidden/>
    <w:unhideWhenUsed/>
    <w:rsid w:val="00DA2DE7"/>
    <w:rPr>
      <w:color w:val="605E5C"/>
      <w:shd w:val="clear" w:color="auto" w:fill="E1DFDD"/>
    </w:rPr>
  </w:style>
  <w:style w:type="table" w:customStyle="1" w:styleId="Tablaconcuadrcula251">
    <w:name w:val="Tabla con cuadrícula251"/>
    <w:basedOn w:val="Tablanormal"/>
    <w:next w:val="Tablaconcuadrcula"/>
    <w:uiPriority w:val="39"/>
    <w:rsid w:val="00B01E6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next w:val="Tablaconcuadrcula"/>
    <w:uiPriority w:val="39"/>
    <w:rsid w:val="00B01E6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F57B54"/>
  </w:style>
  <w:style w:type="numbering" w:customStyle="1" w:styleId="Sinlista15">
    <w:name w:val="Sin lista15"/>
    <w:next w:val="Sinlista"/>
    <w:uiPriority w:val="99"/>
    <w:semiHidden/>
    <w:unhideWhenUsed/>
    <w:rsid w:val="00F57B54"/>
  </w:style>
  <w:style w:type="numbering" w:customStyle="1" w:styleId="Sinlista114">
    <w:name w:val="Sin lista114"/>
    <w:next w:val="Sinlista"/>
    <w:uiPriority w:val="99"/>
    <w:semiHidden/>
    <w:unhideWhenUsed/>
    <w:rsid w:val="00F57B54"/>
  </w:style>
  <w:style w:type="numbering" w:customStyle="1" w:styleId="Sinlista25">
    <w:name w:val="Sin lista25"/>
    <w:next w:val="Sinlista"/>
    <w:uiPriority w:val="99"/>
    <w:semiHidden/>
    <w:unhideWhenUsed/>
    <w:rsid w:val="00F57B54"/>
  </w:style>
  <w:style w:type="numbering" w:customStyle="1" w:styleId="Sinlista31">
    <w:name w:val="Sin lista31"/>
    <w:next w:val="Sinlista"/>
    <w:uiPriority w:val="99"/>
    <w:semiHidden/>
    <w:unhideWhenUsed/>
    <w:rsid w:val="00F57B54"/>
  </w:style>
  <w:style w:type="numbering" w:customStyle="1" w:styleId="Sinlista41">
    <w:name w:val="Sin lista41"/>
    <w:next w:val="Sinlista"/>
    <w:uiPriority w:val="99"/>
    <w:semiHidden/>
    <w:unhideWhenUsed/>
    <w:rsid w:val="00F57B54"/>
  </w:style>
  <w:style w:type="numbering" w:customStyle="1" w:styleId="Sinlista1112">
    <w:name w:val="Sin lista1112"/>
    <w:next w:val="Sinlista"/>
    <w:uiPriority w:val="99"/>
    <w:semiHidden/>
    <w:unhideWhenUsed/>
    <w:rsid w:val="00F57B54"/>
  </w:style>
  <w:style w:type="numbering" w:customStyle="1" w:styleId="Sinlista11111">
    <w:name w:val="Sin lista11111"/>
    <w:next w:val="Sinlista"/>
    <w:uiPriority w:val="99"/>
    <w:semiHidden/>
    <w:unhideWhenUsed/>
    <w:rsid w:val="00F57B54"/>
  </w:style>
  <w:style w:type="numbering" w:customStyle="1" w:styleId="Sinlista211">
    <w:name w:val="Sin lista211"/>
    <w:next w:val="Sinlista"/>
    <w:uiPriority w:val="99"/>
    <w:semiHidden/>
    <w:unhideWhenUsed/>
    <w:rsid w:val="00F57B54"/>
  </w:style>
  <w:style w:type="numbering" w:customStyle="1" w:styleId="Sinlista51">
    <w:name w:val="Sin lista51"/>
    <w:next w:val="Sinlista"/>
    <w:uiPriority w:val="99"/>
    <w:semiHidden/>
    <w:unhideWhenUsed/>
    <w:rsid w:val="00F57B54"/>
  </w:style>
  <w:style w:type="numbering" w:customStyle="1" w:styleId="Sinlista121">
    <w:name w:val="Sin lista121"/>
    <w:next w:val="Sinlista"/>
    <w:uiPriority w:val="99"/>
    <w:semiHidden/>
    <w:unhideWhenUsed/>
    <w:rsid w:val="00F57B54"/>
  </w:style>
  <w:style w:type="numbering" w:customStyle="1" w:styleId="Sinlista1121">
    <w:name w:val="Sin lista1121"/>
    <w:next w:val="Sinlista"/>
    <w:uiPriority w:val="99"/>
    <w:semiHidden/>
    <w:unhideWhenUsed/>
    <w:rsid w:val="00F57B54"/>
  </w:style>
  <w:style w:type="numbering" w:customStyle="1" w:styleId="Sinlista221">
    <w:name w:val="Sin lista221"/>
    <w:next w:val="Sinlista"/>
    <w:uiPriority w:val="99"/>
    <w:semiHidden/>
    <w:unhideWhenUsed/>
    <w:rsid w:val="00F57B54"/>
  </w:style>
  <w:style w:type="numbering" w:customStyle="1" w:styleId="Sinlista61">
    <w:name w:val="Sin lista61"/>
    <w:next w:val="Sinlista"/>
    <w:uiPriority w:val="99"/>
    <w:semiHidden/>
    <w:unhideWhenUsed/>
    <w:rsid w:val="00F57B54"/>
  </w:style>
  <w:style w:type="numbering" w:customStyle="1" w:styleId="Sinlista131">
    <w:name w:val="Sin lista131"/>
    <w:next w:val="Sinlista"/>
    <w:uiPriority w:val="99"/>
    <w:semiHidden/>
    <w:unhideWhenUsed/>
    <w:rsid w:val="00F57B54"/>
  </w:style>
  <w:style w:type="numbering" w:customStyle="1" w:styleId="Sinlista1131">
    <w:name w:val="Sin lista1131"/>
    <w:next w:val="Sinlista"/>
    <w:uiPriority w:val="99"/>
    <w:semiHidden/>
    <w:unhideWhenUsed/>
    <w:rsid w:val="00F57B54"/>
  </w:style>
  <w:style w:type="numbering" w:customStyle="1" w:styleId="Sinlista231">
    <w:name w:val="Sin lista231"/>
    <w:next w:val="Sinlista"/>
    <w:uiPriority w:val="99"/>
    <w:semiHidden/>
    <w:unhideWhenUsed/>
    <w:rsid w:val="00F57B54"/>
  </w:style>
  <w:style w:type="numbering" w:customStyle="1" w:styleId="Sinlista71">
    <w:name w:val="Sin lista71"/>
    <w:next w:val="Sinlista"/>
    <w:uiPriority w:val="99"/>
    <w:semiHidden/>
    <w:unhideWhenUsed/>
    <w:rsid w:val="00F57B54"/>
  </w:style>
  <w:style w:type="numbering" w:customStyle="1" w:styleId="Sinlista81">
    <w:name w:val="Sin lista81"/>
    <w:next w:val="Sinlista"/>
    <w:uiPriority w:val="99"/>
    <w:semiHidden/>
    <w:unhideWhenUsed/>
    <w:rsid w:val="00F57B54"/>
  </w:style>
  <w:style w:type="numbering" w:customStyle="1" w:styleId="Sinlista111111">
    <w:name w:val="Sin lista111111"/>
    <w:next w:val="Sinlista"/>
    <w:uiPriority w:val="99"/>
    <w:semiHidden/>
    <w:unhideWhenUsed/>
    <w:rsid w:val="00F57B54"/>
  </w:style>
  <w:style w:type="numbering" w:customStyle="1" w:styleId="Sinlista91">
    <w:name w:val="Sin lista91"/>
    <w:next w:val="Sinlista"/>
    <w:uiPriority w:val="99"/>
    <w:semiHidden/>
    <w:unhideWhenUsed/>
    <w:rsid w:val="00F57B54"/>
  </w:style>
  <w:style w:type="numbering" w:customStyle="1" w:styleId="Sinlista141">
    <w:name w:val="Sin lista141"/>
    <w:next w:val="Sinlista"/>
    <w:uiPriority w:val="99"/>
    <w:semiHidden/>
    <w:unhideWhenUsed/>
    <w:rsid w:val="00F57B54"/>
  </w:style>
  <w:style w:type="numbering" w:customStyle="1" w:styleId="Sinlista241">
    <w:name w:val="Sin lista241"/>
    <w:next w:val="Sinlista"/>
    <w:uiPriority w:val="99"/>
    <w:semiHidden/>
    <w:unhideWhenUsed/>
    <w:rsid w:val="00F57B54"/>
  </w:style>
  <w:style w:type="character" w:customStyle="1" w:styleId="Mencinsinresolver60">
    <w:name w:val="Mención sin resolver6"/>
    <w:basedOn w:val="Fuentedeprrafopredeter"/>
    <w:uiPriority w:val="99"/>
    <w:semiHidden/>
    <w:unhideWhenUsed/>
    <w:rsid w:val="00F57B54"/>
    <w:rPr>
      <w:color w:val="605E5C"/>
      <w:shd w:val="clear" w:color="auto" w:fill="E1DFDD"/>
    </w:rPr>
  </w:style>
  <w:style w:type="table" w:customStyle="1" w:styleId="Tablaconcuadrcula5121">
    <w:name w:val="Tabla con cuadrícula5121"/>
    <w:basedOn w:val="Tablanormal"/>
    <w:next w:val="Tablaconcuadrcula"/>
    <w:uiPriority w:val="39"/>
    <w:rsid w:val="00F57B5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F57B5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39"/>
    <w:rsid w:val="00F57B5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39"/>
    <w:rsid w:val="000269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B4444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39"/>
    <w:rsid w:val="00EA696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535A76"/>
  </w:style>
  <w:style w:type="table" w:customStyle="1" w:styleId="Tablaconcuadrcula27">
    <w:name w:val="Tabla con cuadrícula27"/>
    <w:basedOn w:val="Tablanormal"/>
    <w:next w:val="Tablaconcuadrcula"/>
    <w:uiPriority w:val="39"/>
    <w:rsid w:val="00535A7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uiPriority w:val="99"/>
    <w:semiHidden/>
    <w:rsid w:val="00535A76"/>
    <w:rPr>
      <w:rFonts w:ascii="Calibri" w:eastAsia="Calibri" w:hAnsi="Calibri" w:cs="Times New Roman"/>
      <w:sz w:val="20"/>
      <w:szCs w:val="20"/>
    </w:rPr>
  </w:style>
  <w:style w:type="character" w:customStyle="1" w:styleId="AsuntodelcomentarioCar1">
    <w:name w:val="Asunto del comentario Car1"/>
    <w:basedOn w:val="TextocomentarioCar1"/>
    <w:uiPriority w:val="99"/>
    <w:semiHidden/>
    <w:rsid w:val="00535A76"/>
    <w:rPr>
      <w:rFonts w:ascii="Calibri" w:eastAsia="Calibri" w:hAnsi="Calibri" w:cs="Times New Roman"/>
      <w:b/>
      <w:bCs/>
      <w:sz w:val="20"/>
      <w:szCs w:val="20"/>
    </w:rPr>
  </w:style>
  <w:style w:type="table" w:customStyle="1" w:styleId="Tablaconcuadrcula5411">
    <w:name w:val="Tabla con cuadrícula5411"/>
    <w:basedOn w:val="Tablanormal"/>
    <w:next w:val="Tablaconcuadrcula"/>
    <w:uiPriority w:val="39"/>
    <w:rsid w:val="00535A7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535A7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anssent">
    <w:name w:val="Trans sent"/>
    <w:basedOn w:val="Normal"/>
    <w:qFormat/>
    <w:rsid w:val="00E76FD6"/>
    <w:pPr>
      <w:spacing w:after="0" w:line="240" w:lineRule="auto"/>
      <w:ind w:left="567" w:right="567"/>
      <w:jc w:val="both"/>
    </w:pPr>
    <w:rPr>
      <w:rFonts w:ascii="Arial" w:eastAsia="Times New Roman" w:hAnsi="Arial" w:cs="Arial"/>
      <w:bCs/>
      <w:sz w:val="24"/>
      <w:szCs w:val="2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332031">
      <w:bodyDiv w:val="1"/>
      <w:marLeft w:val="0"/>
      <w:marRight w:val="0"/>
      <w:marTop w:val="0"/>
      <w:marBottom w:val="0"/>
      <w:divBdr>
        <w:top w:val="none" w:sz="0" w:space="0" w:color="auto"/>
        <w:left w:val="none" w:sz="0" w:space="0" w:color="auto"/>
        <w:bottom w:val="none" w:sz="0" w:space="0" w:color="auto"/>
        <w:right w:val="none" w:sz="0" w:space="0" w:color="auto"/>
      </w:divBdr>
    </w:div>
    <w:div w:id="347103536">
      <w:bodyDiv w:val="1"/>
      <w:marLeft w:val="0"/>
      <w:marRight w:val="0"/>
      <w:marTop w:val="0"/>
      <w:marBottom w:val="0"/>
      <w:divBdr>
        <w:top w:val="none" w:sz="0" w:space="0" w:color="auto"/>
        <w:left w:val="none" w:sz="0" w:space="0" w:color="auto"/>
        <w:bottom w:val="none" w:sz="0" w:space="0" w:color="auto"/>
        <w:right w:val="none" w:sz="0" w:space="0" w:color="auto"/>
      </w:divBdr>
    </w:div>
    <w:div w:id="403525479">
      <w:bodyDiv w:val="1"/>
      <w:marLeft w:val="0"/>
      <w:marRight w:val="0"/>
      <w:marTop w:val="0"/>
      <w:marBottom w:val="0"/>
      <w:divBdr>
        <w:top w:val="none" w:sz="0" w:space="0" w:color="auto"/>
        <w:left w:val="none" w:sz="0" w:space="0" w:color="auto"/>
        <w:bottom w:val="none" w:sz="0" w:space="0" w:color="auto"/>
        <w:right w:val="none" w:sz="0" w:space="0" w:color="auto"/>
      </w:divBdr>
    </w:div>
    <w:div w:id="438255074">
      <w:bodyDiv w:val="1"/>
      <w:marLeft w:val="0"/>
      <w:marRight w:val="0"/>
      <w:marTop w:val="0"/>
      <w:marBottom w:val="0"/>
      <w:divBdr>
        <w:top w:val="none" w:sz="0" w:space="0" w:color="auto"/>
        <w:left w:val="none" w:sz="0" w:space="0" w:color="auto"/>
        <w:bottom w:val="none" w:sz="0" w:space="0" w:color="auto"/>
        <w:right w:val="none" w:sz="0" w:space="0" w:color="auto"/>
      </w:divBdr>
    </w:div>
    <w:div w:id="483856733">
      <w:bodyDiv w:val="1"/>
      <w:marLeft w:val="0"/>
      <w:marRight w:val="0"/>
      <w:marTop w:val="0"/>
      <w:marBottom w:val="0"/>
      <w:divBdr>
        <w:top w:val="none" w:sz="0" w:space="0" w:color="auto"/>
        <w:left w:val="none" w:sz="0" w:space="0" w:color="auto"/>
        <w:bottom w:val="none" w:sz="0" w:space="0" w:color="auto"/>
        <w:right w:val="none" w:sz="0" w:space="0" w:color="auto"/>
      </w:divBdr>
    </w:div>
    <w:div w:id="588469749">
      <w:bodyDiv w:val="1"/>
      <w:marLeft w:val="0"/>
      <w:marRight w:val="0"/>
      <w:marTop w:val="0"/>
      <w:marBottom w:val="0"/>
      <w:divBdr>
        <w:top w:val="none" w:sz="0" w:space="0" w:color="auto"/>
        <w:left w:val="none" w:sz="0" w:space="0" w:color="auto"/>
        <w:bottom w:val="none" w:sz="0" w:space="0" w:color="auto"/>
        <w:right w:val="none" w:sz="0" w:space="0" w:color="auto"/>
      </w:divBdr>
    </w:div>
    <w:div w:id="623123952">
      <w:bodyDiv w:val="1"/>
      <w:marLeft w:val="0"/>
      <w:marRight w:val="0"/>
      <w:marTop w:val="0"/>
      <w:marBottom w:val="0"/>
      <w:divBdr>
        <w:top w:val="none" w:sz="0" w:space="0" w:color="auto"/>
        <w:left w:val="none" w:sz="0" w:space="0" w:color="auto"/>
        <w:bottom w:val="none" w:sz="0" w:space="0" w:color="auto"/>
        <w:right w:val="none" w:sz="0" w:space="0" w:color="auto"/>
      </w:divBdr>
    </w:div>
    <w:div w:id="766123036">
      <w:bodyDiv w:val="1"/>
      <w:marLeft w:val="0"/>
      <w:marRight w:val="0"/>
      <w:marTop w:val="0"/>
      <w:marBottom w:val="0"/>
      <w:divBdr>
        <w:top w:val="none" w:sz="0" w:space="0" w:color="auto"/>
        <w:left w:val="none" w:sz="0" w:space="0" w:color="auto"/>
        <w:bottom w:val="none" w:sz="0" w:space="0" w:color="auto"/>
        <w:right w:val="none" w:sz="0" w:space="0" w:color="auto"/>
      </w:divBdr>
    </w:div>
    <w:div w:id="883521486">
      <w:bodyDiv w:val="1"/>
      <w:marLeft w:val="0"/>
      <w:marRight w:val="0"/>
      <w:marTop w:val="0"/>
      <w:marBottom w:val="0"/>
      <w:divBdr>
        <w:top w:val="none" w:sz="0" w:space="0" w:color="auto"/>
        <w:left w:val="none" w:sz="0" w:space="0" w:color="auto"/>
        <w:bottom w:val="none" w:sz="0" w:space="0" w:color="auto"/>
        <w:right w:val="none" w:sz="0" w:space="0" w:color="auto"/>
      </w:divBdr>
    </w:div>
    <w:div w:id="1147287055">
      <w:bodyDiv w:val="1"/>
      <w:marLeft w:val="0"/>
      <w:marRight w:val="0"/>
      <w:marTop w:val="0"/>
      <w:marBottom w:val="0"/>
      <w:divBdr>
        <w:top w:val="none" w:sz="0" w:space="0" w:color="auto"/>
        <w:left w:val="none" w:sz="0" w:space="0" w:color="auto"/>
        <w:bottom w:val="none" w:sz="0" w:space="0" w:color="auto"/>
        <w:right w:val="none" w:sz="0" w:space="0" w:color="auto"/>
      </w:divBdr>
    </w:div>
    <w:div w:id="1381632348">
      <w:bodyDiv w:val="1"/>
      <w:marLeft w:val="0"/>
      <w:marRight w:val="0"/>
      <w:marTop w:val="0"/>
      <w:marBottom w:val="0"/>
      <w:divBdr>
        <w:top w:val="none" w:sz="0" w:space="0" w:color="auto"/>
        <w:left w:val="none" w:sz="0" w:space="0" w:color="auto"/>
        <w:bottom w:val="none" w:sz="0" w:space="0" w:color="auto"/>
        <w:right w:val="none" w:sz="0" w:space="0" w:color="auto"/>
      </w:divBdr>
    </w:div>
    <w:div w:id="1470250364">
      <w:bodyDiv w:val="1"/>
      <w:marLeft w:val="0"/>
      <w:marRight w:val="0"/>
      <w:marTop w:val="0"/>
      <w:marBottom w:val="0"/>
      <w:divBdr>
        <w:top w:val="none" w:sz="0" w:space="0" w:color="auto"/>
        <w:left w:val="none" w:sz="0" w:space="0" w:color="auto"/>
        <w:bottom w:val="none" w:sz="0" w:space="0" w:color="auto"/>
        <w:right w:val="none" w:sz="0" w:space="0" w:color="auto"/>
      </w:divBdr>
    </w:div>
    <w:div w:id="1555896333">
      <w:bodyDiv w:val="1"/>
      <w:marLeft w:val="0"/>
      <w:marRight w:val="0"/>
      <w:marTop w:val="0"/>
      <w:marBottom w:val="0"/>
      <w:divBdr>
        <w:top w:val="none" w:sz="0" w:space="0" w:color="auto"/>
        <w:left w:val="none" w:sz="0" w:space="0" w:color="auto"/>
        <w:bottom w:val="none" w:sz="0" w:space="0" w:color="auto"/>
        <w:right w:val="none" w:sz="0" w:space="0" w:color="auto"/>
      </w:divBdr>
    </w:div>
    <w:div w:id="1562054770">
      <w:bodyDiv w:val="1"/>
      <w:marLeft w:val="0"/>
      <w:marRight w:val="0"/>
      <w:marTop w:val="0"/>
      <w:marBottom w:val="0"/>
      <w:divBdr>
        <w:top w:val="none" w:sz="0" w:space="0" w:color="auto"/>
        <w:left w:val="none" w:sz="0" w:space="0" w:color="auto"/>
        <w:bottom w:val="none" w:sz="0" w:space="0" w:color="auto"/>
        <w:right w:val="none" w:sz="0" w:space="0" w:color="auto"/>
      </w:divBdr>
    </w:div>
    <w:div w:id="1644653493">
      <w:bodyDiv w:val="1"/>
      <w:marLeft w:val="0"/>
      <w:marRight w:val="0"/>
      <w:marTop w:val="0"/>
      <w:marBottom w:val="0"/>
      <w:divBdr>
        <w:top w:val="none" w:sz="0" w:space="0" w:color="auto"/>
        <w:left w:val="none" w:sz="0" w:space="0" w:color="auto"/>
        <w:bottom w:val="none" w:sz="0" w:space="0" w:color="auto"/>
        <w:right w:val="none" w:sz="0" w:space="0" w:color="auto"/>
      </w:divBdr>
    </w:div>
    <w:div w:id="1712414377">
      <w:bodyDiv w:val="1"/>
      <w:marLeft w:val="0"/>
      <w:marRight w:val="0"/>
      <w:marTop w:val="0"/>
      <w:marBottom w:val="0"/>
      <w:divBdr>
        <w:top w:val="none" w:sz="0" w:space="0" w:color="auto"/>
        <w:left w:val="none" w:sz="0" w:space="0" w:color="auto"/>
        <w:bottom w:val="none" w:sz="0" w:space="0" w:color="auto"/>
        <w:right w:val="none" w:sz="0" w:space="0" w:color="auto"/>
      </w:divBdr>
    </w:div>
    <w:div w:id="1727141195">
      <w:bodyDiv w:val="1"/>
      <w:marLeft w:val="0"/>
      <w:marRight w:val="0"/>
      <w:marTop w:val="0"/>
      <w:marBottom w:val="0"/>
      <w:divBdr>
        <w:top w:val="none" w:sz="0" w:space="0" w:color="auto"/>
        <w:left w:val="none" w:sz="0" w:space="0" w:color="auto"/>
        <w:bottom w:val="none" w:sz="0" w:space="0" w:color="auto"/>
        <w:right w:val="none" w:sz="0" w:space="0" w:color="auto"/>
      </w:divBdr>
    </w:div>
    <w:div w:id="1941451549">
      <w:bodyDiv w:val="1"/>
      <w:marLeft w:val="0"/>
      <w:marRight w:val="0"/>
      <w:marTop w:val="0"/>
      <w:marBottom w:val="0"/>
      <w:divBdr>
        <w:top w:val="none" w:sz="0" w:space="0" w:color="auto"/>
        <w:left w:val="none" w:sz="0" w:space="0" w:color="auto"/>
        <w:bottom w:val="none" w:sz="0" w:space="0" w:color="auto"/>
        <w:right w:val="none" w:sz="0" w:space="0" w:color="auto"/>
      </w:divBdr>
    </w:div>
    <w:div w:id="1956793073">
      <w:bodyDiv w:val="1"/>
      <w:marLeft w:val="0"/>
      <w:marRight w:val="0"/>
      <w:marTop w:val="0"/>
      <w:marBottom w:val="0"/>
      <w:divBdr>
        <w:top w:val="none" w:sz="0" w:space="0" w:color="auto"/>
        <w:left w:val="none" w:sz="0" w:space="0" w:color="auto"/>
        <w:bottom w:val="none" w:sz="0" w:space="0" w:color="auto"/>
        <w:right w:val="none" w:sz="0" w:space="0" w:color="auto"/>
      </w:divBdr>
    </w:div>
    <w:div w:id="2024941805">
      <w:bodyDiv w:val="1"/>
      <w:marLeft w:val="0"/>
      <w:marRight w:val="0"/>
      <w:marTop w:val="0"/>
      <w:marBottom w:val="0"/>
      <w:divBdr>
        <w:top w:val="none" w:sz="0" w:space="0" w:color="auto"/>
        <w:left w:val="none" w:sz="0" w:space="0" w:color="auto"/>
        <w:bottom w:val="none" w:sz="0" w:space="0" w:color="auto"/>
        <w:right w:val="none" w:sz="0" w:space="0" w:color="auto"/>
      </w:divBdr>
    </w:div>
    <w:div w:id="209315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ecm.mx/www/Elecciones2021/site/page26.html" TargetMode="Externa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www.tecdmx.org.mx/wp-content/uploads/2021/02/VERSIO%CC%81N-DEFINITIVA-SENTENCIA-TECDMX-JEL-416-2020-Y-ACUMULADOS.pdf" TargetMode="External"/><Relationship Id="rId3" Type="http://schemas.openxmlformats.org/officeDocument/2006/relationships/hyperlink" Target="https://www.te.gob.mx/IUSEapp/" TargetMode="External"/><Relationship Id="rId7" Type="http://schemas.openxmlformats.org/officeDocument/2006/relationships/hyperlink" Target="https://data.consejeria.cdmx.gob.mx/portal_old/uploads/gacetas/da477d6f516209588a397072f0115c4d.pdf" TargetMode="External"/><Relationship Id="rId2" Type="http://schemas.openxmlformats.org/officeDocument/2006/relationships/hyperlink" Target="https://www.te.gob.mx/IUSEapp/" TargetMode="External"/><Relationship Id="rId1" Type="http://schemas.openxmlformats.org/officeDocument/2006/relationships/hyperlink" Target="https://www.te.gob.mx/IUSEapp/" TargetMode="External"/><Relationship Id="rId6" Type="http://schemas.openxmlformats.org/officeDocument/2006/relationships/hyperlink" Target="https://www.iecm.mx/www/taip/cg/acu/2020/IECM-ACU-CG-060-2020.pdf" TargetMode="External"/><Relationship Id="rId11" Type="http://schemas.openxmlformats.org/officeDocument/2006/relationships/hyperlink" Target="https://www.te.gob.mx/IUSEapp/" TargetMode="External"/><Relationship Id="rId5" Type="http://schemas.openxmlformats.org/officeDocument/2006/relationships/hyperlink" Target="https://www.te.gob.mx/IUSEapp/" TargetMode="External"/><Relationship Id="rId10" Type="http://schemas.openxmlformats.org/officeDocument/2006/relationships/hyperlink" Target="https://www.te.gob.mx/IUSEapp/" TargetMode="External"/><Relationship Id="rId4" Type="http://schemas.openxmlformats.org/officeDocument/2006/relationships/hyperlink" Target="https://www.te.gob.mx/IUSEapp/" TargetMode="External"/><Relationship Id="rId9" Type="http://schemas.openxmlformats.org/officeDocument/2006/relationships/hyperlink" Target="https://www.te.gob.mx/buscado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5328B2C66FF244199BBCCB9DB4A5277" ma:contentTypeVersion="2" ma:contentTypeDescription="Crear nuevo documento." ma:contentTypeScope="" ma:versionID="fb837ed61aca63276a8cd1e9a854cdb5">
  <xsd:schema xmlns:xsd="http://www.w3.org/2001/XMLSchema" xmlns:xs="http://www.w3.org/2001/XMLSchema" xmlns:p="http://schemas.microsoft.com/office/2006/metadata/properties" xmlns:ns3="d6090bd0-2c7c-45d8-8361-08b8006ff0e1" targetNamespace="http://schemas.microsoft.com/office/2006/metadata/properties" ma:root="true" ma:fieldsID="3bd316dcb0d88c9b33bd7557ba218ff8" ns3:_="">
    <xsd:import namespace="d6090bd0-2c7c-45d8-8361-08b8006ff0e1"/>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090bd0-2c7c-45d8-8361-08b8006ff0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882D6-12FF-4D17-9C7C-01DAAA59C5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E6CED92-BE54-4809-8C8D-C7ADBC7EDC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090bd0-2c7c-45d8-8361-08b8006ff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183737-B03F-4CC6-8FE3-003942CDF820}">
  <ds:schemaRefs>
    <ds:schemaRef ds:uri="http://schemas.microsoft.com/sharepoint/v3/contenttype/forms"/>
  </ds:schemaRefs>
</ds:datastoreItem>
</file>

<file path=customXml/itemProps4.xml><?xml version="1.0" encoding="utf-8"?>
<ds:datastoreItem xmlns:ds="http://schemas.openxmlformats.org/officeDocument/2006/customXml" ds:itemID="{EB619F50-D4D4-46B8-9D57-BF4790EC2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394</Pages>
  <Words>88037</Words>
  <Characters>484205</Characters>
  <Application>Microsoft Office Word</Application>
  <DocSecurity>0</DocSecurity>
  <Lines>4035</Lines>
  <Paragraphs>1142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 Edith Velasco Pérez</dc:creator>
  <cp:keywords/>
  <dc:description/>
  <cp:lastModifiedBy>Alfredo Soto Rodríguez</cp:lastModifiedBy>
  <cp:revision>6</cp:revision>
  <cp:lastPrinted>2021-08-04T00:55:00Z</cp:lastPrinted>
  <dcterms:created xsi:type="dcterms:W3CDTF">2021-08-03T18:51:00Z</dcterms:created>
  <dcterms:modified xsi:type="dcterms:W3CDTF">2021-08-04T00:58:00Z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0x01010005328B2C66FF244199BBCCB9DB4A5277</vt:lpwstr>
  </property>
</Properties>
</file>