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B1" w:rsidRPr="00426FC7" w:rsidRDefault="009757B8" w:rsidP="003927BE">
      <w:pPr>
        <w:rPr>
          <w:rFonts w:cs="Arial"/>
          <w:b/>
          <w:sz w:val="52"/>
          <w:szCs w:val="52"/>
        </w:rPr>
      </w:pPr>
      <w:r w:rsidRPr="00426FC7">
        <w:rPr>
          <w:rFonts w:cs="Arial"/>
          <w:b/>
          <w:sz w:val="52"/>
          <w:szCs w:val="52"/>
        </w:rPr>
        <w:t>Coordinación de Derechos Humanos y Género</w:t>
      </w:r>
    </w:p>
    <w:p w:rsidR="009757B8" w:rsidRPr="00426FC7" w:rsidRDefault="009757B8" w:rsidP="003927BE">
      <w:pPr>
        <w:rPr>
          <w:rFonts w:cs="Arial"/>
          <w:b/>
          <w:sz w:val="36"/>
          <w:szCs w:val="52"/>
        </w:rPr>
      </w:pPr>
    </w:p>
    <w:p w:rsidR="009757B8" w:rsidRPr="00426FC7" w:rsidRDefault="009757B8" w:rsidP="003927BE">
      <w:pPr>
        <w:rPr>
          <w:rFonts w:cs="Arial"/>
          <w:b/>
          <w:sz w:val="40"/>
          <w:szCs w:val="52"/>
        </w:rPr>
      </w:pPr>
      <w:r w:rsidRPr="00426FC7">
        <w:rPr>
          <w:rFonts w:cs="Arial"/>
          <w:b/>
          <w:sz w:val="40"/>
          <w:szCs w:val="52"/>
        </w:rPr>
        <w:t>Informe Anual</w:t>
      </w:r>
    </w:p>
    <w:p w:rsidR="00A2166C" w:rsidRPr="00426FC7" w:rsidRDefault="00A2166C">
      <w:pPr>
        <w:spacing w:before="0" w:after="160" w:line="259" w:lineRule="auto"/>
        <w:jc w:val="left"/>
        <w:rPr>
          <w:rFonts w:cs="Arial"/>
          <w:b/>
          <w:sz w:val="52"/>
          <w:szCs w:val="52"/>
        </w:rPr>
      </w:pPr>
      <w:r w:rsidRPr="00426FC7">
        <w:rPr>
          <w:rFonts w:cs="Arial"/>
          <w:b/>
          <w:sz w:val="52"/>
          <w:szCs w:val="52"/>
        </w:rPr>
        <w:br w:type="page"/>
      </w:r>
    </w:p>
    <w:p w:rsidR="00A2166C" w:rsidRPr="00426FC7" w:rsidRDefault="008816D7" w:rsidP="000E297E">
      <w:pPr>
        <w:shd w:val="clear" w:color="auto" w:fill="FFFFFF"/>
        <w:textAlignment w:val="baseline"/>
        <w:rPr>
          <w:rFonts w:cs="Arial"/>
          <w:szCs w:val="24"/>
        </w:rPr>
      </w:pPr>
      <w:r w:rsidRPr="00426FC7">
        <w:rPr>
          <w:rFonts w:cs="Arial"/>
          <w:szCs w:val="24"/>
        </w:rPr>
        <w:lastRenderedPageBreak/>
        <w:t>E</w:t>
      </w:r>
      <w:r w:rsidRPr="00426FC7">
        <w:rPr>
          <w:rFonts w:eastAsia="Times New Roman" w:cs="Arial"/>
          <w:szCs w:val="24"/>
          <w:lang w:eastAsia="es-MX"/>
        </w:rPr>
        <w:t xml:space="preserve">n el marco de la reestructura institucional del TECDMX en 2017, la </w:t>
      </w:r>
      <w:proofErr w:type="spellStart"/>
      <w:r w:rsidRPr="00426FC7">
        <w:rPr>
          <w:rFonts w:eastAsia="Times New Roman" w:cs="Arial"/>
          <w:szCs w:val="24"/>
          <w:lang w:eastAsia="es-MX"/>
        </w:rPr>
        <w:t>CDHyG</w:t>
      </w:r>
      <w:proofErr w:type="spellEnd"/>
      <w:r w:rsidRPr="00426FC7">
        <w:rPr>
          <w:rFonts w:eastAsia="Times New Roman" w:cs="Arial"/>
          <w:szCs w:val="24"/>
          <w:lang w:eastAsia="es-MX"/>
        </w:rPr>
        <w:t xml:space="preserve">, </w:t>
      </w:r>
      <w:r w:rsidRPr="00426FC7">
        <w:rPr>
          <w:rFonts w:cs="Arial"/>
          <w:szCs w:val="24"/>
        </w:rPr>
        <w:t>como órgano auxiliar del TECDMX,</w:t>
      </w:r>
      <w:r w:rsidRPr="00426FC7">
        <w:rPr>
          <w:rFonts w:eastAsia="Times New Roman" w:cs="Arial"/>
          <w:szCs w:val="24"/>
          <w:lang w:eastAsia="es-MX"/>
        </w:rPr>
        <w:t xml:space="preserve"> inició actividades a partir del segundo trimestre del 2017 y, d</w:t>
      </w:r>
      <w:r w:rsidR="00A2166C" w:rsidRPr="00426FC7">
        <w:rPr>
          <w:rFonts w:cs="Arial"/>
          <w:szCs w:val="24"/>
        </w:rPr>
        <w:t>e conformidad con lo previsto en los artículos 218</w:t>
      </w:r>
      <w:r w:rsidRPr="00426FC7">
        <w:rPr>
          <w:rFonts w:cs="Arial"/>
          <w:szCs w:val="24"/>
        </w:rPr>
        <w:t xml:space="preserve"> del CIPECDMX y</w:t>
      </w:r>
      <w:r w:rsidR="00A2166C" w:rsidRPr="00426FC7">
        <w:rPr>
          <w:rFonts w:cs="Arial"/>
          <w:szCs w:val="24"/>
        </w:rPr>
        <w:t xml:space="preserve"> 73 del </w:t>
      </w:r>
      <w:r w:rsidRPr="00426FC7">
        <w:rPr>
          <w:rFonts w:cs="Arial"/>
          <w:szCs w:val="24"/>
        </w:rPr>
        <w:t>RITECDMX,</w:t>
      </w:r>
      <w:r w:rsidR="00A2166C" w:rsidRPr="00426FC7">
        <w:rPr>
          <w:rFonts w:cs="Arial"/>
          <w:szCs w:val="24"/>
        </w:rPr>
        <w:t xml:space="preserve"> coordina, diseña, propone e instrumenta las estrategias para impulsar y fortalecer la función jurisdiccional y administrativa electoral local, en materia de derechos humanos, igualdad sustantiva, perspectiva de género y protección a personas en situación de vulnerabilidad</w:t>
      </w:r>
      <w:r w:rsidRPr="00426FC7">
        <w:rPr>
          <w:rFonts w:cs="Arial"/>
          <w:szCs w:val="24"/>
        </w:rPr>
        <w:t>.</w:t>
      </w:r>
    </w:p>
    <w:p w:rsidR="00663F31" w:rsidRPr="00426FC7" w:rsidRDefault="000E297E" w:rsidP="000E297E">
      <w:pPr>
        <w:rPr>
          <w:rFonts w:cs="Arial"/>
          <w:sz w:val="40"/>
          <w:szCs w:val="40"/>
          <w:shd w:val="clear" w:color="auto" w:fill="FFFFFF"/>
        </w:rPr>
      </w:pPr>
      <w:r w:rsidRPr="00426FC7">
        <w:rPr>
          <w:rFonts w:cs="Arial"/>
          <w:sz w:val="40"/>
          <w:szCs w:val="40"/>
          <w:shd w:val="clear" w:color="auto" w:fill="FFFFFF"/>
        </w:rPr>
        <w:t>Estrategias</w:t>
      </w:r>
    </w:p>
    <w:p w:rsidR="003627AD" w:rsidRPr="00426FC7" w:rsidRDefault="00FB20F4" w:rsidP="00FB20F4">
      <w:pPr>
        <w:pStyle w:val="Default"/>
        <w:spacing w:before="240" w:after="240"/>
        <w:jc w:val="both"/>
        <w:rPr>
          <w:rFonts w:ascii="Arial" w:eastAsia="Times New Roman" w:hAnsi="Arial" w:cs="Arial"/>
        </w:rPr>
      </w:pPr>
      <w:r w:rsidRPr="00426FC7">
        <w:rPr>
          <w:rFonts w:ascii="Arial" w:hAnsi="Arial" w:cs="Arial"/>
          <w:lang w:val="es-MX"/>
        </w:rPr>
        <w:t>L</w:t>
      </w:r>
      <w:r w:rsidR="00663F31" w:rsidRPr="00426FC7">
        <w:rPr>
          <w:rFonts w:ascii="Arial" w:hAnsi="Arial" w:cs="Arial"/>
          <w:lang w:val="es-MX"/>
        </w:rPr>
        <w:t xml:space="preserve">a </w:t>
      </w:r>
      <w:proofErr w:type="spellStart"/>
      <w:r w:rsidR="00F17DFB" w:rsidRPr="00426FC7">
        <w:rPr>
          <w:rFonts w:ascii="Arial" w:hAnsi="Arial" w:cs="Arial"/>
          <w:lang w:val="es-MX"/>
        </w:rPr>
        <w:t>CDH</w:t>
      </w:r>
      <w:r w:rsidR="00BC5771" w:rsidRPr="00426FC7">
        <w:rPr>
          <w:rFonts w:ascii="Arial" w:hAnsi="Arial" w:cs="Arial"/>
          <w:lang w:val="es-MX"/>
        </w:rPr>
        <w:t>yG</w:t>
      </w:r>
      <w:proofErr w:type="spellEnd"/>
      <w:r w:rsidR="00F17DFB" w:rsidRPr="00426FC7">
        <w:rPr>
          <w:rFonts w:ascii="Arial" w:hAnsi="Arial" w:cs="Arial"/>
          <w:lang w:val="es-MX"/>
        </w:rPr>
        <w:t xml:space="preserve"> </w:t>
      </w:r>
      <w:r w:rsidR="00BC5771" w:rsidRPr="00426FC7">
        <w:rPr>
          <w:rFonts w:ascii="Arial" w:hAnsi="Arial" w:cs="Arial"/>
          <w:lang w:val="es-MX"/>
        </w:rPr>
        <w:t xml:space="preserve">organizó </w:t>
      </w:r>
      <w:r w:rsidRPr="00426FC7">
        <w:rPr>
          <w:rFonts w:ascii="Arial" w:hAnsi="Arial" w:cs="Arial"/>
          <w:lang w:val="es-MX"/>
        </w:rPr>
        <w:t>una campaña</w:t>
      </w:r>
      <w:r w:rsidR="003C2A6E" w:rsidRPr="00426FC7">
        <w:rPr>
          <w:rFonts w:ascii="Arial" w:eastAsia="Times New Roman" w:hAnsi="Arial" w:cs="Arial"/>
        </w:rPr>
        <w:t xml:space="preserve"> institucional m</w:t>
      </w:r>
      <w:r w:rsidR="003627AD" w:rsidRPr="00426FC7">
        <w:rPr>
          <w:rFonts w:ascii="Arial" w:eastAsia="Times New Roman" w:hAnsi="Arial" w:cs="Arial"/>
        </w:rPr>
        <w:t xml:space="preserve">ensual del </w:t>
      </w:r>
      <w:r w:rsidR="003627AD" w:rsidRPr="00426FC7">
        <w:rPr>
          <w:rFonts w:ascii="Arial" w:eastAsia="Times New Roman" w:hAnsi="Arial" w:cs="Arial"/>
          <w:i/>
        </w:rPr>
        <w:t>Día Naranja</w:t>
      </w:r>
      <w:r w:rsidRPr="00426FC7">
        <w:rPr>
          <w:rFonts w:ascii="Arial" w:eastAsia="Times New Roman" w:hAnsi="Arial" w:cs="Arial"/>
        </w:rPr>
        <w:t xml:space="preserve"> para sumarse </w:t>
      </w:r>
      <w:r w:rsidR="003627AD" w:rsidRPr="00426FC7">
        <w:rPr>
          <w:rFonts w:ascii="Arial" w:eastAsia="Times New Roman" w:hAnsi="Arial" w:cs="Arial"/>
        </w:rPr>
        <w:t>al llamado de la no violencia contra las mujeres</w:t>
      </w:r>
      <w:r w:rsidR="00AA1AAD" w:rsidRPr="00426FC7">
        <w:rPr>
          <w:rFonts w:ascii="Arial" w:eastAsia="Times New Roman" w:hAnsi="Arial" w:cs="Arial"/>
        </w:rPr>
        <w:t xml:space="preserve"> y niñas</w:t>
      </w:r>
      <w:r w:rsidR="003627AD" w:rsidRPr="00426FC7">
        <w:rPr>
          <w:rFonts w:ascii="Arial" w:eastAsia="Times New Roman" w:hAnsi="Arial" w:cs="Arial"/>
        </w:rPr>
        <w:t xml:space="preserve"> mediante la difusión en redes sociales de </w:t>
      </w:r>
      <w:r w:rsidR="003C2A6E" w:rsidRPr="00426FC7">
        <w:rPr>
          <w:rFonts w:ascii="Arial" w:eastAsia="Times New Roman" w:hAnsi="Arial" w:cs="Arial"/>
        </w:rPr>
        <w:t>material informativo en favor de los derechos de las mujeres y por la erradicación de la violencia contra las mujeres, particularmente la violencia política con elementos de género</w:t>
      </w:r>
      <w:r w:rsidR="003627AD" w:rsidRPr="00426FC7">
        <w:rPr>
          <w:rFonts w:ascii="Arial" w:eastAsia="Times New Roman" w:hAnsi="Arial" w:cs="Arial"/>
        </w:rPr>
        <w:t>.</w:t>
      </w:r>
    </w:p>
    <w:p w:rsidR="003627AD" w:rsidRPr="00426FC7" w:rsidRDefault="00FB20F4" w:rsidP="000E297E">
      <w:pPr>
        <w:rPr>
          <w:rFonts w:eastAsia="Times New Roman" w:cs="Arial"/>
          <w:szCs w:val="24"/>
        </w:rPr>
      </w:pPr>
      <w:r w:rsidRPr="00426FC7">
        <w:rPr>
          <w:rFonts w:eastAsia="Times New Roman" w:cs="Arial"/>
          <w:szCs w:val="24"/>
        </w:rPr>
        <w:t xml:space="preserve">Asimismo, </w:t>
      </w:r>
      <w:r w:rsidR="003C2A6E" w:rsidRPr="00426FC7">
        <w:rPr>
          <w:rFonts w:eastAsia="Times New Roman" w:cs="Arial"/>
          <w:szCs w:val="24"/>
        </w:rPr>
        <w:t xml:space="preserve">diseñó e implementó una </w:t>
      </w:r>
      <w:r w:rsidR="003627AD" w:rsidRPr="00426FC7">
        <w:rPr>
          <w:rFonts w:eastAsia="Times New Roman" w:cs="Arial"/>
          <w:szCs w:val="24"/>
        </w:rPr>
        <w:t xml:space="preserve">metodología </w:t>
      </w:r>
      <w:r w:rsidRPr="00426FC7">
        <w:rPr>
          <w:rFonts w:eastAsia="Times New Roman" w:cs="Arial"/>
          <w:szCs w:val="24"/>
        </w:rPr>
        <w:t xml:space="preserve">(indicadores mensuales) </w:t>
      </w:r>
      <w:r w:rsidR="003C2A6E" w:rsidRPr="00426FC7">
        <w:rPr>
          <w:rFonts w:eastAsia="Times New Roman" w:cs="Arial"/>
          <w:szCs w:val="24"/>
        </w:rPr>
        <w:t xml:space="preserve">para desarrollar un sistema de información estadística jurisdiccional en materia de derechos humanos, género, igualdad laboral y no discriminación; con apoyo de las Ponencias, </w:t>
      </w:r>
      <w:r w:rsidR="00830CBE" w:rsidRPr="00426FC7">
        <w:rPr>
          <w:rFonts w:eastAsia="Times New Roman" w:cs="Arial"/>
          <w:szCs w:val="24"/>
        </w:rPr>
        <w:t>SG</w:t>
      </w:r>
      <w:r w:rsidR="003C2A6E" w:rsidRPr="00426FC7">
        <w:rPr>
          <w:rFonts w:eastAsia="Times New Roman" w:cs="Arial"/>
          <w:szCs w:val="24"/>
        </w:rPr>
        <w:t xml:space="preserve">, </w:t>
      </w:r>
      <w:r w:rsidR="00830CBE" w:rsidRPr="00426FC7">
        <w:rPr>
          <w:rFonts w:eastAsia="Times New Roman" w:cs="Arial"/>
          <w:szCs w:val="24"/>
        </w:rPr>
        <w:t>SA</w:t>
      </w:r>
      <w:r w:rsidR="003627AD" w:rsidRPr="00426FC7">
        <w:rPr>
          <w:rFonts w:eastAsia="Times New Roman" w:cs="Arial"/>
          <w:szCs w:val="24"/>
        </w:rPr>
        <w:t xml:space="preserve"> y la </w:t>
      </w:r>
      <w:r w:rsidR="00830CBE" w:rsidRPr="00426FC7">
        <w:rPr>
          <w:rFonts w:eastAsia="Times New Roman" w:cs="Arial"/>
          <w:szCs w:val="24"/>
        </w:rPr>
        <w:t>UEJ</w:t>
      </w:r>
      <w:r w:rsidR="003627AD" w:rsidRPr="00426FC7">
        <w:rPr>
          <w:rFonts w:eastAsia="Times New Roman" w:cs="Arial"/>
          <w:szCs w:val="24"/>
        </w:rPr>
        <w:t>.</w:t>
      </w:r>
    </w:p>
    <w:p w:rsidR="003627AD" w:rsidRPr="00426FC7" w:rsidRDefault="003627AD" w:rsidP="00E201EA">
      <w:pPr>
        <w:rPr>
          <w:rFonts w:eastAsia="Times New Roman" w:cs="Arial"/>
          <w:szCs w:val="24"/>
        </w:rPr>
      </w:pPr>
      <w:r w:rsidRPr="00426FC7">
        <w:rPr>
          <w:rFonts w:eastAsia="Times New Roman" w:cs="Arial"/>
          <w:szCs w:val="24"/>
        </w:rPr>
        <w:t xml:space="preserve">En este sentido, el </w:t>
      </w:r>
      <w:r w:rsidR="00E201EA" w:rsidRPr="00426FC7">
        <w:rPr>
          <w:rFonts w:eastAsia="Times New Roman" w:cs="Arial"/>
          <w:szCs w:val="24"/>
        </w:rPr>
        <w:t>TECDMX</w:t>
      </w:r>
      <w:r w:rsidRPr="00426FC7">
        <w:rPr>
          <w:rFonts w:eastAsia="Times New Roman" w:cs="Arial"/>
          <w:szCs w:val="24"/>
        </w:rPr>
        <w:t xml:space="preserve"> </w:t>
      </w:r>
      <w:r w:rsidR="00E201EA" w:rsidRPr="00426FC7">
        <w:rPr>
          <w:rFonts w:eastAsia="Times New Roman" w:cs="Arial"/>
          <w:szCs w:val="24"/>
        </w:rPr>
        <w:t>trabajó en temas como</w:t>
      </w:r>
      <w:r w:rsidRPr="00426FC7">
        <w:rPr>
          <w:rFonts w:eastAsia="Times New Roman" w:cs="Arial"/>
          <w:szCs w:val="24"/>
        </w:rPr>
        <w:t>:</w:t>
      </w:r>
      <w:r w:rsidR="00E201EA" w:rsidRPr="00426FC7">
        <w:rPr>
          <w:rFonts w:eastAsia="Times New Roman" w:cs="Arial"/>
          <w:szCs w:val="24"/>
        </w:rPr>
        <w:t xml:space="preserve"> </w:t>
      </w:r>
      <w:r w:rsidR="009757B8" w:rsidRPr="00426FC7">
        <w:rPr>
          <w:rFonts w:eastAsia="Times New Roman" w:cs="Arial"/>
          <w:szCs w:val="24"/>
        </w:rPr>
        <w:t>l</w:t>
      </w:r>
      <w:r w:rsidRPr="00426FC7">
        <w:rPr>
          <w:rFonts w:eastAsia="Times New Roman" w:cs="Arial"/>
          <w:szCs w:val="24"/>
        </w:rPr>
        <w:t>ibertad de asociación</w:t>
      </w:r>
      <w:r w:rsidR="00E201EA" w:rsidRPr="00426FC7">
        <w:rPr>
          <w:rFonts w:eastAsia="Times New Roman" w:cs="Arial"/>
          <w:szCs w:val="24"/>
        </w:rPr>
        <w:t xml:space="preserve">; </w:t>
      </w:r>
      <w:r w:rsidR="009757B8" w:rsidRPr="00426FC7">
        <w:rPr>
          <w:rFonts w:eastAsia="Times New Roman" w:cs="Arial"/>
          <w:szCs w:val="24"/>
        </w:rPr>
        <w:t>l</w:t>
      </w:r>
      <w:r w:rsidRPr="00426FC7">
        <w:rPr>
          <w:rFonts w:eastAsia="Times New Roman" w:cs="Arial"/>
          <w:szCs w:val="24"/>
        </w:rPr>
        <w:t>ibertad de expresión</w:t>
      </w:r>
      <w:r w:rsidR="00E201EA" w:rsidRPr="00426FC7">
        <w:rPr>
          <w:rFonts w:eastAsia="Times New Roman" w:cs="Arial"/>
          <w:szCs w:val="24"/>
        </w:rPr>
        <w:t xml:space="preserve">; </w:t>
      </w:r>
      <w:r w:rsidR="009757B8" w:rsidRPr="00426FC7">
        <w:rPr>
          <w:rFonts w:eastAsia="Times New Roman" w:cs="Arial"/>
          <w:szCs w:val="24"/>
        </w:rPr>
        <w:t>v</w:t>
      </w:r>
      <w:r w:rsidRPr="00426FC7">
        <w:rPr>
          <w:rFonts w:eastAsia="Times New Roman" w:cs="Arial"/>
          <w:szCs w:val="24"/>
        </w:rPr>
        <w:t xml:space="preserve">iolencia política </w:t>
      </w:r>
      <w:r w:rsidR="003C2A6E" w:rsidRPr="00426FC7">
        <w:rPr>
          <w:rFonts w:eastAsia="Times New Roman" w:cs="Arial"/>
          <w:szCs w:val="24"/>
        </w:rPr>
        <w:t>con elementos de género</w:t>
      </w:r>
      <w:r w:rsidR="00E201EA" w:rsidRPr="00426FC7">
        <w:rPr>
          <w:rFonts w:eastAsia="Times New Roman" w:cs="Arial"/>
          <w:szCs w:val="24"/>
        </w:rPr>
        <w:t xml:space="preserve">; </w:t>
      </w:r>
      <w:r w:rsidR="009757B8" w:rsidRPr="00426FC7">
        <w:rPr>
          <w:rFonts w:eastAsia="Times New Roman" w:cs="Arial"/>
          <w:szCs w:val="24"/>
        </w:rPr>
        <w:t>c</w:t>
      </w:r>
      <w:r w:rsidRPr="00426FC7">
        <w:rPr>
          <w:rFonts w:eastAsia="Times New Roman" w:cs="Arial"/>
          <w:szCs w:val="24"/>
        </w:rPr>
        <w:t>andidaturas independientes</w:t>
      </w:r>
      <w:r w:rsidR="00E201EA" w:rsidRPr="00426FC7">
        <w:rPr>
          <w:rFonts w:eastAsia="Times New Roman" w:cs="Arial"/>
          <w:szCs w:val="24"/>
        </w:rPr>
        <w:t xml:space="preserve">; </w:t>
      </w:r>
      <w:r w:rsidR="009757B8" w:rsidRPr="00426FC7">
        <w:rPr>
          <w:rFonts w:eastAsia="Times New Roman" w:cs="Arial"/>
          <w:szCs w:val="24"/>
        </w:rPr>
        <w:t>s</w:t>
      </w:r>
      <w:r w:rsidRPr="00426FC7">
        <w:rPr>
          <w:rFonts w:eastAsia="Times New Roman" w:cs="Arial"/>
          <w:szCs w:val="24"/>
        </w:rPr>
        <w:t>istemas normativos internos</w:t>
      </w:r>
      <w:r w:rsidR="00E201EA" w:rsidRPr="00426FC7">
        <w:rPr>
          <w:rFonts w:eastAsia="Times New Roman" w:cs="Arial"/>
          <w:szCs w:val="24"/>
        </w:rPr>
        <w:t xml:space="preserve">; </w:t>
      </w:r>
      <w:r w:rsidR="009757B8" w:rsidRPr="00426FC7">
        <w:rPr>
          <w:rFonts w:eastAsia="Times New Roman" w:cs="Arial"/>
          <w:szCs w:val="24"/>
        </w:rPr>
        <w:t>i</w:t>
      </w:r>
      <w:r w:rsidR="003C2A6E" w:rsidRPr="00426FC7">
        <w:rPr>
          <w:rFonts w:eastAsia="Times New Roman" w:cs="Arial"/>
          <w:szCs w:val="24"/>
        </w:rPr>
        <w:t xml:space="preserve">gualdad laboral, </w:t>
      </w:r>
      <w:r w:rsidRPr="00426FC7">
        <w:rPr>
          <w:rFonts w:eastAsia="Times New Roman" w:cs="Arial"/>
          <w:szCs w:val="24"/>
        </w:rPr>
        <w:t>paridad de género</w:t>
      </w:r>
      <w:r w:rsidR="003C2A6E" w:rsidRPr="00426FC7">
        <w:rPr>
          <w:rFonts w:eastAsia="Times New Roman" w:cs="Arial"/>
          <w:szCs w:val="24"/>
        </w:rPr>
        <w:t xml:space="preserve"> y no </w:t>
      </w:r>
      <w:r w:rsidR="001C4494" w:rsidRPr="00426FC7">
        <w:rPr>
          <w:rFonts w:eastAsia="Times New Roman" w:cs="Arial"/>
          <w:szCs w:val="24"/>
        </w:rPr>
        <w:t>discriminación.</w:t>
      </w:r>
    </w:p>
    <w:p w:rsidR="00FD19E2" w:rsidRPr="00426FC7" w:rsidRDefault="009757B8" w:rsidP="009757B8">
      <w:pPr>
        <w:rPr>
          <w:rFonts w:eastAsia="Times New Roman" w:cs="Arial"/>
          <w:szCs w:val="24"/>
        </w:rPr>
      </w:pPr>
      <w:r w:rsidRPr="00426FC7">
        <w:rPr>
          <w:rFonts w:eastAsia="Times New Roman" w:cs="Arial"/>
          <w:szCs w:val="24"/>
        </w:rPr>
        <w:t>Se difundieron</w:t>
      </w:r>
      <w:r w:rsidR="001C4494" w:rsidRPr="00426FC7">
        <w:rPr>
          <w:rFonts w:eastAsia="Times New Roman" w:cs="Arial"/>
          <w:szCs w:val="24"/>
        </w:rPr>
        <w:t xml:space="preserve"> </w:t>
      </w:r>
      <w:r w:rsidR="007A737F" w:rsidRPr="00426FC7">
        <w:rPr>
          <w:rFonts w:eastAsia="Times New Roman" w:cs="Arial"/>
          <w:szCs w:val="24"/>
        </w:rPr>
        <w:t xml:space="preserve">diversos </w:t>
      </w:r>
      <w:r w:rsidR="007A737F" w:rsidRPr="00426FC7">
        <w:rPr>
          <w:rFonts w:eastAsia="Times New Roman" w:cs="Arial"/>
          <w:i/>
          <w:szCs w:val="24"/>
        </w:rPr>
        <w:t>banners</w:t>
      </w:r>
      <w:r w:rsidR="007A737F" w:rsidRPr="00426FC7">
        <w:rPr>
          <w:rFonts w:eastAsia="Times New Roman" w:cs="Arial"/>
          <w:szCs w:val="24"/>
        </w:rPr>
        <w:t xml:space="preserve"> </w:t>
      </w:r>
      <w:r w:rsidR="001C4494" w:rsidRPr="00426FC7">
        <w:rPr>
          <w:rFonts w:eastAsia="Times New Roman" w:cs="Arial"/>
          <w:szCs w:val="24"/>
        </w:rPr>
        <w:t xml:space="preserve">en la página </w:t>
      </w:r>
      <w:r w:rsidR="003077DD" w:rsidRPr="00426FC7">
        <w:rPr>
          <w:rFonts w:eastAsia="Times New Roman" w:cs="Arial"/>
          <w:i/>
          <w:szCs w:val="24"/>
        </w:rPr>
        <w:t>Web</w:t>
      </w:r>
      <w:r w:rsidR="001C4494" w:rsidRPr="00426FC7">
        <w:rPr>
          <w:rFonts w:eastAsia="Times New Roman" w:cs="Arial"/>
          <w:szCs w:val="24"/>
        </w:rPr>
        <w:t xml:space="preserve"> de </w:t>
      </w:r>
      <w:r w:rsidR="003077DD" w:rsidRPr="00426FC7">
        <w:rPr>
          <w:rFonts w:eastAsia="Times New Roman" w:cs="Arial"/>
          <w:i/>
          <w:szCs w:val="24"/>
        </w:rPr>
        <w:t>Internet</w:t>
      </w:r>
      <w:r w:rsidR="001C4494" w:rsidRPr="00426FC7">
        <w:rPr>
          <w:rFonts w:eastAsia="Times New Roman" w:cs="Arial"/>
          <w:szCs w:val="24"/>
        </w:rPr>
        <w:t xml:space="preserve"> e </w:t>
      </w:r>
      <w:r w:rsidR="003077DD" w:rsidRPr="00426FC7">
        <w:rPr>
          <w:rFonts w:eastAsia="Times New Roman" w:cs="Arial"/>
          <w:i/>
          <w:szCs w:val="24"/>
        </w:rPr>
        <w:t>Intranet</w:t>
      </w:r>
      <w:r w:rsidR="001C4494" w:rsidRPr="00426FC7">
        <w:rPr>
          <w:rFonts w:eastAsia="Times New Roman" w:cs="Arial"/>
          <w:b/>
          <w:i/>
          <w:szCs w:val="24"/>
        </w:rPr>
        <w:t xml:space="preserve"> </w:t>
      </w:r>
      <w:r w:rsidR="001C4494" w:rsidRPr="00426FC7">
        <w:rPr>
          <w:rFonts w:eastAsia="Times New Roman" w:cs="Arial"/>
          <w:szCs w:val="24"/>
        </w:rPr>
        <w:t xml:space="preserve">del </w:t>
      </w:r>
      <w:r w:rsidR="003627AD" w:rsidRPr="00426FC7">
        <w:rPr>
          <w:rFonts w:eastAsia="Times New Roman" w:cs="Arial"/>
          <w:szCs w:val="24"/>
        </w:rPr>
        <w:t>T</w:t>
      </w:r>
      <w:r w:rsidR="003077DD" w:rsidRPr="00426FC7">
        <w:rPr>
          <w:rFonts w:eastAsia="Times New Roman" w:cs="Arial"/>
          <w:szCs w:val="24"/>
        </w:rPr>
        <w:t>ECDMX</w:t>
      </w:r>
      <w:r w:rsidR="007A737F" w:rsidRPr="00426FC7">
        <w:rPr>
          <w:rFonts w:eastAsia="Times New Roman" w:cs="Arial"/>
          <w:szCs w:val="24"/>
        </w:rPr>
        <w:t xml:space="preserve">, </w:t>
      </w:r>
      <w:r w:rsidR="003627AD" w:rsidRPr="00426FC7">
        <w:rPr>
          <w:rFonts w:eastAsia="Times New Roman" w:cs="Arial"/>
          <w:szCs w:val="24"/>
        </w:rPr>
        <w:t>alusivo</w:t>
      </w:r>
      <w:r w:rsidR="007A737F" w:rsidRPr="00426FC7">
        <w:rPr>
          <w:rFonts w:eastAsia="Times New Roman" w:cs="Arial"/>
          <w:szCs w:val="24"/>
        </w:rPr>
        <w:t>s</w:t>
      </w:r>
      <w:r w:rsidR="003627AD" w:rsidRPr="00426FC7">
        <w:rPr>
          <w:rFonts w:eastAsia="Times New Roman" w:cs="Arial"/>
          <w:szCs w:val="24"/>
        </w:rPr>
        <w:t xml:space="preserve"> a la campaña </w:t>
      </w:r>
      <w:r w:rsidR="007A737F" w:rsidRPr="00426FC7">
        <w:rPr>
          <w:rFonts w:eastAsia="Times New Roman" w:cs="Arial"/>
          <w:szCs w:val="24"/>
        </w:rPr>
        <w:t xml:space="preserve">permanente para la promoción del uso </w:t>
      </w:r>
      <w:r w:rsidRPr="00426FC7">
        <w:rPr>
          <w:rFonts w:eastAsia="Times New Roman" w:cs="Arial"/>
          <w:szCs w:val="24"/>
        </w:rPr>
        <w:t xml:space="preserve">de lenguaje incluyente; se elaboró </w:t>
      </w:r>
      <w:r w:rsidR="007A737F" w:rsidRPr="00426FC7">
        <w:rPr>
          <w:rFonts w:eastAsia="Times New Roman" w:cs="Arial"/>
          <w:szCs w:val="24"/>
        </w:rPr>
        <w:t>un</w:t>
      </w:r>
      <w:r w:rsidR="003627AD" w:rsidRPr="00426FC7">
        <w:rPr>
          <w:rFonts w:eastAsia="Times New Roman" w:cs="Arial"/>
          <w:szCs w:val="24"/>
        </w:rPr>
        <w:t xml:space="preserve"> </w:t>
      </w:r>
      <w:r w:rsidR="00FD19E2" w:rsidRPr="00426FC7">
        <w:rPr>
          <w:rFonts w:eastAsia="Times New Roman" w:cs="Arial"/>
          <w:szCs w:val="24"/>
        </w:rPr>
        <w:t xml:space="preserve">tríptico </w:t>
      </w:r>
      <w:r w:rsidR="007A737F" w:rsidRPr="00426FC7">
        <w:rPr>
          <w:rFonts w:eastAsia="Times New Roman" w:cs="Arial"/>
          <w:szCs w:val="24"/>
        </w:rPr>
        <w:t xml:space="preserve">informativo y con lenguaje ciudadano, relativo a las actividades de la </w:t>
      </w:r>
      <w:proofErr w:type="spellStart"/>
      <w:r w:rsidR="007A737F" w:rsidRPr="00426FC7">
        <w:rPr>
          <w:rFonts w:eastAsia="Times New Roman" w:cs="Arial"/>
          <w:szCs w:val="24"/>
        </w:rPr>
        <w:t>CDHyG</w:t>
      </w:r>
      <w:proofErr w:type="spellEnd"/>
      <w:r w:rsidR="007A737F" w:rsidRPr="00426FC7">
        <w:rPr>
          <w:rFonts w:eastAsia="Times New Roman" w:cs="Arial"/>
          <w:szCs w:val="24"/>
        </w:rPr>
        <w:t xml:space="preserve"> y del </w:t>
      </w:r>
      <w:proofErr w:type="spellStart"/>
      <w:r w:rsidR="003077DD" w:rsidRPr="00426FC7">
        <w:rPr>
          <w:rFonts w:eastAsia="Times New Roman" w:cs="Arial"/>
          <w:szCs w:val="24"/>
        </w:rPr>
        <w:t>CGyDH</w:t>
      </w:r>
      <w:proofErr w:type="spellEnd"/>
      <w:r w:rsidRPr="00426FC7">
        <w:rPr>
          <w:rFonts w:eastAsia="Times New Roman" w:cs="Arial"/>
          <w:szCs w:val="24"/>
        </w:rPr>
        <w:t xml:space="preserve">; así como </w:t>
      </w:r>
      <w:r w:rsidR="00FD19E2" w:rsidRPr="00426FC7">
        <w:rPr>
          <w:rFonts w:eastAsia="Times New Roman" w:cs="Arial"/>
          <w:szCs w:val="24"/>
        </w:rPr>
        <w:t xml:space="preserve">una </w:t>
      </w:r>
      <w:r w:rsidR="007A737F" w:rsidRPr="00426FC7">
        <w:rPr>
          <w:rFonts w:eastAsia="Times New Roman" w:cs="Arial"/>
          <w:szCs w:val="24"/>
        </w:rPr>
        <w:t>Guía para la prot</w:t>
      </w:r>
      <w:r w:rsidRPr="00426FC7">
        <w:rPr>
          <w:rFonts w:eastAsia="Times New Roman" w:cs="Arial"/>
          <w:szCs w:val="24"/>
        </w:rPr>
        <w:t>ección de los derechos político-</w:t>
      </w:r>
      <w:r w:rsidR="007A737F" w:rsidRPr="00426FC7">
        <w:rPr>
          <w:rFonts w:eastAsia="Times New Roman" w:cs="Arial"/>
          <w:szCs w:val="24"/>
        </w:rPr>
        <w:t>electorales de los pueblos y barrios originarios y comunidades indígenas residentes en la Ciudad de México</w:t>
      </w:r>
      <w:r w:rsidRPr="00426FC7">
        <w:rPr>
          <w:rFonts w:eastAsia="Times New Roman" w:cs="Arial"/>
          <w:szCs w:val="24"/>
        </w:rPr>
        <w:t>.</w:t>
      </w:r>
    </w:p>
    <w:p w:rsidR="00F15A34" w:rsidRPr="00426FC7" w:rsidRDefault="00F15A34" w:rsidP="000E297E">
      <w:pPr>
        <w:rPr>
          <w:rFonts w:cs="Arial"/>
          <w:szCs w:val="24"/>
        </w:rPr>
      </w:pPr>
      <w:r w:rsidRPr="00426FC7">
        <w:rPr>
          <w:rFonts w:cs="Arial"/>
          <w:szCs w:val="24"/>
        </w:rPr>
        <w:t>El</w:t>
      </w:r>
      <w:r w:rsidRPr="00426FC7">
        <w:rPr>
          <w:rFonts w:cs="Arial"/>
          <w:color w:val="000000"/>
          <w:szCs w:val="24"/>
        </w:rPr>
        <w:t xml:space="preserve"> </w:t>
      </w:r>
      <w:r w:rsidR="003077DD" w:rsidRPr="00426FC7">
        <w:rPr>
          <w:rFonts w:eastAsia="Times New Roman" w:cs="Arial"/>
          <w:szCs w:val="24"/>
        </w:rPr>
        <w:t>TECDMX</w:t>
      </w:r>
      <w:r w:rsidR="003077DD" w:rsidRPr="00426FC7">
        <w:rPr>
          <w:rFonts w:cs="Arial"/>
          <w:color w:val="000000"/>
          <w:szCs w:val="24"/>
        </w:rPr>
        <w:t xml:space="preserve"> impulsó</w:t>
      </w:r>
      <w:r w:rsidRPr="00426FC7">
        <w:rPr>
          <w:rFonts w:cs="Arial"/>
          <w:color w:val="000000"/>
          <w:szCs w:val="24"/>
        </w:rPr>
        <w:t xml:space="preserve"> </w:t>
      </w:r>
      <w:r w:rsidR="00FE0D9E" w:rsidRPr="00426FC7">
        <w:rPr>
          <w:rFonts w:cs="Arial"/>
          <w:color w:val="000000"/>
          <w:szCs w:val="24"/>
        </w:rPr>
        <w:t xml:space="preserve">la realización del </w:t>
      </w:r>
      <w:r w:rsidR="00FB20F4" w:rsidRPr="00426FC7">
        <w:rPr>
          <w:rFonts w:eastAsia="Times New Roman" w:cs="Arial"/>
          <w:szCs w:val="24"/>
        </w:rPr>
        <w:t>Foro “</w:t>
      </w:r>
      <w:r w:rsidR="00FB20F4" w:rsidRPr="00426FC7">
        <w:rPr>
          <w:rFonts w:cs="Arial"/>
          <w:i/>
          <w:szCs w:val="24"/>
        </w:rPr>
        <w:t>La contribución de las mujeres en la construcción de la cultura democrática nacional, revisión de la historia de México con enfoque de género</w:t>
      </w:r>
      <w:r w:rsidR="00FB20F4" w:rsidRPr="00426FC7">
        <w:rPr>
          <w:rFonts w:cs="Arial"/>
          <w:szCs w:val="24"/>
        </w:rPr>
        <w:t>”</w:t>
      </w:r>
      <w:r w:rsidR="00FE0D9E" w:rsidRPr="00426FC7">
        <w:rPr>
          <w:rFonts w:cs="Arial"/>
          <w:color w:val="000000"/>
          <w:szCs w:val="24"/>
        </w:rPr>
        <w:t>,</w:t>
      </w:r>
      <w:r w:rsidRPr="00426FC7">
        <w:rPr>
          <w:rFonts w:cs="Arial"/>
          <w:color w:val="000000"/>
          <w:szCs w:val="24"/>
        </w:rPr>
        <w:t xml:space="preserve"> con el fin de fortalecer los esfuerzos institucionales que realiza para la sensibilización, formación y difusión en favor de la </w:t>
      </w:r>
      <w:r w:rsidRPr="00426FC7">
        <w:rPr>
          <w:rFonts w:cs="Arial"/>
          <w:szCs w:val="24"/>
        </w:rPr>
        <w:t>igualdad sustantiva que, en esencia, es el compromiso ético y jurídico de mejorar la situación de facto de las mujeres y hacer frente a las relaciones asimétricas de poder y oportunidades.</w:t>
      </w:r>
    </w:p>
    <w:p w:rsidR="003627AD" w:rsidRPr="00426FC7" w:rsidRDefault="00542943" w:rsidP="000E297E">
      <w:pPr>
        <w:rPr>
          <w:rFonts w:eastAsia="Times New Roman" w:cs="Arial"/>
          <w:sz w:val="40"/>
          <w:szCs w:val="40"/>
        </w:rPr>
      </w:pPr>
      <w:r w:rsidRPr="00426FC7">
        <w:rPr>
          <w:rFonts w:eastAsia="Times New Roman" w:cs="Arial"/>
          <w:sz w:val="40"/>
          <w:szCs w:val="40"/>
        </w:rPr>
        <w:t>Vinculación i</w:t>
      </w:r>
      <w:r w:rsidR="003627AD" w:rsidRPr="00426FC7">
        <w:rPr>
          <w:rFonts w:eastAsia="Times New Roman" w:cs="Arial"/>
          <w:sz w:val="40"/>
          <w:szCs w:val="40"/>
        </w:rPr>
        <w:t>nterinstitucional</w:t>
      </w:r>
    </w:p>
    <w:p w:rsidR="003627AD" w:rsidRPr="00426FC7" w:rsidRDefault="00A80FF7" w:rsidP="000E297E">
      <w:pPr>
        <w:rPr>
          <w:rFonts w:eastAsia="Times New Roman" w:cs="Arial"/>
          <w:szCs w:val="24"/>
        </w:rPr>
      </w:pPr>
      <w:r w:rsidRPr="00426FC7">
        <w:rPr>
          <w:rFonts w:cs="Arial"/>
          <w:szCs w:val="24"/>
        </w:rPr>
        <w:t>Se trabajó en diversas actividades académicas y de difusión en la materia, mediante la v</w:t>
      </w:r>
      <w:r w:rsidRPr="00426FC7">
        <w:rPr>
          <w:rFonts w:eastAsia="Times New Roman" w:cs="Arial"/>
          <w:szCs w:val="24"/>
        </w:rPr>
        <w:t>inculación interinstitucional, a través del Comité Interinstitucional de Seguimiento y Evaluación para Introducir la Perspectiva de Género en los Órganos de Impartición de Justicia de la Ciudad de México</w:t>
      </w:r>
      <w:r w:rsidR="003627AD" w:rsidRPr="00426FC7">
        <w:rPr>
          <w:rFonts w:eastAsia="Times New Roman" w:cs="Arial"/>
          <w:i/>
          <w:szCs w:val="24"/>
        </w:rPr>
        <w:t>.</w:t>
      </w:r>
    </w:p>
    <w:p w:rsidR="003627AD" w:rsidRPr="00426FC7" w:rsidRDefault="00FD19E2" w:rsidP="000E297E">
      <w:pPr>
        <w:rPr>
          <w:rFonts w:eastAsia="Times New Roman" w:cs="Arial"/>
          <w:szCs w:val="24"/>
        </w:rPr>
      </w:pPr>
      <w:r w:rsidRPr="00426FC7">
        <w:rPr>
          <w:rFonts w:eastAsia="Times New Roman" w:cs="Arial"/>
          <w:szCs w:val="24"/>
        </w:rPr>
        <w:t xml:space="preserve">El TECDMX participó en el ciclo de conferencias </w:t>
      </w:r>
      <w:r w:rsidR="003627AD" w:rsidRPr="00426FC7">
        <w:rPr>
          <w:rFonts w:eastAsia="Times New Roman" w:cs="Arial"/>
          <w:b/>
          <w:szCs w:val="24"/>
        </w:rPr>
        <w:t>¡</w:t>
      </w:r>
      <w:r w:rsidR="003627AD" w:rsidRPr="00426FC7">
        <w:rPr>
          <w:rFonts w:eastAsia="Times New Roman" w:cs="Arial"/>
          <w:b/>
          <w:i/>
          <w:szCs w:val="24"/>
        </w:rPr>
        <w:t>Intégrate! por ¡Una Igualdad de Género!</w:t>
      </w:r>
      <w:r w:rsidRPr="00426FC7">
        <w:rPr>
          <w:rFonts w:eastAsia="Times New Roman" w:cs="Arial"/>
          <w:szCs w:val="24"/>
        </w:rPr>
        <w:t>, que</w:t>
      </w:r>
      <w:r w:rsidR="003627AD" w:rsidRPr="00426FC7">
        <w:rPr>
          <w:rFonts w:eastAsia="Times New Roman" w:cs="Arial"/>
          <w:szCs w:val="24"/>
        </w:rPr>
        <w:t xml:space="preserve"> tiene por objeto profesionalizar a</w:t>
      </w:r>
      <w:r w:rsidR="008769F4" w:rsidRPr="00426FC7">
        <w:rPr>
          <w:rFonts w:eastAsia="Times New Roman" w:cs="Arial"/>
          <w:szCs w:val="24"/>
        </w:rPr>
        <w:t xml:space="preserve"> </w:t>
      </w:r>
      <w:r w:rsidR="003627AD" w:rsidRPr="00426FC7">
        <w:rPr>
          <w:rFonts w:eastAsia="Times New Roman" w:cs="Arial"/>
          <w:szCs w:val="24"/>
        </w:rPr>
        <w:t>l</w:t>
      </w:r>
      <w:r w:rsidR="008769F4" w:rsidRPr="00426FC7">
        <w:rPr>
          <w:rFonts w:eastAsia="Times New Roman" w:cs="Arial"/>
          <w:szCs w:val="24"/>
        </w:rPr>
        <w:t>as personas servidoras públicas</w:t>
      </w:r>
      <w:r w:rsidR="003627AD" w:rsidRPr="00426FC7">
        <w:rPr>
          <w:rFonts w:eastAsia="Times New Roman" w:cs="Arial"/>
          <w:szCs w:val="24"/>
        </w:rPr>
        <w:t xml:space="preserve"> mediante un ciclo de conferencias en las que especialistas hablar</w:t>
      </w:r>
      <w:r w:rsidRPr="00426FC7">
        <w:rPr>
          <w:rFonts w:eastAsia="Times New Roman" w:cs="Arial"/>
          <w:szCs w:val="24"/>
        </w:rPr>
        <w:t xml:space="preserve">on sobre la igualdad sustantiva, la </w:t>
      </w:r>
      <w:r w:rsidR="00793799" w:rsidRPr="00426FC7">
        <w:rPr>
          <w:rFonts w:eastAsia="Times New Roman" w:cs="Arial"/>
          <w:szCs w:val="24"/>
        </w:rPr>
        <w:t>paridad</w:t>
      </w:r>
      <w:r w:rsidRPr="00426FC7">
        <w:rPr>
          <w:rFonts w:eastAsia="Times New Roman" w:cs="Arial"/>
          <w:szCs w:val="24"/>
        </w:rPr>
        <w:t xml:space="preserve"> de géneros, la violencia política con elementos de género y </w:t>
      </w:r>
      <w:r w:rsidR="003627AD" w:rsidRPr="00426FC7">
        <w:rPr>
          <w:rFonts w:eastAsia="Times New Roman" w:cs="Arial"/>
          <w:szCs w:val="24"/>
        </w:rPr>
        <w:t xml:space="preserve">su aplicación en la </w:t>
      </w:r>
      <w:r w:rsidRPr="00426FC7">
        <w:rPr>
          <w:rFonts w:eastAsia="Times New Roman" w:cs="Arial"/>
          <w:szCs w:val="24"/>
        </w:rPr>
        <w:t xml:space="preserve">impartición de </w:t>
      </w:r>
      <w:r w:rsidR="003627AD" w:rsidRPr="00426FC7">
        <w:rPr>
          <w:rFonts w:eastAsia="Times New Roman" w:cs="Arial"/>
          <w:szCs w:val="24"/>
        </w:rPr>
        <w:t xml:space="preserve">justicia desde la perspectiva de cada institución integrante, las cuales, además de éste órgano </w:t>
      </w:r>
      <w:r w:rsidR="003627AD" w:rsidRPr="00426FC7">
        <w:rPr>
          <w:rFonts w:eastAsia="Times New Roman" w:cs="Arial"/>
          <w:szCs w:val="24"/>
        </w:rPr>
        <w:lastRenderedPageBreak/>
        <w:t xml:space="preserve">jurisdiccional son: </w:t>
      </w:r>
      <w:r w:rsidR="0079264E" w:rsidRPr="00426FC7">
        <w:rPr>
          <w:rFonts w:eastAsia="Times New Roman" w:cs="Arial"/>
          <w:szCs w:val="24"/>
        </w:rPr>
        <w:t>TSJ</w:t>
      </w:r>
      <w:r w:rsidR="003627AD" w:rsidRPr="00426FC7">
        <w:rPr>
          <w:rFonts w:eastAsia="Times New Roman" w:cs="Arial"/>
          <w:szCs w:val="24"/>
        </w:rPr>
        <w:t xml:space="preserve">, Tribunal de lo Contencioso Administrativo, </w:t>
      </w:r>
      <w:r w:rsidR="0079264E" w:rsidRPr="00426FC7">
        <w:rPr>
          <w:rFonts w:eastAsia="Times New Roman" w:cs="Arial"/>
          <w:szCs w:val="24"/>
        </w:rPr>
        <w:t>JLCA;</w:t>
      </w:r>
      <w:r w:rsidR="003627AD" w:rsidRPr="00426FC7">
        <w:rPr>
          <w:rFonts w:eastAsia="Times New Roman" w:cs="Arial"/>
          <w:szCs w:val="24"/>
        </w:rPr>
        <w:t xml:space="preserve"> </w:t>
      </w:r>
      <w:r w:rsidR="0079264E" w:rsidRPr="00426FC7">
        <w:rPr>
          <w:rFonts w:eastAsia="Times New Roman" w:cs="Arial"/>
          <w:szCs w:val="24"/>
        </w:rPr>
        <w:t>INFODF</w:t>
      </w:r>
      <w:r w:rsidR="003627AD" w:rsidRPr="00426FC7">
        <w:rPr>
          <w:rFonts w:eastAsia="Times New Roman" w:cs="Arial"/>
          <w:szCs w:val="24"/>
        </w:rPr>
        <w:t>, así como el Tribunal Federal de Conciliación y Arbitraje.</w:t>
      </w:r>
    </w:p>
    <w:p w:rsidR="003627AD" w:rsidRPr="00426FC7" w:rsidRDefault="003627AD" w:rsidP="000E297E">
      <w:pPr>
        <w:rPr>
          <w:rFonts w:eastAsia="Times New Roman" w:cs="Arial"/>
          <w:szCs w:val="24"/>
        </w:rPr>
      </w:pPr>
      <w:r w:rsidRPr="00426FC7">
        <w:rPr>
          <w:rFonts w:eastAsia="Times New Roman" w:cs="Arial"/>
          <w:szCs w:val="24"/>
        </w:rPr>
        <w:t xml:space="preserve">Dentro del programa del </w:t>
      </w:r>
      <w:r w:rsidR="00FB20F4" w:rsidRPr="00426FC7">
        <w:rPr>
          <w:rFonts w:eastAsia="Times New Roman" w:cs="Arial"/>
          <w:szCs w:val="24"/>
        </w:rPr>
        <w:t>Conversatorio “</w:t>
      </w:r>
      <w:r w:rsidR="00FB20F4" w:rsidRPr="00426FC7">
        <w:rPr>
          <w:rFonts w:eastAsia="Times New Roman" w:cs="Arial"/>
          <w:i/>
          <w:szCs w:val="24"/>
        </w:rPr>
        <w:t>Género, Inclusión y Violencia política de género contra las mujeres</w:t>
      </w:r>
      <w:r w:rsidR="00FB20F4" w:rsidRPr="00426FC7">
        <w:rPr>
          <w:rFonts w:eastAsia="Times New Roman" w:cs="Arial"/>
          <w:szCs w:val="24"/>
        </w:rPr>
        <w:t>”,</w:t>
      </w:r>
      <w:r w:rsidRPr="00426FC7">
        <w:rPr>
          <w:rFonts w:eastAsia="Times New Roman" w:cs="Arial"/>
          <w:szCs w:val="24"/>
        </w:rPr>
        <w:t xml:space="preserve"> se desarrolló la conferencia intitulada “</w:t>
      </w:r>
      <w:r w:rsidRPr="00426FC7">
        <w:rPr>
          <w:rFonts w:eastAsia="Times New Roman" w:cs="Arial"/>
          <w:i/>
          <w:szCs w:val="24"/>
        </w:rPr>
        <w:t>El lenguaje incluyente en las resoluciones del Tribunal Electoral de la Ciudad de México</w:t>
      </w:r>
      <w:r w:rsidRPr="00426FC7">
        <w:rPr>
          <w:rFonts w:eastAsia="Times New Roman" w:cs="Arial"/>
          <w:szCs w:val="24"/>
        </w:rPr>
        <w:t>” impartida por el Dr. Ricardo Ruiz Carbonell.</w:t>
      </w:r>
    </w:p>
    <w:p w:rsidR="003627AD" w:rsidRPr="00426FC7" w:rsidRDefault="00FB20F4" w:rsidP="000E297E">
      <w:pPr>
        <w:rPr>
          <w:rFonts w:eastAsia="Times New Roman" w:cs="Arial"/>
          <w:szCs w:val="24"/>
        </w:rPr>
      </w:pPr>
      <w:r w:rsidRPr="00426FC7">
        <w:rPr>
          <w:rFonts w:eastAsia="Times New Roman" w:cs="Arial"/>
          <w:szCs w:val="24"/>
        </w:rPr>
        <w:t>A través de una e</w:t>
      </w:r>
      <w:r w:rsidR="008F5836" w:rsidRPr="00426FC7">
        <w:rPr>
          <w:rFonts w:eastAsia="Times New Roman" w:cs="Arial"/>
          <w:szCs w:val="24"/>
        </w:rPr>
        <w:t>strategia d</w:t>
      </w:r>
      <w:r w:rsidR="003627AD" w:rsidRPr="00426FC7">
        <w:rPr>
          <w:rFonts w:eastAsia="Times New Roman" w:cs="Arial"/>
          <w:szCs w:val="24"/>
        </w:rPr>
        <w:t>e difusión</w:t>
      </w:r>
      <w:r w:rsidR="008F5836" w:rsidRPr="00426FC7">
        <w:rPr>
          <w:rFonts w:eastAsia="Times New Roman" w:cs="Arial"/>
          <w:szCs w:val="24"/>
        </w:rPr>
        <w:t xml:space="preserve"> Web</w:t>
      </w:r>
      <w:r w:rsidRPr="00426FC7">
        <w:rPr>
          <w:rFonts w:eastAsia="Times New Roman" w:cs="Arial"/>
          <w:szCs w:val="24"/>
        </w:rPr>
        <w:t>,</w:t>
      </w:r>
      <w:r w:rsidRPr="00426FC7">
        <w:rPr>
          <w:rFonts w:eastAsia="Times New Roman" w:cs="Arial"/>
          <w:b/>
          <w:szCs w:val="24"/>
        </w:rPr>
        <w:t xml:space="preserve"> </w:t>
      </w:r>
      <w:r w:rsidRPr="00426FC7">
        <w:rPr>
          <w:rFonts w:eastAsia="Times New Roman" w:cs="Arial"/>
          <w:szCs w:val="24"/>
        </w:rPr>
        <w:t>se diseñó</w:t>
      </w:r>
      <w:r w:rsidR="0079264E" w:rsidRPr="00426FC7">
        <w:rPr>
          <w:rFonts w:eastAsia="Times New Roman" w:cs="Arial"/>
          <w:szCs w:val="24"/>
        </w:rPr>
        <w:t xml:space="preserve"> un medio accesible y prá</w:t>
      </w:r>
      <w:r w:rsidR="00FE0D9E" w:rsidRPr="00426FC7">
        <w:rPr>
          <w:rFonts w:eastAsia="Times New Roman" w:cs="Arial"/>
          <w:szCs w:val="24"/>
        </w:rPr>
        <w:t xml:space="preserve">ctico de información, </w:t>
      </w:r>
      <w:r w:rsidR="00A76654" w:rsidRPr="00426FC7">
        <w:rPr>
          <w:rFonts w:eastAsia="Times New Roman" w:cs="Arial"/>
          <w:szCs w:val="24"/>
        </w:rPr>
        <w:t>impulsando</w:t>
      </w:r>
      <w:r w:rsidR="008F5836" w:rsidRPr="00426FC7">
        <w:rPr>
          <w:rFonts w:eastAsia="Times New Roman" w:cs="Arial"/>
          <w:szCs w:val="24"/>
        </w:rPr>
        <w:t xml:space="preserve"> la</w:t>
      </w:r>
      <w:r w:rsidR="003627AD" w:rsidRPr="00426FC7">
        <w:rPr>
          <w:rFonts w:eastAsia="Times New Roman" w:cs="Arial"/>
          <w:szCs w:val="24"/>
        </w:rPr>
        <w:t xml:space="preserve"> sensibilización</w:t>
      </w:r>
      <w:r w:rsidR="008F5836" w:rsidRPr="00426FC7">
        <w:rPr>
          <w:rFonts w:eastAsia="Times New Roman" w:cs="Arial"/>
          <w:szCs w:val="24"/>
        </w:rPr>
        <w:t xml:space="preserve"> de las personas</w:t>
      </w:r>
      <w:r w:rsidR="003627AD" w:rsidRPr="00426FC7">
        <w:rPr>
          <w:rFonts w:eastAsia="Times New Roman" w:cs="Arial"/>
          <w:szCs w:val="24"/>
        </w:rPr>
        <w:t xml:space="preserve"> servidoras públicas de los órganos impartidores de justicia de la Ciudad de México, respecto del lenguaje que habitualmente utilizamos y el que debemos utilizar, a fin de comunicarnos co</w:t>
      </w:r>
      <w:r w:rsidR="008F5836" w:rsidRPr="00426FC7">
        <w:rPr>
          <w:rFonts w:eastAsia="Times New Roman" w:cs="Arial"/>
          <w:szCs w:val="24"/>
        </w:rPr>
        <w:t>rrectamente con los diversos</w:t>
      </w:r>
      <w:r w:rsidR="003627AD" w:rsidRPr="00426FC7">
        <w:rPr>
          <w:rFonts w:eastAsia="Times New Roman" w:cs="Arial"/>
          <w:szCs w:val="24"/>
        </w:rPr>
        <w:t xml:space="preserve"> grupos </w:t>
      </w:r>
      <w:r w:rsidR="008F5836" w:rsidRPr="00426FC7">
        <w:rPr>
          <w:rFonts w:eastAsia="Times New Roman" w:cs="Arial"/>
          <w:szCs w:val="24"/>
        </w:rPr>
        <w:t>sociales</w:t>
      </w:r>
      <w:r w:rsidR="003627AD" w:rsidRPr="00426FC7">
        <w:rPr>
          <w:rFonts w:eastAsia="Times New Roman" w:cs="Arial"/>
          <w:szCs w:val="24"/>
        </w:rPr>
        <w:t>.</w:t>
      </w:r>
    </w:p>
    <w:p w:rsidR="003627AD" w:rsidRPr="00426FC7" w:rsidRDefault="003627AD" w:rsidP="000E297E">
      <w:pPr>
        <w:rPr>
          <w:rFonts w:eastAsia="Times New Roman" w:cs="Arial"/>
          <w:szCs w:val="24"/>
        </w:rPr>
      </w:pPr>
      <w:r w:rsidRPr="00426FC7">
        <w:rPr>
          <w:rFonts w:eastAsia="Times New Roman" w:cs="Arial"/>
          <w:szCs w:val="24"/>
        </w:rPr>
        <w:t xml:space="preserve">En este sentido, de manera permanente se cuenta en la página de </w:t>
      </w:r>
      <w:r w:rsidRPr="00426FC7">
        <w:rPr>
          <w:rFonts w:eastAsia="Times New Roman" w:cs="Arial"/>
          <w:i/>
          <w:szCs w:val="24"/>
        </w:rPr>
        <w:t>Internet</w:t>
      </w:r>
      <w:r w:rsidRPr="00426FC7">
        <w:rPr>
          <w:rFonts w:eastAsia="Times New Roman" w:cs="Arial"/>
          <w:szCs w:val="24"/>
        </w:rPr>
        <w:t xml:space="preserve"> de</w:t>
      </w:r>
      <w:r w:rsidR="0079264E" w:rsidRPr="00426FC7">
        <w:rPr>
          <w:rFonts w:eastAsia="Times New Roman" w:cs="Arial"/>
          <w:szCs w:val="24"/>
        </w:rPr>
        <w:t>l</w:t>
      </w:r>
      <w:r w:rsidRPr="00426FC7">
        <w:rPr>
          <w:rFonts w:eastAsia="Times New Roman" w:cs="Arial"/>
          <w:szCs w:val="24"/>
        </w:rPr>
        <w:t xml:space="preserve"> </w:t>
      </w:r>
      <w:r w:rsidR="0079264E" w:rsidRPr="00426FC7">
        <w:rPr>
          <w:rFonts w:eastAsia="Times New Roman" w:cs="Arial"/>
          <w:szCs w:val="24"/>
        </w:rPr>
        <w:t>TECDMX</w:t>
      </w:r>
      <w:r w:rsidRPr="00426FC7">
        <w:rPr>
          <w:rFonts w:eastAsia="Times New Roman" w:cs="Arial"/>
          <w:szCs w:val="24"/>
        </w:rPr>
        <w:t xml:space="preserve"> con el </w:t>
      </w:r>
      <w:r w:rsidRPr="00426FC7">
        <w:rPr>
          <w:rFonts w:eastAsia="Times New Roman" w:cs="Arial"/>
          <w:i/>
          <w:szCs w:val="24"/>
        </w:rPr>
        <w:t xml:space="preserve">banner </w:t>
      </w:r>
      <w:r w:rsidRPr="00426FC7">
        <w:rPr>
          <w:rFonts w:eastAsia="Times New Roman" w:cs="Arial"/>
          <w:szCs w:val="24"/>
        </w:rPr>
        <w:t>alusivo a la campaña de lenguaje incluyente.</w:t>
      </w:r>
    </w:p>
    <w:p w:rsidR="003627AD" w:rsidRPr="00426FC7" w:rsidRDefault="00FB20F4" w:rsidP="000E297E">
      <w:pPr>
        <w:rPr>
          <w:rFonts w:eastAsia="Times New Roman" w:cs="Arial"/>
          <w:szCs w:val="24"/>
        </w:rPr>
      </w:pPr>
      <w:r w:rsidRPr="00426FC7">
        <w:rPr>
          <w:rFonts w:eastAsia="Times New Roman" w:cs="Arial"/>
          <w:szCs w:val="24"/>
        </w:rPr>
        <w:t xml:space="preserve">En el </w:t>
      </w:r>
      <w:r w:rsidR="003627AD" w:rsidRPr="00426FC7">
        <w:rPr>
          <w:rFonts w:eastAsia="Times New Roman" w:cs="Arial"/>
          <w:szCs w:val="24"/>
        </w:rPr>
        <w:t>Observatorio de Participación Política de las Mujeres en la Ciudad de México</w:t>
      </w:r>
      <w:r w:rsidRPr="00426FC7">
        <w:rPr>
          <w:rFonts w:eastAsia="Times New Roman" w:cs="Arial"/>
          <w:szCs w:val="24"/>
        </w:rPr>
        <w:t xml:space="preserve"> se aprobó, c</w:t>
      </w:r>
      <w:r w:rsidR="003627AD" w:rsidRPr="00426FC7">
        <w:rPr>
          <w:rFonts w:eastAsia="Times New Roman" w:cs="Arial"/>
          <w:szCs w:val="24"/>
        </w:rPr>
        <w:t xml:space="preserve">omo parte del </w:t>
      </w:r>
      <w:r w:rsidRPr="00426FC7">
        <w:rPr>
          <w:rFonts w:eastAsia="Times New Roman" w:cs="Arial"/>
          <w:szCs w:val="24"/>
        </w:rPr>
        <w:t>Programa de Trabajo 2017-2018</w:t>
      </w:r>
      <w:r w:rsidR="00C771DA" w:rsidRPr="00426FC7">
        <w:rPr>
          <w:rFonts w:eastAsia="Times New Roman" w:cs="Arial"/>
          <w:szCs w:val="24"/>
        </w:rPr>
        <w:t>,</w:t>
      </w:r>
      <w:r w:rsidR="003627AD" w:rsidRPr="00426FC7">
        <w:rPr>
          <w:rFonts w:eastAsia="Times New Roman" w:cs="Arial"/>
          <w:szCs w:val="24"/>
        </w:rPr>
        <w:t xml:space="preserve"> la impartición de los Talleres denominados</w:t>
      </w:r>
      <w:r w:rsidR="00C771DA" w:rsidRPr="00426FC7">
        <w:rPr>
          <w:rFonts w:eastAsia="Times New Roman" w:cs="Arial"/>
          <w:szCs w:val="24"/>
        </w:rPr>
        <w:t>:</w:t>
      </w:r>
      <w:r w:rsidR="003627AD" w:rsidRPr="00426FC7">
        <w:rPr>
          <w:rFonts w:eastAsia="Times New Roman" w:cs="Arial"/>
          <w:szCs w:val="24"/>
        </w:rPr>
        <w:t xml:space="preserve"> “</w:t>
      </w:r>
      <w:r w:rsidR="003627AD" w:rsidRPr="00426FC7">
        <w:rPr>
          <w:rFonts w:eastAsia="Times New Roman" w:cs="Arial"/>
          <w:i/>
          <w:szCs w:val="24"/>
        </w:rPr>
        <w:t>Identificación de la violencia política contra las mujeres para contribuir a su empoderamiento y el ejercicio pleno de sus derechos políticos</w:t>
      </w:r>
      <w:r w:rsidR="003627AD" w:rsidRPr="00426FC7">
        <w:rPr>
          <w:rFonts w:eastAsia="Times New Roman" w:cs="Arial"/>
          <w:szCs w:val="24"/>
        </w:rPr>
        <w:t>”</w:t>
      </w:r>
      <w:r w:rsidR="008F5836" w:rsidRPr="00426FC7">
        <w:rPr>
          <w:rFonts w:eastAsia="Times New Roman" w:cs="Arial"/>
          <w:szCs w:val="24"/>
        </w:rPr>
        <w:t>.</w:t>
      </w:r>
    </w:p>
    <w:p w:rsidR="003627AD" w:rsidRPr="00426FC7" w:rsidRDefault="00C771DA" w:rsidP="000E297E">
      <w:pPr>
        <w:rPr>
          <w:rFonts w:eastAsia="Times New Roman" w:cs="Arial"/>
          <w:szCs w:val="24"/>
        </w:rPr>
      </w:pPr>
      <w:r w:rsidRPr="00426FC7">
        <w:rPr>
          <w:rFonts w:eastAsia="Times New Roman" w:cs="Arial"/>
          <w:szCs w:val="24"/>
        </w:rPr>
        <w:t>Asimismo, c</w:t>
      </w:r>
      <w:r w:rsidR="008F5836" w:rsidRPr="00426FC7">
        <w:rPr>
          <w:rFonts w:eastAsia="Times New Roman" w:cs="Arial"/>
          <w:szCs w:val="24"/>
        </w:rPr>
        <w:t>on el o</w:t>
      </w:r>
      <w:r w:rsidR="003627AD" w:rsidRPr="00426FC7">
        <w:rPr>
          <w:rFonts w:eastAsia="Times New Roman" w:cs="Arial"/>
          <w:szCs w:val="24"/>
        </w:rPr>
        <w:t>bjeto de identificar buenas prácticas de gestión institucional, acciones, programas, normativas, procesos o procedimientos que consolidan a la buena gobernanza, en el ejercicio de los derechos políticos de las mujeres en la Ciudad de México,</w:t>
      </w:r>
      <w:r w:rsidR="008F5836" w:rsidRPr="00426FC7">
        <w:rPr>
          <w:rFonts w:eastAsia="Times New Roman" w:cs="Arial"/>
          <w:szCs w:val="24"/>
        </w:rPr>
        <w:t xml:space="preserve"> se trabajó en un instrumento para</w:t>
      </w:r>
      <w:r w:rsidR="003627AD" w:rsidRPr="00426FC7">
        <w:rPr>
          <w:rFonts w:eastAsia="Times New Roman" w:cs="Arial"/>
          <w:szCs w:val="24"/>
        </w:rPr>
        <w:t xml:space="preserve"> visibilizar y obtener mejores resultados de las actividades que facilitan el acceso de las mujeres a un óptimo ejercicio de sus derechos y en especial los derechos políticos electorales, de igual forma la difusión de buenas prácticas del empoderamiento político de las mujeres, resulta un compromiso institucional ineludible, porque permite visibilizar los avances en la materia y, al mismo tiempo identificar lo que falta por hacer.</w:t>
      </w:r>
    </w:p>
    <w:p w:rsidR="002A2883" w:rsidRPr="00426FC7" w:rsidRDefault="003627AD" w:rsidP="0079264E">
      <w:pPr>
        <w:rPr>
          <w:rFonts w:eastAsia="Times New Roman" w:cs="Arial"/>
          <w:sz w:val="40"/>
          <w:szCs w:val="40"/>
        </w:rPr>
      </w:pPr>
      <w:r w:rsidRPr="00426FC7">
        <w:rPr>
          <w:rFonts w:eastAsia="Times New Roman" w:cs="Arial"/>
          <w:sz w:val="40"/>
          <w:szCs w:val="40"/>
        </w:rPr>
        <w:t xml:space="preserve">Eventos externos en los que el TECDMX participó a través de la </w:t>
      </w:r>
      <w:r w:rsidR="0079264E" w:rsidRPr="00426FC7">
        <w:rPr>
          <w:rFonts w:eastAsia="Times New Roman" w:cs="Arial"/>
          <w:sz w:val="40"/>
          <w:szCs w:val="40"/>
        </w:rPr>
        <w:t>Coordinación de Derechos Humanos y Género</w:t>
      </w:r>
    </w:p>
    <w:p w:rsidR="003627AD" w:rsidRPr="00426FC7" w:rsidRDefault="008F5836" w:rsidP="000E297E">
      <w:pPr>
        <w:rPr>
          <w:rFonts w:eastAsia="Times New Roman" w:cs="Arial"/>
          <w:szCs w:val="24"/>
        </w:rPr>
      </w:pPr>
      <w:r w:rsidRPr="00426FC7">
        <w:rPr>
          <w:rFonts w:eastAsia="Times New Roman" w:cs="Arial"/>
          <w:szCs w:val="24"/>
        </w:rPr>
        <w:t xml:space="preserve">El </w:t>
      </w:r>
      <w:r w:rsidR="0079264E" w:rsidRPr="00426FC7">
        <w:rPr>
          <w:rFonts w:eastAsia="Times New Roman" w:cs="Arial"/>
          <w:szCs w:val="24"/>
        </w:rPr>
        <w:t>TECDMX participó</w:t>
      </w:r>
      <w:r w:rsidRPr="00426FC7">
        <w:rPr>
          <w:rFonts w:eastAsia="Times New Roman" w:cs="Arial"/>
          <w:szCs w:val="24"/>
        </w:rPr>
        <w:t xml:space="preserve"> e</w:t>
      </w:r>
      <w:r w:rsidR="003627AD" w:rsidRPr="00426FC7">
        <w:rPr>
          <w:rFonts w:eastAsia="Times New Roman" w:cs="Arial"/>
          <w:szCs w:val="24"/>
        </w:rPr>
        <w:t xml:space="preserve">n la décimo quinta edición de la </w:t>
      </w:r>
      <w:r w:rsidR="003627AD" w:rsidRPr="00426FC7">
        <w:rPr>
          <w:rFonts w:eastAsia="Times New Roman" w:cs="Arial"/>
          <w:b/>
          <w:i/>
          <w:szCs w:val="24"/>
        </w:rPr>
        <w:t>Feria de los Derechos de las Niñas y los Niños “ES MI DERECHO TENER DERECHOS”</w:t>
      </w:r>
      <w:r w:rsidR="003627AD" w:rsidRPr="00426FC7">
        <w:rPr>
          <w:rFonts w:eastAsia="Times New Roman" w:cs="Arial"/>
          <w:i/>
          <w:szCs w:val="24"/>
        </w:rPr>
        <w:t>,</w:t>
      </w:r>
      <w:r w:rsidR="003627AD" w:rsidRPr="00426FC7">
        <w:rPr>
          <w:rFonts w:eastAsia="Times New Roman" w:cs="Arial"/>
          <w:szCs w:val="24"/>
        </w:rPr>
        <w:t xml:space="preserve"> en las instalaciones del Centro de Desarrollo Infantil (CENDI) “</w:t>
      </w:r>
      <w:r w:rsidR="003627AD" w:rsidRPr="00426FC7">
        <w:rPr>
          <w:rFonts w:eastAsia="Times New Roman" w:cs="Arial"/>
          <w:i/>
          <w:szCs w:val="24"/>
        </w:rPr>
        <w:t>Cristina Pacheco</w:t>
      </w:r>
      <w:r w:rsidR="003627AD" w:rsidRPr="00426FC7">
        <w:rPr>
          <w:rFonts w:eastAsia="Times New Roman" w:cs="Arial"/>
          <w:szCs w:val="24"/>
        </w:rPr>
        <w:t>”.</w:t>
      </w:r>
      <w:r w:rsidRPr="00426FC7">
        <w:rPr>
          <w:rFonts w:eastAsia="Times New Roman" w:cs="Arial"/>
          <w:szCs w:val="24"/>
        </w:rPr>
        <w:t xml:space="preserve"> </w:t>
      </w:r>
      <w:r w:rsidR="003627AD" w:rsidRPr="00426FC7">
        <w:rPr>
          <w:rFonts w:eastAsia="Times New Roman" w:cs="Arial"/>
          <w:szCs w:val="24"/>
        </w:rPr>
        <w:t>El objeto de la feria fue promover</w:t>
      </w:r>
      <w:r w:rsidR="00A76654" w:rsidRPr="00426FC7">
        <w:rPr>
          <w:rFonts w:eastAsia="Times New Roman" w:cs="Arial"/>
          <w:szCs w:val="24"/>
        </w:rPr>
        <w:t xml:space="preserve"> en la comunidad educativa los d</w:t>
      </w:r>
      <w:r w:rsidR="003627AD" w:rsidRPr="00426FC7">
        <w:rPr>
          <w:rFonts w:eastAsia="Times New Roman" w:cs="Arial"/>
          <w:szCs w:val="24"/>
        </w:rPr>
        <w:t>e</w:t>
      </w:r>
      <w:r w:rsidR="00A76654" w:rsidRPr="00426FC7">
        <w:rPr>
          <w:rFonts w:eastAsia="Times New Roman" w:cs="Arial"/>
          <w:szCs w:val="24"/>
        </w:rPr>
        <w:t>rechos h</w:t>
      </w:r>
      <w:r w:rsidR="003627AD" w:rsidRPr="00426FC7">
        <w:rPr>
          <w:rFonts w:eastAsia="Times New Roman" w:cs="Arial"/>
          <w:szCs w:val="24"/>
        </w:rPr>
        <w:t>umanos de las niñas y los niños para su conocimiento y aplicación en su vida cotidiana impulsando una sana convivencia a través de eventos lúdicos y de exposición de las autoridades participantes.</w:t>
      </w:r>
    </w:p>
    <w:p w:rsidR="003627AD" w:rsidRPr="00426FC7" w:rsidRDefault="003627AD" w:rsidP="000E297E">
      <w:pPr>
        <w:rPr>
          <w:rFonts w:eastAsia="Times New Roman" w:cs="Arial"/>
          <w:szCs w:val="24"/>
        </w:rPr>
      </w:pPr>
      <w:r w:rsidRPr="00426FC7">
        <w:rPr>
          <w:rFonts w:eastAsia="Times New Roman" w:cs="Arial"/>
          <w:szCs w:val="24"/>
        </w:rPr>
        <w:t>E</w:t>
      </w:r>
      <w:r w:rsidR="00A76654" w:rsidRPr="00426FC7">
        <w:rPr>
          <w:rFonts w:eastAsia="Times New Roman" w:cs="Arial"/>
          <w:szCs w:val="24"/>
        </w:rPr>
        <w:t>l TECDMX</w:t>
      </w:r>
      <w:r w:rsidRPr="00426FC7">
        <w:rPr>
          <w:rFonts w:eastAsia="Times New Roman" w:cs="Arial"/>
          <w:szCs w:val="24"/>
        </w:rPr>
        <w:t xml:space="preserve"> contó con un </w:t>
      </w:r>
      <w:r w:rsidR="00A76654" w:rsidRPr="00426FC7">
        <w:rPr>
          <w:rFonts w:eastAsia="Times New Roman" w:cs="Arial"/>
          <w:i/>
          <w:szCs w:val="24"/>
        </w:rPr>
        <w:t>e</w:t>
      </w:r>
      <w:r w:rsidRPr="00426FC7">
        <w:rPr>
          <w:rFonts w:eastAsia="Times New Roman" w:cs="Arial"/>
          <w:i/>
          <w:szCs w:val="24"/>
        </w:rPr>
        <w:t>stand</w:t>
      </w:r>
      <w:r w:rsidRPr="00426FC7">
        <w:rPr>
          <w:rFonts w:eastAsia="Times New Roman" w:cs="Arial"/>
          <w:szCs w:val="24"/>
        </w:rPr>
        <w:t xml:space="preserve"> en el que se desarrolló una actividad enfocada a promover los derechos de la niñ</w:t>
      </w:r>
      <w:r w:rsidR="005744A8" w:rsidRPr="00426FC7">
        <w:rPr>
          <w:rFonts w:eastAsia="Times New Roman" w:cs="Arial"/>
          <w:szCs w:val="24"/>
        </w:rPr>
        <w:t>ez</w:t>
      </w:r>
      <w:r w:rsidRPr="00426FC7">
        <w:rPr>
          <w:rFonts w:eastAsia="Times New Roman" w:cs="Arial"/>
          <w:szCs w:val="24"/>
        </w:rPr>
        <w:t>, consistente en un “</w:t>
      </w:r>
      <w:proofErr w:type="spellStart"/>
      <w:r w:rsidRPr="00426FC7">
        <w:rPr>
          <w:rFonts w:eastAsia="Times New Roman" w:cs="Arial"/>
          <w:i/>
          <w:szCs w:val="24"/>
        </w:rPr>
        <w:t>Memorama</w:t>
      </w:r>
      <w:proofErr w:type="spellEnd"/>
      <w:r w:rsidRPr="00426FC7">
        <w:rPr>
          <w:rFonts w:eastAsia="Times New Roman" w:cs="Arial"/>
          <w:i/>
          <w:szCs w:val="24"/>
        </w:rPr>
        <w:t xml:space="preserve"> de Derechos</w:t>
      </w:r>
      <w:r w:rsidRPr="00426FC7">
        <w:rPr>
          <w:rFonts w:eastAsia="Times New Roman" w:cs="Arial"/>
          <w:szCs w:val="24"/>
        </w:rPr>
        <w:t>”, en el que se plasmaron diez derechos para que l</w:t>
      </w:r>
      <w:r w:rsidR="005744A8" w:rsidRPr="00426FC7">
        <w:rPr>
          <w:rFonts w:eastAsia="Times New Roman" w:cs="Arial"/>
          <w:szCs w:val="24"/>
        </w:rPr>
        <w:t>a</w:t>
      </w:r>
      <w:r w:rsidRPr="00426FC7">
        <w:rPr>
          <w:rFonts w:eastAsia="Times New Roman" w:cs="Arial"/>
          <w:szCs w:val="24"/>
        </w:rPr>
        <w:t>s niñ</w:t>
      </w:r>
      <w:r w:rsidR="005744A8" w:rsidRPr="00426FC7">
        <w:rPr>
          <w:rFonts w:eastAsia="Times New Roman" w:cs="Arial"/>
          <w:szCs w:val="24"/>
        </w:rPr>
        <w:t>as</w:t>
      </w:r>
      <w:r w:rsidRPr="00426FC7">
        <w:rPr>
          <w:rFonts w:eastAsia="Times New Roman" w:cs="Arial"/>
          <w:szCs w:val="24"/>
        </w:rPr>
        <w:t xml:space="preserve"> y l</w:t>
      </w:r>
      <w:r w:rsidR="005744A8" w:rsidRPr="00426FC7">
        <w:rPr>
          <w:rFonts w:eastAsia="Times New Roman" w:cs="Arial"/>
          <w:szCs w:val="24"/>
        </w:rPr>
        <w:t>o</w:t>
      </w:r>
      <w:r w:rsidRPr="00426FC7">
        <w:rPr>
          <w:rFonts w:eastAsia="Times New Roman" w:cs="Arial"/>
          <w:szCs w:val="24"/>
        </w:rPr>
        <w:t>s niñ</w:t>
      </w:r>
      <w:r w:rsidR="005744A8" w:rsidRPr="00426FC7">
        <w:rPr>
          <w:rFonts w:eastAsia="Times New Roman" w:cs="Arial"/>
          <w:szCs w:val="24"/>
        </w:rPr>
        <w:t>o</w:t>
      </w:r>
      <w:r w:rsidRPr="00426FC7">
        <w:rPr>
          <w:rFonts w:eastAsia="Times New Roman" w:cs="Arial"/>
          <w:szCs w:val="24"/>
        </w:rPr>
        <w:t>s pudieran identificarlos.</w:t>
      </w:r>
    </w:p>
    <w:p w:rsidR="003627AD" w:rsidRPr="00426FC7" w:rsidRDefault="003627AD" w:rsidP="000E297E">
      <w:pPr>
        <w:rPr>
          <w:rFonts w:eastAsia="Times New Roman" w:cs="Arial"/>
          <w:szCs w:val="24"/>
        </w:rPr>
      </w:pPr>
      <w:r w:rsidRPr="00426FC7">
        <w:rPr>
          <w:rFonts w:eastAsia="Times New Roman" w:cs="Arial"/>
          <w:szCs w:val="24"/>
        </w:rPr>
        <w:lastRenderedPageBreak/>
        <w:t xml:space="preserve">También se participó con un </w:t>
      </w:r>
      <w:r w:rsidR="00A76654" w:rsidRPr="00426FC7">
        <w:rPr>
          <w:rFonts w:eastAsia="Times New Roman" w:cs="Arial"/>
          <w:i/>
          <w:szCs w:val="24"/>
        </w:rPr>
        <w:t>e</w:t>
      </w:r>
      <w:r w:rsidRPr="00426FC7">
        <w:rPr>
          <w:rFonts w:eastAsia="Times New Roman" w:cs="Arial"/>
          <w:i/>
          <w:szCs w:val="24"/>
        </w:rPr>
        <w:t>stand</w:t>
      </w:r>
      <w:r w:rsidRPr="00426FC7">
        <w:rPr>
          <w:rFonts w:eastAsia="Times New Roman" w:cs="Arial"/>
          <w:szCs w:val="24"/>
        </w:rPr>
        <w:t xml:space="preserve"> informativo en la </w:t>
      </w:r>
      <w:r w:rsidRPr="00426FC7">
        <w:rPr>
          <w:rFonts w:eastAsia="Times New Roman" w:cs="Arial"/>
          <w:b/>
          <w:i/>
          <w:szCs w:val="24"/>
        </w:rPr>
        <w:t>Primera Feria sobre Justicia, los Derechos Humanos y la Perspectiva de Género en el Poder Judicial de la Ciudad de México</w:t>
      </w:r>
      <w:r w:rsidRPr="00426FC7">
        <w:rPr>
          <w:rFonts w:eastAsia="Times New Roman" w:cs="Arial"/>
          <w:i/>
          <w:szCs w:val="24"/>
        </w:rPr>
        <w:t>,</w:t>
      </w:r>
      <w:r w:rsidRPr="00426FC7">
        <w:rPr>
          <w:rFonts w:eastAsia="Times New Roman" w:cs="Arial"/>
          <w:szCs w:val="24"/>
        </w:rPr>
        <w:t xml:space="preserve"> en las instalaciones del </w:t>
      </w:r>
      <w:r w:rsidR="0079264E" w:rsidRPr="00426FC7">
        <w:rPr>
          <w:rFonts w:eastAsia="Times New Roman" w:cs="Arial"/>
          <w:szCs w:val="24"/>
        </w:rPr>
        <w:t>TSJ</w:t>
      </w:r>
      <w:r w:rsidRPr="00426FC7">
        <w:rPr>
          <w:rFonts w:eastAsia="Times New Roman" w:cs="Arial"/>
          <w:szCs w:val="24"/>
        </w:rPr>
        <w:t>.</w:t>
      </w:r>
    </w:p>
    <w:p w:rsidR="00616DFE" w:rsidRPr="00426FC7" w:rsidRDefault="003627AD" w:rsidP="000E297E">
      <w:pPr>
        <w:rPr>
          <w:rFonts w:eastAsia="Times New Roman" w:cs="Arial"/>
          <w:szCs w:val="24"/>
        </w:rPr>
      </w:pPr>
      <w:r w:rsidRPr="00426FC7">
        <w:rPr>
          <w:rFonts w:eastAsia="Times New Roman" w:cs="Arial"/>
          <w:szCs w:val="24"/>
        </w:rPr>
        <w:t xml:space="preserve">Durante el desarrollo de la feria, se brindó información a la ciudadanía mediante la entrega de folletos de las actividades que realiza el </w:t>
      </w:r>
      <w:r w:rsidR="0079264E" w:rsidRPr="00426FC7">
        <w:rPr>
          <w:rFonts w:eastAsia="Times New Roman" w:cs="Arial"/>
          <w:szCs w:val="24"/>
        </w:rPr>
        <w:t>TECDMX</w:t>
      </w:r>
      <w:r w:rsidRPr="00426FC7">
        <w:rPr>
          <w:rFonts w:eastAsia="Times New Roman" w:cs="Arial"/>
          <w:szCs w:val="24"/>
        </w:rPr>
        <w:t xml:space="preserve">, así como de un folleto relativo al </w:t>
      </w:r>
      <w:proofErr w:type="spellStart"/>
      <w:r w:rsidR="0079264E" w:rsidRPr="00426FC7">
        <w:rPr>
          <w:rFonts w:eastAsia="Times New Roman" w:cs="Arial"/>
          <w:szCs w:val="24"/>
        </w:rPr>
        <w:t>CGyDH</w:t>
      </w:r>
      <w:proofErr w:type="spellEnd"/>
      <w:r w:rsidRPr="00426FC7">
        <w:rPr>
          <w:rFonts w:eastAsia="Times New Roman" w:cs="Arial"/>
          <w:szCs w:val="24"/>
        </w:rPr>
        <w:t xml:space="preserve">. Se realizaron dinámicas con </w:t>
      </w:r>
      <w:r w:rsidR="004F2403" w:rsidRPr="00426FC7">
        <w:rPr>
          <w:rFonts w:eastAsia="Times New Roman" w:cs="Arial"/>
          <w:szCs w:val="24"/>
        </w:rPr>
        <w:t>las personas que visitaron el evento.</w:t>
      </w:r>
    </w:p>
    <w:p w:rsidR="006F4E05" w:rsidRPr="00426FC7" w:rsidRDefault="006F4E05" w:rsidP="006F4E05">
      <w:pPr>
        <w:pStyle w:val="Default"/>
        <w:spacing w:before="240" w:after="240"/>
        <w:jc w:val="both"/>
        <w:rPr>
          <w:rFonts w:ascii="Arial" w:hAnsi="Arial" w:cs="Arial"/>
          <w:sz w:val="40"/>
          <w:szCs w:val="40"/>
          <w:lang w:val="es-MX"/>
        </w:rPr>
      </w:pPr>
      <w:r w:rsidRPr="00426FC7">
        <w:rPr>
          <w:rFonts w:ascii="Arial" w:hAnsi="Arial" w:cs="Arial"/>
          <w:sz w:val="40"/>
          <w:szCs w:val="40"/>
          <w:lang w:val="es-MX"/>
        </w:rPr>
        <w:t>Comité de Género y Derechos Humanos</w:t>
      </w:r>
    </w:p>
    <w:p w:rsidR="006F4E05" w:rsidRPr="00426FC7" w:rsidRDefault="006F4E05" w:rsidP="006F4E05">
      <w:pPr>
        <w:pStyle w:val="Default"/>
        <w:spacing w:before="240" w:after="240"/>
        <w:jc w:val="both"/>
        <w:rPr>
          <w:rFonts w:ascii="Arial" w:hAnsi="Arial" w:cs="Arial"/>
          <w:lang w:val="es-MX"/>
        </w:rPr>
      </w:pPr>
      <w:r w:rsidRPr="00426FC7">
        <w:rPr>
          <w:rFonts w:ascii="Arial" w:hAnsi="Arial" w:cs="Arial"/>
          <w:lang w:val="es-MX"/>
        </w:rPr>
        <w:t xml:space="preserve">Con el fin de integrar normativa y orgánicamente la perspectiva de Género y Derechos Humanos en el TECDMX, el 5 de febrero de 2017 </w:t>
      </w:r>
      <w:r w:rsidRPr="00426FC7">
        <w:rPr>
          <w:rFonts w:ascii="Arial" w:hAnsi="Arial" w:cs="Arial"/>
        </w:rPr>
        <w:t xml:space="preserve">se </w:t>
      </w:r>
      <w:r w:rsidRPr="00426FC7">
        <w:rPr>
          <w:rFonts w:ascii="Arial" w:hAnsi="Arial" w:cs="Arial"/>
          <w:lang w:val="es-MX"/>
        </w:rPr>
        <w:t xml:space="preserve">creó el </w:t>
      </w:r>
      <w:proofErr w:type="spellStart"/>
      <w:r w:rsidRPr="00426FC7">
        <w:rPr>
          <w:rFonts w:ascii="Arial" w:hAnsi="Arial" w:cs="Arial"/>
          <w:bCs/>
          <w:lang w:val="es-MX"/>
        </w:rPr>
        <w:t>CGyDH</w:t>
      </w:r>
      <w:proofErr w:type="spellEnd"/>
      <w:r w:rsidRPr="00426FC7">
        <w:rPr>
          <w:rFonts w:ascii="Arial" w:hAnsi="Arial" w:cs="Arial"/>
          <w:bCs/>
          <w:lang w:val="es-MX"/>
        </w:rPr>
        <w:t>, mediante Acuerdo del Pleno del TECDMX de 1 de marzo de 2017</w:t>
      </w:r>
      <w:r w:rsidRPr="00426FC7">
        <w:rPr>
          <w:rFonts w:ascii="Arial" w:hAnsi="Arial" w:cs="Arial"/>
          <w:lang w:val="es-MX"/>
        </w:rPr>
        <w:t>, celebrándose su instalación el 13 de marzo siguiente.</w:t>
      </w:r>
    </w:p>
    <w:p w:rsidR="006F4E05" w:rsidRPr="00426FC7" w:rsidRDefault="006F4E05" w:rsidP="006F4E05">
      <w:pPr>
        <w:rPr>
          <w:rFonts w:eastAsia="Times New Roman" w:cs="Arial"/>
          <w:sz w:val="40"/>
          <w:szCs w:val="40"/>
        </w:rPr>
      </w:pPr>
      <w:r w:rsidRPr="00426FC7">
        <w:rPr>
          <w:rFonts w:cs="Arial"/>
          <w:szCs w:val="24"/>
        </w:rPr>
        <w:t xml:space="preserve">Como órgano colegiado, el </w:t>
      </w:r>
      <w:proofErr w:type="spellStart"/>
      <w:r w:rsidRPr="00426FC7">
        <w:rPr>
          <w:rFonts w:cs="Arial"/>
          <w:bCs/>
        </w:rPr>
        <w:t>CGyDH</w:t>
      </w:r>
      <w:proofErr w:type="spellEnd"/>
      <w:r w:rsidRPr="00426FC7">
        <w:rPr>
          <w:rFonts w:cs="Arial"/>
          <w:szCs w:val="24"/>
        </w:rPr>
        <w:t xml:space="preserve"> tiene a su cargo establecer acuerdos, políticas y directrices, desde un enfoque transversal, para fomentar e impulsar, consensos legítimos y acciones de promoción, formación y definición de acciones afirmativas en ma</w:t>
      </w:r>
      <w:r w:rsidR="00C771DA" w:rsidRPr="00426FC7">
        <w:rPr>
          <w:rFonts w:cs="Arial"/>
          <w:szCs w:val="24"/>
        </w:rPr>
        <w:t>teria de derechos político-</w:t>
      </w:r>
      <w:r w:rsidRPr="00426FC7">
        <w:rPr>
          <w:rFonts w:cs="Arial"/>
          <w:szCs w:val="24"/>
        </w:rPr>
        <w:t>electorales</w:t>
      </w:r>
      <w:r w:rsidRPr="00426FC7">
        <w:rPr>
          <w:rStyle w:val="Refdenotaalpie"/>
          <w:rFonts w:cs="Arial"/>
          <w:szCs w:val="24"/>
        </w:rPr>
        <w:footnoteReference w:id="1"/>
      </w:r>
      <w:r w:rsidRPr="00426FC7">
        <w:rPr>
          <w:rFonts w:cs="Arial"/>
          <w:szCs w:val="24"/>
        </w:rPr>
        <w:t>, igualdad sustantiva, paridad de género y protección a grupos en situación de vulnerabilidad</w:t>
      </w:r>
      <w:r w:rsidRPr="00426FC7">
        <w:rPr>
          <w:rStyle w:val="Refdenotaalpie"/>
          <w:rFonts w:cs="Arial"/>
          <w:szCs w:val="24"/>
        </w:rPr>
        <w:footnoteReference w:id="2"/>
      </w:r>
      <w:r w:rsidRPr="00426FC7">
        <w:rPr>
          <w:rFonts w:cs="Arial"/>
          <w:szCs w:val="24"/>
        </w:rPr>
        <w:t>, tanto al interior de la estructura orgánica de la institución como hacia las personas físicas y morales que intervienen en la democracia de nuestra Ciudad</w:t>
      </w:r>
      <w:r w:rsidRPr="00426FC7">
        <w:rPr>
          <w:rStyle w:val="Refdenotaalpie"/>
          <w:rFonts w:cs="Arial"/>
          <w:szCs w:val="24"/>
        </w:rPr>
        <w:footnoteReference w:id="3"/>
      </w:r>
      <w:r w:rsidRPr="00426FC7">
        <w:rPr>
          <w:rFonts w:cs="Arial"/>
          <w:szCs w:val="24"/>
        </w:rPr>
        <w:t>.</w:t>
      </w:r>
    </w:p>
    <w:p w:rsidR="003627AD" w:rsidRPr="00426FC7" w:rsidRDefault="00C771DA" w:rsidP="000E297E">
      <w:pPr>
        <w:rPr>
          <w:rFonts w:eastAsia="Times New Roman" w:cs="Arial"/>
          <w:sz w:val="40"/>
          <w:szCs w:val="40"/>
        </w:rPr>
      </w:pPr>
      <w:r w:rsidRPr="00426FC7">
        <w:rPr>
          <w:rFonts w:eastAsia="Times New Roman" w:cs="Arial"/>
          <w:sz w:val="40"/>
          <w:szCs w:val="40"/>
        </w:rPr>
        <w:t>Certificación en la Norma Mexicana NMX-R-025-SCFI-2015 de igualdad laboral y no discriminación</w:t>
      </w:r>
    </w:p>
    <w:p w:rsidR="00587457" w:rsidRPr="00426FC7" w:rsidRDefault="00587457" w:rsidP="000E297E">
      <w:pPr>
        <w:shd w:val="clear" w:color="auto" w:fill="FFFFFF"/>
        <w:textAlignment w:val="baseline"/>
        <w:rPr>
          <w:rFonts w:eastAsia="Times New Roman" w:cs="Arial"/>
          <w:color w:val="303030"/>
          <w:szCs w:val="24"/>
          <w:lang w:eastAsia="es-MX"/>
        </w:rPr>
      </w:pPr>
      <w:r w:rsidRPr="00426FC7">
        <w:rPr>
          <w:rFonts w:eastAsia="Times New Roman" w:cs="Arial"/>
          <w:color w:val="303030"/>
          <w:szCs w:val="24"/>
          <w:lang w:eastAsia="es-MX"/>
        </w:rPr>
        <w:t xml:space="preserve">Teniendo presente que la Igualdad Laboral y la no Discriminación son compromisos asumidos por el </w:t>
      </w:r>
      <w:r w:rsidR="0079264E" w:rsidRPr="00426FC7">
        <w:rPr>
          <w:rFonts w:eastAsia="Times New Roman" w:cs="Arial"/>
          <w:szCs w:val="24"/>
        </w:rPr>
        <w:t>TECDMX</w:t>
      </w:r>
      <w:r w:rsidRPr="00426FC7">
        <w:rPr>
          <w:rFonts w:eastAsia="Times New Roman" w:cs="Arial"/>
          <w:color w:val="303030"/>
          <w:szCs w:val="24"/>
          <w:lang w:eastAsia="es-MX"/>
        </w:rPr>
        <w:t xml:space="preserve">, derivados de lo dispuesto por los artículos 1, 2, 4, 116, fracción IV, inciso c) y 122, apartado A, fracciones VII y IX de la Constitución Federal; 1, 2, 3, 4, 5, 6, 7, 11, 24, 25, 26, 27, 30, 38, 46, 57, 58, 59 y 70 de la Constitución Política de la Ciudad de México; 1, numeral 3 y 105 de la Ley General de Instituciones y Procedimientos Electorales; los artículos 165 a 191, 211, fracción VI y 218 del </w:t>
      </w:r>
      <w:r w:rsidR="0079264E" w:rsidRPr="00426FC7">
        <w:rPr>
          <w:rFonts w:eastAsia="Times New Roman" w:cs="Arial"/>
          <w:color w:val="303030"/>
          <w:szCs w:val="24"/>
          <w:lang w:eastAsia="es-MX"/>
        </w:rPr>
        <w:t>CIPECDMX</w:t>
      </w:r>
      <w:r w:rsidRPr="00426FC7">
        <w:rPr>
          <w:rFonts w:eastAsia="Times New Roman" w:cs="Arial"/>
          <w:color w:val="303030"/>
          <w:szCs w:val="24"/>
          <w:lang w:eastAsia="es-MX"/>
        </w:rPr>
        <w:t xml:space="preserve">; artículos 1, 3, 5 fracción VII, 6 y 73 del </w:t>
      </w:r>
      <w:r w:rsidR="0079264E" w:rsidRPr="00426FC7">
        <w:rPr>
          <w:rFonts w:eastAsia="Times New Roman" w:cs="Arial"/>
          <w:color w:val="303030"/>
          <w:szCs w:val="24"/>
          <w:lang w:eastAsia="es-MX"/>
        </w:rPr>
        <w:t>RITECDMX</w:t>
      </w:r>
      <w:r w:rsidRPr="00426FC7">
        <w:rPr>
          <w:rFonts w:eastAsia="Times New Roman" w:cs="Arial"/>
          <w:color w:val="303030"/>
          <w:szCs w:val="24"/>
          <w:lang w:eastAsia="es-MX"/>
        </w:rPr>
        <w:t xml:space="preserve"> y; el Acuerdo del Pleno del Tribunal de 1 de marzo de 2017, los cuales permiten adoptar las medidas y políticas más apropiadas para asegurar de manera eficiente y </w:t>
      </w:r>
      <w:r w:rsidRPr="00426FC7">
        <w:rPr>
          <w:rFonts w:eastAsia="Times New Roman" w:cs="Arial"/>
          <w:color w:val="303030"/>
          <w:szCs w:val="24"/>
          <w:lang w:eastAsia="es-MX"/>
        </w:rPr>
        <w:lastRenderedPageBreak/>
        <w:t xml:space="preserve">progresiva, las mismas oportunidades y el mismo trato entre hombres y mujeres que laboran en esta institución, en ruta hacia la igualdad sustantiva; se </w:t>
      </w:r>
      <w:r w:rsidR="00C771DA" w:rsidRPr="00426FC7">
        <w:rPr>
          <w:rFonts w:eastAsia="Times New Roman" w:cs="Arial"/>
          <w:color w:val="303030"/>
          <w:szCs w:val="24"/>
          <w:lang w:eastAsia="es-MX"/>
        </w:rPr>
        <w:t>implementaron</w:t>
      </w:r>
      <w:r w:rsidRPr="00426FC7">
        <w:rPr>
          <w:rFonts w:eastAsia="Times New Roman" w:cs="Arial"/>
          <w:color w:val="303030"/>
          <w:szCs w:val="24"/>
          <w:lang w:eastAsia="es-MX"/>
        </w:rPr>
        <w:t xml:space="preserve"> acciones para cumplir con el proceso de certificación en la Norma NMX-R-025-SCFI-2015 en Igualdad Laboral y no Discriminación.</w:t>
      </w:r>
    </w:p>
    <w:p w:rsidR="00587457" w:rsidRPr="00426FC7" w:rsidRDefault="00587457" w:rsidP="000E297E">
      <w:pPr>
        <w:shd w:val="clear" w:color="auto" w:fill="FFFFFF"/>
        <w:textAlignment w:val="baseline"/>
        <w:rPr>
          <w:rFonts w:eastAsia="Times New Roman" w:cs="Arial"/>
          <w:color w:val="303030"/>
          <w:szCs w:val="24"/>
          <w:lang w:eastAsia="es-MX"/>
        </w:rPr>
      </w:pPr>
      <w:r w:rsidRPr="00426FC7">
        <w:rPr>
          <w:rFonts w:eastAsia="Times New Roman" w:cs="Arial"/>
          <w:color w:val="303030"/>
          <w:szCs w:val="24"/>
          <w:lang w:eastAsia="es-MX"/>
        </w:rPr>
        <w:t>El objeti</w:t>
      </w:r>
      <w:r w:rsidR="00A76654" w:rsidRPr="00426FC7">
        <w:rPr>
          <w:rFonts w:eastAsia="Times New Roman" w:cs="Arial"/>
          <w:color w:val="303030"/>
          <w:szCs w:val="24"/>
          <w:lang w:eastAsia="es-MX"/>
        </w:rPr>
        <w:t>vo de la certificación, consistió</w:t>
      </w:r>
      <w:r w:rsidRPr="00426FC7">
        <w:rPr>
          <w:rFonts w:eastAsia="Times New Roman" w:cs="Arial"/>
          <w:color w:val="303030"/>
          <w:szCs w:val="24"/>
          <w:lang w:eastAsia="es-MX"/>
        </w:rPr>
        <w:t xml:space="preserve"> en acreditar al </w:t>
      </w:r>
      <w:r w:rsidR="0079264E" w:rsidRPr="00426FC7">
        <w:rPr>
          <w:rFonts w:eastAsia="Times New Roman" w:cs="Arial"/>
          <w:szCs w:val="24"/>
        </w:rPr>
        <w:t>TECDMX</w:t>
      </w:r>
      <w:r w:rsidRPr="00426FC7">
        <w:rPr>
          <w:rFonts w:eastAsia="Times New Roman" w:cs="Arial"/>
          <w:color w:val="303030"/>
          <w:szCs w:val="24"/>
          <w:lang w:eastAsia="es-MX"/>
        </w:rPr>
        <w:t xml:space="preserve"> como una institución de primera línea al integrar, implementar y ejecutar políticas, normas, acciones afirmativas y buenas prácticas en favor de la igualdad laboral y la no discriminación, con el fin de procurar y establecer medidas para alcanzar el efectivo cumplimiento al mandato constitucional y convencional de igualdad sustantiv</w:t>
      </w:r>
      <w:r w:rsidR="00A76654" w:rsidRPr="00426FC7">
        <w:rPr>
          <w:rFonts w:eastAsia="Times New Roman" w:cs="Arial"/>
          <w:color w:val="303030"/>
          <w:szCs w:val="24"/>
          <w:lang w:eastAsia="es-MX"/>
        </w:rPr>
        <w:t>a, establecido en el artículo 4</w:t>
      </w:r>
      <w:r w:rsidRPr="00426FC7">
        <w:rPr>
          <w:rFonts w:eastAsia="Times New Roman" w:cs="Arial"/>
          <w:color w:val="303030"/>
          <w:szCs w:val="24"/>
          <w:lang w:eastAsia="es-MX"/>
        </w:rPr>
        <w:t xml:space="preserve"> constitucional.</w:t>
      </w:r>
    </w:p>
    <w:p w:rsidR="00587457" w:rsidRPr="00426FC7" w:rsidRDefault="00587457" w:rsidP="000E297E">
      <w:pPr>
        <w:shd w:val="clear" w:color="auto" w:fill="FFFFFF"/>
        <w:textAlignment w:val="baseline"/>
        <w:rPr>
          <w:rFonts w:eastAsia="Times New Roman" w:cs="Arial"/>
          <w:b/>
          <w:color w:val="303030"/>
          <w:szCs w:val="24"/>
          <w:lang w:eastAsia="es-MX"/>
        </w:rPr>
      </w:pPr>
      <w:r w:rsidRPr="00426FC7">
        <w:rPr>
          <w:rFonts w:eastAsia="Times New Roman" w:cs="Arial"/>
          <w:color w:val="303030"/>
          <w:szCs w:val="24"/>
          <w:lang w:eastAsia="es-MX"/>
        </w:rPr>
        <w:t>La convicción de participar de una visión progresiva de la igualdad sustantiva, como realidad histórico jurídica contemporánea, ha conducido a</w:t>
      </w:r>
      <w:r w:rsidR="006F4E05" w:rsidRPr="00426FC7">
        <w:rPr>
          <w:rFonts w:eastAsia="Times New Roman" w:cs="Arial"/>
          <w:color w:val="303030"/>
          <w:szCs w:val="24"/>
          <w:lang w:eastAsia="es-MX"/>
        </w:rPr>
        <w:t>l</w:t>
      </w:r>
      <w:r w:rsidRPr="00426FC7">
        <w:rPr>
          <w:rFonts w:eastAsia="Times New Roman" w:cs="Arial"/>
          <w:color w:val="303030"/>
          <w:szCs w:val="24"/>
          <w:lang w:eastAsia="es-MX"/>
        </w:rPr>
        <w:t xml:space="preserve"> </w:t>
      </w:r>
      <w:r w:rsidR="006F4E05" w:rsidRPr="00426FC7">
        <w:rPr>
          <w:rFonts w:eastAsia="Times New Roman" w:cs="Arial"/>
          <w:b/>
          <w:color w:val="303030"/>
          <w:szCs w:val="24"/>
          <w:lang w:eastAsia="es-MX"/>
        </w:rPr>
        <w:t>TECDMX</w:t>
      </w:r>
      <w:r w:rsidRPr="00426FC7">
        <w:rPr>
          <w:rFonts w:eastAsia="Times New Roman" w:cs="Arial"/>
          <w:b/>
          <w:color w:val="303030"/>
          <w:szCs w:val="24"/>
          <w:lang w:eastAsia="es-MX"/>
        </w:rPr>
        <w:t xml:space="preserve">, con el impulso del </w:t>
      </w:r>
      <w:proofErr w:type="spellStart"/>
      <w:r w:rsidR="0079264E" w:rsidRPr="00426FC7">
        <w:rPr>
          <w:rFonts w:eastAsia="Times New Roman" w:cs="Arial"/>
          <w:b/>
          <w:color w:val="303030"/>
          <w:szCs w:val="24"/>
          <w:lang w:eastAsia="es-MX"/>
        </w:rPr>
        <w:t>CGyDH</w:t>
      </w:r>
      <w:proofErr w:type="spellEnd"/>
      <w:r w:rsidRPr="00426FC7">
        <w:rPr>
          <w:rFonts w:eastAsia="Times New Roman" w:cs="Arial"/>
          <w:b/>
          <w:color w:val="303030"/>
          <w:szCs w:val="24"/>
          <w:lang w:eastAsia="es-MX"/>
        </w:rPr>
        <w:t>, a emprender y concluir exitosamente el proceso de certificación en la Norma Mexicana (NMX-R-025-SCFI-2015) de Igualdad laboral y No discriminación, constituyéndose como el primer órgano jurisdiccional electoral en el país, en alcanzar tan significativo resultado</w:t>
      </w:r>
      <w:r w:rsidRPr="00426FC7">
        <w:rPr>
          <w:rFonts w:eastAsia="Times New Roman" w:cs="Arial"/>
          <w:color w:val="303030"/>
          <w:szCs w:val="24"/>
          <w:lang w:eastAsia="es-MX"/>
        </w:rPr>
        <w:t>.</w:t>
      </w:r>
    </w:p>
    <w:p w:rsidR="00C771DA" w:rsidRPr="00426FC7" w:rsidRDefault="00775E5F" w:rsidP="000E297E">
      <w:pPr>
        <w:rPr>
          <w:rFonts w:cs="Arial"/>
          <w:sz w:val="40"/>
          <w:szCs w:val="40"/>
        </w:rPr>
      </w:pPr>
      <w:r w:rsidRPr="00426FC7">
        <w:rPr>
          <w:rFonts w:cs="Arial"/>
          <w:sz w:val="40"/>
          <w:szCs w:val="40"/>
        </w:rPr>
        <w:t xml:space="preserve">Protocolo para atender la Violencia Política contra las Mujeres en el ámbito de competencia del </w:t>
      </w:r>
      <w:r w:rsidR="001072DB" w:rsidRPr="00426FC7">
        <w:rPr>
          <w:rFonts w:cs="Arial"/>
          <w:sz w:val="40"/>
          <w:szCs w:val="40"/>
        </w:rPr>
        <w:t>T</w:t>
      </w:r>
      <w:r w:rsidR="00C771DA" w:rsidRPr="00426FC7">
        <w:rPr>
          <w:rFonts w:cs="Arial"/>
          <w:sz w:val="40"/>
          <w:szCs w:val="40"/>
        </w:rPr>
        <w:t xml:space="preserve">ribunal </w:t>
      </w:r>
      <w:r w:rsidR="001072DB" w:rsidRPr="00426FC7">
        <w:rPr>
          <w:rFonts w:cs="Arial"/>
          <w:sz w:val="40"/>
          <w:szCs w:val="40"/>
        </w:rPr>
        <w:t>E</w:t>
      </w:r>
      <w:r w:rsidR="00C771DA" w:rsidRPr="00426FC7">
        <w:rPr>
          <w:rFonts w:cs="Arial"/>
          <w:sz w:val="40"/>
          <w:szCs w:val="40"/>
        </w:rPr>
        <w:t xml:space="preserve">lectoral de la </w:t>
      </w:r>
      <w:r w:rsidR="001072DB" w:rsidRPr="00426FC7">
        <w:rPr>
          <w:rFonts w:cs="Arial"/>
          <w:sz w:val="40"/>
          <w:szCs w:val="40"/>
        </w:rPr>
        <w:t>C</w:t>
      </w:r>
      <w:r w:rsidR="00C771DA" w:rsidRPr="00426FC7">
        <w:rPr>
          <w:rFonts w:cs="Arial"/>
          <w:sz w:val="40"/>
          <w:szCs w:val="40"/>
        </w:rPr>
        <w:t>iudad de México.</w:t>
      </w:r>
    </w:p>
    <w:p w:rsidR="00587457" w:rsidRPr="00426FC7" w:rsidRDefault="00EF4963" w:rsidP="000E297E">
      <w:pPr>
        <w:rPr>
          <w:rFonts w:cs="Arial"/>
          <w:szCs w:val="24"/>
        </w:rPr>
      </w:pPr>
      <w:r w:rsidRPr="00426FC7">
        <w:rPr>
          <w:rFonts w:cs="Arial"/>
          <w:szCs w:val="24"/>
        </w:rPr>
        <w:t>El objetivo esencial consistía en</w:t>
      </w:r>
      <w:r w:rsidR="00587457" w:rsidRPr="00426FC7">
        <w:rPr>
          <w:rFonts w:cs="Arial"/>
          <w:szCs w:val="24"/>
        </w:rPr>
        <w:t xml:space="preserve"> implementar, c</w:t>
      </w:r>
      <w:r w:rsidRPr="00426FC7">
        <w:rPr>
          <w:rFonts w:cs="Arial"/>
          <w:szCs w:val="24"/>
        </w:rPr>
        <w:t>on un modelo de transversalidad:</w:t>
      </w:r>
      <w:r w:rsidR="00587457" w:rsidRPr="00426FC7">
        <w:rPr>
          <w:rFonts w:cs="Arial"/>
          <w:szCs w:val="24"/>
        </w:rPr>
        <w:t xml:space="preserve"> directrices, normas, acciones afirmativas y buenas prácticas en favor de la igualdad de trato y oportunidades e</w:t>
      </w:r>
      <w:r w:rsidRPr="00426FC7">
        <w:rPr>
          <w:rFonts w:cs="Arial"/>
          <w:szCs w:val="24"/>
        </w:rPr>
        <w:t>n el ámbito laboral, que permitiera</w:t>
      </w:r>
      <w:r w:rsidR="00587457" w:rsidRPr="00426FC7">
        <w:rPr>
          <w:rFonts w:cs="Arial"/>
          <w:szCs w:val="24"/>
        </w:rPr>
        <w:t xml:space="preserve"> la generación de ambientes laborales libres de violencia, igualdad salarial, paridad y la incorporación de la transversalidad de la perspectiva de género y derechos humanos, </w:t>
      </w:r>
      <w:r w:rsidRPr="00426FC7">
        <w:rPr>
          <w:rFonts w:cs="Arial"/>
          <w:szCs w:val="24"/>
        </w:rPr>
        <w:t>fortaleciera</w:t>
      </w:r>
      <w:r w:rsidR="00587457" w:rsidRPr="00426FC7">
        <w:rPr>
          <w:rFonts w:cs="Arial"/>
          <w:szCs w:val="24"/>
        </w:rPr>
        <w:t xml:space="preserve"> el sistema orgánico institucional, así como las funciones jurisdiccional y administrativa, </w:t>
      </w:r>
      <w:r w:rsidR="00731F2E" w:rsidRPr="00426FC7">
        <w:rPr>
          <w:rFonts w:cs="Arial"/>
          <w:szCs w:val="24"/>
        </w:rPr>
        <w:t>elevar</w:t>
      </w:r>
      <w:r w:rsidRPr="00426FC7">
        <w:rPr>
          <w:rFonts w:cs="Arial"/>
          <w:szCs w:val="24"/>
        </w:rPr>
        <w:t>a</w:t>
      </w:r>
      <w:r w:rsidR="00587457" w:rsidRPr="00426FC7">
        <w:rPr>
          <w:rFonts w:cs="Arial"/>
          <w:szCs w:val="24"/>
        </w:rPr>
        <w:t xml:space="preserve"> la calidad de ciudadanía de todas las personas servidoras públicas que laboran en esta inst</w:t>
      </w:r>
      <w:r w:rsidRPr="00426FC7">
        <w:rPr>
          <w:rFonts w:cs="Arial"/>
          <w:szCs w:val="24"/>
        </w:rPr>
        <w:t>itución,</w:t>
      </w:r>
      <w:r w:rsidR="00587457" w:rsidRPr="00426FC7">
        <w:rPr>
          <w:rFonts w:cs="Arial"/>
          <w:szCs w:val="24"/>
        </w:rPr>
        <w:t xml:space="preserve"> </w:t>
      </w:r>
      <w:r w:rsidRPr="00426FC7">
        <w:rPr>
          <w:rFonts w:cs="Arial"/>
          <w:szCs w:val="24"/>
        </w:rPr>
        <w:t xml:space="preserve">e </w:t>
      </w:r>
      <w:r w:rsidR="00731F2E" w:rsidRPr="00426FC7">
        <w:rPr>
          <w:rFonts w:cs="Arial"/>
          <w:szCs w:val="24"/>
        </w:rPr>
        <w:t>impulsar</w:t>
      </w:r>
      <w:r w:rsidRPr="00426FC7">
        <w:rPr>
          <w:rFonts w:cs="Arial"/>
          <w:szCs w:val="24"/>
        </w:rPr>
        <w:t>a</w:t>
      </w:r>
      <w:r w:rsidR="00587457" w:rsidRPr="00426FC7">
        <w:rPr>
          <w:rFonts w:cs="Arial"/>
          <w:szCs w:val="24"/>
        </w:rPr>
        <w:t xml:space="preserve"> la cu</w:t>
      </w:r>
      <w:r w:rsidR="00731F2E" w:rsidRPr="00426FC7">
        <w:rPr>
          <w:rFonts w:cs="Arial"/>
          <w:szCs w:val="24"/>
        </w:rPr>
        <w:t>ltura democrática en la entidad.</w:t>
      </w:r>
      <w:r w:rsidR="00587457" w:rsidRPr="00426FC7">
        <w:rPr>
          <w:rFonts w:cs="Arial"/>
          <w:szCs w:val="24"/>
        </w:rPr>
        <w:t xml:space="preserve"> </w:t>
      </w:r>
      <w:r w:rsidR="00731F2E" w:rsidRPr="00426FC7">
        <w:rPr>
          <w:rFonts w:cs="Arial"/>
          <w:szCs w:val="24"/>
        </w:rPr>
        <w:t>Ello, a fin de situar</w:t>
      </w:r>
      <w:r w:rsidR="00587457" w:rsidRPr="00426FC7">
        <w:rPr>
          <w:rFonts w:cs="Arial"/>
          <w:szCs w:val="24"/>
        </w:rPr>
        <w:t xml:space="preserve"> al </w:t>
      </w:r>
      <w:r w:rsidR="00731F2E" w:rsidRPr="00426FC7">
        <w:rPr>
          <w:rFonts w:cs="Arial"/>
          <w:szCs w:val="24"/>
        </w:rPr>
        <w:t>TECDMX</w:t>
      </w:r>
      <w:r w:rsidR="00587457" w:rsidRPr="00426FC7">
        <w:rPr>
          <w:rFonts w:cs="Arial"/>
          <w:szCs w:val="24"/>
        </w:rPr>
        <w:t xml:space="preserve"> a la vanguardia en la promoción y protección de los derechos fundamentales, para beneficio de </w:t>
      </w:r>
      <w:r w:rsidR="00731F2E" w:rsidRPr="00426FC7">
        <w:rPr>
          <w:rFonts w:cs="Arial"/>
          <w:szCs w:val="24"/>
        </w:rPr>
        <w:t>la ciudadanía</w:t>
      </w:r>
      <w:r w:rsidR="00587457" w:rsidRPr="00426FC7">
        <w:rPr>
          <w:rFonts w:cs="Arial"/>
          <w:szCs w:val="24"/>
        </w:rPr>
        <w:t>.</w:t>
      </w:r>
    </w:p>
    <w:p w:rsidR="003A61DF" w:rsidRPr="00426FC7" w:rsidRDefault="00731F2E" w:rsidP="000E297E">
      <w:pPr>
        <w:pStyle w:val="NormalWeb"/>
        <w:widowControl w:val="0"/>
        <w:shd w:val="clear" w:color="auto" w:fill="FFFFFF"/>
        <w:spacing w:before="240" w:beforeAutospacing="0" w:after="240" w:afterAutospacing="0"/>
        <w:jc w:val="both"/>
        <w:rPr>
          <w:rFonts w:ascii="Arial" w:hAnsi="Arial" w:cs="Arial"/>
        </w:rPr>
      </w:pPr>
      <w:r w:rsidRPr="00426FC7">
        <w:rPr>
          <w:rFonts w:ascii="Arial" w:hAnsi="Arial" w:cs="Arial"/>
        </w:rPr>
        <w:t>C</w:t>
      </w:r>
      <w:r w:rsidR="000D2D6E" w:rsidRPr="00426FC7">
        <w:rPr>
          <w:rFonts w:ascii="Arial" w:hAnsi="Arial" w:cs="Arial"/>
        </w:rPr>
        <w:t>on el propósito</w:t>
      </w:r>
      <w:r w:rsidR="003A61DF" w:rsidRPr="00426FC7">
        <w:rPr>
          <w:rFonts w:ascii="Arial" w:hAnsi="Arial" w:cs="Arial"/>
        </w:rPr>
        <w:t xml:space="preserve"> de ayudar a facilitar la identificación y </w:t>
      </w:r>
      <w:proofErr w:type="spellStart"/>
      <w:r w:rsidR="003A61DF" w:rsidRPr="00426FC7">
        <w:rPr>
          <w:rFonts w:ascii="Arial" w:hAnsi="Arial" w:cs="Arial"/>
        </w:rPr>
        <w:t>visibilización</w:t>
      </w:r>
      <w:proofErr w:type="spellEnd"/>
      <w:r w:rsidR="003A61DF" w:rsidRPr="00426FC7">
        <w:rPr>
          <w:rFonts w:ascii="Arial" w:hAnsi="Arial" w:cs="Arial"/>
        </w:rPr>
        <w:t xml:space="preserve"> de la violencia política contra las mujeres, así como procurar a las mujeres el acceso igualitario a las funciones públicas y a participar en los asuntos públicos, incluyendo la toma de decisiones</w:t>
      </w:r>
      <w:r w:rsidR="003A61DF" w:rsidRPr="00426FC7">
        <w:rPr>
          <w:rStyle w:val="Refdenotaalpie"/>
          <w:rFonts w:ascii="Arial" w:hAnsi="Arial" w:cs="Arial"/>
        </w:rPr>
        <w:footnoteReference w:id="4"/>
      </w:r>
      <w:r w:rsidR="003A61DF" w:rsidRPr="00426FC7">
        <w:rPr>
          <w:rFonts w:ascii="Arial" w:hAnsi="Arial" w:cs="Arial"/>
        </w:rPr>
        <w:t xml:space="preserve">; proteger el derecho de acceso efectivo a la justicia, una defensa adecuada, a la apropiada reparación del daño y, asimismo, impulsar la perspectiva de género en la función jurisdiccional electoral local, el </w:t>
      </w:r>
      <w:r w:rsidR="001072DB" w:rsidRPr="00426FC7">
        <w:rPr>
          <w:rFonts w:ascii="Arial" w:hAnsi="Arial" w:cs="Arial"/>
        </w:rPr>
        <w:t>TECDMX</w:t>
      </w:r>
      <w:r w:rsidR="003A61DF" w:rsidRPr="00426FC7">
        <w:rPr>
          <w:rFonts w:ascii="Arial" w:hAnsi="Arial" w:cs="Arial"/>
        </w:rPr>
        <w:t xml:space="preserve">, consideró oportuno, pertinente y necesario emitir el </w:t>
      </w:r>
      <w:r w:rsidR="003A61DF" w:rsidRPr="00426FC7">
        <w:rPr>
          <w:rFonts w:ascii="Arial" w:hAnsi="Arial" w:cs="Arial"/>
          <w:i/>
        </w:rPr>
        <w:t>Protocolo para atender la violencia política contra las mujeres</w:t>
      </w:r>
      <w:r w:rsidR="003A61DF" w:rsidRPr="00426FC7">
        <w:rPr>
          <w:rFonts w:ascii="Arial" w:hAnsi="Arial" w:cs="Arial"/>
        </w:rPr>
        <w:t>, en su ámbito de competencia, con el fin de orientar y establecer vías procesales y parámetros de actuación generales ante denuncias que se presenten por situaciones que podrían ser violatorias de los derechos político-electorales de las mujeres en la Ciudad de México.</w:t>
      </w:r>
    </w:p>
    <w:p w:rsidR="00894956" w:rsidRPr="00426FC7" w:rsidRDefault="00EF4963" w:rsidP="000E297E">
      <w:pPr>
        <w:rPr>
          <w:rFonts w:cs="Arial"/>
          <w:szCs w:val="24"/>
        </w:rPr>
      </w:pPr>
      <w:r w:rsidRPr="00426FC7">
        <w:rPr>
          <w:rFonts w:cs="Arial"/>
          <w:szCs w:val="24"/>
        </w:rPr>
        <w:lastRenderedPageBreak/>
        <w:t xml:space="preserve">Por otra parte, se </w:t>
      </w:r>
      <w:r w:rsidR="004F2403" w:rsidRPr="00426FC7">
        <w:rPr>
          <w:rFonts w:cs="Arial"/>
          <w:szCs w:val="24"/>
        </w:rPr>
        <w:t>impulsó</w:t>
      </w:r>
      <w:r w:rsidR="00894956" w:rsidRPr="00426FC7">
        <w:rPr>
          <w:rFonts w:cs="Arial"/>
          <w:szCs w:val="24"/>
        </w:rPr>
        <w:t xml:space="preserve"> la creación e instalación del Grupo de Trabajo de Igualdad Laboral y No </w:t>
      </w:r>
      <w:r w:rsidR="00F15A34" w:rsidRPr="00426FC7">
        <w:rPr>
          <w:rFonts w:cs="Arial"/>
          <w:szCs w:val="24"/>
        </w:rPr>
        <w:t>Discriminación, encargado</w:t>
      </w:r>
      <w:r w:rsidR="00894956" w:rsidRPr="00426FC7">
        <w:rPr>
          <w:rFonts w:cs="Arial"/>
          <w:szCs w:val="24"/>
        </w:rPr>
        <w:t xml:space="preserve"> de atender y verificar el cumplimiento de la </w:t>
      </w:r>
      <w:r w:rsidR="00894956" w:rsidRPr="00426FC7">
        <w:rPr>
          <w:rFonts w:eastAsia="Times New Roman" w:cs="Arial"/>
          <w:bCs/>
          <w:color w:val="303030"/>
          <w:szCs w:val="24"/>
          <w:bdr w:val="none" w:sz="0" w:space="0" w:color="auto" w:frame="1"/>
          <w:lang w:eastAsia="es-MX"/>
        </w:rPr>
        <w:t>Norma Mexicana NMX-R-025-SCFI-2015 de igualdad laboral y no discriminación</w:t>
      </w:r>
      <w:r w:rsidR="00894956" w:rsidRPr="00426FC7">
        <w:rPr>
          <w:rFonts w:cs="Arial"/>
          <w:szCs w:val="24"/>
        </w:rPr>
        <w:t>.</w:t>
      </w:r>
    </w:p>
    <w:p w:rsidR="003627AD" w:rsidRPr="00426FC7" w:rsidRDefault="003627AD" w:rsidP="000E297E">
      <w:pPr>
        <w:rPr>
          <w:rFonts w:eastAsia="Times New Roman" w:cs="Arial"/>
          <w:szCs w:val="24"/>
        </w:rPr>
      </w:pPr>
      <w:r w:rsidRPr="00426FC7">
        <w:rPr>
          <w:rFonts w:eastAsia="Times New Roman" w:cs="Arial"/>
          <w:szCs w:val="24"/>
        </w:rPr>
        <w:t xml:space="preserve">Se trabajó en la elaboración de los </w:t>
      </w:r>
      <w:r w:rsidRPr="00426FC7">
        <w:rPr>
          <w:rFonts w:eastAsia="Times New Roman" w:cs="Arial"/>
          <w:i/>
          <w:szCs w:val="24"/>
        </w:rPr>
        <w:t>Lineamientos en Materia de Género y Derechos Humanos del TECDMX</w:t>
      </w:r>
      <w:r w:rsidRPr="00426FC7">
        <w:rPr>
          <w:rFonts w:eastAsia="Times New Roman" w:cs="Arial"/>
          <w:szCs w:val="24"/>
        </w:rPr>
        <w:t>, que tienen por objeto establecer los principios y criterios que orienten directrices, políticas y buenas prácticas y acciones afirmativas que impulsen el Pleno, la Presidencia y/o l</w:t>
      </w:r>
      <w:r w:rsidR="00013B3B" w:rsidRPr="00426FC7">
        <w:rPr>
          <w:rFonts w:eastAsia="Times New Roman" w:cs="Arial"/>
          <w:szCs w:val="24"/>
        </w:rPr>
        <w:t>a</w:t>
      </w:r>
      <w:r w:rsidRPr="00426FC7">
        <w:rPr>
          <w:rFonts w:eastAsia="Times New Roman" w:cs="Arial"/>
          <w:szCs w:val="24"/>
        </w:rPr>
        <w:t xml:space="preserve"> </w:t>
      </w:r>
      <w:proofErr w:type="spellStart"/>
      <w:r w:rsidR="00013B3B" w:rsidRPr="00426FC7">
        <w:rPr>
          <w:rFonts w:eastAsia="Times New Roman" w:cs="Arial"/>
          <w:szCs w:val="24"/>
        </w:rPr>
        <w:t>CGyDH</w:t>
      </w:r>
      <w:proofErr w:type="spellEnd"/>
      <w:r w:rsidRPr="00426FC7">
        <w:rPr>
          <w:rFonts w:eastAsia="Times New Roman" w:cs="Arial"/>
          <w:szCs w:val="24"/>
        </w:rPr>
        <w:t>, en materia de derechos humanos, igualdad sustantiva, igualdad laboral, no discriminación, género y protección a grupos en situación de vulnerabilidad, desde la</w:t>
      </w:r>
      <w:r w:rsidR="00EF4963" w:rsidRPr="00426FC7">
        <w:rPr>
          <w:rFonts w:eastAsia="Times New Roman" w:cs="Arial"/>
          <w:szCs w:val="24"/>
        </w:rPr>
        <w:t xml:space="preserve"> perspectiva de transversalidad.</w:t>
      </w:r>
    </w:p>
    <w:p w:rsidR="00587457" w:rsidRPr="00426FC7" w:rsidRDefault="003627AD" w:rsidP="000E297E">
      <w:pPr>
        <w:rPr>
          <w:rFonts w:eastAsia="Times New Roman" w:cs="Arial"/>
          <w:szCs w:val="24"/>
        </w:rPr>
      </w:pPr>
      <w:r w:rsidRPr="00426FC7">
        <w:rPr>
          <w:rFonts w:eastAsia="Times New Roman" w:cs="Arial"/>
          <w:szCs w:val="24"/>
        </w:rPr>
        <w:t xml:space="preserve">De igual forma se elaboró el </w:t>
      </w:r>
      <w:r w:rsidRPr="00426FC7">
        <w:rPr>
          <w:rFonts w:eastAsia="Times New Roman" w:cs="Arial"/>
          <w:i/>
          <w:szCs w:val="24"/>
        </w:rPr>
        <w:t xml:space="preserve">Manual de Operación del </w:t>
      </w:r>
      <w:proofErr w:type="spellStart"/>
      <w:r w:rsidR="00907032" w:rsidRPr="00426FC7">
        <w:rPr>
          <w:rFonts w:eastAsia="Times New Roman" w:cs="Arial"/>
          <w:i/>
          <w:szCs w:val="24"/>
        </w:rPr>
        <w:t>CGyDH</w:t>
      </w:r>
      <w:proofErr w:type="spellEnd"/>
      <w:r w:rsidRPr="00426FC7">
        <w:rPr>
          <w:rFonts w:eastAsia="Times New Roman" w:cs="Arial"/>
          <w:szCs w:val="24"/>
        </w:rPr>
        <w:t xml:space="preserve">, </w:t>
      </w:r>
      <w:r w:rsidR="00907032" w:rsidRPr="00426FC7">
        <w:rPr>
          <w:rFonts w:eastAsia="Times New Roman" w:cs="Arial"/>
          <w:szCs w:val="24"/>
        </w:rPr>
        <w:t>con el propósito de</w:t>
      </w:r>
      <w:r w:rsidRPr="00426FC7">
        <w:rPr>
          <w:rFonts w:eastAsia="Times New Roman" w:cs="Arial"/>
          <w:szCs w:val="24"/>
        </w:rPr>
        <w:t xml:space="preserve"> regular la integración, atribuciones y funcionamiento de</w:t>
      </w:r>
      <w:r w:rsidR="00907032" w:rsidRPr="00426FC7">
        <w:rPr>
          <w:rFonts w:eastAsia="Times New Roman" w:cs="Arial"/>
          <w:szCs w:val="24"/>
        </w:rPr>
        <w:t xml:space="preserve"> dicho</w:t>
      </w:r>
      <w:r w:rsidRPr="00426FC7">
        <w:rPr>
          <w:rFonts w:eastAsia="Times New Roman" w:cs="Arial"/>
          <w:szCs w:val="24"/>
        </w:rPr>
        <w:t xml:space="preserve"> Comité</w:t>
      </w:r>
      <w:r w:rsidR="00EF4963" w:rsidRPr="00426FC7">
        <w:rPr>
          <w:rFonts w:eastAsia="Times New Roman" w:cs="Arial"/>
          <w:szCs w:val="24"/>
        </w:rPr>
        <w:t>;</w:t>
      </w:r>
      <w:r w:rsidRPr="00426FC7">
        <w:rPr>
          <w:rFonts w:eastAsia="Times New Roman" w:cs="Arial"/>
          <w:szCs w:val="24"/>
        </w:rPr>
        <w:t xml:space="preserve"> </w:t>
      </w:r>
      <w:r w:rsidR="00894956" w:rsidRPr="00426FC7">
        <w:rPr>
          <w:rFonts w:eastAsia="Times New Roman" w:cs="Arial"/>
          <w:szCs w:val="24"/>
        </w:rPr>
        <w:t xml:space="preserve">el </w:t>
      </w:r>
      <w:r w:rsidR="00894956" w:rsidRPr="00426FC7">
        <w:rPr>
          <w:rFonts w:eastAsia="Times New Roman" w:cs="Arial"/>
          <w:i/>
          <w:szCs w:val="24"/>
        </w:rPr>
        <w:t>Código de Ética del TECDMX</w:t>
      </w:r>
      <w:r w:rsidR="00894956" w:rsidRPr="00426FC7">
        <w:rPr>
          <w:rFonts w:eastAsia="Times New Roman" w:cs="Arial"/>
          <w:szCs w:val="24"/>
        </w:rPr>
        <w:t xml:space="preserve"> y la </w:t>
      </w:r>
      <w:r w:rsidR="00894956" w:rsidRPr="00426FC7">
        <w:rPr>
          <w:rFonts w:eastAsia="Times New Roman" w:cs="Arial"/>
          <w:i/>
          <w:szCs w:val="24"/>
        </w:rPr>
        <w:t>Política de Igualdad Laboral y No Discriminación</w:t>
      </w:r>
      <w:r w:rsidR="00EF4963" w:rsidRPr="00426FC7">
        <w:rPr>
          <w:rFonts w:eastAsia="Times New Roman" w:cs="Arial"/>
          <w:szCs w:val="24"/>
        </w:rPr>
        <w:t>;</w:t>
      </w:r>
      <w:r w:rsidR="00731F2E" w:rsidRPr="00426FC7">
        <w:rPr>
          <w:rFonts w:eastAsia="Times New Roman" w:cs="Arial"/>
          <w:szCs w:val="24"/>
        </w:rPr>
        <w:t xml:space="preserve"> </w:t>
      </w:r>
      <w:r w:rsidR="00EF4963" w:rsidRPr="00426FC7">
        <w:rPr>
          <w:rFonts w:eastAsia="Times New Roman" w:cs="Arial"/>
          <w:szCs w:val="24"/>
        </w:rPr>
        <w:t>y</w:t>
      </w:r>
      <w:r w:rsidR="00731F2E" w:rsidRPr="00426FC7">
        <w:rPr>
          <w:rFonts w:eastAsia="Times New Roman" w:cs="Arial"/>
          <w:szCs w:val="24"/>
        </w:rPr>
        <w:t xml:space="preserve"> se actualizó</w:t>
      </w:r>
      <w:r w:rsidR="00894956" w:rsidRPr="00426FC7">
        <w:rPr>
          <w:rFonts w:eastAsia="Times New Roman" w:cs="Arial"/>
          <w:szCs w:val="24"/>
        </w:rPr>
        <w:t xml:space="preserve"> la </w:t>
      </w:r>
      <w:r w:rsidR="00731F2E" w:rsidRPr="00426FC7">
        <w:rPr>
          <w:rFonts w:eastAsia="Times New Roman" w:cs="Arial"/>
          <w:i/>
          <w:szCs w:val="24"/>
        </w:rPr>
        <w:t>Guía T</w:t>
      </w:r>
      <w:r w:rsidR="00894956" w:rsidRPr="00426FC7">
        <w:rPr>
          <w:rFonts w:eastAsia="Times New Roman" w:cs="Arial"/>
          <w:i/>
          <w:szCs w:val="24"/>
        </w:rPr>
        <w:t>écnica para el uso de un lenguaje incluyente en las comunicaciones del TECDMX</w:t>
      </w:r>
      <w:r w:rsidR="00894956" w:rsidRPr="00426FC7">
        <w:rPr>
          <w:rFonts w:eastAsia="Times New Roman" w:cs="Arial"/>
          <w:szCs w:val="24"/>
        </w:rPr>
        <w:t>.</w:t>
      </w:r>
    </w:p>
    <w:p w:rsidR="003627AD" w:rsidRPr="00426FC7" w:rsidRDefault="003627AD" w:rsidP="000E297E">
      <w:pPr>
        <w:rPr>
          <w:rFonts w:eastAsia="Times New Roman" w:cs="Arial"/>
          <w:szCs w:val="24"/>
        </w:rPr>
      </w:pPr>
      <w:r w:rsidRPr="00426FC7">
        <w:rPr>
          <w:rFonts w:eastAsia="Times New Roman" w:cs="Arial"/>
          <w:szCs w:val="24"/>
        </w:rPr>
        <w:t xml:space="preserve">En coordinación con la USI, se desarrolló un </w:t>
      </w:r>
      <w:proofErr w:type="spellStart"/>
      <w:r w:rsidR="00907032" w:rsidRPr="00426FC7">
        <w:rPr>
          <w:rFonts w:eastAsia="Times New Roman" w:cs="Arial"/>
          <w:i/>
          <w:szCs w:val="24"/>
        </w:rPr>
        <w:t>Micrositio</w:t>
      </w:r>
      <w:proofErr w:type="spellEnd"/>
      <w:r w:rsidRPr="00426FC7">
        <w:rPr>
          <w:rFonts w:eastAsia="Times New Roman" w:cs="Arial"/>
          <w:szCs w:val="24"/>
        </w:rPr>
        <w:t xml:space="preserve"> del </w:t>
      </w:r>
      <w:proofErr w:type="spellStart"/>
      <w:r w:rsidR="00907032" w:rsidRPr="00426FC7">
        <w:rPr>
          <w:rFonts w:eastAsia="Times New Roman" w:cs="Arial"/>
          <w:szCs w:val="24"/>
        </w:rPr>
        <w:t>CGyDH</w:t>
      </w:r>
      <w:proofErr w:type="spellEnd"/>
      <w:r w:rsidRPr="00426FC7">
        <w:rPr>
          <w:rFonts w:eastAsia="Times New Roman" w:cs="Arial"/>
          <w:szCs w:val="24"/>
        </w:rPr>
        <w:t xml:space="preserve">, con la finalidad de contar con un espacio de difusión en el que </w:t>
      </w:r>
      <w:r w:rsidR="004F2403" w:rsidRPr="00426FC7">
        <w:rPr>
          <w:rFonts w:eastAsia="Times New Roman" w:cs="Arial"/>
          <w:szCs w:val="24"/>
        </w:rPr>
        <w:t xml:space="preserve">las personas usuarias </w:t>
      </w:r>
      <w:r w:rsidR="00907032" w:rsidRPr="00426FC7">
        <w:rPr>
          <w:rFonts w:eastAsia="Times New Roman" w:cs="Arial"/>
          <w:szCs w:val="24"/>
        </w:rPr>
        <w:t>pudieran</w:t>
      </w:r>
      <w:r w:rsidRPr="00426FC7">
        <w:rPr>
          <w:rFonts w:eastAsia="Times New Roman" w:cs="Arial"/>
          <w:szCs w:val="24"/>
        </w:rPr>
        <w:t xml:space="preserve"> encontrar información relacionada con el Comité, su plan y programa de trabajo, información de la </w:t>
      </w:r>
      <w:proofErr w:type="spellStart"/>
      <w:r w:rsidR="00907032" w:rsidRPr="00426FC7">
        <w:rPr>
          <w:rFonts w:eastAsia="Times New Roman" w:cs="Arial"/>
          <w:szCs w:val="24"/>
        </w:rPr>
        <w:t>CDHyG</w:t>
      </w:r>
      <w:proofErr w:type="spellEnd"/>
      <w:r w:rsidRPr="00426FC7">
        <w:rPr>
          <w:rFonts w:eastAsia="Times New Roman" w:cs="Arial"/>
          <w:szCs w:val="24"/>
        </w:rPr>
        <w:t xml:space="preserve">, </w:t>
      </w:r>
      <w:r w:rsidR="00587457" w:rsidRPr="00426FC7">
        <w:rPr>
          <w:rFonts w:eastAsia="Times New Roman" w:cs="Arial"/>
          <w:szCs w:val="24"/>
        </w:rPr>
        <w:t xml:space="preserve">información y documentos del proceso de certificación, </w:t>
      </w:r>
      <w:r w:rsidRPr="00426FC7">
        <w:rPr>
          <w:rFonts w:eastAsia="Times New Roman" w:cs="Arial"/>
          <w:szCs w:val="24"/>
        </w:rPr>
        <w:t xml:space="preserve">vínculos a sitios de Interés, así como </w:t>
      </w:r>
      <w:r w:rsidR="00587457" w:rsidRPr="00426FC7">
        <w:rPr>
          <w:rFonts w:eastAsia="Times New Roman" w:cs="Arial"/>
          <w:szCs w:val="24"/>
        </w:rPr>
        <w:t>la difusión de información, políticas y normas en materia de igualdad laboral, perspectiva de género,</w:t>
      </w:r>
      <w:r w:rsidRPr="00426FC7">
        <w:rPr>
          <w:rFonts w:eastAsia="Times New Roman" w:cs="Arial"/>
          <w:szCs w:val="24"/>
        </w:rPr>
        <w:t xml:space="preserve"> lenguaje incluyente y </w:t>
      </w:r>
      <w:r w:rsidR="00587457" w:rsidRPr="00426FC7">
        <w:rPr>
          <w:rFonts w:eastAsia="Times New Roman" w:cs="Arial"/>
          <w:szCs w:val="24"/>
        </w:rPr>
        <w:t>otros.</w:t>
      </w:r>
    </w:p>
    <w:p w:rsidR="00970EB6" w:rsidRPr="006F4E05" w:rsidRDefault="003627AD" w:rsidP="006F4E05">
      <w:pPr>
        <w:rPr>
          <w:rFonts w:eastAsia="Times New Roman" w:cs="Arial"/>
          <w:szCs w:val="24"/>
        </w:rPr>
      </w:pPr>
      <w:r w:rsidRPr="00426FC7">
        <w:rPr>
          <w:rFonts w:eastAsia="Times New Roman" w:cs="Arial"/>
          <w:szCs w:val="24"/>
        </w:rPr>
        <w:t>Como parte de la</w:t>
      </w:r>
      <w:r w:rsidR="000F6777" w:rsidRPr="00426FC7">
        <w:rPr>
          <w:rFonts w:eastAsia="Times New Roman" w:cs="Arial"/>
          <w:szCs w:val="24"/>
        </w:rPr>
        <w:t>s actividades de formación de las personas servidoras públicas</w:t>
      </w:r>
      <w:r w:rsidRPr="00426FC7">
        <w:rPr>
          <w:rFonts w:eastAsia="Times New Roman" w:cs="Arial"/>
          <w:szCs w:val="24"/>
        </w:rPr>
        <w:t xml:space="preserve"> </w:t>
      </w:r>
      <w:r w:rsidR="00731F2E" w:rsidRPr="00426FC7">
        <w:rPr>
          <w:rFonts w:eastAsia="Times New Roman" w:cs="Arial"/>
          <w:szCs w:val="24"/>
        </w:rPr>
        <w:t>del TECDMX, se llevaron</w:t>
      </w:r>
      <w:r w:rsidRPr="00426FC7">
        <w:rPr>
          <w:rFonts w:eastAsia="Times New Roman" w:cs="Arial"/>
          <w:szCs w:val="24"/>
        </w:rPr>
        <w:t xml:space="preserve"> a cabo </w:t>
      </w:r>
      <w:r w:rsidR="00731F2E" w:rsidRPr="00426FC7">
        <w:rPr>
          <w:rFonts w:eastAsia="Times New Roman" w:cs="Arial"/>
          <w:szCs w:val="24"/>
        </w:rPr>
        <w:t>4</w:t>
      </w:r>
      <w:r w:rsidRPr="00426FC7">
        <w:rPr>
          <w:rFonts w:eastAsia="Times New Roman" w:cs="Arial"/>
          <w:szCs w:val="24"/>
        </w:rPr>
        <w:t xml:space="preserve"> talleres de sensibilización en materia de género impartidos por </w:t>
      </w:r>
      <w:proofErr w:type="spellStart"/>
      <w:r w:rsidRPr="00426FC7">
        <w:rPr>
          <w:rFonts w:eastAsia="Times New Roman" w:cs="Arial"/>
          <w:i/>
          <w:szCs w:val="24"/>
        </w:rPr>
        <w:t>Heartland</w:t>
      </w:r>
      <w:proofErr w:type="spellEnd"/>
      <w:r w:rsidRPr="00426FC7">
        <w:rPr>
          <w:rFonts w:eastAsia="Times New Roman" w:cs="Arial"/>
          <w:i/>
          <w:szCs w:val="24"/>
        </w:rPr>
        <w:t xml:space="preserve"> Alliance International</w:t>
      </w:r>
      <w:r w:rsidRPr="00426FC7">
        <w:rPr>
          <w:rFonts w:eastAsia="Times New Roman" w:cs="Arial"/>
          <w:szCs w:val="24"/>
        </w:rPr>
        <w:t xml:space="preserve"> (HAI), con el objetivo de fortalecer los conocimientos y las capacidades del personal del TECDMX en materia de discriminación por motivos de género y de orientación sexual; así como proporcionar las bases conceptuales y normativas sobre la violencia, el acoso y el hostigamiento sexual en el ámbito laboral, con la finalidad de reconocer posib</w:t>
      </w:r>
      <w:r w:rsidR="00907032" w:rsidRPr="00426FC7">
        <w:rPr>
          <w:rFonts w:eastAsia="Times New Roman" w:cs="Arial"/>
          <w:szCs w:val="24"/>
        </w:rPr>
        <w:t>les actos de violencia sexual.</w:t>
      </w:r>
    </w:p>
    <w:sectPr w:rsidR="00970EB6" w:rsidRPr="006F4E05" w:rsidSect="003927BE">
      <w:footerReference w:type="default" r:id="rId8"/>
      <w:pgSz w:w="12191" w:h="15876" w:code="1"/>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DE" w:rsidRDefault="00877CDE" w:rsidP="00AC7FDA">
      <w:pPr>
        <w:spacing w:before="0" w:after="0"/>
      </w:pPr>
      <w:r>
        <w:separator/>
      </w:r>
    </w:p>
  </w:endnote>
  <w:endnote w:type="continuationSeparator" w:id="0">
    <w:p w:rsidR="00877CDE" w:rsidRDefault="00877CDE" w:rsidP="00AC7F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60296"/>
      <w:docPartObj>
        <w:docPartGallery w:val="Page Numbers (Bottom of Page)"/>
        <w:docPartUnique/>
      </w:docPartObj>
    </w:sdtPr>
    <w:sdtEndPr>
      <w:rPr>
        <w:sz w:val="20"/>
        <w:szCs w:val="20"/>
      </w:rPr>
    </w:sdtEndPr>
    <w:sdtContent>
      <w:p w:rsidR="007701BF" w:rsidRPr="007701BF" w:rsidRDefault="007701BF">
        <w:pPr>
          <w:pStyle w:val="Piedepgina"/>
          <w:jc w:val="right"/>
          <w:rPr>
            <w:sz w:val="20"/>
            <w:szCs w:val="20"/>
          </w:rPr>
        </w:pPr>
        <w:r w:rsidRPr="007701BF">
          <w:rPr>
            <w:sz w:val="20"/>
            <w:szCs w:val="20"/>
          </w:rPr>
          <w:fldChar w:fldCharType="begin"/>
        </w:r>
        <w:r w:rsidRPr="007701BF">
          <w:rPr>
            <w:sz w:val="20"/>
            <w:szCs w:val="20"/>
          </w:rPr>
          <w:instrText>PAGE   \* MERGEFORMAT</w:instrText>
        </w:r>
        <w:r w:rsidRPr="007701BF">
          <w:rPr>
            <w:sz w:val="20"/>
            <w:szCs w:val="20"/>
          </w:rPr>
          <w:fldChar w:fldCharType="separate"/>
        </w:r>
        <w:r w:rsidR="00426C9A" w:rsidRPr="00426C9A">
          <w:rPr>
            <w:noProof/>
            <w:sz w:val="20"/>
            <w:szCs w:val="20"/>
            <w:lang w:val="es-ES"/>
          </w:rPr>
          <w:t>6</w:t>
        </w:r>
        <w:r w:rsidRPr="007701BF">
          <w:rPr>
            <w:sz w:val="20"/>
            <w:szCs w:val="20"/>
          </w:rPr>
          <w:fldChar w:fldCharType="end"/>
        </w:r>
      </w:p>
    </w:sdtContent>
  </w:sdt>
  <w:p w:rsidR="007701BF" w:rsidRDefault="007701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DE" w:rsidRDefault="00877CDE" w:rsidP="00AC7FDA">
      <w:pPr>
        <w:spacing w:before="0" w:after="0"/>
      </w:pPr>
      <w:r>
        <w:separator/>
      </w:r>
    </w:p>
  </w:footnote>
  <w:footnote w:type="continuationSeparator" w:id="0">
    <w:p w:rsidR="00877CDE" w:rsidRDefault="00877CDE" w:rsidP="00AC7FDA">
      <w:pPr>
        <w:spacing w:before="0" w:after="0"/>
      </w:pPr>
      <w:r>
        <w:continuationSeparator/>
      </w:r>
    </w:p>
  </w:footnote>
  <w:footnote w:id="1">
    <w:p w:rsidR="006F4E05" w:rsidRPr="00426C9A" w:rsidRDefault="006F4E05" w:rsidP="006F4E05">
      <w:pPr>
        <w:pStyle w:val="Textonotapie"/>
        <w:jc w:val="both"/>
        <w:rPr>
          <w:rFonts w:ascii="Arial" w:hAnsi="Arial" w:cs="Arial"/>
          <w:sz w:val="18"/>
          <w:szCs w:val="18"/>
        </w:rPr>
      </w:pPr>
      <w:r w:rsidRPr="00426C9A">
        <w:rPr>
          <w:rStyle w:val="Refdenotaalpie"/>
          <w:rFonts w:ascii="Arial" w:hAnsi="Arial" w:cs="Arial"/>
          <w:sz w:val="18"/>
          <w:szCs w:val="18"/>
        </w:rPr>
        <w:footnoteRef/>
      </w:r>
      <w:r w:rsidRPr="00426C9A">
        <w:rPr>
          <w:rFonts w:ascii="Arial" w:hAnsi="Arial" w:cs="Arial"/>
          <w:sz w:val="18"/>
          <w:szCs w:val="18"/>
        </w:rPr>
        <w:t xml:space="preserve"> </w:t>
      </w:r>
      <w:r w:rsidR="00C771DA" w:rsidRPr="00426C9A">
        <w:rPr>
          <w:rFonts w:ascii="Arial" w:hAnsi="Arial" w:cs="Arial"/>
          <w:sz w:val="18"/>
          <w:szCs w:val="18"/>
        </w:rPr>
        <w:t>P</w:t>
      </w:r>
      <w:r w:rsidRPr="00426C9A">
        <w:rPr>
          <w:rFonts w:ascii="Arial" w:hAnsi="Arial" w:cs="Arial"/>
          <w:sz w:val="18"/>
          <w:szCs w:val="18"/>
        </w:rPr>
        <w:t xml:space="preserve">or </w:t>
      </w:r>
      <w:r w:rsidRPr="00426C9A">
        <w:rPr>
          <w:rFonts w:ascii="Arial" w:hAnsi="Arial" w:cs="Arial"/>
          <w:i/>
          <w:sz w:val="18"/>
          <w:szCs w:val="18"/>
        </w:rPr>
        <w:t>Derechos Fundamentales</w:t>
      </w:r>
      <w:r w:rsidRPr="00426C9A">
        <w:rPr>
          <w:rFonts w:ascii="Arial" w:hAnsi="Arial" w:cs="Arial"/>
          <w:sz w:val="18"/>
          <w:szCs w:val="18"/>
        </w:rPr>
        <w:t>, debe entenderse: Derechos político electorales y sus derechos conexos (</w:t>
      </w:r>
      <w:r w:rsidRPr="00426C9A">
        <w:rPr>
          <w:rFonts w:ascii="Arial" w:hAnsi="Arial" w:cs="Arial"/>
          <w:color w:val="000000"/>
          <w:sz w:val="18"/>
          <w:szCs w:val="18"/>
        </w:rPr>
        <w:t>derecho de petición, de libertad de expresión, de libertad de pensamiento, acceso a la información y transparencia, de asociación y reunión, de igualdad sustantiva, de intimidad, honra y reputación, de nacionalidad y ciudadanía, entre otras las libertades públicas)</w:t>
      </w:r>
      <w:r w:rsidRPr="00426C9A">
        <w:rPr>
          <w:rFonts w:ascii="Arial" w:hAnsi="Arial" w:cs="Arial"/>
          <w:sz w:val="18"/>
          <w:szCs w:val="18"/>
        </w:rPr>
        <w:t xml:space="preserve">, en el ámbito material y geográfico de competencia del Tribunal. </w:t>
      </w:r>
    </w:p>
  </w:footnote>
  <w:footnote w:id="2">
    <w:p w:rsidR="006F4E05" w:rsidRPr="00426C9A" w:rsidRDefault="006F4E05" w:rsidP="006F4E05">
      <w:pPr>
        <w:pStyle w:val="Default"/>
        <w:jc w:val="both"/>
        <w:rPr>
          <w:rFonts w:ascii="Arial" w:hAnsi="Arial" w:cs="Arial"/>
          <w:bCs/>
          <w:sz w:val="18"/>
          <w:szCs w:val="18"/>
          <w:lang w:val="es-MX"/>
        </w:rPr>
      </w:pPr>
      <w:r w:rsidRPr="00426C9A">
        <w:rPr>
          <w:rStyle w:val="Refdenotaalpie"/>
          <w:rFonts w:ascii="Arial" w:hAnsi="Arial" w:cs="Arial"/>
          <w:sz w:val="18"/>
          <w:szCs w:val="18"/>
          <w:lang w:val="es-MX"/>
        </w:rPr>
        <w:footnoteRef/>
      </w:r>
      <w:r w:rsidRPr="00426C9A">
        <w:rPr>
          <w:rFonts w:ascii="Arial" w:hAnsi="Arial" w:cs="Arial"/>
          <w:sz w:val="18"/>
          <w:szCs w:val="18"/>
          <w:lang w:val="es-MX"/>
        </w:rPr>
        <w:t xml:space="preserve"> Grupos sociales </w:t>
      </w:r>
      <w:r w:rsidRPr="00426C9A">
        <w:rPr>
          <w:rFonts w:ascii="Arial" w:hAnsi="Arial" w:cs="Arial"/>
          <w:bCs/>
          <w:sz w:val="18"/>
          <w:szCs w:val="18"/>
          <w:lang w:val="es-MX"/>
        </w:rPr>
        <w:t xml:space="preserve">de atención prioritaria en la Ciudad de México, </w:t>
      </w:r>
      <w:r w:rsidRPr="00426C9A">
        <w:rPr>
          <w:rFonts w:ascii="Arial" w:hAnsi="Arial" w:cs="Arial"/>
          <w:sz w:val="18"/>
          <w:szCs w:val="18"/>
          <w:lang w:val="es-MX"/>
        </w:rPr>
        <w:t xml:space="preserve">que debido a la desigualdad estructural enfrentan discriminación, exclusión, maltrato, abuso, violencia y mayores obstáculos para el pleno ejercicio de sus derechos y libertades fundamentales. En correspondencia con el artículo </w:t>
      </w:r>
      <w:r w:rsidRPr="00426C9A">
        <w:rPr>
          <w:rFonts w:ascii="Arial" w:hAnsi="Arial" w:cs="Arial"/>
          <w:bCs/>
          <w:sz w:val="18"/>
          <w:szCs w:val="18"/>
          <w:lang w:val="es-MX"/>
        </w:rPr>
        <w:t xml:space="preserve">11 de la Constitución de la Ciudad de México, independientemente de su categorización sexual, racial, generacional, o cualquier otra. Para efecto del presente Plan Integral de Trabajo, de acuerdo con las atribuciones del Comité, por </w:t>
      </w:r>
      <w:r w:rsidRPr="00426C9A">
        <w:rPr>
          <w:rFonts w:ascii="Arial" w:hAnsi="Arial" w:cs="Arial"/>
          <w:bCs/>
          <w:i/>
          <w:sz w:val="18"/>
          <w:szCs w:val="18"/>
          <w:lang w:val="es-MX"/>
        </w:rPr>
        <w:t>Personas situación de vulnerabilidad</w:t>
      </w:r>
      <w:r w:rsidRPr="00426C9A">
        <w:rPr>
          <w:rFonts w:ascii="Arial" w:hAnsi="Arial" w:cs="Arial"/>
          <w:bCs/>
          <w:sz w:val="18"/>
          <w:szCs w:val="18"/>
          <w:lang w:val="es-MX"/>
        </w:rPr>
        <w:t>, debe entenderse personas de identidad indígena y personas con discapacidad.</w:t>
      </w:r>
    </w:p>
  </w:footnote>
  <w:footnote w:id="3">
    <w:p w:rsidR="006F4E05" w:rsidRPr="00426C9A" w:rsidRDefault="006F4E05" w:rsidP="006F4E05">
      <w:pPr>
        <w:spacing w:before="0" w:after="0"/>
        <w:rPr>
          <w:rFonts w:cs="Arial"/>
          <w:sz w:val="18"/>
          <w:szCs w:val="18"/>
        </w:rPr>
      </w:pPr>
      <w:r w:rsidRPr="00426C9A">
        <w:rPr>
          <w:rStyle w:val="Refdenotaalpie"/>
          <w:rFonts w:cs="Arial"/>
          <w:sz w:val="18"/>
          <w:szCs w:val="18"/>
        </w:rPr>
        <w:footnoteRef/>
      </w:r>
      <w:r w:rsidRPr="00426C9A">
        <w:rPr>
          <w:rFonts w:cs="Arial"/>
          <w:sz w:val="18"/>
          <w:szCs w:val="18"/>
        </w:rPr>
        <w:t xml:space="preserve"> </w:t>
      </w:r>
      <w:r w:rsidR="00C771DA" w:rsidRPr="00426C9A">
        <w:rPr>
          <w:rFonts w:cs="Arial"/>
          <w:sz w:val="18"/>
          <w:szCs w:val="18"/>
        </w:rPr>
        <w:t>P</w:t>
      </w:r>
      <w:r w:rsidRPr="00426C9A">
        <w:rPr>
          <w:rFonts w:cs="Arial"/>
          <w:sz w:val="18"/>
          <w:szCs w:val="18"/>
        </w:rPr>
        <w:t xml:space="preserve">or </w:t>
      </w:r>
      <w:r w:rsidRPr="00426C9A">
        <w:rPr>
          <w:rFonts w:cs="Arial"/>
          <w:i/>
          <w:sz w:val="18"/>
          <w:szCs w:val="18"/>
        </w:rPr>
        <w:t>Personas físicas y morales que intervienen en la democracia de nuestra Ciudad,</w:t>
      </w:r>
      <w:r w:rsidRPr="00426C9A">
        <w:rPr>
          <w:rFonts w:cs="Arial"/>
          <w:sz w:val="18"/>
          <w:szCs w:val="18"/>
        </w:rPr>
        <w:t xml:space="preserve"> debe entenderse toda persona física, moral, organización o institución pública que habite, resida o esté avecindada en la Ciudad de México con derecho, capacidad y/o voluntad de ejercer sus derechos político electorales en el ámbito espacial de la entidad, mediante mecanismos de democracia representativa, participativa, en elecciones o en cualquier esfera del ámbito político local. En forma enunciativa son mujeres, hombres, niñas, niños, jóvenes, ancianos, indígenas, instituciones gubernamentales, partidos políticos, personas morales, empresas, organizaciones de la sociedad civil, medios de comunicación, entre otros.</w:t>
      </w:r>
    </w:p>
  </w:footnote>
  <w:footnote w:id="4">
    <w:p w:rsidR="003A61DF" w:rsidRPr="00EA1CE9" w:rsidRDefault="003A61DF" w:rsidP="003A61DF">
      <w:pPr>
        <w:pStyle w:val="Textonotapie"/>
        <w:widowControl w:val="0"/>
        <w:jc w:val="both"/>
        <w:rPr>
          <w:rFonts w:ascii="Arial" w:hAnsi="Arial" w:cs="Arial"/>
          <w:sz w:val="18"/>
          <w:szCs w:val="18"/>
        </w:rPr>
      </w:pPr>
      <w:r w:rsidRPr="00426C9A">
        <w:rPr>
          <w:rStyle w:val="Refdenotaalpie"/>
          <w:rFonts w:ascii="Arial" w:hAnsi="Arial" w:cs="Arial"/>
          <w:sz w:val="18"/>
          <w:szCs w:val="18"/>
        </w:rPr>
        <w:footnoteRef/>
      </w:r>
      <w:r w:rsidRPr="00426C9A">
        <w:rPr>
          <w:rFonts w:ascii="Arial" w:hAnsi="Arial" w:cs="Arial"/>
          <w:sz w:val="18"/>
          <w:szCs w:val="18"/>
        </w:rPr>
        <w:t xml:space="preserve"> </w:t>
      </w:r>
      <w:r w:rsidRPr="00426C9A">
        <w:rPr>
          <w:rFonts w:ascii="Arial" w:hAnsi="Arial" w:cs="Arial"/>
          <w:color w:val="000000"/>
          <w:sz w:val="18"/>
          <w:szCs w:val="18"/>
        </w:rPr>
        <w:t>Artículo 4, inciso j) de la Convención Interamericana para Prevenir, Sancionar y Erradicar la Violencia contra la Mujer, artículos II y III de la Convención de los Derechos Políticos de la Mujer y artículo 7.a de la Convención sobre la Eliminación de Todas las Formas de Discriminación contra la Mujer.</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BE7"/>
    <w:multiLevelType w:val="hybridMultilevel"/>
    <w:tmpl w:val="8E76D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60ADA"/>
    <w:multiLevelType w:val="hybridMultilevel"/>
    <w:tmpl w:val="952E6CE8"/>
    <w:lvl w:ilvl="0" w:tplc="029A4A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84552AD"/>
    <w:multiLevelType w:val="multilevel"/>
    <w:tmpl w:val="19E6F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0F5335"/>
    <w:multiLevelType w:val="hybridMultilevel"/>
    <w:tmpl w:val="D14E1464"/>
    <w:lvl w:ilvl="0" w:tplc="649E807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7164F9"/>
    <w:multiLevelType w:val="hybridMultilevel"/>
    <w:tmpl w:val="F21CB3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925D55"/>
    <w:multiLevelType w:val="multilevel"/>
    <w:tmpl w:val="9D0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07FF1"/>
    <w:multiLevelType w:val="multilevel"/>
    <w:tmpl w:val="2DEAB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0C6FD5"/>
    <w:multiLevelType w:val="hybridMultilevel"/>
    <w:tmpl w:val="703AC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263E9D"/>
    <w:multiLevelType w:val="hybridMultilevel"/>
    <w:tmpl w:val="A692B686"/>
    <w:lvl w:ilvl="0" w:tplc="080A0001">
      <w:start w:val="1"/>
      <w:numFmt w:val="bullet"/>
      <w:lvlText w:val=""/>
      <w:lvlJc w:val="left"/>
      <w:pPr>
        <w:ind w:left="2912" w:hanging="360"/>
      </w:pPr>
      <w:rPr>
        <w:rFonts w:ascii="Symbol" w:hAnsi="Symbol" w:hint="default"/>
      </w:rPr>
    </w:lvl>
    <w:lvl w:ilvl="1" w:tplc="080A0003" w:tentative="1">
      <w:start w:val="1"/>
      <w:numFmt w:val="bullet"/>
      <w:lvlText w:val="o"/>
      <w:lvlJc w:val="left"/>
      <w:pPr>
        <w:ind w:left="3632" w:hanging="360"/>
      </w:pPr>
      <w:rPr>
        <w:rFonts w:ascii="Courier New" w:hAnsi="Courier New" w:cs="Courier New" w:hint="default"/>
      </w:rPr>
    </w:lvl>
    <w:lvl w:ilvl="2" w:tplc="080A0005" w:tentative="1">
      <w:start w:val="1"/>
      <w:numFmt w:val="bullet"/>
      <w:lvlText w:val=""/>
      <w:lvlJc w:val="left"/>
      <w:pPr>
        <w:ind w:left="4352" w:hanging="360"/>
      </w:pPr>
      <w:rPr>
        <w:rFonts w:ascii="Wingdings" w:hAnsi="Wingdings" w:hint="default"/>
      </w:rPr>
    </w:lvl>
    <w:lvl w:ilvl="3" w:tplc="080A0001" w:tentative="1">
      <w:start w:val="1"/>
      <w:numFmt w:val="bullet"/>
      <w:lvlText w:val=""/>
      <w:lvlJc w:val="left"/>
      <w:pPr>
        <w:ind w:left="5072" w:hanging="360"/>
      </w:pPr>
      <w:rPr>
        <w:rFonts w:ascii="Symbol" w:hAnsi="Symbol" w:hint="default"/>
      </w:rPr>
    </w:lvl>
    <w:lvl w:ilvl="4" w:tplc="080A0003" w:tentative="1">
      <w:start w:val="1"/>
      <w:numFmt w:val="bullet"/>
      <w:lvlText w:val="o"/>
      <w:lvlJc w:val="left"/>
      <w:pPr>
        <w:ind w:left="5792" w:hanging="360"/>
      </w:pPr>
      <w:rPr>
        <w:rFonts w:ascii="Courier New" w:hAnsi="Courier New" w:cs="Courier New" w:hint="default"/>
      </w:rPr>
    </w:lvl>
    <w:lvl w:ilvl="5" w:tplc="080A0005" w:tentative="1">
      <w:start w:val="1"/>
      <w:numFmt w:val="bullet"/>
      <w:lvlText w:val=""/>
      <w:lvlJc w:val="left"/>
      <w:pPr>
        <w:ind w:left="6512" w:hanging="360"/>
      </w:pPr>
      <w:rPr>
        <w:rFonts w:ascii="Wingdings" w:hAnsi="Wingdings" w:hint="default"/>
      </w:rPr>
    </w:lvl>
    <w:lvl w:ilvl="6" w:tplc="080A0001" w:tentative="1">
      <w:start w:val="1"/>
      <w:numFmt w:val="bullet"/>
      <w:lvlText w:val=""/>
      <w:lvlJc w:val="left"/>
      <w:pPr>
        <w:ind w:left="7232" w:hanging="360"/>
      </w:pPr>
      <w:rPr>
        <w:rFonts w:ascii="Symbol" w:hAnsi="Symbol" w:hint="default"/>
      </w:rPr>
    </w:lvl>
    <w:lvl w:ilvl="7" w:tplc="080A0003" w:tentative="1">
      <w:start w:val="1"/>
      <w:numFmt w:val="bullet"/>
      <w:lvlText w:val="o"/>
      <w:lvlJc w:val="left"/>
      <w:pPr>
        <w:ind w:left="7952" w:hanging="360"/>
      </w:pPr>
      <w:rPr>
        <w:rFonts w:ascii="Courier New" w:hAnsi="Courier New" w:cs="Courier New" w:hint="default"/>
      </w:rPr>
    </w:lvl>
    <w:lvl w:ilvl="8" w:tplc="080A0005" w:tentative="1">
      <w:start w:val="1"/>
      <w:numFmt w:val="bullet"/>
      <w:lvlText w:val=""/>
      <w:lvlJc w:val="left"/>
      <w:pPr>
        <w:ind w:left="8672" w:hanging="360"/>
      </w:pPr>
      <w:rPr>
        <w:rFonts w:ascii="Wingdings" w:hAnsi="Wingdings" w:hint="default"/>
      </w:rPr>
    </w:lvl>
  </w:abstractNum>
  <w:abstractNum w:abstractNumId="9" w15:restartNumberingAfterBreak="0">
    <w:nsid w:val="2E9D6B26"/>
    <w:multiLevelType w:val="hybridMultilevel"/>
    <w:tmpl w:val="B2469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951601"/>
    <w:multiLevelType w:val="hybridMultilevel"/>
    <w:tmpl w:val="8F0E9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F15A1F"/>
    <w:multiLevelType w:val="hybridMultilevel"/>
    <w:tmpl w:val="5C00E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9853FD"/>
    <w:multiLevelType w:val="hybridMultilevel"/>
    <w:tmpl w:val="B762D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2D3DAE"/>
    <w:multiLevelType w:val="hybridMultilevel"/>
    <w:tmpl w:val="8F72B5E8"/>
    <w:lvl w:ilvl="0" w:tplc="D4F42638">
      <w:start w:val="1"/>
      <w:numFmt w:val="lowerLetter"/>
      <w:lvlText w:val="%1)"/>
      <w:lvlJc w:val="left"/>
      <w:pPr>
        <w:ind w:left="720" w:hanging="360"/>
      </w:pPr>
      <w:rPr>
        <w:rFonts w:hint="default"/>
        <w:b w:val="0"/>
        <w:sz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6B04EB"/>
    <w:multiLevelType w:val="hybridMultilevel"/>
    <w:tmpl w:val="525C1B78"/>
    <w:lvl w:ilvl="0" w:tplc="7AB03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D16B8"/>
    <w:multiLevelType w:val="hybridMultilevel"/>
    <w:tmpl w:val="9B128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7152D8"/>
    <w:multiLevelType w:val="hybridMultilevel"/>
    <w:tmpl w:val="503ED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C09DD"/>
    <w:multiLevelType w:val="hybridMultilevel"/>
    <w:tmpl w:val="2CE24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D86BEA"/>
    <w:multiLevelType w:val="multilevel"/>
    <w:tmpl w:val="64C09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01479BE"/>
    <w:multiLevelType w:val="hybridMultilevel"/>
    <w:tmpl w:val="66DED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F4541B"/>
    <w:multiLevelType w:val="hybridMultilevel"/>
    <w:tmpl w:val="6C30D652"/>
    <w:lvl w:ilvl="0" w:tplc="A1D25FB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FD701E"/>
    <w:multiLevelType w:val="hybridMultilevel"/>
    <w:tmpl w:val="54408CB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480B43"/>
    <w:multiLevelType w:val="hybridMultilevel"/>
    <w:tmpl w:val="7DD83908"/>
    <w:lvl w:ilvl="0" w:tplc="846CC7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C322D"/>
    <w:multiLevelType w:val="hybridMultilevel"/>
    <w:tmpl w:val="64744F8E"/>
    <w:lvl w:ilvl="0" w:tplc="D5607E1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9C4A4A"/>
    <w:multiLevelType w:val="multilevel"/>
    <w:tmpl w:val="5F8C0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B9024C"/>
    <w:multiLevelType w:val="hybridMultilevel"/>
    <w:tmpl w:val="0F2C48B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E9165A"/>
    <w:multiLevelType w:val="hybridMultilevel"/>
    <w:tmpl w:val="4CD873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FF15F8"/>
    <w:multiLevelType w:val="hybridMultilevel"/>
    <w:tmpl w:val="B9EE4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6409E6"/>
    <w:multiLevelType w:val="hybridMultilevel"/>
    <w:tmpl w:val="9800A6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6AB6EB8"/>
    <w:multiLevelType w:val="hybridMultilevel"/>
    <w:tmpl w:val="C774246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787164"/>
    <w:multiLevelType w:val="hybridMultilevel"/>
    <w:tmpl w:val="BFACA0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9B74D52"/>
    <w:multiLevelType w:val="hybridMultilevel"/>
    <w:tmpl w:val="06821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F53F45"/>
    <w:multiLevelType w:val="hybridMultilevel"/>
    <w:tmpl w:val="CE40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244684"/>
    <w:multiLevelType w:val="multilevel"/>
    <w:tmpl w:val="F6D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6791E"/>
    <w:multiLevelType w:val="hybridMultilevel"/>
    <w:tmpl w:val="E86E7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4256A0"/>
    <w:multiLevelType w:val="hybridMultilevel"/>
    <w:tmpl w:val="91E6CD2E"/>
    <w:lvl w:ilvl="0" w:tplc="2254793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
  </w:num>
  <w:num w:numId="2">
    <w:abstractNumId w:val="18"/>
  </w:num>
  <w:num w:numId="3">
    <w:abstractNumId w:val="24"/>
  </w:num>
  <w:num w:numId="4">
    <w:abstractNumId w:val="6"/>
  </w:num>
  <w:num w:numId="5">
    <w:abstractNumId w:val="34"/>
  </w:num>
  <w:num w:numId="6">
    <w:abstractNumId w:val="30"/>
  </w:num>
  <w:num w:numId="7">
    <w:abstractNumId w:val="16"/>
  </w:num>
  <w:num w:numId="8">
    <w:abstractNumId w:val="26"/>
  </w:num>
  <w:num w:numId="9">
    <w:abstractNumId w:val="11"/>
  </w:num>
  <w:num w:numId="10">
    <w:abstractNumId w:val="28"/>
  </w:num>
  <w:num w:numId="11">
    <w:abstractNumId w:val="32"/>
  </w:num>
  <w:num w:numId="12">
    <w:abstractNumId w:val="19"/>
  </w:num>
  <w:num w:numId="13">
    <w:abstractNumId w:val="25"/>
  </w:num>
  <w:num w:numId="14">
    <w:abstractNumId w:val="31"/>
  </w:num>
  <w:num w:numId="15">
    <w:abstractNumId w:val="3"/>
  </w:num>
  <w:num w:numId="16">
    <w:abstractNumId w:val="10"/>
  </w:num>
  <w:num w:numId="17">
    <w:abstractNumId w:val="13"/>
  </w:num>
  <w:num w:numId="18">
    <w:abstractNumId w:val="29"/>
  </w:num>
  <w:num w:numId="19">
    <w:abstractNumId w:val="0"/>
  </w:num>
  <w:num w:numId="20">
    <w:abstractNumId w:val="27"/>
  </w:num>
  <w:num w:numId="21">
    <w:abstractNumId w:val="15"/>
  </w:num>
  <w:num w:numId="22">
    <w:abstractNumId w:val="12"/>
  </w:num>
  <w:num w:numId="23">
    <w:abstractNumId w:val="22"/>
  </w:num>
  <w:num w:numId="24">
    <w:abstractNumId w:val="14"/>
  </w:num>
  <w:num w:numId="25">
    <w:abstractNumId w:val="1"/>
  </w:num>
  <w:num w:numId="26">
    <w:abstractNumId w:val="35"/>
  </w:num>
  <w:num w:numId="27">
    <w:abstractNumId w:val="20"/>
  </w:num>
  <w:num w:numId="28">
    <w:abstractNumId w:val="9"/>
  </w:num>
  <w:num w:numId="29">
    <w:abstractNumId w:val="21"/>
  </w:num>
  <w:num w:numId="30">
    <w:abstractNumId w:val="4"/>
  </w:num>
  <w:num w:numId="31">
    <w:abstractNumId w:val="7"/>
  </w:num>
  <w:num w:numId="32">
    <w:abstractNumId w:val="5"/>
  </w:num>
  <w:num w:numId="33">
    <w:abstractNumId w:val="33"/>
  </w:num>
  <w:num w:numId="34">
    <w:abstractNumId w:val="8"/>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4E"/>
    <w:rsid w:val="00013B3B"/>
    <w:rsid w:val="000167AE"/>
    <w:rsid w:val="00032BC7"/>
    <w:rsid w:val="000361B9"/>
    <w:rsid w:val="00045B25"/>
    <w:rsid w:val="0006032E"/>
    <w:rsid w:val="0007029A"/>
    <w:rsid w:val="000713F9"/>
    <w:rsid w:val="0007384E"/>
    <w:rsid w:val="000739A9"/>
    <w:rsid w:val="00075277"/>
    <w:rsid w:val="000A29F7"/>
    <w:rsid w:val="000C664E"/>
    <w:rsid w:val="000D2D6E"/>
    <w:rsid w:val="000D3A4A"/>
    <w:rsid w:val="000E013B"/>
    <w:rsid w:val="000E297E"/>
    <w:rsid w:val="000E7B61"/>
    <w:rsid w:val="000F6777"/>
    <w:rsid w:val="001072DB"/>
    <w:rsid w:val="00154F18"/>
    <w:rsid w:val="00155CFB"/>
    <w:rsid w:val="001579B1"/>
    <w:rsid w:val="00184242"/>
    <w:rsid w:val="00187522"/>
    <w:rsid w:val="001A4128"/>
    <w:rsid w:val="001B60F7"/>
    <w:rsid w:val="001C4494"/>
    <w:rsid w:val="001D6EF6"/>
    <w:rsid w:val="001F0414"/>
    <w:rsid w:val="001F3BB8"/>
    <w:rsid w:val="00210F89"/>
    <w:rsid w:val="00216352"/>
    <w:rsid w:val="00221CED"/>
    <w:rsid w:val="0023146B"/>
    <w:rsid w:val="002324A6"/>
    <w:rsid w:val="00234444"/>
    <w:rsid w:val="002418E6"/>
    <w:rsid w:val="00245130"/>
    <w:rsid w:val="00271649"/>
    <w:rsid w:val="002868A4"/>
    <w:rsid w:val="002A2883"/>
    <w:rsid w:val="002A4045"/>
    <w:rsid w:val="002A6478"/>
    <w:rsid w:val="002D1C6B"/>
    <w:rsid w:val="002F7565"/>
    <w:rsid w:val="00301BED"/>
    <w:rsid w:val="003077DD"/>
    <w:rsid w:val="00330AF7"/>
    <w:rsid w:val="00330CE5"/>
    <w:rsid w:val="003627AD"/>
    <w:rsid w:val="003659A5"/>
    <w:rsid w:val="00375197"/>
    <w:rsid w:val="00383F77"/>
    <w:rsid w:val="00391627"/>
    <w:rsid w:val="003927BE"/>
    <w:rsid w:val="003A54AB"/>
    <w:rsid w:val="003A61DF"/>
    <w:rsid w:val="003B015C"/>
    <w:rsid w:val="003B6FDF"/>
    <w:rsid w:val="003C2A6E"/>
    <w:rsid w:val="003E6237"/>
    <w:rsid w:val="00405F25"/>
    <w:rsid w:val="004143C2"/>
    <w:rsid w:val="0042275E"/>
    <w:rsid w:val="00426C9A"/>
    <w:rsid w:val="00426FC7"/>
    <w:rsid w:val="00463D87"/>
    <w:rsid w:val="0047575F"/>
    <w:rsid w:val="004822AB"/>
    <w:rsid w:val="004847F5"/>
    <w:rsid w:val="004906E0"/>
    <w:rsid w:val="004A4835"/>
    <w:rsid w:val="004A6BE8"/>
    <w:rsid w:val="004B6011"/>
    <w:rsid w:val="004D041F"/>
    <w:rsid w:val="004D1AAC"/>
    <w:rsid w:val="004F04FB"/>
    <w:rsid w:val="004F2403"/>
    <w:rsid w:val="004F3675"/>
    <w:rsid w:val="00542943"/>
    <w:rsid w:val="00561ECB"/>
    <w:rsid w:val="005711CC"/>
    <w:rsid w:val="005744A8"/>
    <w:rsid w:val="00574BB8"/>
    <w:rsid w:val="00574D5D"/>
    <w:rsid w:val="00582377"/>
    <w:rsid w:val="00587457"/>
    <w:rsid w:val="005A5D66"/>
    <w:rsid w:val="005A6312"/>
    <w:rsid w:val="005A6F95"/>
    <w:rsid w:val="005B1418"/>
    <w:rsid w:val="005B6AAA"/>
    <w:rsid w:val="005C00B1"/>
    <w:rsid w:val="005C7F48"/>
    <w:rsid w:val="005D0E3A"/>
    <w:rsid w:val="005D2F24"/>
    <w:rsid w:val="005F772A"/>
    <w:rsid w:val="00601E76"/>
    <w:rsid w:val="00601FAD"/>
    <w:rsid w:val="00604372"/>
    <w:rsid w:val="00614D25"/>
    <w:rsid w:val="00616DFE"/>
    <w:rsid w:val="0062732F"/>
    <w:rsid w:val="006323E6"/>
    <w:rsid w:val="00660614"/>
    <w:rsid w:val="00663F31"/>
    <w:rsid w:val="00674201"/>
    <w:rsid w:val="006977E7"/>
    <w:rsid w:val="006A29AC"/>
    <w:rsid w:val="006C2ECA"/>
    <w:rsid w:val="006E10B5"/>
    <w:rsid w:val="006F4E05"/>
    <w:rsid w:val="00731F2E"/>
    <w:rsid w:val="007324BF"/>
    <w:rsid w:val="007701BF"/>
    <w:rsid w:val="00775E5F"/>
    <w:rsid w:val="00780456"/>
    <w:rsid w:val="0079264E"/>
    <w:rsid w:val="00793799"/>
    <w:rsid w:val="00793CF5"/>
    <w:rsid w:val="00797482"/>
    <w:rsid w:val="007A737F"/>
    <w:rsid w:val="007B5E85"/>
    <w:rsid w:val="007B76ED"/>
    <w:rsid w:val="007C0F71"/>
    <w:rsid w:val="007C13FE"/>
    <w:rsid w:val="007D1BDC"/>
    <w:rsid w:val="007D6D25"/>
    <w:rsid w:val="007F5155"/>
    <w:rsid w:val="00802FF4"/>
    <w:rsid w:val="00806579"/>
    <w:rsid w:val="00830CBE"/>
    <w:rsid w:val="00852B52"/>
    <w:rsid w:val="008769F4"/>
    <w:rsid w:val="008774C7"/>
    <w:rsid w:val="00877CDE"/>
    <w:rsid w:val="008816D7"/>
    <w:rsid w:val="00882C9E"/>
    <w:rsid w:val="00886058"/>
    <w:rsid w:val="00894956"/>
    <w:rsid w:val="008A07E0"/>
    <w:rsid w:val="008A46CD"/>
    <w:rsid w:val="008A7C1C"/>
    <w:rsid w:val="008F5836"/>
    <w:rsid w:val="00907032"/>
    <w:rsid w:val="0091336C"/>
    <w:rsid w:val="0091696A"/>
    <w:rsid w:val="00924D42"/>
    <w:rsid w:val="009365DD"/>
    <w:rsid w:val="00970EB6"/>
    <w:rsid w:val="00971306"/>
    <w:rsid w:val="009751BD"/>
    <w:rsid w:val="009757B8"/>
    <w:rsid w:val="00985525"/>
    <w:rsid w:val="009A01BB"/>
    <w:rsid w:val="009A09CC"/>
    <w:rsid w:val="009C506B"/>
    <w:rsid w:val="009C5473"/>
    <w:rsid w:val="009F2B88"/>
    <w:rsid w:val="00A01EC0"/>
    <w:rsid w:val="00A13EC1"/>
    <w:rsid w:val="00A16F67"/>
    <w:rsid w:val="00A2166C"/>
    <w:rsid w:val="00A273E6"/>
    <w:rsid w:val="00A336EE"/>
    <w:rsid w:val="00A76654"/>
    <w:rsid w:val="00A76888"/>
    <w:rsid w:val="00A80FF7"/>
    <w:rsid w:val="00A931D3"/>
    <w:rsid w:val="00A95579"/>
    <w:rsid w:val="00A96F00"/>
    <w:rsid w:val="00AA1AAD"/>
    <w:rsid w:val="00AA66C0"/>
    <w:rsid w:val="00AC68FB"/>
    <w:rsid w:val="00AC7FDA"/>
    <w:rsid w:val="00B155C7"/>
    <w:rsid w:val="00B21BCC"/>
    <w:rsid w:val="00B23B64"/>
    <w:rsid w:val="00B45BB6"/>
    <w:rsid w:val="00B500BD"/>
    <w:rsid w:val="00B53D8C"/>
    <w:rsid w:val="00B700CD"/>
    <w:rsid w:val="00B70824"/>
    <w:rsid w:val="00B941C4"/>
    <w:rsid w:val="00B9624A"/>
    <w:rsid w:val="00BA1E84"/>
    <w:rsid w:val="00BA6F51"/>
    <w:rsid w:val="00BC40D2"/>
    <w:rsid w:val="00BC5771"/>
    <w:rsid w:val="00BC653E"/>
    <w:rsid w:val="00BD203D"/>
    <w:rsid w:val="00BD54FB"/>
    <w:rsid w:val="00BF63A9"/>
    <w:rsid w:val="00C1503A"/>
    <w:rsid w:val="00C266D9"/>
    <w:rsid w:val="00C53903"/>
    <w:rsid w:val="00C771DA"/>
    <w:rsid w:val="00C83876"/>
    <w:rsid w:val="00C9119D"/>
    <w:rsid w:val="00C9547E"/>
    <w:rsid w:val="00C96A44"/>
    <w:rsid w:val="00CA048B"/>
    <w:rsid w:val="00CC033B"/>
    <w:rsid w:val="00CC24FA"/>
    <w:rsid w:val="00D42C82"/>
    <w:rsid w:val="00D5713C"/>
    <w:rsid w:val="00D75219"/>
    <w:rsid w:val="00D81380"/>
    <w:rsid w:val="00D8330C"/>
    <w:rsid w:val="00D8463C"/>
    <w:rsid w:val="00D91FFE"/>
    <w:rsid w:val="00D9346F"/>
    <w:rsid w:val="00D96BA7"/>
    <w:rsid w:val="00E01BB9"/>
    <w:rsid w:val="00E0295C"/>
    <w:rsid w:val="00E0737E"/>
    <w:rsid w:val="00E116B1"/>
    <w:rsid w:val="00E201EA"/>
    <w:rsid w:val="00E22EF2"/>
    <w:rsid w:val="00E74255"/>
    <w:rsid w:val="00E802A1"/>
    <w:rsid w:val="00EA12D6"/>
    <w:rsid w:val="00EA72AD"/>
    <w:rsid w:val="00EB4AE5"/>
    <w:rsid w:val="00EE0045"/>
    <w:rsid w:val="00EF4963"/>
    <w:rsid w:val="00F019B7"/>
    <w:rsid w:val="00F02CCB"/>
    <w:rsid w:val="00F15A34"/>
    <w:rsid w:val="00F17DFB"/>
    <w:rsid w:val="00F27690"/>
    <w:rsid w:val="00F512D8"/>
    <w:rsid w:val="00F618C3"/>
    <w:rsid w:val="00F7060E"/>
    <w:rsid w:val="00FA3FF4"/>
    <w:rsid w:val="00FB20F4"/>
    <w:rsid w:val="00FC49AC"/>
    <w:rsid w:val="00FD19E2"/>
    <w:rsid w:val="00FD1B6A"/>
    <w:rsid w:val="00FE0D9E"/>
    <w:rsid w:val="00FF31A6"/>
    <w:rsid w:val="00FF6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6E30B-A2D1-4FB1-93CA-8D6DCE38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D66"/>
    <w:pPr>
      <w:spacing w:before="240" w:after="240" w:line="24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384E"/>
    <w:pPr>
      <w:ind w:left="720"/>
      <w:contextualSpacing/>
    </w:pPr>
  </w:style>
  <w:style w:type="character" w:styleId="Hipervnculo">
    <w:name w:val="Hyperlink"/>
    <w:basedOn w:val="Fuentedeprrafopredeter"/>
    <w:uiPriority w:val="99"/>
    <w:unhideWhenUsed/>
    <w:rsid w:val="005D0E3A"/>
    <w:rPr>
      <w:strike w:val="0"/>
      <w:dstrike w:val="0"/>
      <w:color w:val="0BA5D2"/>
      <w:u w:val="none"/>
      <w:effect w:val="none"/>
    </w:rPr>
  </w:style>
  <w:style w:type="paragraph" w:customStyle="1" w:styleId="rtejustify">
    <w:name w:val="rtejustify"/>
    <w:basedOn w:val="Normal"/>
    <w:rsid w:val="005D0E3A"/>
    <w:pPr>
      <w:spacing w:before="100" w:beforeAutospacing="1" w:after="270"/>
    </w:pPr>
    <w:rPr>
      <w:rFonts w:ascii="Times New Roman" w:eastAsia="Times New Roman" w:hAnsi="Times New Roman" w:cs="Times New Roman"/>
      <w:color w:val="303030"/>
      <w:szCs w:val="24"/>
      <w:lang w:val="es-ES" w:eastAsia="es-ES"/>
    </w:rPr>
  </w:style>
  <w:style w:type="table" w:styleId="Tablaconcuadrcula">
    <w:name w:val="Table Grid"/>
    <w:basedOn w:val="Tablanormal"/>
    <w:uiPriority w:val="39"/>
    <w:rsid w:val="00561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61ECB"/>
    <w:pPr>
      <w:autoSpaceDE w:val="0"/>
      <w:autoSpaceDN w:val="0"/>
      <w:adjustRightInd w:val="0"/>
      <w:spacing w:after="0" w:line="240" w:lineRule="auto"/>
    </w:pPr>
    <w:rPr>
      <w:rFonts w:ascii="Calibri" w:hAnsi="Calibri" w:cs="Calibri"/>
      <w:color w:val="000000"/>
      <w:sz w:val="24"/>
      <w:szCs w:val="24"/>
      <w:lang w:val="es-ES"/>
    </w:rPr>
  </w:style>
  <w:style w:type="table" w:styleId="Tabladecuadrcula5oscura-nfasis3">
    <w:name w:val="Grid Table 5 Dark Accent 3"/>
    <w:basedOn w:val="Tablanormal"/>
    <w:uiPriority w:val="50"/>
    <w:rsid w:val="00D934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deglobo">
    <w:name w:val="Balloon Text"/>
    <w:basedOn w:val="Normal"/>
    <w:link w:val="TextodegloboCar"/>
    <w:uiPriority w:val="99"/>
    <w:semiHidden/>
    <w:unhideWhenUsed/>
    <w:rsid w:val="002D1C6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C6B"/>
    <w:rPr>
      <w:rFonts w:ascii="Segoe UI" w:hAnsi="Segoe UI" w:cs="Segoe UI"/>
      <w:sz w:val="18"/>
      <w:szCs w:val="18"/>
    </w:rPr>
  </w:style>
  <w:style w:type="paragraph" w:styleId="Encabezado">
    <w:name w:val="header"/>
    <w:basedOn w:val="Normal"/>
    <w:link w:val="EncabezadoCar"/>
    <w:uiPriority w:val="99"/>
    <w:unhideWhenUsed/>
    <w:rsid w:val="00AC7FDA"/>
    <w:pPr>
      <w:tabs>
        <w:tab w:val="center" w:pos="4419"/>
        <w:tab w:val="right" w:pos="8838"/>
      </w:tabs>
      <w:spacing w:before="0" w:after="0"/>
    </w:pPr>
  </w:style>
  <w:style w:type="character" w:customStyle="1" w:styleId="EncabezadoCar">
    <w:name w:val="Encabezado Car"/>
    <w:basedOn w:val="Fuentedeprrafopredeter"/>
    <w:link w:val="Encabezado"/>
    <w:uiPriority w:val="99"/>
    <w:rsid w:val="00AC7FDA"/>
    <w:rPr>
      <w:rFonts w:ascii="Arial" w:hAnsi="Arial"/>
      <w:sz w:val="24"/>
    </w:rPr>
  </w:style>
  <w:style w:type="paragraph" w:styleId="Piedepgina">
    <w:name w:val="footer"/>
    <w:basedOn w:val="Normal"/>
    <w:link w:val="PiedepginaCar"/>
    <w:uiPriority w:val="99"/>
    <w:unhideWhenUsed/>
    <w:rsid w:val="00AC7FD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C7FDA"/>
    <w:rPr>
      <w:rFonts w:ascii="Arial" w:hAnsi="Arial"/>
      <w:sz w:val="24"/>
    </w:rPr>
  </w:style>
  <w:style w:type="character" w:customStyle="1" w:styleId="NormalWebCar1">
    <w:name w:val="Normal (Web) Car1"/>
    <w:aliases w:val="Normal (Web) Car Car,Normal (Web) Car1 Car Car Car,Normal (Web) Car Car Car Car Car Car Car Car Car Car Car,Normal (Web) Car Car Car Car Car Car Car,Car Car Car Car,Car Car Car Car Car Car,Car Car1,Car Car Car1,C Car"/>
    <w:link w:val="NormalWeb"/>
    <w:uiPriority w:val="99"/>
    <w:locked/>
    <w:rsid w:val="007A737F"/>
    <w:rPr>
      <w:rFonts w:ascii="Times New Roman" w:eastAsia="Times New Roman" w:hAnsi="Times New Roman" w:cs="Times New Roman"/>
      <w:sz w:val="24"/>
      <w:szCs w:val="24"/>
      <w:lang w:eastAsia="es-MX"/>
    </w:rPr>
  </w:style>
  <w:style w:type="paragraph" w:styleId="NormalWeb">
    <w:name w:val="Normal (Web)"/>
    <w:aliases w:val="Normal (Web) Car,Normal (Web) Car1 Car Car,Normal (Web) Car Car Car Car Car Car Car Car Car Car,Normal (Web) Car Car Car Car Car Car,Car Car Car,Car Car Car Car Car,Car,Car Car,Normal (Web) Car Car Car Car,Normal (Web) Car Car Car Car Car,C"/>
    <w:basedOn w:val="Normal"/>
    <w:link w:val="NormalWebCar1"/>
    <w:uiPriority w:val="99"/>
    <w:unhideWhenUsed/>
    <w:qFormat/>
    <w:rsid w:val="007A737F"/>
    <w:pPr>
      <w:spacing w:before="100" w:beforeAutospacing="1" w:after="100" w:afterAutospacing="1"/>
      <w:jc w:val="left"/>
    </w:pPr>
    <w:rPr>
      <w:rFonts w:ascii="Times New Roman" w:eastAsia="Times New Roman" w:hAnsi="Times New Roman" w:cs="Times New Roman"/>
      <w:szCs w:val="24"/>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locked/>
    <w:rsid w:val="007A737F"/>
    <w:rPr>
      <w:sz w:val="20"/>
      <w:szCs w:val="20"/>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Car3,Ca1, Car"/>
    <w:basedOn w:val="Normal"/>
    <w:link w:val="TextonotapieCar"/>
    <w:unhideWhenUsed/>
    <w:qFormat/>
    <w:rsid w:val="007A737F"/>
    <w:pPr>
      <w:spacing w:before="0" w:after="0"/>
      <w:jc w:val="left"/>
    </w:pPr>
    <w:rPr>
      <w:rFonts w:asciiTheme="minorHAnsi" w:hAnsiTheme="minorHAnsi"/>
      <w:sz w:val="20"/>
      <w:szCs w:val="20"/>
    </w:rPr>
  </w:style>
  <w:style w:type="character" w:customStyle="1" w:styleId="TextonotapieCar1">
    <w:name w:val="Texto nota pie Car1"/>
    <w:basedOn w:val="Fuentedeprrafopredeter"/>
    <w:uiPriority w:val="99"/>
    <w:semiHidden/>
    <w:rsid w:val="007A737F"/>
    <w:rPr>
      <w:rFonts w:ascii="Arial" w:hAnsi="Arial"/>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Ref,ftre"/>
    <w:basedOn w:val="Fuentedeprrafopredeter"/>
    <w:unhideWhenUsed/>
    <w:qFormat/>
    <w:rsid w:val="007A737F"/>
    <w:rPr>
      <w:vertAlign w:val="superscript"/>
    </w:rPr>
  </w:style>
  <w:style w:type="paragraph" w:customStyle="1" w:styleId="rtecenter">
    <w:name w:val="rtecenter"/>
    <w:basedOn w:val="Normal"/>
    <w:rsid w:val="00587457"/>
    <w:pPr>
      <w:spacing w:before="100" w:beforeAutospacing="1" w:after="100" w:afterAutospacing="1"/>
      <w:jc w:val="left"/>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587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092">
      <w:bodyDiv w:val="1"/>
      <w:marLeft w:val="0"/>
      <w:marRight w:val="0"/>
      <w:marTop w:val="0"/>
      <w:marBottom w:val="0"/>
      <w:divBdr>
        <w:top w:val="none" w:sz="0" w:space="0" w:color="auto"/>
        <w:left w:val="none" w:sz="0" w:space="0" w:color="auto"/>
        <w:bottom w:val="none" w:sz="0" w:space="0" w:color="auto"/>
        <w:right w:val="none" w:sz="0" w:space="0" w:color="auto"/>
      </w:divBdr>
    </w:div>
    <w:div w:id="558826722">
      <w:bodyDiv w:val="1"/>
      <w:marLeft w:val="0"/>
      <w:marRight w:val="0"/>
      <w:marTop w:val="0"/>
      <w:marBottom w:val="0"/>
      <w:divBdr>
        <w:top w:val="none" w:sz="0" w:space="0" w:color="auto"/>
        <w:left w:val="none" w:sz="0" w:space="0" w:color="auto"/>
        <w:bottom w:val="none" w:sz="0" w:space="0" w:color="auto"/>
        <w:right w:val="none" w:sz="0" w:space="0" w:color="auto"/>
      </w:divBdr>
    </w:div>
    <w:div w:id="699356159">
      <w:bodyDiv w:val="1"/>
      <w:marLeft w:val="0"/>
      <w:marRight w:val="0"/>
      <w:marTop w:val="0"/>
      <w:marBottom w:val="0"/>
      <w:divBdr>
        <w:top w:val="none" w:sz="0" w:space="0" w:color="auto"/>
        <w:left w:val="none" w:sz="0" w:space="0" w:color="auto"/>
        <w:bottom w:val="none" w:sz="0" w:space="0" w:color="auto"/>
        <w:right w:val="none" w:sz="0" w:space="0" w:color="auto"/>
      </w:divBdr>
    </w:div>
    <w:div w:id="953025794">
      <w:bodyDiv w:val="1"/>
      <w:marLeft w:val="0"/>
      <w:marRight w:val="0"/>
      <w:marTop w:val="0"/>
      <w:marBottom w:val="0"/>
      <w:divBdr>
        <w:top w:val="none" w:sz="0" w:space="0" w:color="auto"/>
        <w:left w:val="none" w:sz="0" w:space="0" w:color="auto"/>
        <w:bottom w:val="none" w:sz="0" w:space="0" w:color="auto"/>
        <w:right w:val="none" w:sz="0" w:space="0" w:color="auto"/>
      </w:divBdr>
    </w:div>
    <w:div w:id="1346177198">
      <w:bodyDiv w:val="1"/>
      <w:marLeft w:val="0"/>
      <w:marRight w:val="0"/>
      <w:marTop w:val="0"/>
      <w:marBottom w:val="0"/>
      <w:divBdr>
        <w:top w:val="none" w:sz="0" w:space="0" w:color="auto"/>
        <w:left w:val="none" w:sz="0" w:space="0" w:color="auto"/>
        <w:bottom w:val="none" w:sz="0" w:space="0" w:color="auto"/>
        <w:right w:val="none" w:sz="0" w:space="0" w:color="auto"/>
      </w:divBdr>
    </w:div>
    <w:div w:id="1395078421">
      <w:bodyDiv w:val="1"/>
      <w:marLeft w:val="0"/>
      <w:marRight w:val="0"/>
      <w:marTop w:val="0"/>
      <w:marBottom w:val="0"/>
      <w:divBdr>
        <w:top w:val="none" w:sz="0" w:space="0" w:color="auto"/>
        <w:left w:val="none" w:sz="0" w:space="0" w:color="auto"/>
        <w:bottom w:val="none" w:sz="0" w:space="0" w:color="auto"/>
        <w:right w:val="none" w:sz="0" w:space="0" w:color="auto"/>
      </w:divBdr>
    </w:div>
    <w:div w:id="1402481407">
      <w:bodyDiv w:val="1"/>
      <w:marLeft w:val="0"/>
      <w:marRight w:val="0"/>
      <w:marTop w:val="0"/>
      <w:marBottom w:val="0"/>
      <w:divBdr>
        <w:top w:val="none" w:sz="0" w:space="0" w:color="auto"/>
        <w:left w:val="none" w:sz="0" w:space="0" w:color="auto"/>
        <w:bottom w:val="none" w:sz="0" w:space="0" w:color="auto"/>
        <w:right w:val="none" w:sz="0" w:space="0" w:color="auto"/>
      </w:divBdr>
      <w:divsChild>
        <w:div w:id="402143088">
          <w:marLeft w:val="0"/>
          <w:marRight w:val="0"/>
          <w:marTop w:val="0"/>
          <w:marBottom w:val="0"/>
          <w:divBdr>
            <w:top w:val="none" w:sz="0" w:space="0" w:color="auto"/>
            <w:left w:val="none" w:sz="0" w:space="0" w:color="auto"/>
            <w:bottom w:val="none" w:sz="0" w:space="0" w:color="auto"/>
            <w:right w:val="none" w:sz="0" w:space="0" w:color="auto"/>
          </w:divBdr>
          <w:divsChild>
            <w:div w:id="279383855">
              <w:marLeft w:val="0"/>
              <w:marRight w:val="0"/>
              <w:marTop w:val="0"/>
              <w:marBottom w:val="0"/>
              <w:divBdr>
                <w:top w:val="none" w:sz="0" w:space="0" w:color="auto"/>
                <w:left w:val="none" w:sz="0" w:space="0" w:color="auto"/>
                <w:bottom w:val="none" w:sz="0" w:space="0" w:color="auto"/>
                <w:right w:val="none" w:sz="0" w:space="0" w:color="auto"/>
              </w:divBdr>
              <w:divsChild>
                <w:div w:id="1236865849">
                  <w:marLeft w:val="0"/>
                  <w:marRight w:val="0"/>
                  <w:marTop w:val="150"/>
                  <w:marBottom w:val="2"/>
                  <w:divBdr>
                    <w:top w:val="none" w:sz="0" w:space="0" w:color="auto"/>
                    <w:left w:val="none" w:sz="0" w:space="0" w:color="auto"/>
                    <w:bottom w:val="none" w:sz="0" w:space="0" w:color="auto"/>
                    <w:right w:val="none" w:sz="0" w:space="0" w:color="auto"/>
                  </w:divBdr>
                  <w:divsChild>
                    <w:div w:id="184828678">
                      <w:marLeft w:val="0"/>
                      <w:marRight w:val="0"/>
                      <w:marTop w:val="0"/>
                      <w:marBottom w:val="0"/>
                      <w:divBdr>
                        <w:top w:val="none" w:sz="0" w:space="0" w:color="auto"/>
                        <w:left w:val="none" w:sz="0" w:space="0" w:color="auto"/>
                        <w:bottom w:val="none" w:sz="0" w:space="0" w:color="auto"/>
                        <w:right w:val="none" w:sz="0" w:space="0" w:color="auto"/>
                      </w:divBdr>
                      <w:divsChild>
                        <w:div w:id="1724134164">
                          <w:marLeft w:val="0"/>
                          <w:marRight w:val="0"/>
                          <w:marTop w:val="0"/>
                          <w:marBottom w:val="5"/>
                          <w:divBdr>
                            <w:top w:val="none" w:sz="0" w:space="0" w:color="auto"/>
                            <w:left w:val="none" w:sz="0" w:space="0" w:color="auto"/>
                            <w:bottom w:val="none" w:sz="0" w:space="0" w:color="auto"/>
                            <w:right w:val="none" w:sz="0" w:space="0" w:color="auto"/>
                          </w:divBdr>
                          <w:divsChild>
                            <w:div w:id="1893030467">
                              <w:marLeft w:val="0"/>
                              <w:marRight w:val="0"/>
                              <w:marTop w:val="0"/>
                              <w:marBottom w:val="0"/>
                              <w:divBdr>
                                <w:top w:val="none" w:sz="0" w:space="0" w:color="auto"/>
                                <w:left w:val="none" w:sz="0" w:space="0" w:color="auto"/>
                                <w:bottom w:val="none" w:sz="0" w:space="0" w:color="auto"/>
                                <w:right w:val="none" w:sz="0" w:space="0" w:color="auto"/>
                              </w:divBdr>
                              <w:divsChild>
                                <w:div w:id="1550997720">
                                  <w:marLeft w:val="0"/>
                                  <w:marRight w:val="0"/>
                                  <w:marTop w:val="0"/>
                                  <w:marBottom w:val="0"/>
                                  <w:divBdr>
                                    <w:top w:val="none" w:sz="0" w:space="0" w:color="auto"/>
                                    <w:left w:val="none" w:sz="0" w:space="0" w:color="auto"/>
                                    <w:bottom w:val="none" w:sz="0" w:space="0" w:color="auto"/>
                                    <w:right w:val="none" w:sz="0" w:space="0" w:color="auto"/>
                                  </w:divBdr>
                                  <w:divsChild>
                                    <w:div w:id="1144858382">
                                      <w:marLeft w:val="0"/>
                                      <w:marRight w:val="0"/>
                                      <w:marTop w:val="0"/>
                                      <w:marBottom w:val="0"/>
                                      <w:divBdr>
                                        <w:top w:val="none" w:sz="0" w:space="0" w:color="auto"/>
                                        <w:left w:val="none" w:sz="0" w:space="0" w:color="auto"/>
                                        <w:bottom w:val="none" w:sz="0" w:space="0" w:color="auto"/>
                                        <w:right w:val="none" w:sz="0" w:space="0" w:color="auto"/>
                                      </w:divBdr>
                                      <w:divsChild>
                                        <w:div w:id="524292409">
                                          <w:marLeft w:val="0"/>
                                          <w:marRight w:val="0"/>
                                          <w:marTop w:val="0"/>
                                          <w:marBottom w:val="0"/>
                                          <w:divBdr>
                                            <w:top w:val="none" w:sz="0" w:space="0" w:color="auto"/>
                                            <w:left w:val="none" w:sz="0" w:space="0" w:color="auto"/>
                                            <w:bottom w:val="none" w:sz="0" w:space="0" w:color="auto"/>
                                            <w:right w:val="none" w:sz="0" w:space="0" w:color="auto"/>
                                          </w:divBdr>
                                          <w:divsChild>
                                            <w:div w:id="14967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143396">
      <w:bodyDiv w:val="1"/>
      <w:marLeft w:val="0"/>
      <w:marRight w:val="0"/>
      <w:marTop w:val="0"/>
      <w:marBottom w:val="0"/>
      <w:divBdr>
        <w:top w:val="none" w:sz="0" w:space="0" w:color="auto"/>
        <w:left w:val="none" w:sz="0" w:space="0" w:color="auto"/>
        <w:bottom w:val="none" w:sz="0" w:space="0" w:color="auto"/>
        <w:right w:val="none" w:sz="0" w:space="0" w:color="auto"/>
      </w:divBdr>
    </w:div>
    <w:div w:id="2069374804">
      <w:bodyDiv w:val="1"/>
      <w:marLeft w:val="0"/>
      <w:marRight w:val="0"/>
      <w:marTop w:val="0"/>
      <w:marBottom w:val="0"/>
      <w:divBdr>
        <w:top w:val="none" w:sz="0" w:space="0" w:color="auto"/>
        <w:left w:val="none" w:sz="0" w:space="0" w:color="auto"/>
        <w:bottom w:val="none" w:sz="0" w:space="0" w:color="auto"/>
        <w:right w:val="none" w:sz="0" w:space="0" w:color="auto"/>
      </w:divBdr>
      <w:divsChild>
        <w:div w:id="2095347597">
          <w:marLeft w:val="0"/>
          <w:marRight w:val="0"/>
          <w:marTop w:val="0"/>
          <w:marBottom w:val="0"/>
          <w:divBdr>
            <w:top w:val="none" w:sz="0" w:space="0" w:color="auto"/>
            <w:left w:val="none" w:sz="0" w:space="0" w:color="auto"/>
            <w:bottom w:val="none" w:sz="0" w:space="0" w:color="auto"/>
            <w:right w:val="none" w:sz="0" w:space="0" w:color="auto"/>
          </w:divBdr>
          <w:divsChild>
            <w:div w:id="950552514">
              <w:marLeft w:val="0"/>
              <w:marRight w:val="0"/>
              <w:marTop w:val="0"/>
              <w:marBottom w:val="0"/>
              <w:divBdr>
                <w:top w:val="none" w:sz="0" w:space="0" w:color="auto"/>
                <w:left w:val="none" w:sz="0" w:space="0" w:color="auto"/>
                <w:bottom w:val="none" w:sz="0" w:space="0" w:color="auto"/>
                <w:right w:val="none" w:sz="0" w:space="0" w:color="auto"/>
              </w:divBdr>
              <w:divsChild>
                <w:div w:id="970593439">
                  <w:marLeft w:val="0"/>
                  <w:marRight w:val="0"/>
                  <w:marTop w:val="150"/>
                  <w:marBottom w:val="2"/>
                  <w:divBdr>
                    <w:top w:val="none" w:sz="0" w:space="0" w:color="auto"/>
                    <w:left w:val="none" w:sz="0" w:space="0" w:color="auto"/>
                    <w:bottom w:val="none" w:sz="0" w:space="0" w:color="auto"/>
                    <w:right w:val="none" w:sz="0" w:space="0" w:color="auto"/>
                  </w:divBdr>
                  <w:divsChild>
                    <w:div w:id="26032210">
                      <w:marLeft w:val="0"/>
                      <w:marRight w:val="0"/>
                      <w:marTop w:val="0"/>
                      <w:marBottom w:val="0"/>
                      <w:divBdr>
                        <w:top w:val="none" w:sz="0" w:space="0" w:color="auto"/>
                        <w:left w:val="none" w:sz="0" w:space="0" w:color="auto"/>
                        <w:bottom w:val="none" w:sz="0" w:space="0" w:color="auto"/>
                        <w:right w:val="none" w:sz="0" w:space="0" w:color="auto"/>
                      </w:divBdr>
                      <w:divsChild>
                        <w:div w:id="561984916">
                          <w:marLeft w:val="0"/>
                          <w:marRight w:val="0"/>
                          <w:marTop w:val="0"/>
                          <w:marBottom w:val="5"/>
                          <w:divBdr>
                            <w:top w:val="none" w:sz="0" w:space="0" w:color="auto"/>
                            <w:left w:val="none" w:sz="0" w:space="0" w:color="auto"/>
                            <w:bottom w:val="none" w:sz="0" w:space="0" w:color="auto"/>
                            <w:right w:val="none" w:sz="0" w:space="0" w:color="auto"/>
                          </w:divBdr>
                          <w:divsChild>
                            <w:div w:id="49233044">
                              <w:marLeft w:val="0"/>
                              <w:marRight w:val="0"/>
                              <w:marTop w:val="0"/>
                              <w:marBottom w:val="0"/>
                              <w:divBdr>
                                <w:top w:val="none" w:sz="0" w:space="0" w:color="auto"/>
                                <w:left w:val="none" w:sz="0" w:space="0" w:color="auto"/>
                                <w:bottom w:val="none" w:sz="0" w:space="0" w:color="auto"/>
                                <w:right w:val="none" w:sz="0" w:space="0" w:color="auto"/>
                              </w:divBdr>
                              <w:divsChild>
                                <w:div w:id="68505302">
                                  <w:marLeft w:val="0"/>
                                  <w:marRight w:val="0"/>
                                  <w:marTop w:val="0"/>
                                  <w:marBottom w:val="0"/>
                                  <w:divBdr>
                                    <w:top w:val="none" w:sz="0" w:space="0" w:color="auto"/>
                                    <w:left w:val="none" w:sz="0" w:space="0" w:color="auto"/>
                                    <w:bottom w:val="none" w:sz="0" w:space="0" w:color="auto"/>
                                    <w:right w:val="none" w:sz="0" w:space="0" w:color="auto"/>
                                  </w:divBdr>
                                  <w:divsChild>
                                    <w:div w:id="1761830072">
                                      <w:marLeft w:val="0"/>
                                      <w:marRight w:val="0"/>
                                      <w:marTop w:val="0"/>
                                      <w:marBottom w:val="0"/>
                                      <w:divBdr>
                                        <w:top w:val="none" w:sz="0" w:space="0" w:color="auto"/>
                                        <w:left w:val="none" w:sz="0" w:space="0" w:color="auto"/>
                                        <w:bottom w:val="none" w:sz="0" w:space="0" w:color="auto"/>
                                        <w:right w:val="none" w:sz="0" w:space="0" w:color="auto"/>
                                      </w:divBdr>
                                      <w:divsChild>
                                        <w:div w:id="259877514">
                                          <w:marLeft w:val="0"/>
                                          <w:marRight w:val="0"/>
                                          <w:marTop w:val="0"/>
                                          <w:marBottom w:val="0"/>
                                          <w:divBdr>
                                            <w:top w:val="none" w:sz="0" w:space="0" w:color="auto"/>
                                            <w:left w:val="none" w:sz="0" w:space="0" w:color="auto"/>
                                            <w:bottom w:val="none" w:sz="0" w:space="0" w:color="auto"/>
                                            <w:right w:val="none" w:sz="0" w:space="0" w:color="auto"/>
                                          </w:divBdr>
                                          <w:divsChild>
                                            <w:div w:id="16788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0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F4E1-7E09-4DCB-B682-0EED9B58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2052</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de Genero y Derechos Humanos1</dc:creator>
  <cp:keywords/>
  <dc:description/>
  <cp:lastModifiedBy>Juan Antonio Mejía Ortíz</cp:lastModifiedBy>
  <cp:revision>18</cp:revision>
  <cp:lastPrinted>2018-03-02T17:52:00Z</cp:lastPrinted>
  <dcterms:created xsi:type="dcterms:W3CDTF">2018-03-02T18:01:00Z</dcterms:created>
  <dcterms:modified xsi:type="dcterms:W3CDTF">2018-08-21T18:08:00Z</dcterms:modified>
</cp:coreProperties>
</file>